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F6E" w:rsidRDefault="00511F6E" w:rsidP="006C3884">
      <w:pPr>
        <w:jc w:val="center"/>
        <w:rPr>
          <w:rFonts w:ascii="Times New Roman" w:hAnsi="Times New Roman" w:cs="Times New Roman"/>
          <w:sz w:val="24"/>
          <w:szCs w:val="24"/>
        </w:rPr>
      </w:pPr>
      <w:r w:rsidRPr="008A139D">
        <w:rPr>
          <w:rFonts w:ascii="Times New Roman" w:hAnsi="Times New Roman" w:cs="Times New Roman"/>
          <w:b/>
          <w:bCs/>
          <w:sz w:val="32"/>
          <w:szCs w:val="32"/>
          <w:u w:val="single"/>
        </w:rPr>
        <w:t>Tax Evasion and the Parallel Economy in India</w:t>
      </w:r>
    </w:p>
    <w:p w:rsidR="00F24988" w:rsidRDefault="00F24988" w:rsidP="00511F6E">
      <w:pPr>
        <w:spacing w:line="360" w:lineRule="auto"/>
        <w:jc w:val="both"/>
        <w:rPr>
          <w:rFonts w:ascii="Times New Roman" w:hAnsi="Times New Roman" w:cs="Times New Roman"/>
          <w:b/>
          <w:bCs/>
          <w:sz w:val="28"/>
          <w:szCs w:val="28"/>
          <w:u w:val="single"/>
        </w:rPr>
      </w:pPr>
    </w:p>
    <w:p w:rsidR="00AE6623" w:rsidRPr="00DC3B4F" w:rsidRDefault="00AE6623"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Abstract</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Tax evasion and the parallel economy</w:t>
      </w:r>
      <w:r w:rsidR="005849E9">
        <w:rPr>
          <w:rStyle w:val="FootnoteReference"/>
          <w:rFonts w:ascii="Times New Roman" w:hAnsi="Times New Roman" w:cs="Times New Roman"/>
          <w:sz w:val="24"/>
          <w:szCs w:val="24"/>
        </w:rPr>
        <w:footnoteReference w:id="1"/>
      </w:r>
      <w:r w:rsidRPr="00511F6E">
        <w:rPr>
          <w:rFonts w:ascii="Times New Roman" w:hAnsi="Times New Roman" w:cs="Times New Roman"/>
          <w:sz w:val="24"/>
          <w:szCs w:val="24"/>
        </w:rPr>
        <w:t xml:space="preserve"> are two of the most pressing concerns in the midst of the Indian economy, which equally affect the revenue pool, fiscal discipline, and social justice. They jeopardize the government’s capability to finance</w:t>
      </w:r>
      <w:r w:rsidR="00443D47">
        <w:rPr>
          <w:rStyle w:val="FootnoteReference"/>
          <w:rFonts w:ascii="Times New Roman" w:hAnsi="Times New Roman" w:cs="Times New Roman"/>
          <w:sz w:val="24"/>
          <w:szCs w:val="24"/>
        </w:rPr>
        <w:footnoteReference w:id="2"/>
      </w:r>
      <w:r w:rsidRPr="00511F6E">
        <w:rPr>
          <w:rFonts w:ascii="Times New Roman" w:hAnsi="Times New Roman" w:cs="Times New Roman"/>
          <w:sz w:val="24"/>
          <w:szCs w:val="24"/>
        </w:rPr>
        <w:t xml:space="preserve"> essential public services but also distort competition in the market, thereby further </w:t>
      </w:r>
      <w:r w:rsidR="00511F6E" w:rsidRPr="00511F6E">
        <w:rPr>
          <w:rFonts w:ascii="Times New Roman" w:hAnsi="Times New Roman" w:cs="Times New Roman"/>
          <w:sz w:val="24"/>
          <w:szCs w:val="24"/>
        </w:rPr>
        <w:t>fuelling</w:t>
      </w:r>
      <w:r w:rsidRPr="00511F6E">
        <w:rPr>
          <w:rFonts w:ascii="Times New Roman" w:hAnsi="Times New Roman" w:cs="Times New Roman"/>
          <w:sz w:val="24"/>
          <w:szCs w:val="24"/>
        </w:rPr>
        <w:t xml:space="preserve"> disparities. The continued operation of a parallel economy, where forced transactions happen outside the legitimate system, compels corruption, money laundering, and loss to tax revenue.</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This paper examines tax evasion in India through its multifaceted manifestations, its causes, and the mechanisms in place for its churning. The adoption of policies in relation to taxation in an unequitable, discretionary fashion creates disparities amongst diverse economic groups, raising the more serious issue of legal and ethical aspects. </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study combines views from academic literature, case studies of tax evasion incidents, and an evaluation of existing policy measures to plug illicit money leaks. It </w:t>
      </w:r>
      <w:proofErr w:type="spellStart"/>
      <w:r w:rsidRPr="00511F6E">
        <w:rPr>
          <w:rFonts w:ascii="Times New Roman" w:hAnsi="Times New Roman" w:cs="Times New Roman"/>
          <w:sz w:val="24"/>
          <w:szCs w:val="24"/>
        </w:rPr>
        <w:t>analyzes</w:t>
      </w:r>
      <w:proofErr w:type="spellEnd"/>
      <w:r w:rsidRPr="00511F6E">
        <w:rPr>
          <w:rFonts w:ascii="Times New Roman" w:hAnsi="Times New Roman" w:cs="Times New Roman"/>
          <w:sz w:val="24"/>
          <w:szCs w:val="24"/>
        </w:rPr>
        <w:t xml:space="preserve"> the ring of government measures-</w:t>
      </w:r>
      <w:r w:rsidR="00443D47" w:rsidRPr="00511F6E">
        <w:rPr>
          <w:rFonts w:ascii="Times New Roman" w:hAnsi="Times New Roman" w:cs="Times New Roman"/>
          <w:sz w:val="24"/>
          <w:szCs w:val="24"/>
        </w:rPr>
        <w:t>favouring</w:t>
      </w:r>
      <w:r w:rsidRPr="00511F6E">
        <w:rPr>
          <w:rFonts w:ascii="Times New Roman" w:hAnsi="Times New Roman" w:cs="Times New Roman"/>
          <w:sz w:val="24"/>
          <w:szCs w:val="24"/>
        </w:rPr>
        <w:t xml:space="preserve"> demonetization, the introduction of the Goods and Services Tax (GST), and laws against benami transactions-to gauge their effectiveness in controlling tax evasion and formalizing the economic transactions.</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last section discusses strategic recommendations to further promote tax compliance, strengthen the sanction mechanisms, and foster a transparent, fair taxation infrastructure in accordance with economic justice. Under fair taxation and much-</w:t>
      </w:r>
      <w:proofErr w:type="spellStart"/>
      <w:r w:rsidRPr="00511F6E">
        <w:rPr>
          <w:rFonts w:ascii="Times New Roman" w:hAnsi="Times New Roman" w:cs="Times New Roman"/>
          <w:sz w:val="24"/>
          <w:szCs w:val="24"/>
        </w:rPr>
        <w:t>superstrict</w:t>
      </w:r>
      <w:proofErr w:type="spellEnd"/>
      <w:r w:rsidRPr="00511F6E">
        <w:rPr>
          <w:rFonts w:ascii="Times New Roman" w:hAnsi="Times New Roman" w:cs="Times New Roman"/>
          <w:sz w:val="24"/>
          <w:szCs w:val="24"/>
        </w:rPr>
        <w:t xml:space="preserve"> regulatory mechanisms, India could dampen some of the adverse effects of tax evasion, forging a stronger and more inclusive economic system. </w:t>
      </w:r>
    </w:p>
    <w:p w:rsidR="00AE6623" w:rsidRPr="00DC3B4F" w:rsidRDefault="00AE6623"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Introduction</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Taxation forms the cornerstone of the economic structure of any country, providing base support to carry out social, economic, and infrastructural development programs. An efficient </w:t>
      </w:r>
      <w:r w:rsidRPr="00511F6E">
        <w:rPr>
          <w:rFonts w:ascii="Times New Roman" w:hAnsi="Times New Roman" w:cs="Times New Roman"/>
          <w:sz w:val="24"/>
          <w:szCs w:val="24"/>
        </w:rPr>
        <w:lastRenderedPageBreak/>
        <w:t>taxation system can ensure the continued delivery of public services such as health, education, and transport while addressing gaps in income distribution in a society through progressive taxation. However, at the end of the day, the true effectiveness of a taxation system depends upon voluntary compliance and robust enforcement mechanisms.</w:t>
      </w:r>
      <w:r w:rsidR="005849E9">
        <w:rPr>
          <w:rStyle w:val="FootnoteReference"/>
          <w:rFonts w:ascii="Times New Roman" w:hAnsi="Times New Roman" w:cs="Times New Roman"/>
          <w:sz w:val="24"/>
          <w:szCs w:val="24"/>
        </w:rPr>
        <w:footnoteReference w:id="3"/>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In India, tax evasion</w:t>
      </w:r>
      <w:r w:rsidR="005849E9">
        <w:rPr>
          <w:rStyle w:val="FootnoteReference"/>
          <w:rFonts w:ascii="Times New Roman" w:hAnsi="Times New Roman" w:cs="Times New Roman"/>
          <w:sz w:val="24"/>
          <w:szCs w:val="24"/>
        </w:rPr>
        <w:footnoteReference w:id="4"/>
      </w:r>
      <w:r w:rsidRPr="00511F6E">
        <w:rPr>
          <w:rFonts w:ascii="Times New Roman" w:hAnsi="Times New Roman" w:cs="Times New Roman"/>
          <w:sz w:val="24"/>
          <w:szCs w:val="24"/>
        </w:rPr>
        <w:t xml:space="preserve"> is seen as a major hurdle toward achieving fiscal equity and sustainable economic growth. Evasion of taxes-the deliberate nonpayment of taxes-substantially reduces public revenue—a condition that results in national budget deficits, limiting financing for various developmental ventures. Parallel economy, as it is discreetly called, has come into existence by off-the-book and tax-free financial activities. It distorts the economic transparency and fosters corruption, creates an avenue for illicit wealth acquisition, and spoils the element of competition within markets.</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In the light of these issues, this study would contribute to the discourse on broader tax policy reforms,</w:t>
      </w:r>
      <w:r w:rsidR="00443D47">
        <w:rPr>
          <w:rStyle w:val="FootnoteReference"/>
          <w:rFonts w:ascii="Times New Roman" w:hAnsi="Times New Roman" w:cs="Times New Roman"/>
          <w:sz w:val="24"/>
          <w:szCs w:val="24"/>
        </w:rPr>
        <w:footnoteReference w:id="5"/>
      </w:r>
      <w:r w:rsidRPr="00511F6E">
        <w:rPr>
          <w:rFonts w:ascii="Times New Roman" w:hAnsi="Times New Roman" w:cs="Times New Roman"/>
          <w:sz w:val="24"/>
          <w:szCs w:val="24"/>
        </w:rPr>
        <w:t xml:space="preserve"> equitable taxation, and economic justice in India. </w:t>
      </w:r>
    </w:p>
    <w:p w:rsidR="00AE6623" w:rsidRPr="00DC3B4F" w:rsidRDefault="00AE6623"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Literature Review</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issue of tax evasion and parallel economy in India has been the subject of much study, with many scholars highlighting the profound impacts that the two may have upon fiscal policy, economic growth, and social equity. Such subjects have invariably been investigated, like a direct impact on tax evasion; structural conditions causing tax evasion in India; the indirect impact on tax evasion (for instance, an impact of high tax rate, a complex and ambiguous tax structure, compliances systems, and poor enforcement) etc. Lack of trust in the democratic institutions is the driver of noncompliance. </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parallel economy, commonly known as the black economy,</w:t>
      </w:r>
      <w:r w:rsidR="00443D47">
        <w:rPr>
          <w:rStyle w:val="FootnoteReference"/>
          <w:rFonts w:ascii="Times New Roman" w:hAnsi="Times New Roman" w:cs="Times New Roman"/>
          <w:sz w:val="24"/>
          <w:szCs w:val="24"/>
        </w:rPr>
        <w:footnoteReference w:id="6"/>
      </w:r>
      <w:r w:rsidRPr="00511F6E">
        <w:rPr>
          <w:rFonts w:ascii="Times New Roman" w:hAnsi="Times New Roman" w:cs="Times New Roman"/>
          <w:sz w:val="24"/>
          <w:szCs w:val="24"/>
        </w:rPr>
        <w:t xml:space="preserve"> operates outside the accepted financial matrix and comprises businesses and transactions that are beyond the purview of the taxation and regulatory frameworks. Economists and policymakers argue that the informal economy-rightly so, since it very much sustains the bare life of many people-is a double-edged sword: it provides real-time employment opportunities to many stakeholder participants and keeps reducing the direct revenue pool of the government's resources through illegal means. </w:t>
      </w:r>
      <w:r w:rsidRPr="00511F6E">
        <w:rPr>
          <w:rFonts w:ascii="Times New Roman" w:hAnsi="Times New Roman" w:cs="Times New Roman"/>
          <w:sz w:val="24"/>
          <w:szCs w:val="24"/>
        </w:rPr>
        <w:lastRenderedPageBreak/>
        <w:t xml:space="preserve">This informality discourages any transparency initiatives; harms the competition at the market end by providing the tax-evading avenues </w:t>
      </w:r>
      <w:r w:rsidR="00511F6E" w:rsidRPr="00511F6E">
        <w:rPr>
          <w:rFonts w:ascii="Times New Roman" w:hAnsi="Times New Roman" w:cs="Times New Roman"/>
          <w:sz w:val="24"/>
          <w:szCs w:val="24"/>
        </w:rPr>
        <w:t>favouring</w:t>
      </w:r>
      <w:r w:rsidRPr="00511F6E">
        <w:rPr>
          <w:rFonts w:ascii="Times New Roman" w:hAnsi="Times New Roman" w:cs="Times New Roman"/>
          <w:sz w:val="24"/>
          <w:szCs w:val="24"/>
        </w:rPr>
        <w:t xml:space="preserve"> one business over and above the overall national interest; which remains the root problem of monetary policy effectiveness, like that of price stability and financial stability.</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Yet another antithetical dimension of these devastating effects of tax evasion on social systems and enactment of constitutional principles of economic empowerment would at least attempt to oppose these activities.</w:t>
      </w:r>
      <w:r w:rsidR="002D4F0D">
        <w:rPr>
          <w:rStyle w:val="FootnoteReference"/>
          <w:rFonts w:ascii="Times New Roman" w:hAnsi="Times New Roman" w:cs="Times New Roman"/>
          <w:sz w:val="24"/>
          <w:szCs w:val="24"/>
        </w:rPr>
        <w:footnoteReference w:id="7"/>
      </w:r>
      <w:r w:rsidRPr="00511F6E">
        <w:rPr>
          <w:rFonts w:ascii="Times New Roman" w:hAnsi="Times New Roman" w:cs="Times New Roman"/>
          <w:sz w:val="24"/>
          <w:szCs w:val="24"/>
        </w:rPr>
        <w:t xml:space="preserve"> Some writers lament that, as tax coffers overflow with voluntary-sought national spirit and the remission of tax by society, certain corrupt entities are convinced of their immunity from liability concerning taxation. Rather than battling for the whole nation, all energies would be spent extinguishing itself in support of high net-worth individuals and large corporations-economic structures flexible enough to slip out of the fiscal shackles cast upon the salaried and small business. This schism puts to the test every facet of equity and justice that underpins the fair treatment of all, Articles 14 to 16 of the Indian Constitution being one such case that grasps the essence of no individual or group being above the law.</w:t>
      </w:r>
    </w:p>
    <w:p w:rsidR="0002142A"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efficacy of individual policy measures in reducing tax evasion and formalizing the economy, including demonetization, unified introduction of the Goods and Services Tax (GST), and imposition of stringent anti-money laundering laws, remains a concern of serious debate among the political and </w:t>
      </w:r>
      <w:r w:rsidR="00511F6E" w:rsidRPr="00511F6E">
        <w:rPr>
          <w:rFonts w:ascii="Times New Roman" w:hAnsi="Times New Roman" w:cs="Times New Roman"/>
          <w:sz w:val="24"/>
          <w:szCs w:val="24"/>
        </w:rPr>
        <w:t>Academica Gogues</w:t>
      </w:r>
      <w:r w:rsidRPr="00511F6E">
        <w:rPr>
          <w:rFonts w:ascii="Times New Roman" w:hAnsi="Times New Roman" w:cs="Times New Roman"/>
          <w:sz w:val="24"/>
          <w:szCs w:val="24"/>
        </w:rPr>
        <w:t>.</w:t>
      </w:r>
    </w:p>
    <w:p w:rsidR="00511F6E" w:rsidRPr="00DC3B4F" w:rsidRDefault="00511F6E"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The Core</w:t>
      </w:r>
    </w:p>
    <w:p w:rsidR="00511F6E" w:rsidRPr="00511F6E" w:rsidRDefault="00511F6E"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DNS and Tax Evasion in India</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Tax evasion in India</w:t>
      </w:r>
      <w:r w:rsidR="002D4F0D">
        <w:rPr>
          <w:rStyle w:val="FootnoteReference"/>
          <w:rFonts w:ascii="Times New Roman" w:hAnsi="Times New Roman" w:cs="Times New Roman"/>
          <w:sz w:val="24"/>
          <w:szCs w:val="24"/>
        </w:rPr>
        <w:footnoteReference w:id="8"/>
      </w:r>
      <w:r w:rsidRPr="00511F6E">
        <w:rPr>
          <w:rFonts w:ascii="Times New Roman" w:hAnsi="Times New Roman" w:cs="Times New Roman"/>
          <w:sz w:val="24"/>
          <w:szCs w:val="24"/>
        </w:rPr>
        <w:t xml:space="preserve"> takes on many fronts and poses a serious economic setback for the nation's economic and fiscal systems. One such route - one considerably travelled - is income underreporting: where individuals and commercial constituents understate their revenues either intentionally or out of error and then pay tax on the understated, not the full income. Self-employed individuals, traders, and small businesses evidence this menace more, particularly in cash transactions, making it easier for them to underreport income from taxes. </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Yet another conceivable form of tax evasion involves a collusion of overvaluing deductions and murky claims, where taxpayers inflate accounting records to claim unlawful exemptions </w:t>
      </w:r>
      <w:r w:rsidRPr="00511F6E">
        <w:rPr>
          <w:rFonts w:ascii="Times New Roman" w:hAnsi="Times New Roman" w:cs="Times New Roman"/>
          <w:sz w:val="24"/>
          <w:szCs w:val="24"/>
        </w:rPr>
        <w:lastRenderedPageBreak/>
        <w:t>or deductions and to show rebates in line with some of the country's</w:t>
      </w:r>
      <w:r w:rsidR="00443D47">
        <w:rPr>
          <w:rStyle w:val="FootnoteReference"/>
          <w:rFonts w:ascii="Times New Roman" w:hAnsi="Times New Roman" w:cs="Times New Roman"/>
          <w:sz w:val="24"/>
          <w:szCs w:val="24"/>
        </w:rPr>
        <w:footnoteReference w:id="9"/>
      </w:r>
      <w:r w:rsidRPr="00511F6E">
        <w:rPr>
          <w:rFonts w:ascii="Times New Roman" w:hAnsi="Times New Roman" w:cs="Times New Roman"/>
          <w:sz w:val="24"/>
          <w:szCs w:val="24"/>
        </w:rPr>
        <w:t xml:space="preserve"> tax laws. This class of taxpayers artificially inflates business expenses, claims charitable contributions to entities that have no connection with the problems they claim to support, and inflates depreciation claims on asset values. Unlike the way of understating income for minimization of tax liability, that sort of contrivance also defies the country's attempts to mobilize a good amount of revenue.</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 evasion is more operational in India through some off-record dealings where transactions are done, but with no invoicing, nor any ledger maintained. It works in sectors such as real estate, retail, and hospitality. These sectors largely rely on cash transactions, among other things, to evade Goods and Services Tax and the purview of income tax obligations. Thus, in real estate, key business partners mutually decide to state their value of transaction lower than the real value only to save a larger tax burden through the CGST (circa 3percent of the transaction amount of residential and commercial property) and the stamp duty collected by the states, leading to a large quantum of revenue loss for the Government. </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use of shell companies and offshore tax havens brings in new dimensions to the tax evasion activities. Many commercial entities and wealthy individuals create dummy corporations for routing funds, production, project finance, creation of intangible value, hiding or transferring of assets, and laundering of illegal funds. These entities virtually exist only in paper form and undertake financial activities specifically designed to obscure the true ownership of funds. Couched in the terms of Panama Papers and Pandora Papers, the leaked documents apprise of how entities resident in India were involved in tax propaganda through offshore territories.</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ever-exacerbating circumstance is the hawala system, which has been operating in the absence of any legal framework or financial regulations. The hawala system, dating back more than a thousand years ago, allows for the transmission of money across borders with no background check, steering clear of any establishing of documents, such that it becomes more feasible and sheer reality just to move some exorbitant loads of ill-gotten assets. Be it black money arrangements, money laundering, merchant activity or terrorism funding, Hawala is an easy-peasy glide. The hawala system doesn’t work on the written contract but very much on trust, making it nearly impossible for the tax agencies to trace the trail of the illicit financial flow and thus, enhancing the underground economy. </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lastRenderedPageBreak/>
        <w:t>All this flouting of tax norms doesn't only erode the tax base but also promote a parallel economy which operates with scant shelter against regulatory authorities. The huge shadow economy</w:t>
      </w:r>
      <w:r w:rsidR="00443D47">
        <w:rPr>
          <w:rStyle w:val="FootnoteReference"/>
          <w:rFonts w:ascii="Times New Roman" w:hAnsi="Times New Roman" w:cs="Times New Roman"/>
          <w:sz w:val="24"/>
          <w:szCs w:val="24"/>
        </w:rPr>
        <w:footnoteReference w:id="10"/>
      </w:r>
      <w:r w:rsidRPr="00511F6E">
        <w:rPr>
          <w:rFonts w:ascii="Times New Roman" w:hAnsi="Times New Roman" w:cs="Times New Roman"/>
          <w:sz w:val="24"/>
          <w:szCs w:val="24"/>
        </w:rPr>
        <w:t xml:space="preserve"> distorts economic planning, amplifies corruption, and weakens financial institutions. The division of the tax evaders is so pronounced that the necessity for stricter enforcement mechanisms, electronic following of financial transactions, and reforms in legal possibilities for fiscal compliance is felt.</w:t>
      </w:r>
    </w:p>
    <w:p w:rsidR="00511F6E" w:rsidRPr="00511F6E" w:rsidRDefault="00511F6E"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Case Studies Illustrating Tax Evasion</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In India, tax evasion is a dreadful menace for both domestic and multinational businesses with examples of a few high-profile cases, demonstrating the extent of the problem and the need for increased enforcement and public policy. </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One good example is the Volkswagen India tax evasion debacle, where the Indian subsidiary of the German auto tycoon was served with a tax evasion claim </w:t>
      </w:r>
      <w:r w:rsidRPr="00511F6E">
        <w:rPr>
          <w:rFonts w:ascii="Times New Roman" w:hAnsi="Times New Roman" w:cs="Times New Roman"/>
          <w:sz w:val="24"/>
          <w:szCs w:val="24"/>
        </w:rPr>
        <w:t>totalling</w:t>
      </w:r>
      <w:r w:rsidRPr="00511F6E">
        <w:rPr>
          <w:rFonts w:ascii="Times New Roman" w:hAnsi="Times New Roman" w:cs="Times New Roman"/>
          <w:sz w:val="24"/>
          <w:szCs w:val="24"/>
        </w:rPr>
        <w:t xml:space="preserve"> Rs. 1.4 billion ($ 19.43 million</w:t>
      </w:r>
      <w:r w:rsidR="002D4F0D">
        <w:rPr>
          <w:rStyle w:val="FootnoteReference"/>
          <w:rFonts w:ascii="Times New Roman" w:hAnsi="Times New Roman" w:cs="Times New Roman"/>
          <w:sz w:val="24"/>
          <w:szCs w:val="24"/>
        </w:rPr>
        <w:footnoteReference w:id="11"/>
      </w:r>
      <w:r w:rsidRPr="00511F6E">
        <w:rPr>
          <w:rFonts w:ascii="Times New Roman" w:hAnsi="Times New Roman" w:cs="Times New Roman"/>
          <w:sz w:val="24"/>
          <w:szCs w:val="24"/>
        </w:rPr>
        <w:t xml:space="preserve"> for </w:t>
      </w:r>
      <w:r w:rsidRPr="00511F6E">
        <w:rPr>
          <w:rFonts w:ascii="Times New Roman" w:hAnsi="Times New Roman" w:cs="Times New Roman"/>
          <w:sz w:val="24"/>
          <w:szCs w:val="24"/>
        </w:rPr>
        <w:t>mis declaring</w:t>
      </w:r>
      <w:r w:rsidRPr="00511F6E">
        <w:rPr>
          <w:rFonts w:ascii="Times New Roman" w:hAnsi="Times New Roman" w:cs="Times New Roman"/>
          <w:sz w:val="24"/>
          <w:szCs w:val="24"/>
        </w:rPr>
        <w:t xml:space="preserve"> on categorization of imported car components to grab lesser custom duties. The Revenue Intelligence Directorate (RI) claims that Volkswagen infiltrated and lowered the value of the imported car components. Volkswagen falsified the nature of the good to match the Goods and Services Tax (GST) category that was very low in terms of cost and Customs Excise &amp; Service Tax (CESS) definition to avoid the extra tax burden that eventually resulted in substantial economic loss to the government. So, the case presented another information packet displaying the complexity to which taxation in the automobile sector </w:t>
      </w:r>
      <w:r w:rsidR="002D4F0D" w:rsidRPr="00511F6E">
        <w:rPr>
          <w:rFonts w:ascii="Times New Roman" w:hAnsi="Times New Roman" w:cs="Times New Roman"/>
          <w:sz w:val="24"/>
          <w:szCs w:val="24"/>
        </w:rPr>
        <w:t>Molds</w:t>
      </w:r>
      <w:r w:rsidRPr="00511F6E">
        <w:rPr>
          <w:rFonts w:ascii="Times New Roman" w:hAnsi="Times New Roman" w:cs="Times New Roman"/>
          <w:sz w:val="24"/>
          <w:szCs w:val="24"/>
        </w:rPr>
        <w:t xml:space="preserve"> multilayered crannies and nook holes ripe for exploitation by a man-eating MNC.</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A prominent case of dissent with the Indian government was that of Vodafone.</w:t>
      </w:r>
      <w:r w:rsidR="005849E9">
        <w:rPr>
          <w:rStyle w:val="FootnoteReference"/>
          <w:rFonts w:ascii="Times New Roman" w:hAnsi="Times New Roman" w:cs="Times New Roman"/>
          <w:sz w:val="24"/>
          <w:szCs w:val="24"/>
        </w:rPr>
        <w:footnoteReference w:id="12"/>
      </w:r>
      <w:r w:rsidRPr="00511F6E">
        <w:rPr>
          <w:rFonts w:ascii="Times New Roman" w:hAnsi="Times New Roman" w:cs="Times New Roman"/>
          <w:sz w:val="24"/>
          <w:szCs w:val="24"/>
        </w:rPr>
        <w:t xml:space="preserve"> It was one of the most expressive battles in corporate taxation in India. This battle came alive in the year 2007 when the Vodafone group bought Hutchison Essar, a regional player itself, through an overseas agreement. The demand to pay capital gains taxes amounting to 200 billion Indian rupees ($3 billion) was put forward by Indian income tax authorities, trying to make home the issue of Hutch buying Indian assets.</w:t>
      </w:r>
      <w:r w:rsidR="00C11C28">
        <w:rPr>
          <w:rStyle w:val="FootnoteReference"/>
          <w:rFonts w:ascii="Times New Roman" w:hAnsi="Times New Roman" w:cs="Times New Roman"/>
          <w:sz w:val="24"/>
          <w:szCs w:val="24"/>
        </w:rPr>
        <w:footnoteReference w:id="13"/>
      </w:r>
      <w:r w:rsidRPr="00511F6E">
        <w:rPr>
          <w:rFonts w:ascii="Times New Roman" w:hAnsi="Times New Roman" w:cs="Times New Roman"/>
          <w:sz w:val="24"/>
          <w:szCs w:val="24"/>
        </w:rPr>
        <w:t xml:space="preserve"> Vodafone resisted this and was finally able to obtain a </w:t>
      </w:r>
      <w:r w:rsidRPr="00511F6E">
        <w:rPr>
          <w:rFonts w:ascii="Times New Roman" w:hAnsi="Times New Roman" w:cs="Times New Roman"/>
          <w:sz w:val="24"/>
          <w:szCs w:val="24"/>
        </w:rPr>
        <w:t>favourable</w:t>
      </w:r>
      <w:r w:rsidRPr="00511F6E">
        <w:rPr>
          <w:rFonts w:ascii="Times New Roman" w:hAnsi="Times New Roman" w:cs="Times New Roman"/>
          <w:sz w:val="24"/>
          <w:szCs w:val="24"/>
        </w:rPr>
        <w:t xml:space="preserve"> decision in the Indian Supreme Court in 2012 after prolonged legal proceedings. </w:t>
      </w:r>
      <w:r w:rsidRPr="00511F6E">
        <w:rPr>
          <w:rFonts w:ascii="Times New Roman" w:hAnsi="Times New Roman" w:cs="Times New Roman"/>
          <w:sz w:val="24"/>
          <w:szCs w:val="24"/>
        </w:rPr>
        <w:lastRenderedPageBreak/>
        <w:t xml:space="preserve">However, the Indian government later decided to amend the retrospective tax law on this sort of transaction, thereby becoming a bastion for international arbitration. In 2020, the verdict was issued by the Permanent Court of Arbitration at The Hague in </w:t>
      </w:r>
      <w:r w:rsidRPr="00511F6E">
        <w:rPr>
          <w:rFonts w:ascii="Times New Roman" w:hAnsi="Times New Roman" w:cs="Times New Roman"/>
          <w:sz w:val="24"/>
          <w:szCs w:val="24"/>
        </w:rPr>
        <w:t>Favor</w:t>
      </w:r>
      <w:r w:rsidRPr="00511F6E">
        <w:rPr>
          <w:rFonts w:ascii="Times New Roman" w:hAnsi="Times New Roman" w:cs="Times New Roman"/>
          <w:sz w:val="24"/>
          <w:szCs w:val="24"/>
        </w:rPr>
        <w:t xml:space="preserve"> of Vodafone, finding India’s tax demand to be in contradiction to international law. The case underlines the problem of retroactive taxation and its </w:t>
      </w:r>
      <w:r w:rsidRPr="00511F6E">
        <w:rPr>
          <w:rFonts w:ascii="Times New Roman" w:hAnsi="Times New Roman" w:cs="Times New Roman"/>
          <w:sz w:val="24"/>
          <w:szCs w:val="24"/>
        </w:rPr>
        <w:t>unfavourable</w:t>
      </w:r>
      <w:r w:rsidRPr="00511F6E">
        <w:rPr>
          <w:rFonts w:ascii="Times New Roman" w:hAnsi="Times New Roman" w:cs="Times New Roman"/>
          <w:sz w:val="24"/>
          <w:szCs w:val="24"/>
        </w:rPr>
        <w:t xml:space="preserve"> effect on foreign investment.</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Yet another significant case was the Satyam Computer Services scandal, involving colossal financial fraud and tax evasion. Confessing to manipulating financial statements at Satyam for inflating revenues to evade taxing and attract investors, the Group Chairman of Satyam, Ramalinga Raju, literally brought the corporate world of India to an internal low point by his declaration. An amount roughing about seven thousand crores (roughly one billion) was involved in the fraudulent act leading to a crisis of confidence over corporate governance standards in the country. Strengthening of corporate and tax compliance followed very strictly in response to this case.</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 evasion has been endemic in the real estate sector, with developers and buyers drastically altering property values to avoid paying capital gains or stamp duties and </w:t>
      </w:r>
      <w:r w:rsidR="002D4F0D" w:rsidRPr="00511F6E">
        <w:rPr>
          <w:rFonts w:ascii="Times New Roman" w:hAnsi="Times New Roman" w:cs="Times New Roman"/>
          <w:sz w:val="24"/>
          <w:szCs w:val="24"/>
        </w:rPr>
        <w:t>permits</w:t>
      </w:r>
      <w:r w:rsidR="002D4F0D">
        <w:rPr>
          <w:rFonts w:ascii="Times New Roman" w:hAnsi="Times New Roman" w:cs="Times New Roman"/>
          <w:sz w:val="24"/>
          <w:szCs w:val="24"/>
        </w:rPr>
        <w:t xml:space="preserve"> </w:t>
      </w:r>
      <w:r w:rsidRPr="00511F6E">
        <w:rPr>
          <w:rFonts w:ascii="Times New Roman" w:hAnsi="Times New Roman" w:cs="Times New Roman"/>
          <w:sz w:val="24"/>
          <w:szCs w:val="24"/>
        </w:rPr>
        <w:t xml:space="preserve">mantling of proper investigation of ever-increasing scams. Large tax evasion is witnessed in many cases where stockpiles of cash funds are misused in ways as channels through which funds are siphoned away to shell entities and no taxes are charged on account of profits. Investigations show how business entities fudged ledgers and executed false bank transactions, resulting in eventual legal proceedings and asset confiscation. </w:t>
      </w:r>
    </w:p>
    <w:p w:rsidR="00511F6E"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The </w:t>
      </w:r>
      <w:r w:rsidRPr="00511F6E">
        <w:rPr>
          <w:rFonts w:ascii="Times New Roman" w:hAnsi="Times New Roman" w:cs="Times New Roman"/>
          <w:sz w:val="24"/>
          <w:szCs w:val="24"/>
        </w:rPr>
        <w:t>channelling</w:t>
      </w:r>
      <w:r w:rsidRPr="00511F6E">
        <w:rPr>
          <w:rFonts w:ascii="Times New Roman" w:hAnsi="Times New Roman" w:cs="Times New Roman"/>
          <w:sz w:val="24"/>
          <w:szCs w:val="24"/>
        </w:rPr>
        <w:t xml:space="preserve"> of demonetization</w:t>
      </w:r>
      <w:r w:rsidR="002D4F0D">
        <w:rPr>
          <w:rStyle w:val="FootnoteReference"/>
          <w:rFonts w:ascii="Times New Roman" w:hAnsi="Times New Roman" w:cs="Times New Roman"/>
          <w:sz w:val="24"/>
          <w:szCs w:val="24"/>
        </w:rPr>
        <w:footnoteReference w:id="14"/>
      </w:r>
      <w:r w:rsidRPr="00511F6E">
        <w:rPr>
          <w:rFonts w:ascii="Times New Roman" w:hAnsi="Times New Roman" w:cs="Times New Roman"/>
          <w:sz w:val="24"/>
          <w:szCs w:val="24"/>
        </w:rPr>
        <w:t xml:space="preserve"> to nationalize black money exposed untaxed monies and thus high-level evasion. For instance, many high-net-worth individuals and businesses were to go and stash huge lumps of money into some bank or the other, neglecting the necessary tax disclosure. The checking by the Indian Income Tax Department and the Enforcement Directorate had led to the discovery of over Rs 1.3 lakh crore (approximately US$ 16 billion) in undisclosed income. However, the experts maintain that in view of the counterfeit economy that is endemic at an undistinguished level, the demonetization scheme could not manage to bring a change in the financial milieu of India. </w:t>
      </w:r>
    </w:p>
    <w:p w:rsidR="00AE6623" w:rsidRPr="00511F6E" w:rsidRDefault="00511F6E"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Tax evasion is thus not just confined to one sector but encompasses multiple types of industries: automobile, telecommunications, IT, real estate, financial services. The regular occurrence of </w:t>
      </w:r>
      <w:r w:rsidRPr="00511F6E">
        <w:rPr>
          <w:rFonts w:ascii="Times New Roman" w:hAnsi="Times New Roman" w:cs="Times New Roman"/>
          <w:sz w:val="24"/>
          <w:szCs w:val="24"/>
        </w:rPr>
        <w:lastRenderedPageBreak/>
        <w:t>the falling such big time exposes the immediate need for clear-cut practices with reference to tax filing, mechanisms of straight enforcement, and worldwide cooperation against all types of tax evasion.</w:t>
      </w:r>
    </w:p>
    <w:p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Measures Adopted by the Government for the combat of black money/ Illicit economy</w:t>
      </w:r>
      <w:r w:rsidR="002D4F0D">
        <w:rPr>
          <w:rStyle w:val="FootnoteReference"/>
          <w:rFonts w:ascii="Times New Roman" w:hAnsi="Times New Roman" w:cs="Times New Roman"/>
          <w:b/>
          <w:bCs/>
          <w:sz w:val="24"/>
          <w:szCs w:val="24"/>
        </w:rPr>
        <w:footnoteReference w:id="15"/>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To combat corruption and black money, the Indian government has introduced legislative and enforcement measures in order to bring increased financial transparency. These measures were intended to enhance tax compliance, close tax loopholes, inhibit the further accumulation of black money,</w:t>
      </w:r>
      <w:r w:rsidR="002D4F0D">
        <w:rPr>
          <w:rStyle w:val="FootnoteReference"/>
          <w:rFonts w:ascii="Times New Roman" w:hAnsi="Times New Roman" w:cs="Times New Roman"/>
          <w:sz w:val="24"/>
          <w:szCs w:val="24"/>
        </w:rPr>
        <w:footnoteReference w:id="16"/>
      </w:r>
      <w:r w:rsidRPr="00511F6E">
        <w:rPr>
          <w:rFonts w:ascii="Times New Roman" w:hAnsi="Times New Roman" w:cs="Times New Roman"/>
          <w:sz w:val="24"/>
          <w:szCs w:val="24"/>
        </w:rPr>
        <w:t xml:space="preserve"> and bring some of the black money under the banking net in order to account it in taxes. Some of the most significant measures include:</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1. Demonetization (November 2016</w:t>
      </w:r>
      <w:r w:rsidR="00511F6E" w:rsidRPr="00511F6E">
        <w:rPr>
          <w:rFonts w:ascii="Times New Roman" w:hAnsi="Times New Roman" w:cs="Times New Roman"/>
          <w:sz w:val="24"/>
          <w:szCs w:val="24"/>
        </w:rPr>
        <w:t>)</w:t>
      </w:r>
      <w:r w:rsidR="00511F6E">
        <w:rPr>
          <w:rFonts w:ascii="Times New Roman" w:hAnsi="Times New Roman" w:cs="Times New Roman"/>
          <w:sz w:val="24"/>
          <w:szCs w:val="24"/>
        </w:rPr>
        <w:t>:</w:t>
      </w:r>
      <w:r w:rsidR="00511F6E" w:rsidRPr="00511F6E">
        <w:rPr>
          <w:rFonts w:ascii="Times New Roman" w:hAnsi="Times New Roman" w:cs="Times New Roman"/>
          <w:sz w:val="24"/>
          <w:szCs w:val="24"/>
        </w:rPr>
        <w:t xml:space="preserve"> One</w:t>
      </w:r>
      <w:r w:rsidRPr="00511F6E">
        <w:rPr>
          <w:rFonts w:ascii="Times New Roman" w:hAnsi="Times New Roman" w:cs="Times New Roman"/>
          <w:sz w:val="24"/>
          <w:szCs w:val="24"/>
        </w:rPr>
        <w:t xml:space="preserve"> of the harshest measures taken was the government's sudden decision to demonetize high-denomination currency notes, ₹500 and ₹1,000, which constituted 86% of the currency in circulation at the time. This was expected to puncture the high concentration of black money wealth, eliminate forged currency notes, bring about a shift toward digital transactions, etc. Whether or not demonetization had much impact--it brought about liquidity crunch in the short run and had measured results on the economy--it did bring a very substantial amount of unaccounted cash into the banking system, and the departments of Income Tax and Enforcement Directorate were able to examine huge deposits of cash, which, in turn, yielded potential tax evaders. </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2. Introduction and Implementation of the Goods and Services Tax (GST</w:t>
      </w:r>
      <w:r w:rsidR="00DB670A" w:rsidRPr="00511F6E">
        <w:rPr>
          <w:rFonts w:ascii="Times New Roman" w:hAnsi="Times New Roman" w:cs="Times New Roman"/>
          <w:sz w:val="24"/>
          <w:szCs w:val="24"/>
        </w:rPr>
        <w:t>):</w:t>
      </w:r>
      <w:r w:rsidR="002D4F0D">
        <w:rPr>
          <w:rStyle w:val="FootnoteReference"/>
          <w:rFonts w:ascii="Times New Roman" w:hAnsi="Times New Roman" w:cs="Times New Roman"/>
          <w:sz w:val="24"/>
          <w:szCs w:val="24"/>
        </w:rPr>
        <w:footnoteReference w:id="17"/>
      </w:r>
      <w:r w:rsidRPr="00511F6E">
        <w:rPr>
          <w:rFonts w:ascii="Times New Roman" w:hAnsi="Times New Roman" w:cs="Times New Roman"/>
          <w:sz w:val="24"/>
          <w:szCs w:val="24"/>
        </w:rPr>
        <w:t xml:space="preserve"> The central aim was the abolition of various taxes that taxed the production process and replacing them with one kind of consumption tax. The GST has made a tax regime clear and simple, leaving no chance of </w:t>
      </w:r>
      <w:r w:rsidR="00511F6E" w:rsidRPr="00511F6E">
        <w:rPr>
          <w:rFonts w:ascii="Times New Roman" w:hAnsi="Times New Roman" w:cs="Times New Roman"/>
          <w:sz w:val="24"/>
          <w:szCs w:val="24"/>
        </w:rPr>
        <w:t>evasion</w:t>
      </w:r>
      <w:r w:rsidRPr="00511F6E">
        <w:rPr>
          <w:rFonts w:ascii="Times New Roman" w:hAnsi="Times New Roman" w:cs="Times New Roman"/>
          <w:sz w:val="24"/>
          <w:szCs w:val="24"/>
        </w:rPr>
        <w:t xml:space="preserve">. Introduction of definition of e-invoicing, which facilitated monitoring happening online through the GSTN, has killed the chances of the malpractice of fake invoicing now. </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3. Benami Transactions (Prohibition) Amendment Act, 2016</w:t>
      </w:r>
      <w:r w:rsidR="00511F6E">
        <w:rPr>
          <w:rFonts w:ascii="Times New Roman" w:hAnsi="Times New Roman" w:cs="Times New Roman"/>
          <w:sz w:val="24"/>
          <w:szCs w:val="24"/>
        </w:rPr>
        <w:t>:</w:t>
      </w:r>
      <w:r w:rsidR="002D4F0D">
        <w:rPr>
          <w:rStyle w:val="FootnoteReference"/>
          <w:rFonts w:ascii="Times New Roman" w:hAnsi="Times New Roman" w:cs="Times New Roman"/>
          <w:sz w:val="24"/>
          <w:szCs w:val="24"/>
        </w:rPr>
        <w:footnoteReference w:id="18"/>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 xml:space="preserve">The Benami Transaction (Prohibition) Act of 1988 was weak in terms of enforcement. However, the 2016 Amendment Act has given </w:t>
      </w:r>
      <w:r w:rsidR="00511F6E" w:rsidRPr="00511F6E">
        <w:rPr>
          <w:rFonts w:ascii="Times New Roman" w:hAnsi="Times New Roman" w:cs="Times New Roman"/>
          <w:sz w:val="24"/>
          <w:szCs w:val="24"/>
        </w:rPr>
        <w:t>secure</w:t>
      </w:r>
      <w:r w:rsidRPr="00511F6E">
        <w:rPr>
          <w:rFonts w:ascii="Times New Roman" w:hAnsi="Times New Roman" w:cs="Times New Roman"/>
          <w:sz w:val="24"/>
          <w:szCs w:val="24"/>
        </w:rPr>
        <w:t xml:space="preserve"> form to the legal framework </w:t>
      </w:r>
      <w:r w:rsidR="00511F6E" w:rsidRPr="00511F6E">
        <w:rPr>
          <w:rFonts w:ascii="Times New Roman" w:hAnsi="Times New Roman" w:cs="Times New Roman"/>
          <w:sz w:val="24"/>
          <w:szCs w:val="24"/>
        </w:rPr>
        <w:t>and afforded</w:t>
      </w:r>
      <w:r w:rsidRPr="00511F6E">
        <w:rPr>
          <w:rFonts w:ascii="Times New Roman" w:hAnsi="Times New Roman" w:cs="Times New Roman"/>
          <w:sz w:val="24"/>
          <w:szCs w:val="24"/>
        </w:rPr>
        <w:t xml:space="preserve"> courts to attach properties held </w:t>
      </w:r>
      <w:r w:rsidRPr="00511F6E">
        <w:rPr>
          <w:rFonts w:ascii="Times New Roman" w:hAnsi="Times New Roman" w:cs="Times New Roman"/>
          <w:sz w:val="24"/>
          <w:szCs w:val="24"/>
        </w:rPr>
        <w:lastRenderedPageBreak/>
        <w:t>under fictitious names, extending very strict punishment to those reckless enough to misrepresent or conceal their wealth. It has been instrumental in curbing the dark phase of holding real estate properties, utilizing others as their name for tax evasion.</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4. Black Money (Undisclosed Foreign Income and Assets) and Imposition of Tax Act, 2015</w:t>
      </w:r>
      <w:r w:rsidR="002D4F0D">
        <w:rPr>
          <w:rStyle w:val="FootnoteReference"/>
          <w:rFonts w:ascii="Times New Roman" w:hAnsi="Times New Roman" w:cs="Times New Roman"/>
          <w:sz w:val="24"/>
          <w:szCs w:val="24"/>
        </w:rPr>
        <w:footnoteReference w:id="19"/>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With the purpose of addressing unreported foreign income and assets, the act was laid down to punish severely the lawbreakers with respect of undisclosed offshore wealth, coupled with arrests. The Act hit those hard who tried to argue for amnesty on violations of FERA; thus, those trying to hold assets abroad for tax evasion stood in grave danger.</w:t>
      </w:r>
    </w:p>
    <w:p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Challenges in achieving tax Neutrality</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Going against constitutional safeguards, the Indian tax system has on many occasions been accused of the following:</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1.</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Disproportionate Tax Burden – Direct taxes like income tax always have a much more intense impact on salaried employees and the organized sector, while loopholes are widely exploited by many high-net-worth individuals and businesses</w:t>
      </w:r>
      <w:r w:rsidR="00443D47">
        <w:rPr>
          <w:rStyle w:val="FootnoteReference"/>
          <w:rFonts w:ascii="Times New Roman" w:hAnsi="Times New Roman" w:cs="Times New Roman"/>
          <w:sz w:val="24"/>
          <w:szCs w:val="24"/>
        </w:rPr>
        <w:footnoteReference w:id="20"/>
      </w:r>
      <w:r w:rsidRPr="00511F6E">
        <w:rPr>
          <w:rFonts w:ascii="Times New Roman" w:hAnsi="Times New Roman" w:cs="Times New Roman"/>
          <w:sz w:val="24"/>
          <w:szCs w:val="24"/>
        </w:rPr>
        <w:t xml:space="preserve"> to decrease their tax liabilities. The burden is thus not shared equally between different taxpayers.</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2.</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Exemptions and Incentives – Certain types of industries, companies, or groups may be granted special tax exemptions, which lead to differences in the tax treatment accorded to different groups of taxpayers. In helping the few privileged sectors develop economically, such incentives are liable to create unfair advantages.</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3.</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Regressive Indirect Taxes – For example, GST afflicts all consumers in the same manner, but the lower-income groups would find themselves shouldering the burden relatively more than the richer segment of the population, which is recently able to afford such extra costs.</w:t>
      </w:r>
    </w:p>
    <w:p w:rsidR="00AE6623" w:rsidRPr="00511F6E" w:rsidRDefault="00AE6623" w:rsidP="00511F6E">
      <w:pPr>
        <w:spacing w:line="360" w:lineRule="auto"/>
        <w:jc w:val="both"/>
        <w:rPr>
          <w:rFonts w:ascii="Times New Roman" w:hAnsi="Times New Roman" w:cs="Times New Roman"/>
          <w:sz w:val="24"/>
          <w:szCs w:val="24"/>
        </w:rPr>
      </w:pPr>
      <w:r w:rsidRPr="00DC3B4F">
        <w:rPr>
          <w:rFonts w:ascii="Times New Roman" w:hAnsi="Times New Roman" w:cs="Times New Roman"/>
          <w:b/>
          <w:bCs/>
          <w:sz w:val="28"/>
          <w:szCs w:val="28"/>
          <w:u w:val="single"/>
        </w:rPr>
        <w:t>Conclusion</w:t>
      </w:r>
      <w:r w:rsidRPr="00511F6E">
        <w:rPr>
          <w:rFonts w:ascii="Tahoma" w:hAnsi="Tahoma" w:cs="Tahoma"/>
          <w:sz w:val="24"/>
          <w:szCs w:val="24"/>
        </w:rPr>
        <w:t>﻿</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lastRenderedPageBreak/>
        <w:t>Tax evasion and the parallel economy</w:t>
      </w:r>
      <w:r w:rsidR="005849E9">
        <w:rPr>
          <w:rStyle w:val="FootnoteReference"/>
          <w:rFonts w:ascii="Times New Roman" w:hAnsi="Times New Roman" w:cs="Times New Roman"/>
          <w:sz w:val="24"/>
          <w:szCs w:val="24"/>
        </w:rPr>
        <w:footnoteReference w:id="21"/>
      </w:r>
      <w:r w:rsidRPr="00511F6E">
        <w:rPr>
          <w:rFonts w:ascii="Times New Roman" w:hAnsi="Times New Roman" w:cs="Times New Roman"/>
          <w:sz w:val="24"/>
          <w:szCs w:val="24"/>
        </w:rPr>
        <w:t xml:space="preserve"> are a challenge to Indian economic</w:t>
      </w:r>
      <w:r w:rsidR="005849E9">
        <w:rPr>
          <w:rStyle w:val="FootnoteReference"/>
          <w:rFonts w:ascii="Times New Roman" w:hAnsi="Times New Roman" w:cs="Times New Roman"/>
          <w:sz w:val="24"/>
          <w:szCs w:val="24"/>
        </w:rPr>
        <w:footnoteReference w:id="22"/>
      </w:r>
      <w:r w:rsidRPr="00511F6E">
        <w:rPr>
          <w:rFonts w:ascii="Times New Roman" w:hAnsi="Times New Roman" w:cs="Times New Roman"/>
          <w:sz w:val="24"/>
          <w:szCs w:val="24"/>
        </w:rPr>
        <w:t xml:space="preserve"> stability and fiscal equity. This research has helped to give a glimpse of tax evasion. Its causes and consequences</w:t>
      </w:r>
      <w:r w:rsidR="005849E9">
        <w:rPr>
          <w:rStyle w:val="FootnoteReference"/>
          <w:rFonts w:ascii="Times New Roman" w:hAnsi="Times New Roman" w:cs="Times New Roman"/>
          <w:sz w:val="24"/>
          <w:szCs w:val="24"/>
        </w:rPr>
        <w:footnoteReference w:id="23"/>
      </w:r>
      <w:r w:rsidRPr="00511F6E">
        <w:rPr>
          <w:rFonts w:ascii="Times New Roman" w:hAnsi="Times New Roman" w:cs="Times New Roman"/>
          <w:sz w:val="24"/>
          <w:szCs w:val="24"/>
        </w:rPr>
        <w:t xml:space="preserve"> were examined. Tax evasion stymies public revenue, can be a major distortion in market competition, and is a primary cause for socio-economic inequality. Parallel economy-standing on unreported transactions, black money, activities in evasion of tax, and lack of the same stringencies in medium- and small-industry sectors-presents a stark danger to India's fiscal solvency and the efficacy of welfare policies. </w:t>
      </w:r>
    </w:p>
    <w:p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Policy Implications and Recommendations</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The findings suggest that to tackle tax evasion and the parallel economy,</w:t>
      </w:r>
      <w:r w:rsidR="0024004F">
        <w:rPr>
          <w:rStyle w:val="FootnoteReference"/>
          <w:rFonts w:ascii="Times New Roman" w:hAnsi="Times New Roman" w:cs="Times New Roman"/>
          <w:sz w:val="24"/>
          <w:szCs w:val="24"/>
        </w:rPr>
        <w:footnoteReference w:id="24"/>
      </w:r>
      <w:r w:rsidRPr="00511F6E">
        <w:rPr>
          <w:rFonts w:ascii="Times New Roman" w:hAnsi="Times New Roman" w:cs="Times New Roman"/>
          <w:sz w:val="24"/>
          <w:szCs w:val="24"/>
        </w:rPr>
        <w:t xml:space="preserve"> the following multiple fronts will be required to mount earnest action: legislative duties, enforcement activity, and technological upliftment:</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1.</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Tax Compliance Strengthening-A push towards simplification of the tax system and furthered by digital platforms focuses on accountability.</w:t>
      </w:r>
      <w:r w:rsidR="0024004F">
        <w:rPr>
          <w:rStyle w:val="FootnoteReference"/>
          <w:rFonts w:ascii="Times New Roman" w:hAnsi="Times New Roman" w:cs="Times New Roman"/>
          <w:sz w:val="24"/>
          <w:szCs w:val="24"/>
        </w:rPr>
        <w:footnoteReference w:id="25"/>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2.</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 xml:space="preserve">Tax ford Stopped-Up to the brim inspects shall be made thus upholding economic equality and in no way </w:t>
      </w:r>
      <w:r w:rsidR="00511F6E" w:rsidRPr="00511F6E">
        <w:rPr>
          <w:rFonts w:ascii="Times New Roman" w:hAnsi="Times New Roman" w:cs="Times New Roman"/>
          <w:sz w:val="24"/>
          <w:szCs w:val="24"/>
        </w:rPr>
        <w:t>dispelled</w:t>
      </w:r>
      <w:r w:rsidRPr="00511F6E">
        <w:rPr>
          <w:rFonts w:ascii="Times New Roman" w:hAnsi="Times New Roman" w:cs="Times New Roman"/>
          <w:sz w:val="24"/>
          <w:szCs w:val="24"/>
        </w:rPr>
        <w:t xml:space="preserve">. </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3.</w:t>
      </w:r>
      <w:r w:rsidR="00511F6E">
        <w:rPr>
          <w:rFonts w:ascii="Times New Roman" w:hAnsi="Times New Roman" w:cs="Times New Roman"/>
          <w:sz w:val="24"/>
          <w:szCs w:val="24"/>
        </w:rPr>
        <w:t xml:space="preserve"> </w:t>
      </w:r>
      <w:r w:rsidRPr="00511F6E">
        <w:rPr>
          <w:rFonts w:ascii="Times New Roman" w:hAnsi="Times New Roman" w:cs="Times New Roman"/>
          <w:sz w:val="24"/>
          <w:szCs w:val="24"/>
        </w:rPr>
        <w:t>Enforcing Legal Formalities-Supporting the reorganization of law enforcement agencies falling in the penitentiary control zone like the Income Tax Department, the Enforcement Directorate, and the Financial Intelligence Unit.</w:t>
      </w:r>
    </w:p>
    <w:p w:rsidR="00AE6623" w:rsidRPr="00511F6E"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4. Promotion of Public Awareness-Must offer schooling on the importance of full payment of taxes and taxation. </w:t>
      </w:r>
    </w:p>
    <w:p w:rsidR="00AE6623" w:rsidRPr="00511F6E" w:rsidRDefault="00AE6623" w:rsidP="00511F6E">
      <w:pPr>
        <w:spacing w:line="360" w:lineRule="auto"/>
        <w:jc w:val="both"/>
        <w:rPr>
          <w:rFonts w:ascii="Times New Roman" w:hAnsi="Times New Roman" w:cs="Times New Roman"/>
          <w:b/>
          <w:bCs/>
          <w:sz w:val="24"/>
          <w:szCs w:val="24"/>
        </w:rPr>
      </w:pPr>
      <w:r w:rsidRPr="00511F6E">
        <w:rPr>
          <w:rFonts w:ascii="Times New Roman" w:hAnsi="Times New Roman" w:cs="Times New Roman"/>
          <w:b/>
          <w:bCs/>
          <w:sz w:val="24"/>
          <w:szCs w:val="24"/>
        </w:rPr>
        <w:t>Final Thoughts</w:t>
      </w:r>
      <w:r w:rsidRPr="00511F6E">
        <w:rPr>
          <w:rFonts w:ascii="Tahoma" w:hAnsi="Tahoma" w:cs="Tahoma"/>
          <w:b/>
          <w:bCs/>
          <w:sz w:val="24"/>
          <w:szCs w:val="24"/>
        </w:rPr>
        <w:t>﻿</w:t>
      </w:r>
    </w:p>
    <w:p w:rsidR="00AE6623" w:rsidRDefault="00AE6623" w:rsidP="00511F6E">
      <w:pPr>
        <w:spacing w:line="360" w:lineRule="auto"/>
        <w:jc w:val="both"/>
        <w:rPr>
          <w:rFonts w:ascii="Times New Roman" w:hAnsi="Times New Roman" w:cs="Times New Roman"/>
          <w:sz w:val="24"/>
          <w:szCs w:val="24"/>
        </w:rPr>
      </w:pPr>
      <w:r w:rsidRPr="00511F6E">
        <w:rPr>
          <w:rFonts w:ascii="Times New Roman" w:hAnsi="Times New Roman" w:cs="Times New Roman"/>
          <w:sz w:val="24"/>
          <w:szCs w:val="24"/>
        </w:rPr>
        <w:t xml:space="preserve">Creating a tax system that is both equitable and effective is key to fostering economic justice and sustainable growth in India. Despite the progress of recent government measures such as </w:t>
      </w:r>
      <w:r w:rsidRPr="00511F6E">
        <w:rPr>
          <w:rFonts w:ascii="Times New Roman" w:hAnsi="Times New Roman" w:cs="Times New Roman"/>
          <w:sz w:val="24"/>
          <w:szCs w:val="24"/>
        </w:rPr>
        <w:lastRenderedPageBreak/>
        <w:t xml:space="preserve">demonetization, GST, and laws against black money to partially act as a corrective, further reform of enforcement mechanisms and administrative structures is needed. Through promoting transparency, liability, and equitable tax structure, India firmly marches toward a strong and inclusive economic system where taxation stands tall to its principles of social justice and equitable opportunity for all to the </w:t>
      </w:r>
      <w:r w:rsidR="00511F6E" w:rsidRPr="00511F6E">
        <w:rPr>
          <w:rFonts w:ascii="Times New Roman" w:hAnsi="Times New Roman" w:cs="Times New Roman"/>
          <w:sz w:val="24"/>
          <w:szCs w:val="24"/>
        </w:rPr>
        <w:t>extent,</w:t>
      </w:r>
      <w:r w:rsidRPr="00511F6E">
        <w:rPr>
          <w:rFonts w:ascii="Times New Roman" w:hAnsi="Times New Roman" w:cs="Times New Roman"/>
          <w:sz w:val="24"/>
          <w:szCs w:val="24"/>
        </w:rPr>
        <w:t xml:space="preserve"> they are constitutional considerations.</w:t>
      </w:r>
      <w:r w:rsidR="0024004F">
        <w:rPr>
          <w:rStyle w:val="FootnoteReference"/>
          <w:rFonts w:ascii="Times New Roman" w:hAnsi="Times New Roman" w:cs="Times New Roman"/>
          <w:sz w:val="24"/>
          <w:szCs w:val="24"/>
        </w:rPr>
        <w:footnoteReference w:id="26"/>
      </w:r>
    </w:p>
    <w:p w:rsidR="004327F1" w:rsidRDefault="004327F1" w:rsidP="00511F6E">
      <w:pPr>
        <w:spacing w:line="360" w:lineRule="auto"/>
        <w:jc w:val="both"/>
        <w:rPr>
          <w:rFonts w:ascii="Times New Roman" w:hAnsi="Times New Roman" w:cs="Times New Roman"/>
          <w:sz w:val="24"/>
          <w:szCs w:val="24"/>
        </w:rPr>
      </w:pPr>
    </w:p>
    <w:p w:rsidR="004327F1" w:rsidRPr="00DC3B4F" w:rsidRDefault="004327F1" w:rsidP="00511F6E">
      <w:pPr>
        <w:spacing w:line="360" w:lineRule="auto"/>
        <w:jc w:val="both"/>
        <w:rPr>
          <w:rFonts w:ascii="Times New Roman" w:hAnsi="Times New Roman" w:cs="Times New Roman"/>
          <w:b/>
          <w:bCs/>
          <w:sz w:val="28"/>
          <w:szCs w:val="28"/>
          <w:u w:val="single"/>
        </w:rPr>
      </w:pPr>
      <w:r w:rsidRPr="00DC3B4F">
        <w:rPr>
          <w:rFonts w:ascii="Times New Roman" w:hAnsi="Times New Roman" w:cs="Times New Roman"/>
          <w:b/>
          <w:bCs/>
          <w:sz w:val="28"/>
          <w:szCs w:val="28"/>
          <w:u w:val="single"/>
        </w:rPr>
        <w:t>Bibliography</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Books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Amaresh Bagchi, JL Bajaj and William A Byrd (eds), </w:t>
      </w:r>
      <w:r w:rsidRPr="004327F1">
        <w:rPr>
          <w:rFonts w:ascii="Times New Roman" w:hAnsi="Times New Roman" w:cs="Times New Roman"/>
          <w:i/>
          <w:iCs/>
          <w:sz w:val="24"/>
          <w:szCs w:val="24"/>
        </w:rPr>
        <w:t>State Finances in India</w:t>
      </w:r>
      <w:r w:rsidRPr="004327F1">
        <w:rPr>
          <w:rFonts w:ascii="Times New Roman" w:hAnsi="Times New Roman" w:cs="Times New Roman"/>
          <w:sz w:val="24"/>
          <w:szCs w:val="24"/>
        </w:rPr>
        <w:t xml:space="preserve"> (1992).</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Arun Kumar, </w:t>
      </w:r>
      <w:r w:rsidRPr="004327F1">
        <w:rPr>
          <w:rFonts w:ascii="Times New Roman" w:hAnsi="Times New Roman" w:cs="Times New Roman"/>
          <w:i/>
          <w:iCs/>
          <w:sz w:val="24"/>
          <w:szCs w:val="24"/>
        </w:rPr>
        <w:t>The Black Economy in India</w:t>
      </w:r>
      <w:r w:rsidRPr="004327F1">
        <w:rPr>
          <w:rFonts w:ascii="Times New Roman" w:hAnsi="Times New Roman" w:cs="Times New Roman"/>
          <w:sz w:val="24"/>
          <w:szCs w:val="24"/>
        </w:rPr>
        <w:t xml:space="preserve"> (2017).</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Friedrich Schneider and Dominik H </w:t>
      </w:r>
      <w:proofErr w:type="spellStart"/>
      <w:r w:rsidRPr="004327F1">
        <w:rPr>
          <w:rFonts w:ascii="Times New Roman" w:hAnsi="Times New Roman" w:cs="Times New Roman"/>
          <w:sz w:val="24"/>
          <w:szCs w:val="24"/>
        </w:rPr>
        <w:t>Enste</w:t>
      </w:r>
      <w:proofErr w:type="spellEnd"/>
      <w:r w:rsidRPr="004327F1">
        <w:rPr>
          <w:rFonts w:ascii="Times New Roman" w:hAnsi="Times New Roman" w:cs="Times New Roman"/>
          <w:sz w:val="24"/>
          <w:szCs w:val="24"/>
        </w:rPr>
        <w:t xml:space="preserve">, </w:t>
      </w:r>
      <w:r w:rsidRPr="004327F1">
        <w:rPr>
          <w:rFonts w:ascii="Times New Roman" w:hAnsi="Times New Roman" w:cs="Times New Roman"/>
          <w:i/>
          <w:iCs/>
          <w:sz w:val="24"/>
          <w:szCs w:val="24"/>
        </w:rPr>
        <w:t>The Shadow Economy: An International Survey</w:t>
      </w:r>
      <w:r w:rsidRPr="004327F1">
        <w:rPr>
          <w:rFonts w:ascii="Times New Roman" w:hAnsi="Times New Roman" w:cs="Times New Roman"/>
          <w:sz w:val="24"/>
          <w:szCs w:val="24"/>
        </w:rPr>
        <w:t xml:space="preserve"> (2013).</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Parthasarathi Shome (ed), </w:t>
      </w:r>
      <w:r w:rsidRPr="004327F1">
        <w:rPr>
          <w:rFonts w:ascii="Times New Roman" w:hAnsi="Times New Roman" w:cs="Times New Roman"/>
          <w:i/>
          <w:iCs/>
          <w:sz w:val="24"/>
          <w:szCs w:val="24"/>
        </w:rPr>
        <w:t>Tax Policy Handbook</w:t>
      </w:r>
      <w:r w:rsidRPr="004327F1">
        <w:rPr>
          <w:rFonts w:ascii="Times New Roman" w:hAnsi="Times New Roman" w:cs="Times New Roman"/>
          <w:sz w:val="24"/>
          <w:szCs w:val="24"/>
        </w:rPr>
        <w:t xml:space="preserve"> (1995).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Parthasarathi Shome (ed), </w:t>
      </w:r>
      <w:r w:rsidRPr="004327F1">
        <w:rPr>
          <w:rFonts w:ascii="Times New Roman" w:hAnsi="Times New Roman" w:cs="Times New Roman"/>
          <w:i/>
          <w:iCs/>
          <w:sz w:val="24"/>
          <w:szCs w:val="24"/>
        </w:rPr>
        <w:t>Fiscal Policy, Public Policy, Governance</w:t>
      </w:r>
      <w:r w:rsidRPr="004327F1">
        <w:rPr>
          <w:rFonts w:ascii="Times New Roman" w:hAnsi="Times New Roman" w:cs="Times New Roman"/>
          <w:sz w:val="24"/>
          <w:szCs w:val="24"/>
        </w:rPr>
        <w:t xml:space="preserve"> (Symposium held in commemoration of National Institute of Public Finance and Policy, 5-6 December 1996, New Delhi).</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Patrick Bond, </w:t>
      </w:r>
      <w:r w:rsidRPr="004327F1">
        <w:rPr>
          <w:rFonts w:ascii="Times New Roman" w:hAnsi="Times New Roman" w:cs="Times New Roman"/>
          <w:i/>
          <w:iCs/>
          <w:sz w:val="24"/>
          <w:szCs w:val="24"/>
        </w:rPr>
        <w:t>Looting Africa: The Economics of Exploitation</w:t>
      </w:r>
      <w:r w:rsidRPr="004327F1">
        <w:rPr>
          <w:rFonts w:ascii="Times New Roman" w:hAnsi="Times New Roman" w:cs="Times New Roman"/>
          <w:sz w:val="24"/>
          <w:szCs w:val="24"/>
        </w:rPr>
        <w:t xml:space="preserve"> (2006).</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Sol Picciotto, </w:t>
      </w:r>
      <w:r w:rsidRPr="004327F1">
        <w:rPr>
          <w:rFonts w:ascii="Times New Roman" w:hAnsi="Times New Roman" w:cs="Times New Roman"/>
          <w:i/>
          <w:iCs/>
          <w:sz w:val="24"/>
          <w:szCs w:val="24"/>
        </w:rPr>
        <w:t>International Business Taxation: A Study in the Internationalization of Business Regulation</w:t>
      </w:r>
      <w:r w:rsidRPr="004327F1">
        <w:rPr>
          <w:rFonts w:ascii="Times New Roman" w:hAnsi="Times New Roman" w:cs="Times New Roman"/>
          <w:sz w:val="24"/>
          <w:szCs w:val="24"/>
        </w:rPr>
        <w:t xml:space="preserve"> (1992).</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Journal Articles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Aniefiok Ekanem, ‘Taxation as a Catalyst for Sustainable National Development: Whither Nigeria’ (2017) https://ssrn.com/abstract=3036096 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Chitrakshi Gupta, ‘Impact of Tax Evasion and Tax Avoidance on Indian Economy’ (2022) SSRN </w:t>
      </w:r>
      <w:hyperlink r:id="rId8" w:history="1">
        <w:r w:rsidR="006040E3" w:rsidRPr="004327F1">
          <w:rPr>
            <w:rStyle w:val="Hyperlink"/>
            <w:rFonts w:ascii="Times New Roman" w:hAnsi="Times New Roman" w:cs="Times New Roman"/>
            <w:sz w:val="24"/>
            <w:szCs w:val="24"/>
          </w:rPr>
          <w:t>https://papers.ssrn.com/sol3/papers.cfm?abstract_id=4158909</w:t>
        </w:r>
      </w:hyperlink>
      <w:r w:rsidR="006040E3">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lastRenderedPageBreak/>
        <w:t>Ishwarya S, ‘Tax Evasion and Tax Avoidance - Impact of Indian Economy’ (2023) 11(12) International Journal of Creative Research Thoughts (IJCRT).</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Mr. Manju &amp; Mr. Sunil Naik, ‘Impact of Tax Evasion &amp; Avoidance: Indian Context’ (2021) 8(8) Journal of Emerging Technologies and Innovative Research (JETIR) </w:t>
      </w:r>
      <w:hyperlink r:id="rId9" w:history="1">
        <w:r w:rsidR="00DC3B4F" w:rsidRPr="004327F1">
          <w:rPr>
            <w:rStyle w:val="Hyperlink"/>
            <w:rFonts w:ascii="Times New Roman" w:hAnsi="Times New Roman" w:cs="Times New Roman"/>
            <w:sz w:val="24"/>
            <w:szCs w:val="24"/>
          </w:rPr>
          <w:t>https://www.jetir.org/papers/JETIR2108012.pdf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Ritu Ranjan, ‘Parallel Economy in India: The Problem of Quantification’ (2024) </w:t>
      </w:r>
      <w:hyperlink r:id="rId10" w:history="1">
        <w:r w:rsidR="00DC3B4F" w:rsidRPr="004327F1">
          <w:rPr>
            <w:rStyle w:val="Hyperlink"/>
            <w:rFonts w:ascii="Times New Roman" w:hAnsi="Times New Roman" w:cs="Times New Roman"/>
            <w:sz w:val="24"/>
            <w:szCs w:val="24"/>
          </w:rPr>
          <w:t>https://www.srcc.edu/system/files/Pg%2037-44,%20Ritu%20Ranjan,%20Parallel%20economy%20in%20India_%20the%20problem%20of%20quantification.pdf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Sahi Khushi Sharma, ‘Unveiling the Consequences: Exploring the Effect of Tax Evasion and Tax Avoidance on India’s Economic Progress’ (2023) 2(3) Journal of Legal Research and Juridical Sciences </w:t>
      </w:r>
      <w:hyperlink r:id="rId11" w:history="1">
        <w:r w:rsidR="00DC3B4F" w:rsidRPr="004327F1">
          <w:rPr>
            <w:rStyle w:val="Hyperlink"/>
            <w:rFonts w:ascii="Times New Roman" w:hAnsi="Times New Roman" w:cs="Times New Roman"/>
            <w:sz w:val="24"/>
            <w:szCs w:val="24"/>
          </w:rPr>
          <w:t>https://jlrjs.com/wp-content/uploads/2023/07/242.-Sahi-1.pdf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proofErr w:type="spellStart"/>
      <w:r w:rsidRPr="004327F1">
        <w:rPr>
          <w:rFonts w:ascii="Times New Roman" w:hAnsi="Times New Roman" w:cs="Times New Roman"/>
          <w:sz w:val="24"/>
          <w:szCs w:val="24"/>
        </w:rPr>
        <w:t>Swarnendu</w:t>
      </w:r>
      <w:proofErr w:type="spellEnd"/>
      <w:r w:rsidRPr="004327F1">
        <w:rPr>
          <w:rFonts w:ascii="Times New Roman" w:hAnsi="Times New Roman" w:cs="Times New Roman"/>
          <w:sz w:val="24"/>
          <w:szCs w:val="24"/>
        </w:rPr>
        <w:t xml:space="preserve"> Chatterjee and Anwesha Pal, ‘Vodafone versus India: A Never-Ending Saga’ (2022) SCC </w:t>
      </w:r>
      <w:proofErr w:type="spellStart"/>
      <w:r w:rsidRPr="004327F1">
        <w:rPr>
          <w:rFonts w:ascii="Times New Roman" w:hAnsi="Times New Roman" w:cs="Times New Roman"/>
          <w:sz w:val="24"/>
          <w:szCs w:val="24"/>
        </w:rPr>
        <w:t>OnLine</w:t>
      </w:r>
      <w:proofErr w:type="spellEnd"/>
      <w:r w:rsidRPr="004327F1">
        <w:rPr>
          <w:rFonts w:ascii="Times New Roman" w:hAnsi="Times New Roman" w:cs="Times New Roman"/>
          <w:sz w:val="24"/>
          <w:szCs w:val="24"/>
        </w:rPr>
        <w:t xml:space="preserve"> Blog Exp 82 </w:t>
      </w:r>
      <w:hyperlink r:id="rId12" w:history="1">
        <w:r w:rsidR="00DC3B4F" w:rsidRPr="004327F1">
          <w:rPr>
            <w:rStyle w:val="Hyperlink"/>
            <w:rFonts w:ascii="Times New Roman" w:hAnsi="Times New Roman" w:cs="Times New Roman"/>
            <w:sz w:val="24"/>
            <w:szCs w:val="24"/>
          </w:rPr>
          <w:t>https://www.scconline.com/blog/post/2022/11/29/vodafone-versus-india-a-never-ending-saga/</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proofErr w:type="spellStart"/>
      <w:r w:rsidRPr="004327F1">
        <w:rPr>
          <w:rFonts w:ascii="Times New Roman" w:hAnsi="Times New Roman" w:cs="Times New Roman"/>
          <w:sz w:val="24"/>
          <w:szCs w:val="24"/>
        </w:rPr>
        <w:t>Tarapada</w:t>
      </w:r>
      <w:proofErr w:type="spellEnd"/>
      <w:r w:rsidRPr="004327F1">
        <w:rPr>
          <w:rFonts w:ascii="Times New Roman" w:hAnsi="Times New Roman" w:cs="Times New Roman"/>
          <w:sz w:val="24"/>
          <w:szCs w:val="24"/>
        </w:rPr>
        <w:t xml:space="preserve"> Ghosh, ‘Efficacy of Demonetisation in Eliminating Black Money: An Analysis of Indian Demonetisation November 2016’ (2017) 8 Journal of Management and Strategy 71.</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Vishnu Bharadwaj, ‘A Critical Analysis of Tax Evasion and its Effect on Indian Economy’ (2023) </w:t>
      </w:r>
      <w:hyperlink r:id="rId13" w:history="1">
        <w:r w:rsidR="00DC3B4F" w:rsidRPr="004327F1">
          <w:rPr>
            <w:rStyle w:val="Hyperlink"/>
            <w:rFonts w:ascii="Times New Roman" w:hAnsi="Times New Roman" w:cs="Times New Roman"/>
            <w:sz w:val="24"/>
            <w:szCs w:val="24"/>
          </w:rPr>
          <w:t>https://ssrn.com/abstract=368796</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Cases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i/>
          <w:iCs/>
          <w:sz w:val="24"/>
          <w:szCs w:val="24"/>
        </w:rPr>
        <w:t>Vodafone International Holding v Union of India</w:t>
      </w:r>
      <w:r w:rsidRPr="004327F1">
        <w:rPr>
          <w:rFonts w:ascii="Times New Roman" w:hAnsi="Times New Roman" w:cs="Times New Roman"/>
          <w:sz w:val="24"/>
          <w:szCs w:val="24"/>
        </w:rPr>
        <w:t xml:space="preserve"> (2012) SC.</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Statutes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The Benami Transactions (Prohibition) Amendment Act 2016 (Act No. 43 of 2016).</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The Black Money (Undisclosed Foreign Income and Assets) and Imposition of Tax Act 2015 (Act No. 22 of 2015).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The Central Goods and Services Tax Act 2017 (Act No. 12 of 2017).</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Government Reports and Documents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lastRenderedPageBreak/>
        <w:t>Department of Economic Affairs, Government of India, ‘Measures Taken by Government to Tackle Black Money’</w:t>
      </w:r>
      <w:r w:rsidR="00DC3B4F">
        <w:rPr>
          <w:rFonts w:ascii="Times New Roman" w:hAnsi="Times New Roman" w:cs="Times New Roman"/>
          <w:sz w:val="24"/>
          <w:szCs w:val="24"/>
        </w:rPr>
        <w:t xml:space="preserve"> </w:t>
      </w:r>
      <w:r w:rsidR="006040E3">
        <w:rPr>
          <w:rFonts w:ascii="Times New Roman" w:hAnsi="Times New Roman" w:cs="Times New Roman"/>
          <w:sz w:val="24"/>
          <w:szCs w:val="24"/>
        </w:rPr>
        <w:t xml:space="preserve">   </w:t>
      </w:r>
      <w:hyperlink r:id="rId14" w:history="1">
        <w:r w:rsidR="006040E3" w:rsidRPr="004327F1">
          <w:rPr>
            <w:rStyle w:val="Hyperlink"/>
            <w:rFonts w:ascii="Times New Roman" w:hAnsi="Times New Roman" w:cs="Times New Roman"/>
            <w:sz w:val="24"/>
            <w:szCs w:val="24"/>
          </w:rPr>
          <w:t>https://dea.gov.in/sites/default/files/measures_taken_by_govt_Black_Money.pdf</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Government of India, Ministry of Finance, </w:t>
      </w:r>
      <w:r w:rsidRPr="004327F1">
        <w:rPr>
          <w:rFonts w:ascii="Times New Roman" w:hAnsi="Times New Roman" w:cs="Times New Roman"/>
          <w:i/>
          <w:iCs/>
          <w:sz w:val="24"/>
          <w:szCs w:val="24"/>
        </w:rPr>
        <w:t>Economic Survey 2018-19, Volume 1</w:t>
      </w:r>
      <w:r w:rsidRPr="004327F1">
        <w:rPr>
          <w:rFonts w:ascii="Times New Roman" w:hAnsi="Times New Roman" w:cs="Times New Roman"/>
          <w:sz w:val="24"/>
          <w:szCs w:val="24"/>
        </w:rPr>
        <w:t xml:space="preserve"> (Department of Economic Affairs, July 2019).</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Government of India, Ministry of Finance, </w:t>
      </w:r>
      <w:r w:rsidRPr="004327F1">
        <w:rPr>
          <w:rFonts w:ascii="Times New Roman" w:hAnsi="Times New Roman" w:cs="Times New Roman"/>
          <w:i/>
          <w:iCs/>
          <w:sz w:val="24"/>
          <w:szCs w:val="24"/>
        </w:rPr>
        <w:t>Measures to Tackle Black Money in India and Abroad: Report of the Committee Headed by Chairman, CBDT, Parts I &amp; II</w:t>
      </w:r>
      <w:r w:rsidRPr="004327F1">
        <w:rPr>
          <w:rFonts w:ascii="Times New Roman" w:hAnsi="Times New Roman" w:cs="Times New Roman"/>
          <w:sz w:val="24"/>
          <w:szCs w:val="24"/>
        </w:rPr>
        <w:t xml:space="preserve"> (2012).</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Wada Na Todo Abhiyan, </w:t>
      </w:r>
      <w:r w:rsidRPr="004327F1">
        <w:rPr>
          <w:rFonts w:ascii="Times New Roman" w:hAnsi="Times New Roman" w:cs="Times New Roman"/>
          <w:i/>
          <w:iCs/>
          <w:sz w:val="24"/>
          <w:szCs w:val="24"/>
        </w:rPr>
        <w:t>Sustainable Development Goals: Agenda 2030 – Civil Society Report India 2017</w:t>
      </w:r>
      <w:r w:rsidRPr="004327F1">
        <w:rPr>
          <w:rFonts w:ascii="Times New Roman" w:hAnsi="Times New Roman" w:cs="Times New Roman"/>
          <w:sz w:val="24"/>
          <w:szCs w:val="24"/>
        </w:rPr>
        <w:t xml:space="preserve"> (2017).</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News Articles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‘Volkswagen India Unit Faces $1.4 Billion Tax Evasion Notice’ </w:t>
      </w:r>
      <w:r w:rsidRPr="004327F1">
        <w:rPr>
          <w:rFonts w:ascii="Times New Roman" w:hAnsi="Times New Roman" w:cs="Times New Roman"/>
          <w:i/>
          <w:iCs/>
          <w:sz w:val="24"/>
          <w:szCs w:val="24"/>
        </w:rPr>
        <w:t>The Hindu</w:t>
      </w:r>
      <w:r w:rsidRPr="004327F1">
        <w:rPr>
          <w:rFonts w:ascii="Times New Roman" w:hAnsi="Times New Roman" w:cs="Times New Roman"/>
          <w:sz w:val="24"/>
          <w:szCs w:val="24"/>
        </w:rPr>
        <w:t xml:space="preserve"> (New Delhi, 29 November 2024) </w:t>
      </w:r>
      <w:hyperlink r:id="rId15" w:history="1">
        <w:r w:rsidR="00DC3B4F" w:rsidRPr="004327F1">
          <w:rPr>
            <w:rStyle w:val="Hyperlink"/>
            <w:rFonts w:ascii="Times New Roman" w:hAnsi="Times New Roman" w:cs="Times New Roman"/>
            <w:sz w:val="24"/>
            <w:szCs w:val="24"/>
          </w:rPr>
          <w:t>https://www.thehindu.com/business/volkswagen-india-unit-faces-14-billion-tax-evasion-notice/article68927786.ece</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1 April 2025.</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b/>
          <w:bCs/>
          <w:sz w:val="24"/>
          <w:szCs w:val="24"/>
        </w:rPr>
        <w:t>Online Articles</w:t>
      </w:r>
    </w:p>
    <w:p w:rsidR="004327F1" w:rsidRPr="004327F1" w:rsidRDefault="004327F1" w:rsidP="004327F1">
      <w:pPr>
        <w:spacing w:line="360" w:lineRule="auto"/>
        <w:jc w:val="both"/>
        <w:rPr>
          <w:rFonts w:ascii="Times New Roman" w:hAnsi="Times New Roman" w:cs="Times New Roman"/>
          <w:sz w:val="24"/>
          <w:szCs w:val="24"/>
        </w:rPr>
      </w:pPr>
      <w:r w:rsidRPr="004327F1">
        <w:rPr>
          <w:rFonts w:ascii="Times New Roman" w:hAnsi="Times New Roman" w:cs="Times New Roman"/>
          <w:sz w:val="24"/>
          <w:szCs w:val="24"/>
        </w:rPr>
        <w:t xml:space="preserve">Anshika Vashist, ‘The Concept of Tax Evasion and its Impact on National Economy’ </w:t>
      </w:r>
      <w:hyperlink r:id="rId16" w:history="1">
        <w:r w:rsidR="00DC3B4F" w:rsidRPr="004327F1">
          <w:rPr>
            <w:rStyle w:val="Hyperlink"/>
            <w:rFonts w:ascii="Times New Roman" w:hAnsi="Times New Roman" w:cs="Times New Roman"/>
            <w:sz w:val="24"/>
            <w:szCs w:val="24"/>
          </w:rPr>
          <w:t>https://www.legalserviceindia.com/legal/article-3712-the-concept-of-tax-evasion-and-its-impact-on-national-economy.html</w:t>
        </w:r>
      </w:hyperlink>
      <w:r w:rsidR="00DC3B4F">
        <w:rPr>
          <w:rFonts w:ascii="Times New Roman" w:hAnsi="Times New Roman" w:cs="Times New Roman"/>
          <w:sz w:val="24"/>
          <w:szCs w:val="24"/>
        </w:rPr>
        <w:t xml:space="preserve"> </w:t>
      </w:r>
      <w:r w:rsidRPr="004327F1">
        <w:rPr>
          <w:rFonts w:ascii="Times New Roman" w:hAnsi="Times New Roman" w:cs="Times New Roman"/>
          <w:sz w:val="24"/>
          <w:szCs w:val="24"/>
        </w:rPr>
        <w:t xml:space="preserve"> accessed 21 November 2023.</w:t>
      </w:r>
    </w:p>
    <w:p w:rsidR="004327F1" w:rsidRPr="004327F1" w:rsidRDefault="004327F1" w:rsidP="00511F6E">
      <w:pPr>
        <w:spacing w:line="360" w:lineRule="auto"/>
        <w:jc w:val="both"/>
        <w:rPr>
          <w:rFonts w:ascii="Times New Roman" w:hAnsi="Times New Roman" w:cs="Times New Roman"/>
          <w:sz w:val="24"/>
          <w:szCs w:val="24"/>
        </w:rPr>
      </w:pPr>
    </w:p>
    <w:sectPr w:rsidR="004327F1" w:rsidRPr="004327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013" w:rsidRDefault="00200013" w:rsidP="00443D47">
      <w:pPr>
        <w:spacing w:after="0" w:line="240" w:lineRule="auto"/>
      </w:pPr>
      <w:r>
        <w:separator/>
      </w:r>
    </w:p>
  </w:endnote>
  <w:endnote w:type="continuationSeparator" w:id="0">
    <w:p w:rsidR="00200013" w:rsidRDefault="00200013" w:rsidP="0044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013" w:rsidRDefault="00200013" w:rsidP="00443D47">
      <w:pPr>
        <w:spacing w:after="0" w:line="240" w:lineRule="auto"/>
      </w:pPr>
      <w:r>
        <w:separator/>
      </w:r>
    </w:p>
  </w:footnote>
  <w:footnote w:type="continuationSeparator" w:id="0">
    <w:p w:rsidR="00200013" w:rsidRDefault="00200013" w:rsidP="00443D47">
      <w:pPr>
        <w:spacing w:after="0" w:line="240" w:lineRule="auto"/>
      </w:pPr>
      <w:r>
        <w:continuationSeparator/>
      </w:r>
    </w:p>
  </w:footnote>
  <w:footnote w:id="1">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Ritu Ranjan, 'Parallel Economy in India: The Problem of Quantification' (2024) </w:t>
      </w:r>
      <w:hyperlink r:id="rId1" w:tgtFrame="_new" w:history="1">
        <w:r w:rsidRPr="00DB670A">
          <w:rPr>
            <w:rStyle w:val="Hyperlink"/>
            <w:rFonts w:ascii="Times New Roman" w:hAnsi="Times New Roman" w:cs="Times New Roman"/>
          </w:rPr>
          <w:t>https://www.srcc.edu/system/files/Pg%2037-44,%20Ritu%20Ranjan,%20Parallel%20economy%20in%20India_%20the%20problem%20of%20quantification.pdf</w:t>
        </w:r>
      </w:hyperlink>
      <w:r w:rsidRPr="00DB670A">
        <w:rPr>
          <w:rFonts w:ascii="Times New Roman" w:hAnsi="Times New Roman" w:cs="Times New Roman"/>
        </w:rPr>
        <w:t xml:space="preserve"> accessed 1 April 2025.</w:t>
      </w:r>
    </w:p>
  </w:footnote>
  <w:footnote w:id="2">
    <w:p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Amaresh Bagchi, J. L. Bajaj and William A. Byrd (eds), </w:t>
      </w:r>
      <w:r w:rsidRPr="00DB670A">
        <w:rPr>
          <w:rFonts w:ascii="Times New Roman" w:hAnsi="Times New Roman" w:cs="Times New Roman"/>
          <w:i/>
          <w:iCs/>
        </w:rPr>
        <w:t>State Finances in India</w:t>
      </w:r>
      <w:r w:rsidRPr="00DB670A">
        <w:rPr>
          <w:rFonts w:ascii="Times New Roman" w:hAnsi="Times New Roman" w:cs="Times New Roman"/>
        </w:rPr>
        <w:t xml:space="preserve"> (1992)</w:t>
      </w:r>
    </w:p>
  </w:footnote>
  <w:footnote w:id="3">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Ishwarya S, 'Tax Evasion and Tax Avoidance - Impact of Indian Economy' (2023) </w:t>
      </w:r>
      <w:r w:rsidRPr="00DB670A">
        <w:rPr>
          <w:rFonts w:ascii="Times New Roman" w:hAnsi="Times New Roman" w:cs="Times New Roman"/>
          <w:i/>
          <w:iCs/>
        </w:rPr>
        <w:t>International Journal of Creative Research Thoughts</w:t>
      </w:r>
      <w:r w:rsidRPr="00DB670A">
        <w:rPr>
          <w:rFonts w:ascii="Times New Roman" w:hAnsi="Times New Roman" w:cs="Times New Roman"/>
        </w:rPr>
        <w:t xml:space="preserve"> (IJCRT) Volume 11, Issue 12</w:t>
      </w:r>
    </w:p>
  </w:footnote>
  <w:footnote w:id="4">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Mr. Manju &amp; Mr. Sunil Naik, 'Impact of Tax Evasion &amp; Avoidance: Indian Context' (2021) 8(8) </w:t>
      </w:r>
      <w:r w:rsidRPr="00DB670A">
        <w:rPr>
          <w:rFonts w:ascii="Times New Roman" w:hAnsi="Times New Roman" w:cs="Times New Roman"/>
          <w:i/>
          <w:iCs/>
        </w:rPr>
        <w:t>Journal of Emerging Technologies and Innovative Research</w:t>
      </w:r>
      <w:r w:rsidRPr="00DB670A">
        <w:rPr>
          <w:rFonts w:ascii="Times New Roman" w:hAnsi="Times New Roman" w:cs="Times New Roman"/>
        </w:rPr>
        <w:t xml:space="preserve"> (JETIR) </w:t>
      </w:r>
      <w:hyperlink r:id="rId2" w:tgtFrame="_new" w:history="1">
        <w:r w:rsidRPr="00DB670A">
          <w:rPr>
            <w:rStyle w:val="Hyperlink"/>
            <w:rFonts w:ascii="Times New Roman" w:hAnsi="Times New Roman" w:cs="Times New Roman"/>
          </w:rPr>
          <w:t>https://www.jetir.org/papers/JETIR2108012.pdf</w:t>
        </w:r>
      </w:hyperlink>
      <w:r w:rsidRPr="00DB670A">
        <w:rPr>
          <w:rFonts w:ascii="Times New Roman" w:hAnsi="Times New Roman" w:cs="Times New Roman"/>
        </w:rPr>
        <w:t xml:space="preserve"> accessed </w:t>
      </w:r>
      <w:r w:rsidRPr="00DB670A">
        <w:rPr>
          <w:rFonts w:ascii="Times New Roman" w:hAnsi="Times New Roman" w:cs="Times New Roman"/>
        </w:rPr>
        <w:t xml:space="preserve">1 April 2025 </w:t>
      </w:r>
    </w:p>
  </w:footnote>
  <w:footnote w:id="5">
    <w:p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Parthasarathi Shome (ed), </w:t>
      </w:r>
      <w:r w:rsidRPr="00DB670A">
        <w:rPr>
          <w:rFonts w:ascii="Times New Roman" w:hAnsi="Times New Roman" w:cs="Times New Roman"/>
          <w:i/>
          <w:iCs/>
        </w:rPr>
        <w:t>Tax Policy Handbook</w:t>
      </w:r>
      <w:r w:rsidRPr="00DB670A">
        <w:rPr>
          <w:rFonts w:ascii="Times New Roman" w:hAnsi="Times New Roman" w:cs="Times New Roman"/>
        </w:rPr>
        <w:t xml:space="preserve"> (1995)</w:t>
      </w:r>
    </w:p>
  </w:footnote>
  <w:footnote w:id="6">
    <w:p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Arun Kumar, </w:t>
      </w:r>
      <w:r w:rsidRPr="00DB670A">
        <w:rPr>
          <w:rFonts w:ascii="Times New Roman" w:hAnsi="Times New Roman" w:cs="Times New Roman"/>
          <w:i/>
          <w:iCs/>
        </w:rPr>
        <w:t>The Black Economy in India</w:t>
      </w:r>
      <w:r w:rsidRPr="00DB670A">
        <w:rPr>
          <w:rFonts w:ascii="Times New Roman" w:hAnsi="Times New Roman" w:cs="Times New Roman"/>
        </w:rPr>
        <w:t xml:space="preserve"> (2017)</w:t>
      </w:r>
    </w:p>
  </w:footnote>
  <w:footnote w:id="7">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Aniefiok Ekanem, 'Taxation as a Catalyst for Sustainable National Development: Whither Nigeria' (2017) </w:t>
      </w:r>
      <w:hyperlink r:id="rId3" w:history="1">
        <w:r w:rsidRPr="00DB670A">
          <w:rPr>
            <w:rStyle w:val="Hyperlink"/>
            <w:rFonts w:ascii="Times New Roman" w:hAnsi="Times New Roman" w:cs="Times New Roman"/>
          </w:rPr>
          <w:t>https://ssrn.com/abstract=3036096</w:t>
        </w:r>
      </w:hyperlink>
      <w:r w:rsidRPr="00DB670A">
        <w:rPr>
          <w:rFonts w:ascii="Times New Roman" w:hAnsi="Times New Roman" w:cs="Times New Roman"/>
        </w:rPr>
        <w:t xml:space="preserve"> </w:t>
      </w:r>
      <w:r w:rsidRPr="00DB670A">
        <w:rPr>
          <w:rFonts w:ascii="Times New Roman" w:hAnsi="Times New Roman" w:cs="Times New Roman"/>
        </w:rPr>
        <w:t xml:space="preserve"> accessed </w:t>
      </w:r>
      <w:r w:rsidRPr="00DB670A">
        <w:rPr>
          <w:rFonts w:ascii="Times New Roman" w:hAnsi="Times New Roman" w:cs="Times New Roman"/>
        </w:rPr>
        <w:t xml:space="preserve">1 April 2025 </w:t>
      </w:r>
    </w:p>
  </w:footnote>
  <w:footnote w:id="8">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Vishnu Bharadwaj, 'A Critical Analysis of Tax Evasion and its Effect on Indian Economy' (2023) </w:t>
      </w:r>
      <w:hyperlink r:id="rId4" w:history="1">
        <w:r w:rsidRPr="00DB670A">
          <w:rPr>
            <w:rStyle w:val="Hyperlink"/>
            <w:rFonts w:ascii="Times New Roman" w:hAnsi="Times New Roman" w:cs="Times New Roman"/>
          </w:rPr>
          <w:t>https://ssrn.com/abstract=3687961</w:t>
        </w:r>
      </w:hyperlink>
      <w:r w:rsidRPr="00DB670A">
        <w:rPr>
          <w:rFonts w:ascii="Times New Roman" w:hAnsi="Times New Roman" w:cs="Times New Roman"/>
        </w:rPr>
        <w:t xml:space="preserve"> </w:t>
      </w:r>
      <w:r w:rsidRPr="00DB670A">
        <w:rPr>
          <w:rFonts w:ascii="Times New Roman" w:hAnsi="Times New Roman" w:cs="Times New Roman"/>
        </w:rPr>
        <w:t xml:space="preserve"> accessed </w:t>
      </w:r>
      <w:r w:rsidRPr="00DB670A">
        <w:rPr>
          <w:rFonts w:ascii="Times New Roman" w:hAnsi="Times New Roman" w:cs="Times New Roman"/>
        </w:rPr>
        <w:t>1 April 2025</w:t>
      </w:r>
    </w:p>
  </w:footnote>
  <w:footnote w:id="9">
    <w:p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Patrick Bond, </w:t>
      </w:r>
      <w:r w:rsidRPr="00DB670A">
        <w:rPr>
          <w:rFonts w:ascii="Times New Roman" w:hAnsi="Times New Roman" w:cs="Times New Roman"/>
          <w:i/>
          <w:iCs/>
        </w:rPr>
        <w:t>Looting Africa: The Economics of Exploitation</w:t>
      </w:r>
      <w:r w:rsidRPr="00DB670A">
        <w:rPr>
          <w:rFonts w:ascii="Times New Roman" w:hAnsi="Times New Roman" w:cs="Times New Roman"/>
        </w:rPr>
        <w:t xml:space="preserve"> (2006</w:t>
      </w:r>
    </w:p>
  </w:footnote>
  <w:footnote w:id="10">
    <w:p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Friedrich Schneider and Dominik H. </w:t>
      </w:r>
      <w:proofErr w:type="spellStart"/>
      <w:r w:rsidRPr="00DB670A">
        <w:rPr>
          <w:rFonts w:ascii="Times New Roman" w:hAnsi="Times New Roman" w:cs="Times New Roman"/>
        </w:rPr>
        <w:t>Enste</w:t>
      </w:r>
      <w:proofErr w:type="spellEnd"/>
      <w:r w:rsidRPr="00DB670A">
        <w:rPr>
          <w:rFonts w:ascii="Times New Roman" w:hAnsi="Times New Roman" w:cs="Times New Roman"/>
        </w:rPr>
        <w:t xml:space="preserve">, </w:t>
      </w:r>
      <w:r w:rsidRPr="00DB670A">
        <w:rPr>
          <w:rFonts w:ascii="Times New Roman" w:hAnsi="Times New Roman" w:cs="Times New Roman"/>
          <w:i/>
          <w:iCs/>
        </w:rPr>
        <w:t>The Shadow Economy: An International Survey</w:t>
      </w:r>
      <w:r w:rsidRPr="00DB670A">
        <w:rPr>
          <w:rFonts w:ascii="Times New Roman" w:hAnsi="Times New Roman" w:cs="Times New Roman"/>
        </w:rPr>
        <w:t xml:space="preserve"> (2013)</w:t>
      </w:r>
    </w:p>
  </w:footnote>
  <w:footnote w:id="11">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'Volkswagen India Unit Faces $1.4 Billion Tax Evasion Notice' </w:t>
      </w:r>
      <w:r w:rsidRPr="00DB670A">
        <w:rPr>
          <w:rFonts w:ascii="Times New Roman" w:hAnsi="Times New Roman" w:cs="Times New Roman"/>
          <w:i/>
          <w:iCs/>
        </w:rPr>
        <w:t>The Hindu</w:t>
      </w:r>
      <w:r w:rsidRPr="00DB670A">
        <w:rPr>
          <w:rFonts w:ascii="Times New Roman" w:hAnsi="Times New Roman" w:cs="Times New Roman"/>
        </w:rPr>
        <w:t xml:space="preserve"> (New Delhi, 29 November 2024) </w:t>
      </w:r>
      <w:hyperlink r:id="rId5" w:tgtFrame="_new" w:history="1">
        <w:r w:rsidRPr="00DB670A">
          <w:rPr>
            <w:rStyle w:val="Hyperlink"/>
            <w:rFonts w:ascii="Times New Roman" w:hAnsi="Times New Roman" w:cs="Times New Roman"/>
          </w:rPr>
          <w:t>https://www.thehindu.com/business/volkswagen-india-unit-faces-14-billion-tax-evasion-notice/article68927786.ece</w:t>
        </w:r>
      </w:hyperlink>
      <w:r w:rsidRPr="00DB670A">
        <w:rPr>
          <w:rFonts w:ascii="Times New Roman" w:hAnsi="Times New Roman" w:cs="Times New Roman"/>
        </w:rPr>
        <w:t xml:space="preserve"> accessed </w:t>
      </w:r>
      <w:r w:rsidRPr="00DB670A">
        <w:rPr>
          <w:rFonts w:ascii="Times New Roman" w:hAnsi="Times New Roman" w:cs="Times New Roman"/>
        </w:rPr>
        <w:t xml:space="preserve">1 April 2025 </w:t>
      </w:r>
    </w:p>
  </w:footnote>
  <w:footnote w:id="12">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Vodafone International Holding vs Union of India 20 Jan, SC 2012.</w:t>
      </w:r>
    </w:p>
  </w:footnote>
  <w:footnote w:id="13">
    <w:p w:rsidR="00C11C28" w:rsidRPr="00DB670A" w:rsidRDefault="00C11C28">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proofErr w:type="spellStart"/>
      <w:r w:rsidRPr="00DB670A">
        <w:rPr>
          <w:rFonts w:ascii="Times New Roman" w:hAnsi="Times New Roman" w:cs="Times New Roman"/>
        </w:rPr>
        <w:t>Swarnendu</w:t>
      </w:r>
      <w:proofErr w:type="spellEnd"/>
      <w:r w:rsidRPr="00DB670A">
        <w:rPr>
          <w:rFonts w:ascii="Times New Roman" w:hAnsi="Times New Roman" w:cs="Times New Roman"/>
        </w:rPr>
        <w:t xml:space="preserve"> Chatterjee and Anwesha Pal, ‘Vodafone versus India: A Never-Ending Saga’ (2022) SCC </w:t>
      </w:r>
      <w:proofErr w:type="spellStart"/>
      <w:r w:rsidRPr="00DB670A">
        <w:rPr>
          <w:rFonts w:ascii="Times New Roman" w:hAnsi="Times New Roman" w:cs="Times New Roman"/>
        </w:rPr>
        <w:t>OnLine</w:t>
      </w:r>
      <w:proofErr w:type="spellEnd"/>
      <w:r w:rsidRPr="00DB670A">
        <w:rPr>
          <w:rFonts w:ascii="Times New Roman" w:hAnsi="Times New Roman" w:cs="Times New Roman"/>
        </w:rPr>
        <w:t xml:space="preserve"> Blog Exp 82 </w:t>
      </w:r>
      <w:hyperlink r:id="rId6" w:tgtFrame="_new" w:history="1">
        <w:r w:rsidRPr="00DB670A">
          <w:rPr>
            <w:rStyle w:val="Hyperlink"/>
            <w:rFonts w:ascii="Times New Roman" w:hAnsi="Times New Roman" w:cs="Times New Roman"/>
          </w:rPr>
          <w:t>https://www.scconline.com/blog/post/2022/11/29/vodafone-versus-india-a-never-ending-saga/</w:t>
        </w:r>
      </w:hyperlink>
      <w:r w:rsidRPr="00DB670A">
        <w:rPr>
          <w:rFonts w:ascii="Times New Roman" w:hAnsi="Times New Roman" w:cs="Times New Roman"/>
        </w:rPr>
        <w:t xml:space="preserve"> accessed 1 April 2025.</w:t>
      </w:r>
    </w:p>
  </w:footnote>
  <w:footnote w:id="14">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proofErr w:type="spellStart"/>
      <w:r w:rsidRPr="00DB670A">
        <w:rPr>
          <w:rFonts w:ascii="Times New Roman" w:hAnsi="Times New Roman" w:cs="Times New Roman"/>
        </w:rPr>
        <w:t>Tarapada</w:t>
      </w:r>
      <w:proofErr w:type="spellEnd"/>
      <w:r w:rsidRPr="00DB670A">
        <w:rPr>
          <w:rFonts w:ascii="Times New Roman" w:hAnsi="Times New Roman" w:cs="Times New Roman"/>
        </w:rPr>
        <w:t xml:space="preserve"> Ghosh, 'Efficacy of Demonetisation in Eliminating Black Money: An Analysis of Indian Demonetisation November 2016' (2017) 8 </w:t>
      </w:r>
      <w:r w:rsidRPr="00DB670A">
        <w:rPr>
          <w:rFonts w:ascii="Times New Roman" w:hAnsi="Times New Roman" w:cs="Times New Roman"/>
          <w:i/>
          <w:iCs/>
        </w:rPr>
        <w:t>Journal of Management and Strategy</w:t>
      </w:r>
      <w:r w:rsidRPr="00DB670A">
        <w:rPr>
          <w:rFonts w:ascii="Times New Roman" w:hAnsi="Times New Roman" w:cs="Times New Roman"/>
        </w:rPr>
        <w:t xml:space="preserve"> 71</w:t>
      </w:r>
    </w:p>
  </w:footnote>
  <w:footnote w:id="15">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Department of Economic Affairs, Government of India</w:t>
      </w:r>
      <w:r w:rsidRPr="00DB670A">
        <w:rPr>
          <w:rFonts w:ascii="Times New Roman" w:hAnsi="Times New Roman" w:cs="Times New Roman"/>
        </w:rPr>
        <w:t xml:space="preserve">, 'Measures Taken by Government to Tackle Black Money' </w:t>
      </w:r>
      <w:hyperlink r:id="rId7" w:tgtFrame="_new" w:history="1">
        <w:r w:rsidRPr="00DB670A">
          <w:rPr>
            <w:rStyle w:val="Hyperlink"/>
            <w:rFonts w:ascii="Times New Roman" w:hAnsi="Times New Roman" w:cs="Times New Roman"/>
          </w:rPr>
          <w:t>https://dea.gov.in/sites/default/files/measures_taken_by_govt_Black_Money.pdf</w:t>
        </w:r>
      </w:hyperlink>
      <w:r w:rsidRPr="00DB670A">
        <w:rPr>
          <w:rFonts w:ascii="Times New Roman" w:hAnsi="Times New Roman" w:cs="Times New Roman"/>
        </w:rPr>
        <w:t xml:space="preserve"> accessed </w:t>
      </w:r>
      <w:r w:rsidRPr="00DB670A">
        <w:rPr>
          <w:rFonts w:ascii="Times New Roman" w:hAnsi="Times New Roman" w:cs="Times New Roman"/>
        </w:rPr>
        <w:t>1 April 2025</w:t>
      </w:r>
    </w:p>
  </w:footnote>
  <w:footnote w:id="16">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Government of India, Ministry of Finance</w:t>
      </w:r>
      <w:r w:rsidRPr="00DB670A">
        <w:rPr>
          <w:rFonts w:ascii="Times New Roman" w:hAnsi="Times New Roman" w:cs="Times New Roman"/>
        </w:rPr>
        <w:t xml:space="preserve">, </w:t>
      </w:r>
      <w:r w:rsidRPr="00DB670A">
        <w:rPr>
          <w:rFonts w:ascii="Times New Roman" w:hAnsi="Times New Roman" w:cs="Times New Roman"/>
          <w:i/>
          <w:iCs/>
        </w:rPr>
        <w:t>Measures to Tackle Black Money in India and Abroad: Report of the Committee Headed by Chairman, CBDT, Parts I &amp; II</w:t>
      </w:r>
      <w:r w:rsidRPr="00DB670A">
        <w:rPr>
          <w:rFonts w:ascii="Times New Roman" w:hAnsi="Times New Roman" w:cs="Times New Roman"/>
        </w:rPr>
        <w:t xml:space="preserve"> (2012).</w:t>
      </w:r>
    </w:p>
  </w:footnote>
  <w:footnote w:id="17">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The Central Goods and Services Tax Act 2017</w:t>
      </w:r>
      <w:r w:rsidRPr="00DB670A">
        <w:rPr>
          <w:rFonts w:ascii="Times New Roman" w:hAnsi="Times New Roman" w:cs="Times New Roman"/>
        </w:rPr>
        <w:t xml:space="preserve"> (Act No. 12 of 2017).</w:t>
      </w:r>
    </w:p>
  </w:footnote>
  <w:footnote w:id="18">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The Benami Transactions (Prohibition) Amendment Act 2016</w:t>
      </w:r>
      <w:r w:rsidRPr="00DB670A">
        <w:rPr>
          <w:rFonts w:ascii="Times New Roman" w:hAnsi="Times New Roman" w:cs="Times New Roman"/>
        </w:rPr>
        <w:t xml:space="preserve"> (Act No. 43 of 2016).</w:t>
      </w:r>
    </w:p>
  </w:footnote>
  <w:footnote w:id="19">
    <w:p w:rsidR="002D4F0D" w:rsidRPr="00DB670A" w:rsidRDefault="002D4F0D">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i/>
          <w:iCs/>
        </w:rPr>
        <w:t>The Black Money (Undisclosed Foreign Income and Assets) and Imposition of Tax Act 2015</w:t>
      </w:r>
      <w:r w:rsidRPr="00DB670A">
        <w:rPr>
          <w:rFonts w:ascii="Times New Roman" w:hAnsi="Times New Roman" w:cs="Times New Roman"/>
        </w:rPr>
        <w:t xml:space="preserve"> (Act No. 22 of 2015).</w:t>
      </w:r>
    </w:p>
  </w:footnote>
  <w:footnote w:id="20">
    <w:p w:rsidR="00443D47" w:rsidRPr="00DB670A" w:rsidRDefault="00443D47">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Sol Picciotto, </w:t>
      </w:r>
      <w:r w:rsidRPr="00DB670A">
        <w:rPr>
          <w:rFonts w:ascii="Times New Roman" w:hAnsi="Times New Roman" w:cs="Times New Roman"/>
          <w:i/>
          <w:iCs/>
        </w:rPr>
        <w:t>International Business Taxation: A Study in the Internationalization of Business Regulation</w:t>
      </w:r>
      <w:r w:rsidRPr="00DB670A">
        <w:rPr>
          <w:rFonts w:ascii="Times New Roman" w:hAnsi="Times New Roman" w:cs="Times New Roman"/>
        </w:rPr>
        <w:t xml:space="preserve"> (1992)</w:t>
      </w:r>
    </w:p>
  </w:footnote>
  <w:footnote w:id="21">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Anshika Vashist, 'The Concept of Tax Evasion and its Impact on National Economy' </w:t>
      </w:r>
      <w:hyperlink r:id="rId8" w:tgtFrame="_new" w:history="1">
        <w:r w:rsidRPr="00DB670A">
          <w:rPr>
            <w:rStyle w:val="Hyperlink"/>
            <w:rFonts w:ascii="Times New Roman" w:hAnsi="Times New Roman" w:cs="Times New Roman"/>
          </w:rPr>
          <w:t>https://www.lega</w:t>
        </w:r>
        <w:r w:rsidRPr="00DB670A">
          <w:rPr>
            <w:rStyle w:val="Hyperlink"/>
            <w:rFonts w:ascii="Times New Roman" w:hAnsi="Times New Roman" w:cs="Times New Roman"/>
          </w:rPr>
          <w:t>l</w:t>
        </w:r>
        <w:r w:rsidRPr="00DB670A">
          <w:rPr>
            <w:rStyle w:val="Hyperlink"/>
            <w:rFonts w:ascii="Times New Roman" w:hAnsi="Times New Roman" w:cs="Times New Roman"/>
          </w:rPr>
          <w:t>serviceindia.com/legal/article-3712-the-concept-of-tax-evasion-and-its-impact-on-national-economy.html</w:t>
        </w:r>
      </w:hyperlink>
      <w:r w:rsidRPr="00DB670A">
        <w:rPr>
          <w:rFonts w:ascii="Times New Roman" w:hAnsi="Times New Roman" w:cs="Times New Roman"/>
        </w:rPr>
        <w:t xml:space="preserve"> accessed 21 November 2023.</w:t>
      </w:r>
    </w:p>
  </w:footnote>
  <w:footnote w:id="22">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Chitrakshi Gupta, 'Impact of Tax Evasion and Tax Avoidance on Indian Economy' (2022) SSRN </w:t>
      </w:r>
      <w:hyperlink r:id="rId9" w:tgtFrame="_new" w:history="1">
        <w:r w:rsidRPr="00DB670A">
          <w:rPr>
            <w:rStyle w:val="Hyperlink"/>
            <w:rFonts w:ascii="Times New Roman" w:hAnsi="Times New Roman" w:cs="Times New Roman"/>
          </w:rPr>
          <w:t>https://papers.ssrn.com/sol3/pap</w:t>
        </w:r>
        <w:r w:rsidRPr="00DB670A">
          <w:rPr>
            <w:rStyle w:val="Hyperlink"/>
            <w:rFonts w:ascii="Times New Roman" w:hAnsi="Times New Roman" w:cs="Times New Roman"/>
          </w:rPr>
          <w:t>e</w:t>
        </w:r>
        <w:r w:rsidRPr="00DB670A">
          <w:rPr>
            <w:rStyle w:val="Hyperlink"/>
            <w:rFonts w:ascii="Times New Roman" w:hAnsi="Times New Roman" w:cs="Times New Roman"/>
          </w:rPr>
          <w:t>rs.cfm?abstract_id=4158909</w:t>
        </w:r>
      </w:hyperlink>
      <w:r w:rsidRPr="00DB670A">
        <w:rPr>
          <w:rFonts w:ascii="Times New Roman" w:hAnsi="Times New Roman" w:cs="Times New Roman"/>
        </w:rPr>
        <w:t xml:space="preserve"> accessed</w:t>
      </w:r>
      <w:r w:rsidRPr="00DB670A">
        <w:rPr>
          <w:rFonts w:ascii="Times New Roman" w:hAnsi="Times New Roman" w:cs="Times New Roman"/>
        </w:rPr>
        <w:t xml:space="preserve"> 1 April 2025 </w:t>
      </w:r>
    </w:p>
  </w:footnote>
  <w:footnote w:id="23">
    <w:p w:rsidR="005849E9" w:rsidRPr="00DB670A" w:rsidRDefault="005849E9">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Sahi Khushi Sharma, 'Unveiling the Consequences: Exploring the Effect of Tax Evasion and Tax Avoidance on India’s Economic Progress' (2023) 2(3) </w:t>
      </w:r>
      <w:r w:rsidRPr="00DB670A">
        <w:rPr>
          <w:rFonts w:ascii="Times New Roman" w:hAnsi="Times New Roman" w:cs="Times New Roman"/>
          <w:i/>
          <w:iCs/>
        </w:rPr>
        <w:t>Journal of Legal Research and Juridical Sciences</w:t>
      </w:r>
      <w:r w:rsidRPr="00DB670A">
        <w:rPr>
          <w:rFonts w:ascii="Times New Roman" w:hAnsi="Times New Roman" w:cs="Times New Roman"/>
        </w:rPr>
        <w:t xml:space="preserve"> </w:t>
      </w:r>
      <w:hyperlink r:id="rId10" w:tgtFrame="_new" w:history="1">
        <w:r w:rsidRPr="00DB670A">
          <w:rPr>
            <w:rStyle w:val="Hyperlink"/>
            <w:rFonts w:ascii="Times New Roman" w:hAnsi="Times New Roman" w:cs="Times New Roman"/>
          </w:rPr>
          <w:t>https://jlrjs.com/wp-content/upl</w:t>
        </w:r>
        <w:r w:rsidRPr="00DB670A">
          <w:rPr>
            <w:rStyle w:val="Hyperlink"/>
            <w:rFonts w:ascii="Times New Roman" w:hAnsi="Times New Roman" w:cs="Times New Roman"/>
          </w:rPr>
          <w:t>o</w:t>
        </w:r>
        <w:r w:rsidRPr="00DB670A">
          <w:rPr>
            <w:rStyle w:val="Hyperlink"/>
            <w:rFonts w:ascii="Times New Roman" w:hAnsi="Times New Roman" w:cs="Times New Roman"/>
          </w:rPr>
          <w:t>ads/2023/07/242.-Sahi-1.pdf</w:t>
        </w:r>
      </w:hyperlink>
      <w:r w:rsidRPr="00DB670A">
        <w:rPr>
          <w:rFonts w:ascii="Times New Roman" w:hAnsi="Times New Roman" w:cs="Times New Roman"/>
        </w:rPr>
        <w:t xml:space="preserve"> accessed </w:t>
      </w:r>
      <w:r w:rsidRPr="00DB670A">
        <w:rPr>
          <w:rFonts w:ascii="Times New Roman" w:hAnsi="Times New Roman" w:cs="Times New Roman"/>
        </w:rPr>
        <w:t xml:space="preserve">1 April 2025 </w:t>
      </w:r>
    </w:p>
  </w:footnote>
  <w:footnote w:id="24">
    <w:p w:rsidR="0024004F" w:rsidRPr="00DB670A" w:rsidRDefault="0024004F">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Parthasarathi Shome (ed), </w:t>
      </w:r>
      <w:r w:rsidRPr="00DB670A">
        <w:rPr>
          <w:rFonts w:ascii="Times New Roman" w:hAnsi="Times New Roman" w:cs="Times New Roman"/>
          <w:i/>
          <w:iCs/>
        </w:rPr>
        <w:t>Fiscal Policy, Public Policy, Governance</w:t>
      </w:r>
      <w:r w:rsidRPr="00DB670A">
        <w:rPr>
          <w:rFonts w:ascii="Times New Roman" w:hAnsi="Times New Roman" w:cs="Times New Roman"/>
        </w:rPr>
        <w:t xml:space="preserve"> (Symposium held in commemoration of National Institute of Public Finance and Policy, 5-6 December 1996, New Delhi).</w:t>
      </w:r>
    </w:p>
  </w:footnote>
  <w:footnote w:id="25">
    <w:p w:rsidR="0024004F" w:rsidRPr="00DB670A" w:rsidRDefault="0024004F">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Government of India, Ministry of Finance, </w:t>
      </w:r>
      <w:r w:rsidRPr="00DB670A">
        <w:rPr>
          <w:rFonts w:ascii="Times New Roman" w:hAnsi="Times New Roman" w:cs="Times New Roman"/>
          <w:i/>
          <w:iCs/>
        </w:rPr>
        <w:t>Economic Survey 2018-19, Volume 1</w:t>
      </w:r>
      <w:r w:rsidRPr="00DB670A">
        <w:rPr>
          <w:rFonts w:ascii="Times New Roman" w:hAnsi="Times New Roman" w:cs="Times New Roman"/>
        </w:rPr>
        <w:t xml:space="preserve"> (Department of Economic Affairs, July 2019).</w:t>
      </w:r>
    </w:p>
  </w:footnote>
  <w:footnote w:id="26">
    <w:p w:rsidR="0024004F" w:rsidRPr="00DB670A" w:rsidRDefault="0024004F">
      <w:pPr>
        <w:pStyle w:val="FootnoteText"/>
        <w:rPr>
          <w:rFonts w:ascii="Times New Roman" w:hAnsi="Times New Roman" w:cs="Times New Roman"/>
        </w:rPr>
      </w:pPr>
      <w:r w:rsidRPr="00DB670A">
        <w:rPr>
          <w:rStyle w:val="FootnoteReference"/>
          <w:rFonts w:ascii="Times New Roman" w:hAnsi="Times New Roman" w:cs="Times New Roman"/>
        </w:rPr>
        <w:footnoteRef/>
      </w:r>
      <w:r w:rsidRPr="00DB670A">
        <w:rPr>
          <w:rFonts w:ascii="Times New Roman" w:hAnsi="Times New Roman" w:cs="Times New Roman"/>
        </w:rPr>
        <w:t xml:space="preserve"> </w:t>
      </w:r>
      <w:r w:rsidRPr="00DB670A">
        <w:rPr>
          <w:rFonts w:ascii="Times New Roman" w:hAnsi="Times New Roman" w:cs="Times New Roman"/>
        </w:rPr>
        <w:t xml:space="preserve">Wada Na Todo Abhiyan, </w:t>
      </w:r>
      <w:r w:rsidRPr="00DB670A">
        <w:rPr>
          <w:rFonts w:ascii="Times New Roman" w:hAnsi="Times New Roman" w:cs="Times New Roman"/>
          <w:i/>
          <w:iCs/>
        </w:rPr>
        <w:t>Sustainable Development Goals: Agenda 2030 – Civil Society Report India 2017</w:t>
      </w:r>
      <w:r w:rsidRPr="00DB670A">
        <w:rPr>
          <w:rFonts w:ascii="Times New Roman" w:hAnsi="Times New Roman" w:cs="Times New Roman"/>
        </w:rPr>
        <w:t xml:space="preserve">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21863"/>
    <w:multiLevelType w:val="multilevel"/>
    <w:tmpl w:val="828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19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5C"/>
    <w:rsid w:val="0002142A"/>
    <w:rsid w:val="00176C5C"/>
    <w:rsid w:val="00200013"/>
    <w:rsid w:val="0024004F"/>
    <w:rsid w:val="002765FD"/>
    <w:rsid w:val="002D4F0D"/>
    <w:rsid w:val="004327F1"/>
    <w:rsid w:val="00443D47"/>
    <w:rsid w:val="00511F6E"/>
    <w:rsid w:val="005849E9"/>
    <w:rsid w:val="006040E3"/>
    <w:rsid w:val="006C3884"/>
    <w:rsid w:val="00734022"/>
    <w:rsid w:val="0083694C"/>
    <w:rsid w:val="00860815"/>
    <w:rsid w:val="008F675C"/>
    <w:rsid w:val="009B6CA9"/>
    <w:rsid w:val="00AE6623"/>
    <w:rsid w:val="00C11C28"/>
    <w:rsid w:val="00D6634E"/>
    <w:rsid w:val="00DB670A"/>
    <w:rsid w:val="00DC3B4F"/>
    <w:rsid w:val="00E66DF7"/>
    <w:rsid w:val="00F24988"/>
    <w:rsid w:val="00FA2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1F6D"/>
  <w15:chartTrackingRefBased/>
  <w15:docId w15:val="{750CDC38-B264-468A-88BF-A1A72773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5C"/>
    <w:rPr>
      <w:rFonts w:eastAsiaTheme="majorEastAsia" w:cstheme="majorBidi"/>
      <w:color w:val="272727" w:themeColor="text1" w:themeTint="D8"/>
    </w:rPr>
  </w:style>
  <w:style w:type="paragraph" w:styleId="Title">
    <w:name w:val="Title"/>
    <w:basedOn w:val="Normal"/>
    <w:next w:val="Normal"/>
    <w:link w:val="TitleChar"/>
    <w:uiPriority w:val="10"/>
    <w:qFormat/>
    <w:rsid w:val="00176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5C"/>
    <w:pPr>
      <w:spacing w:before="160"/>
      <w:jc w:val="center"/>
    </w:pPr>
    <w:rPr>
      <w:i/>
      <w:iCs/>
      <w:color w:val="404040" w:themeColor="text1" w:themeTint="BF"/>
    </w:rPr>
  </w:style>
  <w:style w:type="character" w:customStyle="1" w:styleId="QuoteChar">
    <w:name w:val="Quote Char"/>
    <w:basedOn w:val="DefaultParagraphFont"/>
    <w:link w:val="Quote"/>
    <w:uiPriority w:val="29"/>
    <w:rsid w:val="00176C5C"/>
    <w:rPr>
      <w:i/>
      <w:iCs/>
      <w:color w:val="404040" w:themeColor="text1" w:themeTint="BF"/>
    </w:rPr>
  </w:style>
  <w:style w:type="paragraph" w:styleId="ListParagraph">
    <w:name w:val="List Paragraph"/>
    <w:basedOn w:val="Normal"/>
    <w:uiPriority w:val="34"/>
    <w:qFormat/>
    <w:rsid w:val="00176C5C"/>
    <w:pPr>
      <w:ind w:left="720"/>
      <w:contextualSpacing/>
    </w:pPr>
  </w:style>
  <w:style w:type="character" w:styleId="IntenseEmphasis">
    <w:name w:val="Intense Emphasis"/>
    <w:basedOn w:val="DefaultParagraphFont"/>
    <w:uiPriority w:val="21"/>
    <w:qFormat/>
    <w:rsid w:val="00176C5C"/>
    <w:rPr>
      <w:i/>
      <w:iCs/>
      <w:color w:val="2F5496" w:themeColor="accent1" w:themeShade="BF"/>
    </w:rPr>
  </w:style>
  <w:style w:type="paragraph" w:styleId="IntenseQuote">
    <w:name w:val="Intense Quote"/>
    <w:basedOn w:val="Normal"/>
    <w:next w:val="Normal"/>
    <w:link w:val="IntenseQuoteChar"/>
    <w:uiPriority w:val="30"/>
    <w:qFormat/>
    <w:rsid w:val="00176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5C"/>
    <w:rPr>
      <w:i/>
      <w:iCs/>
      <w:color w:val="2F5496" w:themeColor="accent1" w:themeShade="BF"/>
    </w:rPr>
  </w:style>
  <w:style w:type="character" w:styleId="IntenseReference">
    <w:name w:val="Intense Reference"/>
    <w:basedOn w:val="DefaultParagraphFont"/>
    <w:uiPriority w:val="32"/>
    <w:qFormat/>
    <w:rsid w:val="00176C5C"/>
    <w:rPr>
      <w:b/>
      <w:bCs/>
      <w:smallCaps/>
      <w:color w:val="2F5496" w:themeColor="accent1" w:themeShade="BF"/>
      <w:spacing w:val="5"/>
    </w:rPr>
  </w:style>
  <w:style w:type="character" w:styleId="Hyperlink">
    <w:name w:val="Hyperlink"/>
    <w:basedOn w:val="DefaultParagraphFont"/>
    <w:uiPriority w:val="99"/>
    <w:unhideWhenUsed/>
    <w:rsid w:val="00176C5C"/>
    <w:rPr>
      <w:color w:val="0563C1" w:themeColor="hyperlink"/>
      <w:u w:val="single"/>
    </w:rPr>
  </w:style>
  <w:style w:type="character" w:styleId="UnresolvedMention">
    <w:name w:val="Unresolved Mention"/>
    <w:basedOn w:val="DefaultParagraphFont"/>
    <w:uiPriority w:val="99"/>
    <w:semiHidden/>
    <w:unhideWhenUsed/>
    <w:rsid w:val="00176C5C"/>
    <w:rPr>
      <w:color w:val="605E5C"/>
      <w:shd w:val="clear" w:color="auto" w:fill="E1DFDD"/>
    </w:rPr>
  </w:style>
  <w:style w:type="paragraph" w:styleId="FootnoteText">
    <w:name w:val="footnote text"/>
    <w:basedOn w:val="Normal"/>
    <w:link w:val="FootnoteTextChar"/>
    <w:uiPriority w:val="99"/>
    <w:semiHidden/>
    <w:unhideWhenUsed/>
    <w:rsid w:val="00443D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D47"/>
    <w:rPr>
      <w:sz w:val="20"/>
      <w:szCs w:val="20"/>
    </w:rPr>
  </w:style>
  <w:style w:type="character" w:styleId="FootnoteReference">
    <w:name w:val="footnote reference"/>
    <w:basedOn w:val="DefaultParagraphFont"/>
    <w:uiPriority w:val="99"/>
    <w:semiHidden/>
    <w:unhideWhenUsed/>
    <w:rsid w:val="00443D47"/>
    <w:rPr>
      <w:vertAlign w:val="superscript"/>
    </w:rPr>
  </w:style>
  <w:style w:type="character" w:styleId="FollowedHyperlink">
    <w:name w:val="FollowedHyperlink"/>
    <w:basedOn w:val="DefaultParagraphFont"/>
    <w:uiPriority w:val="99"/>
    <w:semiHidden/>
    <w:unhideWhenUsed/>
    <w:rsid w:val="00584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572">
      <w:bodyDiv w:val="1"/>
      <w:marLeft w:val="0"/>
      <w:marRight w:val="0"/>
      <w:marTop w:val="0"/>
      <w:marBottom w:val="0"/>
      <w:divBdr>
        <w:top w:val="none" w:sz="0" w:space="0" w:color="auto"/>
        <w:left w:val="none" w:sz="0" w:space="0" w:color="auto"/>
        <w:bottom w:val="none" w:sz="0" w:space="0" w:color="auto"/>
        <w:right w:val="none" w:sz="0" w:space="0" w:color="auto"/>
      </w:divBdr>
      <w:divsChild>
        <w:div w:id="1378163344">
          <w:marLeft w:val="0"/>
          <w:marRight w:val="0"/>
          <w:marTop w:val="0"/>
          <w:marBottom w:val="0"/>
          <w:divBdr>
            <w:top w:val="none" w:sz="0" w:space="0" w:color="auto"/>
            <w:left w:val="none" w:sz="0" w:space="0" w:color="auto"/>
            <w:bottom w:val="none" w:sz="0" w:space="0" w:color="auto"/>
            <w:right w:val="none" w:sz="0" w:space="0" w:color="auto"/>
          </w:divBdr>
          <w:divsChild>
            <w:div w:id="1290933935">
              <w:marLeft w:val="0"/>
              <w:marRight w:val="0"/>
              <w:marTop w:val="0"/>
              <w:marBottom w:val="0"/>
              <w:divBdr>
                <w:top w:val="none" w:sz="0" w:space="0" w:color="auto"/>
                <w:left w:val="none" w:sz="0" w:space="0" w:color="auto"/>
                <w:bottom w:val="none" w:sz="0" w:space="0" w:color="auto"/>
                <w:right w:val="none" w:sz="0" w:space="0" w:color="auto"/>
              </w:divBdr>
              <w:divsChild>
                <w:div w:id="1465272167">
                  <w:marLeft w:val="0"/>
                  <w:marRight w:val="0"/>
                  <w:marTop w:val="0"/>
                  <w:marBottom w:val="0"/>
                  <w:divBdr>
                    <w:top w:val="none" w:sz="0" w:space="0" w:color="auto"/>
                    <w:left w:val="none" w:sz="0" w:space="0" w:color="auto"/>
                    <w:bottom w:val="none" w:sz="0" w:space="0" w:color="auto"/>
                    <w:right w:val="none" w:sz="0" w:space="0" w:color="auto"/>
                  </w:divBdr>
                  <w:divsChild>
                    <w:div w:id="654072634">
                      <w:marLeft w:val="0"/>
                      <w:marRight w:val="0"/>
                      <w:marTop w:val="0"/>
                      <w:marBottom w:val="0"/>
                      <w:divBdr>
                        <w:top w:val="none" w:sz="0" w:space="0" w:color="auto"/>
                        <w:left w:val="none" w:sz="0" w:space="0" w:color="auto"/>
                        <w:bottom w:val="none" w:sz="0" w:space="0" w:color="auto"/>
                        <w:right w:val="none" w:sz="0" w:space="0" w:color="auto"/>
                      </w:divBdr>
                      <w:divsChild>
                        <w:div w:id="434712913">
                          <w:marLeft w:val="0"/>
                          <w:marRight w:val="0"/>
                          <w:marTop w:val="0"/>
                          <w:marBottom w:val="0"/>
                          <w:divBdr>
                            <w:top w:val="none" w:sz="0" w:space="0" w:color="auto"/>
                            <w:left w:val="none" w:sz="0" w:space="0" w:color="auto"/>
                            <w:bottom w:val="none" w:sz="0" w:space="0" w:color="auto"/>
                            <w:right w:val="none" w:sz="0" w:space="0" w:color="auto"/>
                          </w:divBdr>
                          <w:divsChild>
                            <w:div w:id="1718696144">
                              <w:marLeft w:val="0"/>
                              <w:marRight w:val="0"/>
                              <w:marTop w:val="0"/>
                              <w:marBottom w:val="0"/>
                              <w:divBdr>
                                <w:top w:val="none" w:sz="0" w:space="0" w:color="auto"/>
                                <w:left w:val="none" w:sz="0" w:space="0" w:color="auto"/>
                                <w:bottom w:val="none" w:sz="0" w:space="0" w:color="auto"/>
                                <w:right w:val="none" w:sz="0" w:space="0" w:color="auto"/>
                              </w:divBdr>
                              <w:divsChild>
                                <w:div w:id="1573083515">
                                  <w:marLeft w:val="0"/>
                                  <w:marRight w:val="0"/>
                                  <w:marTop w:val="0"/>
                                  <w:marBottom w:val="0"/>
                                  <w:divBdr>
                                    <w:top w:val="none" w:sz="0" w:space="0" w:color="auto"/>
                                    <w:left w:val="none" w:sz="0" w:space="0" w:color="auto"/>
                                    <w:bottom w:val="none" w:sz="0" w:space="0" w:color="auto"/>
                                    <w:right w:val="none" w:sz="0" w:space="0" w:color="auto"/>
                                  </w:divBdr>
                                  <w:divsChild>
                                    <w:div w:id="3474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4612">
                          <w:marLeft w:val="0"/>
                          <w:marRight w:val="0"/>
                          <w:marTop w:val="0"/>
                          <w:marBottom w:val="0"/>
                          <w:divBdr>
                            <w:top w:val="none" w:sz="0" w:space="0" w:color="auto"/>
                            <w:left w:val="none" w:sz="0" w:space="0" w:color="auto"/>
                            <w:bottom w:val="none" w:sz="0" w:space="0" w:color="auto"/>
                            <w:right w:val="none" w:sz="0" w:space="0" w:color="auto"/>
                          </w:divBdr>
                          <w:divsChild>
                            <w:div w:id="1911962879">
                              <w:marLeft w:val="0"/>
                              <w:marRight w:val="0"/>
                              <w:marTop w:val="0"/>
                              <w:marBottom w:val="0"/>
                              <w:divBdr>
                                <w:top w:val="none" w:sz="0" w:space="0" w:color="auto"/>
                                <w:left w:val="none" w:sz="0" w:space="0" w:color="auto"/>
                                <w:bottom w:val="none" w:sz="0" w:space="0" w:color="auto"/>
                                <w:right w:val="none" w:sz="0" w:space="0" w:color="auto"/>
                              </w:divBdr>
                              <w:divsChild>
                                <w:div w:id="20623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3072">
      <w:bodyDiv w:val="1"/>
      <w:marLeft w:val="0"/>
      <w:marRight w:val="0"/>
      <w:marTop w:val="0"/>
      <w:marBottom w:val="0"/>
      <w:divBdr>
        <w:top w:val="none" w:sz="0" w:space="0" w:color="auto"/>
        <w:left w:val="none" w:sz="0" w:space="0" w:color="auto"/>
        <w:bottom w:val="none" w:sz="0" w:space="0" w:color="auto"/>
        <w:right w:val="none" w:sz="0" w:space="0" w:color="auto"/>
      </w:divBdr>
    </w:div>
    <w:div w:id="424227226">
      <w:bodyDiv w:val="1"/>
      <w:marLeft w:val="0"/>
      <w:marRight w:val="0"/>
      <w:marTop w:val="0"/>
      <w:marBottom w:val="0"/>
      <w:divBdr>
        <w:top w:val="none" w:sz="0" w:space="0" w:color="auto"/>
        <w:left w:val="none" w:sz="0" w:space="0" w:color="auto"/>
        <w:bottom w:val="none" w:sz="0" w:space="0" w:color="auto"/>
        <w:right w:val="none" w:sz="0" w:space="0" w:color="auto"/>
      </w:divBdr>
      <w:divsChild>
        <w:div w:id="1677344636">
          <w:marLeft w:val="0"/>
          <w:marRight w:val="0"/>
          <w:marTop w:val="0"/>
          <w:marBottom w:val="0"/>
          <w:divBdr>
            <w:top w:val="none" w:sz="0" w:space="0" w:color="auto"/>
            <w:left w:val="none" w:sz="0" w:space="0" w:color="auto"/>
            <w:bottom w:val="none" w:sz="0" w:space="0" w:color="auto"/>
            <w:right w:val="none" w:sz="0" w:space="0" w:color="auto"/>
          </w:divBdr>
          <w:divsChild>
            <w:div w:id="58213046">
              <w:marLeft w:val="0"/>
              <w:marRight w:val="0"/>
              <w:marTop w:val="0"/>
              <w:marBottom w:val="0"/>
              <w:divBdr>
                <w:top w:val="none" w:sz="0" w:space="0" w:color="auto"/>
                <w:left w:val="none" w:sz="0" w:space="0" w:color="auto"/>
                <w:bottom w:val="none" w:sz="0" w:space="0" w:color="auto"/>
                <w:right w:val="none" w:sz="0" w:space="0" w:color="auto"/>
              </w:divBdr>
              <w:divsChild>
                <w:div w:id="1332945676">
                  <w:marLeft w:val="0"/>
                  <w:marRight w:val="0"/>
                  <w:marTop w:val="0"/>
                  <w:marBottom w:val="0"/>
                  <w:divBdr>
                    <w:top w:val="none" w:sz="0" w:space="0" w:color="auto"/>
                    <w:left w:val="none" w:sz="0" w:space="0" w:color="auto"/>
                    <w:bottom w:val="none" w:sz="0" w:space="0" w:color="auto"/>
                    <w:right w:val="none" w:sz="0" w:space="0" w:color="auto"/>
                  </w:divBdr>
                  <w:divsChild>
                    <w:div w:id="1297180775">
                      <w:marLeft w:val="0"/>
                      <w:marRight w:val="0"/>
                      <w:marTop w:val="0"/>
                      <w:marBottom w:val="0"/>
                      <w:divBdr>
                        <w:top w:val="none" w:sz="0" w:space="0" w:color="auto"/>
                        <w:left w:val="none" w:sz="0" w:space="0" w:color="auto"/>
                        <w:bottom w:val="none" w:sz="0" w:space="0" w:color="auto"/>
                        <w:right w:val="none" w:sz="0" w:space="0" w:color="auto"/>
                      </w:divBdr>
                      <w:divsChild>
                        <w:div w:id="301233490">
                          <w:marLeft w:val="0"/>
                          <w:marRight w:val="0"/>
                          <w:marTop w:val="0"/>
                          <w:marBottom w:val="0"/>
                          <w:divBdr>
                            <w:top w:val="none" w:sz="0" w:space="0" w:color="auto"/>
                            <w:left w:val="none" w:sz="0" w:space="0" w:color="auto"/>
                            <w:bottom w:val="none" w:sz="0" w:space="0" w:color="auto"/>
                            <w:right w:val="none" w:sz="0" w:space="0" w:color="auto"/>
                          </w:divBdr>
                          <w:divsChild>
                            <w:div w:id="2034651002">
                              <w:marLeft w:val="0"/>
                              <w:marRight w:val="0"/>
                              <w:marTop w:val="0"/>
                              <w:marBottom w:val="0"/>
                              <w:divBdr>
                                <w:top w:val="none" w:sz="0" w:space="0" w:color="auto"/>
                                <w:left w:val="none" w:sz="0" w:space="0" w:color="auto"/>
                                <w:bottom w:val="none" w:sz="0" w:space="0" w:color="auto"/>
                                <w:right w:val="none" w:sz="0" w:space="0" w:color="auto"/>
                              </w:divBdr>
                              <w:divsChild>
                                <w:div w:id="544685103">
                                  <w:marLeft w:val="0"/>
                                  <w:marRight w:val="0"/>
                                  <w:marTop w:val="0"/>
                                  <w:marBottom w:val="0"/>
                                  <w:divBdr>
                                    <w:top w:val="none" w:sz="0" w:space="0" w:color="auto"/>
                                    <w:left w:val="none" w:sz="0" w:space="0" w:color="auto"/>
                                    <w:bottom w:val="none" w:sz="0" w:space="0" w:color="auto"/>
                                    <w:right w:val="none" w:sz="0" w:space="0" w:color="auto"/>
                                  </w:divBdr>
                                  <w:divsChild>
                                    <w:div w:id="423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8864">
                          <w:marLeft w:val="0"/>
                          <w:marRight w:val="0"/>
                          <w:marTop w:val="0"/>
                          <w:marBottom w:val="0"/>
                          <w:divBdr>
                            <w:top w:val="none" w:sz="0" w:space="0" w:color="auto"/>
                            <w:left w:val="none" w:sz="0" w:space="0" w:color="auto"/>
                            <w:bottom w:val="none" w:sz="0" w:space="0" w:color="auto"/>
                            <w:right w:val="none" w:sz="0" w:space="0" w:color="auto"/>
                          </w:divBdr>
                          <w:divsChild>
                            <w:div w:id="1436556619">
                              <w:marLeft w:val="0"/>
                              <w:marRight w:val="0"/>
                              <w:marTop w:val="0"/>
                              <w:marBottom w:val="0"/>
                              <w:divBdr>
                                <w:top w:val="none" w:sz="0" w:space="0" w:color="auto"/>
                                <w:left w:val="none" w:sz="0" w:space="0" w:color="auto"/>
                                <w:bottom w:val="none" w:sz="0" w:space="0" w:color="auto"/>
                                <w:right w:val="none" w:sz="0" w:space="0" w:color="auto"/>
                              </w:divBdr>
                              <w:divsChild>
                                <w:div w:id="16606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211869">
      <w:bodyDiv w:val="1"/>
      <w:marLeft w:val="0"/>
      <w:marRight w:val="0"/>
      <w:marTop w:val="0"/>
      <w:marBottom w:val="0"/>
      <w:divBdr>
        <w:top w:val="none" w:sz="0" w:space="0" w:color="auto"/>
        <w:left w:val="none" w:sz="0" w:space="0" w:color="auto"/>
        <w:bottom w:val="none" w:sz="0" w:space="0" w:color="auto"/>
        <w:right w:val="none" w:sz="0" w:space="0" w:color="auto"/>
      </w:divBdr>
    </w:div>
    <w:div w:id="823937823">
      <w:bodyDiv w:val="1"/>
      <w:marLeft w:val="0"/>
      <w:marRight w:val="0"/>
      <w:marTop w:val="0"/>
      <w:marBottom w:val="0"/>
      <w:divBdr>
        <w:top w:val="none" w:sz="0" w:space="0" w:color="auto"/>
        <w:left w:val="none" w:sz="0" w:space="0" w:color="auto"/>
        <w:bottom w:val="none" w:sz="0" w:space="0" w:color="auto"/>
        <w:right w:val="none" w:sz="0" w:space="0" w:color="auto"/>
      </w:divBdr>
    </w:div>
    <w:div w:id="872229343">
      <w:bodyDiv w:val="1"/>
      <w:marLeft w:val="0"/>
      <w:marRight w:val="0"/>
      <w:marTop w:val="0"/>
      <w:marBottom w:val="0"/>
      <w:divBdr>
        <w:top w:val="none" w:sz="0" w:space="0" w:color="auto"/>
        <w:left w:val="none" w:sz="0" w:space="0" w:color="auto"/>
        <w:bottom w:val="none" w:sz="0" w:space="0" w:color="auto"/>
        <w:right w:val="none" w:sz="0" w:space="0" w:color="auto"/>
      </w:divBdr>
    </w:div>
    <w:div w:id="974677923">
      <w:bodyDiv w:val="1"/>
      <w:marLeft w:val="0"/>
      <w:marRight w:val="0"/>
      <w:marTop w:val="0"/>
      <w:marBottom w:val="0"/>
      <w:divBdr>
        <w:top w:val="none" w:sz="0" w:space="0" w:color="auto"/>
        <w:left w:val="none" w:sz="0" w:space="0" w:color="auto"/>
        <w:bottom w:val="none" w:sz="0" w:space="0" w:color="auto"/>
        <w:right w:val="none" w:sz="0" w:space="0" w:color="auto"/>
      </w:divBdr>
      <w:divsChild>
        <w:div w:id="1746872621">
          <w:marLeft w:val="0"/>
          <w:marRight w:val="0"/>
          <w:marTop w:val="0"/>
          <w:marBottom w:val="0"/>
          <w:divBdr>
            <w:top w:val="none" w:sz="0" w:space="0" w:color="auto"/>
            <w:left w:val="none" w:sz="0" w:space="0" w:color="auto"/>
            <w:bottom w:val="none" w:sz="0" w:space="0" w:color="auto"/>
            <w:right w:val="none" w:sz="0" w:space="0" w:color="auto"/>
          </w:divBdr>
          <w:divsChild>
            <w:div w:id="1337802779">
              <w:marLeft w:val="0"/>
              <w:marRight w:val="0"/>
              <w:marTop w:val="0"/>
              <w:marBottom w:val="0"/>
              <w:divBdr>
                <w:top w:val="none" w:sz="0" w:space="0" w:color="auto"/>
                <w:left w:val="none" w:sz="0" w:space="0" w:color="auto"/>
                <w:bottom w:val="none" w:sz="0" w:space="0" w:color="auto"/>
                <w:right w:val="none" w:sz="0" w:space="0" w:color="auto"/>
              </w:divBdr>
              <w:divsChild>
                <w:div w:id="1862936918">
                  <w:marLeft w:val="0"/>
                  <w:marRight w:val="0"/>
                  <w:marTop w:val="0"/>
                  <w:marBottom w:val="0"/>
                  <w:divBdr>
                    <w:top w:val="none" w:sz="0" w:space="0" w:color="auto"/>
                    <w:left w:val="none" w:sz="0" w:space="0" w:color="auto"/>
                    <w:bottom w:val="none" w:sz="0" w:space="0" w:color="auto"/>
                    <w:right w:val="none" w:sz="0" w:space="0" w:color="auto"/>
                  </w:divBdr>
                  <w:divsChild>
                    <w:div w:id="1798599287">
                      <w:marLeft w:val="0"/>
                      <w:marRight w:val="0"/>
                      <w:marTop w:val="0"/>
                      <w:marBottom w:val="0"/>
                      <w:divBdr>
                        <w:top w:val="none" w:sz="0" w:space="0" w:color="auto"/>
                        <w:left w:val="none" w:sz="0" w:space="0" w:color="auto"/>
                        <w:bottom w:val="none" w:sz="0" w:space="0" w:color="auto"/>
                        <w:right w:val="none" w:sz="0" w:space="0" w:color="auto"/>
                      </w:divBdr>
                      <w:divsChild>
                        <w:div w:id="688336879">
                          <w:marLeft w:val="0"/>
                          <w:marRight w:val="0"/>
                          <w:marTop w:val="0"/>
                          <w:marBottom w:val="0"/>
                          <w:divBdr>
                            <w:top w:val="none" w:sz="0" w:space="0" w:color="auto"/>
                            <w:left w:val="none" w:sz="0" w:space="0" w:color="auto"/>
                            <w:bottom w:val="none" w:sz="0" w:space="0" w:color="auto"/>
                            <w:right w:val="none" w:sz="0" w:space="0" w:color="auto"/>
                          </w:divBdr>
                          <w:divsChild>
                            <w:div w:id="1910723634">
                              <w:marLeft w:val="0"/>
                              <w:marRight w:val="0"/>
                              <w:marTop w:val="0"/>
                              <w:marBottom w:val="0"/>
                              <w:divBdr>
                                <w:top w:val="none" w:sz="0" w:space="0" w:color="auto"/>
                                <w:left w:val="none" w:sz="0" w:space="0" w:color="auto"/>
                                <w:bottom w:val="none" w:sz="0" w:space="0" w:color="auto"/>
                                <w:right w:val="none" w:sz="0" w:space="0" w:color="auto"/>
                              </w:divBdr>
                              <w:divsChild>
                                <w:div w:id="747925298">
                                  <w:marLeft w:val="0"/>
                                  <w:marRight w:val="0"/>
                                  <w:marTop w:val="0"/>
                                  <w:marBottom w:val="0"/>
                                  <w:divBdr>
                                    <w:top w:val="none" w:sz="0" w:space="0" w:color="auto"/>
                                    <w:left w:val="none" w:sz="0" w:space="0" w:color="auto"/>
                                    <w:bottom w:val="none" w:sz="0" w:space="0" w:color="auto"/>
                                    <w:right w:val="none" w:sz="0" w:space="0" w:color="auto"/>
                                  </w:divBdr>
                                  <w:divsChild>
                                    <w:div w:id="4598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7652">
                          <w:marLeft w:val="0"/>
                          <w:marRight w:val="0"/>
                          <w:marTop w:val="0"/>
                          <w:marBottom w:val="0"/>
                          <w:divBdr>
                            <w:top w:val="none" w:sz="0" w:space="0" w:color="auto"/>
                            <w:left w:val="none" w:sz="0" w:space="0" w:color="auto"/>
                            <w:bottom w:val="none" w:sz="0" w:space="0" w:color="auto"/>
                            <w:right w:val="none" w:sz="0" w:space="0" w:color="auto"/>
                          </w:divBdr>
                          <w:divsChild>
                            <w:div w:id="1396318485">
                              <w:marLeft w:val="0"/>
                              <w:marRight w:val="0"/>
                              <w:marTop w:val="0"/>
                              <w:marBottom w:val="0"/>
                              <w:divBdr>
                                <w:top w:val="none" w:sz="0" w:space="0" w:color="auto"/>
                                <w:left w:val="none" w:sz="0" w:space="0" w:color="auto"/>
                                <w:bottom w:val="none" w:sz="0" w:space="0" w:color="auto"/>
                                <w:right w:val="none" w:sz="0" w:space="0" w:color="auto"/>
                              </w:divBdr>
                              <w:divsChild>
                                <w:div w:id="18795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7750">
      <w:bodyDiv w:val="1"/>
      <w:marLeft w:val="0"/>
      <w:marRight w:val="0"/>
      <w:marTop w:val="0"/>
      <w:marBottom w:val="0"/>
      <w:divBdr>
        <w:top w:val="none" w:sz="0" w:space="0" w:color="auto"/>
        <w:left w:val="none" w:sz="0" w:space="0" w:color="auto"/>
        <w:bottom w:val="none" w:sz="0" w:space="0" w:color="auto"/>
        <w:right w:val="none" w:sz="0" w:space="0" w:color="auto"/>
      </w:divBdr>
    </w:div>
    <w:div w:id="1525627295">
      <w:bodyDiv w:val="1"/>
      <w:marLeft w:val="0"/>
      <w:marRight w:val="0"/>
      <w:marTop w:val="0"/>
      <w:marBottom w:val="0"/>
      <w:divBdr>
        <w:top w:val="none" w:sz="0" w:space="0" w:color="auto"/>
        <w:left w:val="none" w:sz="0" w:space="0" w:color="auto"/>
        <w:bottom w:val="none" w:sz="0" w:space="0" w:color="auto"/>
        <w:right w:val="none" w:sz="0" w:space="0" w:color="auto"/>
      </w:divBdr>
      <w:divsChild>
        <w:div w:id="804003531">
          <w:marLeft w:val="0"/>
          <w:marRight w:val="0"/>
          <w:marTop w:val="0"/>
          <w:marBottom w:val="0"/>
          <w:divBdr>
            <w:top w:val="none" w:sz="0" w:space="0" w:color="auto"/>
            <w:left w:val="none" w:sz="0" w:space="0" w:color="auto"/>
            <w:bottom w:val="none" w:sz="0" w:space="0" w:color="auto"/>
            <w:right w:val="none" w:sz="0" w:space="0" w:color="auto"/>
          </w:divBdr>
          <w:divsChild>
            <w:div w:id="1712684115">
              <w:marLeft w:val="0"/>
              <w:marRight w:val="0"/>
              <w:marTop w:val="0"/>
              <w:marBottom w:val="0"/>
              <w:divBdr>
                <w:top w:val="none" w:sz="0" w:space="0" w:color="auto"/>
                <w:left w:val="none" w:sz="0" w:space="0" w:color="auto"/>
                <w:bottom w:val="none" w:sz="0" w:space="0" w:color="auto"/>
                <w:right w:val="none" w:sz="0" w:space="0" w:color="auto"/>
              </w:divBdr>
              <w:divsChild>
                <w:div w:id="781144249">
                  <w:marLeft w:val="0"/>
                  <w:marRight w:val="0"/>
                  <w:marTop w:val="0"/>
                  <w:marBottom w:val="0"/>
                  <w:divBdr>
                    <w:top w:val="none" w:sz="0" w:space="0" w:color="auto"/>
                    <w:left w:val="none" w:sz="0" w:space="0" w:color="auto"/>
                    <w:bottom w:val="none" w:sz="0" w:space="0" w:color="auto"/>
                    <w:right w:val="none" w:sz="0" w:space="0" w:color="auto"/>
                  </w:divBdr>
                  <w:divsChild>
                    <w:div w:id="1292442287">
                      <w:marLeft w:val="0"/>
                      <w:marRight w:val="0"/>
                      <w:marTop w:val="0"/>
                      <w:marBottom w:val="0"/>
                      <w:divBdr>
                        <w:top w:val="none" w:sz="0" w:space="0" w:color="auto"/>
                        <w:left w:val="none" w:sz="0" w:space="0" w:color="auto"/>
                        <w:bottom w:val="none" w:sz="0" w:space="0" w:color="auto"/>
                        <w:right w:val="none" w:sz="0" w:space="0" w:color="auto"/>
                      </w:divBdr>
                      <w:divsChild>
                        <w:div w:id="2096511502">
                          <w:marLeft w:val="0"/>
                          <w:marRight w:val="0"/>
                          <w:marTop w:val="0"/>
                          <w:marBottom w:val="0"/>
                          <w:divBdr>
                            <w:top w:val="none" w:sz="0" w:space="0" w:color="auto"/>
                            <w:left w:val="none" w:sz="0" w:space="0" w:color="auto"/>
                            <w:bottom w:val="none" w:sz="0" w:space="0" w:color="auto"/>
                            <w:right w:val="none" w:sz="0" w:space="0" w:color="auto"/>
                          </w:divBdr>
                          <w:divsChild>
                            <w:div w:id="1921022341">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sChild>
                                    <w:div w:id="907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7352">
                          <w:marLeft w:val="0"/>
                          <w:marRight w:val="0"/>
                          <w:marTop w:val="0"/>
                          <w:marBottom w:val="0"/>
                          <w:divBdr>
                            <w:top w:val="none" w:sz="0" w:space="0" w:color="auto"/>
                            <w:left w:val="none" w:sz="0" w:space="0" w:color="auto"/>
                            <w:bottom w:val="none" w:sz="0" w:space="0" w:color="auto"/>
                            <w:right w:val="none" w:sz="0" w:space="0" w:color="auto"/>
                          </w:divBdr>
                          <w:divsChild>
                            <w:div w:id="1906338447">
                              <w:marLeft w:val="0"/>
                              <w:marRight w:val="0"/>
                              <w:marTop w:val="0"/>
                              <w:marBottom w:val="0"/>
                              <w:divBdr>
                                <w:top w:val="none" w:sz="0" w:space="0" w:color="auto"/>
                                <w:left w:val="none" w:sz="0" w:space="0" w:color="auto"/>
                                <w:bottom w:val="none" w:sz="0" w:space="0" w:color="auto"/>
                                <w:right w:val="none" w:sz="0" w:space="0" w:color="auto"/>
                              </w:divBdr>
                              <w:divsChild>
                                <w:div w:id="10533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411258">
      <w:bodyDiv w:val="1"/>
      <w:marLeft w:val="0"/>
      <w:marRight w:val="0"/>
      <w:marTop w:val="0"/>
      <w:marBottom w:val="0"/>
      <w:divBdr>
        <w:top w:val="none" w:sz="0" w:space="0" w:color="auto"/>
        <w:left w:val="none" w:sz="0" w:space="0" w:color="auto"/>
        <w:bottom w:val="none" w:sz="0" w:space="0" w:color="auto"/>
        <w:right w:val="none" w:sz="0" w:space="0" w:color="auto"/>
      </w:divBdr>
    </w:div>
    <w:div w:id="1694917593">
      <w:bodyDiv w:val="1"/>
      <w:marLeft w:val="0"/>
      <w:marRight w:val="0"/>
      <w:marTop w:val="0"/>
      <w:marBottom w:val="0"/>
      <w:divBdr>
        <w:top w:val="none" w:sz="0" w:space="0" w:color="auto"/>
        <w:left w:val="none" w:sz="0" w:space="0" w:color="auto"/>
        <w:bottom w:val="none" w:sz="0" w:space="0" w:color="auto"/>
        <w:right w:val="none" w:sz="0" w:space="0" w:color="auto"/>
      </w:divBdr>
      <w:divsChild>
        <w:div w:id="1669286293">
          <w:marLeft w:val="0"/>
          <w:marRight w:val="0"/>
          <w:marTop w:val="0"/>
          <w:marBottom w:val="0"/>
          <w:divBdr>
            <w:top w:val="none" w:sz="0" w:space="0" w:color="auto"/>
            <w:left w:val="none" w:sz="0" w:space="0" w:color="auto"/>
            <w:bottom w:val="none" w:sz="0" w:space="0" w:color="auto"/>
            <w:right w:val="none" w:sz="0" w:space="0" w:color="auto"/>
          </w:divBdr>
          <w:divsChild>
            <w:div w:id="918056356">
              <w:marLeft w:val="0"/>
              <w:marRight w:val="0"/>
              <w:marTop w:val="0"/>
              <w:marBottom w:val="0"/>
              <w:divBdr>
                <w:top w:val="none" w:sz="0" w:space="0" w:color="auto"/>
                <w:left w:val="none" w:sz="0" w:space="0" w:color="auto"/>
                <w:bottom w:val="none" w:sz="0" w:space="0" w:color="auto"/>
                <w:right w:val="none" w:sz="0" w:space="0" w:color="auto"/>
              </w:divBdr>
              <w:divsChild>
                <w:div w:id="613442965">
                  <w:marLeft w:val="0"/>
                  <w:marRight w:val="0"/>
                  <w:marTop w:val="0"/>
                  <w:marBottom w:val="0"/>
                  <w:divBdr>
                    <w:top w:val="none" w:sz="0" w:space="0" w:color="auto"/>
                    <w:left w:val="none" w:sz="0" w:space="0" w:color="auto"/>
                    <w:bottom w:val="none" w:sz="0" w:space="0" w:color="auto"/>
                    <w:right w:val="none" w:sz="0" w:space="0" w:color="auto"/>
                  </w:divBdr>
                  <w:divsChild>
                    <w:div w:id="72356699">
                      <w:marLeft w:val="0"/>
                      <w:marRight w:val="0"/>
                      <w:marTop w:val="0"/>
                      <w:marBottom w:val="0"/>
                      <w:divBdr>
                        <w:top w:val="none" w:sz="0" w:space="0" w:color="auto"/>
                        <w:left w:val="none" w:sz="0" w:space="0" w:color="auto"/>
                        <w:bottom w:val="none" w:sz="0" w:space="0" w:color="auto"/>
                        <w:right w:val="none" w:sz="0" w:space="0" w:color="auto"/>
                      </w:divBdr>
                      <w:divsChild>
                        <w:div w:id="1787117206">
                          <w:marLeft w:val="0"/>
                          <w:marRight w:val="0"/>
                          <w:marTop w:val="0"/>
                          <w:marBottom w:val="0"/>
                          <w:divBdr>
                            <w:top w:val="none" w:sz="0" w:space="0" w:color="auto"/>
                            <w:left w:val="none" w:sz="0" w:space="0" w:color="auto"/>
                            <w:bottom w:val="none" w:sz="0" w:space="0" w:color="auto"/>
                            <w:right w:val="none" w:sz="0" w:space="0" w:color="auto"/>
                          </w:divBdr>
                          <w:divsChild>
                            <w:div w:id="427117222">
                              <w:marLeft w:val="0"/>
                              <w:marRight w:val="0"/>
                              <w:marTop w:val="0"/>
                              <w:marBottom w:val="0"/>
                              <w:divBdr>
                                <w:top w:val="none" w:sz="0" w:space="0" w:color="auto"/>
                                <w:left w:val="none" w:sz="0" w:space="0" w:color="auto"/>
                                <w:bottom w:val="none" w:sz="0" w:space="0" w:color="auto"/>
                                <w:right w:val="none" w:sz="0" w:space="0" w:color="auto"/>
                              </w:divBdr>
                              <w:divsChild>
                                <w:div w:id="1926180241">
                                  <w:marLeft w:val="0"/>
                                  <w:marRight w:val="0"/>
                                  <w:marTop w:val="0"/>
                                  <w:marBottom w:val="0"/>
                                  <w:divBdr>
                                    <w:top w:val="none" w:sz="0" w:space="0" w:color="auto"/>
                                    <w:left w:val="none" w:sz="0" w:space="0" w:color="auto"/>
                                    <w:bottom w:val="none" w:sz="0" w:space="0" w:color="auto"/>
                                    <w:right w:val="none" w:sz="0" w:space="0" w:color="auto"/>
                                  </w:divBdr>
                                  <w:divsChild>
                                    <w:div w:id="1460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8090">
                          <w:marLeft w:val="0"/>
                          <w:marRight w:val="0"/>
                          <w:marTop w:val="0"/>
                          <w:marBottom w:val="0"/>
                          <w:divBdr>
                            <w:top w:val="none" w:sz="0" w:space="0" w:color="auto"/>
                            <w:left w:val="none" w:sz="0" w:space="0" w:color="auto"/>
                            <w:bottom w:val="none" w:sz="0" w:space="0" w:color="auto"/>
                            <w:right w:val="none" w:sz="0" w:space="0" w:color="auto"/>
                          </w:divBdr>
                          <w:divsChild>
                            <w:div w:id="232550555">
                              <w:marLeft w:val="0"/>
                              <w:marRight w:val="0"/>
                              <w:marTop w:val="0"/>
                              <w:marBottom w:val="0"/>
                              <w:divBdr>
                                <w:top w:val="none" w:sz="0" w:space="0" w:color="auto"/>
                                <w:left w:val="none" w:sz="0" w:space="0" w:color="auto"/>
                                <w:bottom w:val="none" w:sz="0" w:space="0" w:color="auto"/>
                                <w:right w:val="none" w:sz="0" w:space="0" w:color="auto"/>
                              </w:divBdr>
                              <w:divsChild>
                                <w:div w:id="4326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45037">
      <w:bodyDiv w:val="1"/>
      <w:marLeft w:val="0"/>
      <w:marRight w:val="0"/>
      <w:marTop w:val="0"/>
      <w:marBottom w:val="0"/>
      <w:divBdr>
        <w:top w:val="none" w:sz="0" w:space="0" w:color="auto"/>
        <w:left w:val="none" w:sz="0" w:space="0" w:color="auto"/>
        <w:bottom w:val="none" w:sz="0" w:space="0" w:color="auto"/>
        <w:right w:val="none" w:sz="0" w:space="0" w:color="auto"/>
      </w:divBdr>
      <w:divsChild>
        <w:div w:id="640960400">
          <w:marLeft w:val="0"/>
          <w:marRight w:val="0"/>
          <w:marTop w:val="0"/>
          <w:marBottom w:val="0"/>
          <w:divBdr>
            <w:top w:val="none" w:sz="0" w:space="0" w:color="auto"/>
            <w:left w:val="none" w:sz="0" w:space="0" w:color="auto"/>
            <w:bottom w:val="none" w:sz="0" w:space="0" w:color="auto"/>
            <w:right w:val="none" w:sz="0" w:space="0" w:color="auto"/>
          </w:divBdr>
          <w:divsChild>
            <w:div w:id="1191142124">
              <w:marLeft w:val="0"/>
              <w:marRight w:val="0"/>
              <w:marTop w:val="0"/>
              <w:marBottom w:val="0"/>
              <w:divBdr>
                <w:top w:val="none" w:sz="0" w:space="0" w:color="auto"/>
                <w:left w:val="none" w:sz="0" w:space="0" w:color="auto"/>
                <w:bottom w:val="none" w:sz="0" w:space="0" w:color="auto"/>
                <w:right w:val="none" w:sz="0" w:space="0" w:color="auto"/>
              </w:divBdr>
              <w:divsChild>
                <w:div w:id="1829206783">
                  <w:marLeft w:val="0"/>
                  <w:marRight w:val="0"/>
                  <w:marTop w:val="0"/>
                  <w:marBottom w:val="0"/>
                  <w:divBdr>
                    <w:top w:val="none" w:sz="0" w:space="0" w:color="auto"/>
                    <w:left w:val="none" w:sz="0" w:space="0" w:color="auto"/>
                    <w:bottom w:val="none" w:sz="0" w:space="0" w:color="auto"/>
                    <w:right w:val="none" w:sz="0" w:space="0" w:color="auto"/>
                  </w:divBdr>
                  <w:divsChild>
                    <w:div w:id="1113211928">
                      <w:marLeft w:val="0"/>
                      <w:marRight w:val="0"/>
                      <w:marTop w:val="0"/>
                      <w:marBottom w:val="0"/>
                      <w:divBdr>
                        <w:top w:val="none" w:sz="0" w:space="0" w:color="auto"/>
                        <w:left w:val="none" w:sz="0" w:space="0" w:color="auto"/>
                        <w:bottom w:val="none" w:sz="0" w:space="0" w:color="auto"/>
                        <w:right w:val="none" w:sz="0" w:space="0" w:color="auto"/>
                      </w:divBdr>
                      <w:divsChild>
                        <w:div w:id="972828783">
                          <w:marLeft w:val="0"/>
                          <w:marRight w:val="0"/>
                          <w:marTop w:val="0"/>
                          <w:marBottom w:val="0"/>
                          <w:divBdr>
                            <w:top w:val="none" w:sz="0" w:space="0" w:color="auto"/>
                            <w:left w:val="none" w:sz="0" w:space="0" w:color="auto"/>
                            <w:bottom w:val="none" w:sz="0" w:space="0" w:color="auto"/>
                            <w:right w:val="none" w:sz="0" w:space="0" w:color="auto"/>
                          </w:divBdr>
                          <w:divsChild>
                            <w:div w:id="1845431889">
                              <w:marLeft w:val="0"/>
                              <w:marRight w:val="0"/>
                              <w:marTop w:val="0"/>
                              <w:marBottom w:val="0"/>
                              <w:divBdr>
                                <w:top w:val="none" w:sz="0" w:space="0" w:color="auto"/>
                                <w:left w:val="none" w:sz="0" w:space="0" w:color="auto"/>
                                <w:bottom w:val="none" w:sz="0" w:space="0" w:color="auto"/>
                                <w:right w:val="none" w:sz="0" w:space="0" w:color="auto"/>
                              </w:divBdr>
                              <w:divsChild>
                                <w:div w:id="430930675">
                                  <w:marLeft w:val="0"/>
                                  <w:marRight w:val="0"/>
                                  <w:marTop w:val="0"/>
                                  <w:marBottom w:val="0"/>
                                  <w:divBdr>
                                    <w:top w:val="none" w:sz="0" w:space="0" w:color="auto"/>
                                    <w:left w:val="none" w:sz="0" w:space="0" w:color="auto"/>
                                    <w:bottom w:val="none" w:sz="0" w:space="0" w:color="auto"/>
                                    <w:right w:val="none" w:sz="0" w:space="0" w:color="auto"/>
                                  </w:divBdr>
                                  <w:divsChild>
                                    <w:div w:id="6695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2109">
                          <w:marLeft w:val="0"/>
                          <w:marRight w:val="0"/>
                          <w:marTop w:val="0"/>
                          <w:marBottom w:val="0"/>
                          <w:divBdr>
                            <w:top w:val="none" w:sz="0" w:space="0" w:color="auto"/>
                            <w:left w:val="none" w:sz="0" w:space="0" w:color="auto"/>
                            <w:bottom w:val="none" w:sz="0" w:space="0" w:color="auto"/>
                            <w:right w:val="none" w:sz="0" w:space="0" w:color="auto"/>
                          </w:divBdr>
                          <w:divsChild>
                            <w:div w:id="407121554">
                              <w:marLeft w:val="0"/>
                              <w:marRight w:val="0"/>
                              <w:marTop w:val="0"/>
                              <w:marBottom w:val="0"/>
                              <w:divBdr>
                                <w:top w:val="none" w:sz="0" w:space="0" w:color="auto"/>
                                <w:left w:val="none" w:sz="0" w:space="0" w:color="auto"/>
                                <w:bottom w:val="none" w:sz="0" w:space="0" w:color="auto"/>
                                <w:right w:val="none" w:sz="0" w:space="0" w:color="auto"/>
                              </w:divBdr>
                              <w:divsChild>
                                <w:div w:id="9322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158909" TargetMode="External"/><Relationship Id="rId13" Type="http://schemas.openxmlformats.org/officeDocument/2006/relationships/hyperlink" Target="https://ssrn.com/abstract=3687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conline.com/blog/post/2022/11/29/vodafone-versus-india-a-never-ending-sag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alserviceindia.com/legal/article-3712-the-concept-of-tax-evasion-and-its-impact-on-national-econom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lrjs.com/wp-content/uploads/2023/07/242.-Sahi-1.pdf" TargetMode="External"/><Relationship Id="rId5" Type="http://schemas.openxmlformats.org/officeDocument/2006/relationships/webSettings" Target="webSettings.xml"/><Relationship Id="rId15" Type="http://schemas.openxmlformats.org/officeDocument/2006/relationships/hyperlink" Target="https://www.thehindu.com/business/volkswagen-india-unit-faces-14-billion-tax-evasion-notice/article68927786.ece" TargetMode="External"/><Relationship Id="rId10" Type="http://schemas.openxmlformats.org/officeDocument/2006/relationships/hyperlink" Target="https://www.srcc.edu/system/files/Pg%2037-44,%20Ritu%20Ranjan,%20Parallel%20economy%20in%20India_%20the%20problem%20of%20quantification.pdf" TargetMode="External"/><Relationship Id="rId4" Type="http://schemas.openxmlformats.org/officeDocument/2006/relationships/settings" Target="settings.xml"/><Relationship Id="rId9" Type="http://schemas.openxmlformats.org/officeDocument/2006/relationships/hyperlink" Target="https://www.jetir.org/papers/JETIR2108012.pdf" TargetMode="External"/><Relationship Id="rId14" Type="http://schemas.openxmlformats.org/officeDocument/2006/relationships/hyperlink" Target="https://dea.gov.in/sites/default/files/measures_taken_by_govt_Black_Money.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alserviceindia.com/legal/article-3712-the-concept-of-tax-evasion-and-its-impact-on-national-economy.html" TargetMode="External"/><Relationship Id="rId3" Type="http://schemas.openxmlformats.org/officeDocument/2006/relationships/hyperlink" Target="https://ssrn.com/abstract=3036096" TargetMode="External"/><Relationship Id="rId7" Type="http://schemas.openxmlformats.org/officeDocument/2006/relationships/hyperlink" Target="https://dea.gov.in/sites/default/files/measures_taken_by_govt_Black_Money.pdf" TargetMode="External"/><Relationship Id="rId2" Type="http://schemas.openxmlformats.org/officeDocument/2006/relationships/hyperlink" Target="https://www.jetir.org/papers/JETIR2108012.pdf" TargetMode="External"/><Relationship Id="rId1" Type="http://schemas.openxmlformats.org/officeDocument/2006/relationships/hyperlink" Target="https://www.srcc.edu/system/files/Pg%2037-44,%20Ritu%20Ranjan,%20Parallel%20economy%20in%20India_%20the%20problem%20of%20quantification.pdf" TargetMode="External"/><Relationship Id="rId6" Type="http://schemas.openxmlformats.org/officeDocument/2006/relationships/hyperlink" Target="https://www.scconline.com/blog/post/2022/11/29/vodafone-versus-india-a-never-ending-saga/" TargetMode="External"/><Relationship Id="rId5" Type="http://schemas.openxmlformats.org/officeDocument/2006/relationships/hyperlink" Target="https://www.thehindu.com/business/volkswagen-india-unit-faces-14-billion-tax-evasion-notice/article68927786.ece" TargetMode="External"/><Relationship Id="rId10" Type="http://schemas.openxmlformats.org/officeDocument/2006/relationships/hyperlink" Target="https://jlrjs.com/wp-content/uploads/2023/07/242.-Sahi-1.pdf" TargetMode="External"/><Relationship Id="rId4" Type="http://schemas.openxmlformats.org/officeDocument/2006/relationships/hyperlink" Target="https://ssrn.com/abstract=3687961" TargetMode="External"/><Relationship Id="rId9" Type="http://schemas.openxmlformats.org/officeDocument/2006/relationships/hyperlink" Target="https://papers.ssrn.com/sol3/papers.cfm?abstract_id=4158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7A02-06AF-4FB5-9CBD-C7F12546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kasak Tyagi</dc:creator>
  <cp:keywords/>
  <dc:description/>
  <cp:lastModifiedBy>kasak Tyagi</cp:lastModifiedBy>
  <cp:revision>14</cp:revision>
  <dcterms:created xsi:type="dcterms:W3CDTF">2025-04-01T04:45:00Z</dcterms:created>
  <dcterms:modified xsi:type="dcterms:W3CDTF">2025-04-01T08:03:00Z</dcterms:modified>
</cp:coreProperties>
</file>