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BB007" w14:textId="77777777" w:rsidR="000B2AF4" w:rsidRPr="00A9200E" w:rsidRDefault="000B2AF4" w:rsidP="00007A5B">
      <w:pPr>
        <w:spacing w:after="0" w:line="240" w:lineRule="auto"/>
        <w:jc w:val="center"/>
        <w:rPr>
          <w:rFonts w:ascii="Times New Roman" w:hAnsi="Times New Roman" w:cs="Times New Roman"/>
        </w:rPr>
      </w:pPr>
      <w:r w:rsidRPr="00176DBA">
        <w:rPr>
          <w:rFonts w:ascii="Times New Roman" w:hAnsi="Times New Roman" w:cs="Times New Roman"/>
          <w:b/>
          <w:bCs/>
          <w:sz w:val="36"/>
          <w:szCs w:val="36"/>
        </w:rPr>
        <w:t>Rethinking Digital Readiness in Higher Education: A Behavioural–Institutional Framework for Transformation</w:t>
      </w:r>
    </w:p>
    <w:p w14:paraId="5A5F7512" w14:textId="59C85D2F" w:rsidR="00176DBA" w:rsidRPr="00C21873" w:rsidRDefault="00176DBA" w:rsidP="00176DBA">
      <w:pPr>
        <w:spacing w:before="240" w:after="240" w:line="240" w:lineRule="auto"/>
        <w:jc w:val="center"/>
        <w:rPr>
          <w:rFonts w:ascii="Times New Roman" w:hAnsi="Times New Roman" w:cs="Times New Roman"/>
          <w:b/>
          <w:bCs/>
          <w:vertAlign w:val="superscript"/>
        </w:rPr>
      </w:pPr>
    </w:p>
    <w:p w14:paraId="2F101F13" w14:textId="3DE83744" w:rsidR="00013C38" w:rsidRDefault="00013C38" w:rsidP="00013C38">
      <w:pPr>
        <w:spacing w:after="240" w:line="240" w:lineRule="auto"/>
        <w:jc w:val="center"/>
        <w:rPr>
          <w:rFonts w:ascii="Times New Roman" w:hAnsi="Times New Roman" w:cs="Times New Roman"/>
          <w:b/>
          <w:bCs/>
        </w:rPr>
      </w:pPr>
    </w:p>
    <w:p w14:paraId="67ED70A0" w14:textId="109CF5BC" w:rsidR="001D15C6" w:rsidRPr="00477A65" w:rsidRDefault="001D15C6" w:rsidP="001D15C6">
      <w:pPr>
        <w:spacing w:before="240" w:after="240" w:line="240" w:lineRule="auto"/>
        <w:jc w:val="center"/>
        <w:rPr>
          <w:rFonts w:ascii="Times New Roman" w:hAnsi="Times New Roman" w:cs="Times New Roman"/>
          <w:b/>
          <w:bCs/>
        </w:rPr>
      </w:pPr>
    </w:p>
    <w:p w14:paraId="7B8EC95C" w14:textId="708BF274" w:rsidR="00176DBA" w:rsidRPr="00477A65" w:rsidRDefault="00176DBA" w:rsidP="00176DBA">
      <w:pPr>
        <w:spacing w:before="240" w:after="240" w:line="240" w:lineRule="auto"/>
        <w:jc w:val="center"/>
        <w:rPr>
          <w:rFonts w:ascii="Times New Roman" w:hAnsi="Times New Roman" w:cs="Times New Roman"/>
          <w:b/>
          <w:bCs/>
        </w:rPr>
      </w:pPr>
    </w:p>
    <w:p w14:paraId="502E595B" w14:textId="43E13F15" w:rsidR="00176DBA" w:rsidRDefault="00176DBA" w:rsidP="00176DBA">
      <w:pPr>
        <w:spacing w:before="240" w:after="240" w:line="240" w:lineRule="auto"/>
        <w:jc w:val="center"/>
      </w:pPr>
      <w:r w:rsidRPr="00477A65">
        <w:rPr>
          <w:rFonts w:ascii="Times New Roman" w:hAnsi="Times New Roman" w:cs="Times New Roman"/>
          <w:b/>
          <w:bCs/>
        </w:rPr>
        <w:t/>
      </w:r>
      <w:r>
        <w:rPr>
          <w:rFonts w:ascii="Times New Roman" w:hAnsi="Times New Roman" w:cs="Times New Roman"/>
          <w:b/>
          <w:bCs/>
        </w:rPr>
        <w:t/>
      </w:r>
      <w:r w:rsidRPr="00477A65">
        <w:rPr>
          <w:rFonts w:ascii="Times New Roman" w:hAnsi="Times New Roman" w:cs="Times New Roman"/>
          <w:b/>
          <w:bCs/>
        </w:rPr>
        <w:t xml:space="preserve"/>
      </w:r>
    </w:p>
    <w:p w14:paraId="21C6B56C" w14:textId="59926F05" w:rsidR="00C45099" w:rsidRDefault="00C45099" w:rsidP="00C45099">
      <w:pPr>
        <w:spacing w:before="240" w:after="240" w:line="240" w:lineRule="auto"/>
        <w:jc w:val="center"/>
        <w:rPr>
          <w:rFonts w:ascii="Times New Roman" w:hAnsi="Times New Roman" w:cs="Times New Roman"/>
          <w:b/>
          <w:bCs/>
        </w:rPr>
      </w:pPr>
      <w:r>
        <w:rPr>
          <w:rFonts w:ascii="Times New Roman" w:hAnsi="Times New Roman" w:cs="Times New Roman"/>
          <w:b/>
          <w:bCs/>
        </w:rPr>
        <w:t xml:space="preserve"/>
      </w:r>
      <w:hyperlink r:id="rId7" w:history="1">
        <w:r w:rsidR="006B682E" w:rsidRPr="00EB6068">
          <w:rPr>
            <w:rStyle w:val="Hyperlink"/>
            <w:rFonts w:ascii="Times New Roman" w:hAnsi="Times New Roman" w:cs="Times New Roman"/>
            <w:b/>
            <w:bCs/>
          </w:rPr>
          <w:t/>
        </w:r>
      </w:hyperlink>
    </w:p>
    <w:p w14:paraId="3704F8EF" w14:textId="77777777" w:rsidR="008D7D12" w:rsidRDefault="008D7D12" w:rsidP="008D7D12">
      <w:pPr>
        <w:spacing w:before="240" w:after="240" w:line="240" w:lineRule="auto"/>
        <w:jc w:val="center"/>
        <w:rPr>
          <w:rFonts w:ascii="Times New Roman" w:hAnsi="Times New Roman" w:cs="Times New Roman"/>
          <w:b/>
          <w:bCs/>
        </w:rPr>
      </w:pPr>
      <w:r w:rsidRPr="003C1095">
        <w:rPr>
          <w:rFonts w:ascii="Times New Roman" w:hAnsi="Times New Roman" w:cs="Times New Roman"/>
          <w:b/>
          <w:bCs/>
        </w:rPr>
        <w:t/>
      </w:r>
      <w:r>
        <w:rPr>
          <w:rFonts w:ascii="Times New Roman" w:hAnsi="Times New Roman" w:cs="Times New Roman"/>
          <w:b/>
          <w:bCs/>
        </w:rPr>
        <w:t xml:space="preserve"/>
      </w:r>
      <w:r w:rsidRPr="003C1095">
        <w:rPr>
          <w:rFonts w:ascii="Times New Roman" w:hAnsi="Times New Roman" w:cs="Times New Roman"/>
          <w:b/>
          <w:bCs/>
        </w:rPr>
        <w:t xml:space="preserve"/>
      </w:r>
      <w:r>
        <w:rPr>
          <w:rFonts w:ascii="Times New Roman" w:hAnsi="Times New Roman" w:cs="Times New Roman"/>
          <w:b/>
          <w:bCs/>
        </w:rPr>
        <w:t/>
      </w:r>
      <w:r w:rsidRPr="003C1095">
        <w:rPr>
          <w:rFonts w:ascii="Times New Roman" w:hAnsi="Times New Roman" w:cs="Times New Roman"/>
          <w:b/>
          <w:bCs/>
        </w:rPr>
        <w:t xml:space="preserve"/>
      </w:r>
      <w:r>
        <w:rPr>
          <w:rFonts w:ascii="Times New Roman" w:hAnsi="Times New Roman" w:cs="Times New Roman"/>
          <w:b/>
          <w:bCs/>
        </w:rPr>
        <w:t/>
      </w:r>
    </w:p>
    <w:p w14:paraId="24DDD237" w14:textId="0418F2F4" w:rsidR="005F4600" w:rsidRPr="00A9200E" w:rsidRDefault="003F0D41" w:rsidP="003F0D41">
      <w:pPr>
        <w:pStyle w:val="Heading1"/>
        <w:spacing w:before="240" w:after="240" w:line="240" w:lineRule="auto"/>
        <w:jc w:val="both"/>
        <w:rPr>
          <w:rFonts w:ascii="Times New Roman" w:hAnsi="Times New Roman" w:cs="Times New Roman"/>
          <w:b/>
          <w:bCs/>
          <w:color w:val="auto"/>
          <w:sz w:val="24"/>
          <w:szCs w:val="24"/>
          <w:lang w:val="en-US"/>
        </w:rPr>
      </w:pPr>
      <w:r w:rsidRPr="00A9200E">
        <w:rPr>
          <w:rFonts w:ascii="Times New Roman" w:hAnsi="Times New Roman" w:cs="Times New Roman"/>
          <w:b/>
          <w:bCs/>
          <w:color w:val="auto"/>
          <w:sz w:val="24"/>
          <w:szCs w:val="24"/>
        </w:rPr>
        <w:t>ABSTRACT</w:t>
      </w:r>
    </w:p>
    <w:p w14:paraId="18B3353F" w14:textId="66F67F8A" w:rsidR="009F5B0D" w:rsidRPr="00A9200E" w:rsidRDefault="009F5B0D" w:rsidP="006E4B04">
      <w:pPr>
        <w:spacing w:before="240" w:after="240" w:line="240" w:lineRule="auto"/>
        <w:jc w:val="both"/>
        <w:rPr>
          <w:rFonts w:ascii="Times New Roman" w:hAnsi="Times New Roman" w:cs="Times New Roman"/>
          <w:lang w:val="en-US"/>
        </w:rPr>
      </w:pPr>
      <w:r w:rsidRPr="00A9200E">
        <w:rPr>
          <w:rFonts w:ascii="Times New Roman" w:hAnsi="Times New Roman" w:cs="Times New Roman"/>
          <w:i/>
          <w:iCs/>
          <w:lang w:val="en-US"/>
        </w:rPr>
        <w:t>Purpose</w:t>
      </w:r>
      <w:r w:rsidRPr="00A9200E">
        <w:rPr>
          <w:rFonts w:ascii="Times New Roman" w:hAnsi="Times New Roman" w:cs="Times New Roman"/>
          <w:lang w:val="en-US"/>
        </w:rPr>
        <w:t xml:space="preserve"> – This paper addresses the persistent gap between digital capacity and transformation in higher education by reconceptualising digital readiness as a multilevel socio-technical capability rather than a static measure of technological assets.</w:t>
      </w:r>
      <w:r w:rsidR="00A9200E">
        <w:rPr>
          <w:rFonts w:ascii="Times New Roman" w:hAnsi="Times New Roman" w:cs="Times New Roman"/>
          <w:lang w:val="en-US"/>
        </w:rPr>
        <w:t xml:space="preserve"> </w:t>
      </w:r>
      <w:r w:rsidRPr="00A9200E">
        <w:rPr>
          <w:rFonts w:ascii="Times New Roman" w:hAnsi="Times New Roman" w:cs="Times New Roman"/>
          <w:i/>
          <w:iCs/>
          <w:lang w:val="en-US"/>
        </w:rPr>
        <w:t>Design/methodology/approach</w:t>
      </w:r>
      <w:r w:rsidRPr="00A9200E">
        <w:rPr>
          <w:rFonts w:ascii="Times New Roman" w:hAnsi="Times New Roman" w:cs="Times New Roman"/>
          <w:lang w:val="en-US"/>
        </w:rPr>
        <w:t xml:space="preserve"> – Using a critical conceptual synthesis of digital readiness literature, the study identifies key theoretical and methodological limitations and develops the Behavioural–Institutional Framework for Transformation (BIFT), which integrates behavioural, leadership, and institutional dimensions of readiness.</w:t>
      </w:r>
      <w:r w:rsidR="00A9200E">
        <w:rPr>
          <w:rFonts w:ascii="Times New Roman" w:hAnsi="Times New Roman" w:cs="Times New Roman"/>
          <w:lang w:val="en-US"/>
        </w:rPr>
        <w:t xml:space="preserve"> </w:t>
      </w:r>
      <w:r w:rsidRPr="00A9200E">
        <w:rPr>
          <w:rFonts w:ascii="Times New Roman" w:hAnsi="Times New Roman" w:cs="Times New Roman"/>
          <w:i/>
          <w:iCs/>
          <w:lang w:val="en-US"/>
        </w:rPr>
        <w:t>Findings</w:t>
      </w:r>
      <w:r w:rsidRPr="00A9200E">
        <w:rPr>
          <w:rFonts w:ascii="Times New Roman" w:hAnsi="Times New Roman" w:cs="Times New Roman"/>
          <w:lang w:val="en-US"/>
        </w:rPr>
        <w:t xml:space="preserve"> – Digital transformation outcomes depend on the alignment of behavioural readiness (e.g., self-efficacy, unlearning, resilience), leadership readiness (e.g., strategic vision, orchestration), and institutional readiness (e.g., digital culture, psychological safety, technical debt). This alignment generates </w:t>
      </w:r>
      <w:r w:rsidRPr="00A9200E">
        <w:rPr>
          <w:rFonts w:ascii="Times New Roman" w:hAnsi="Times New Roman" w:cs="Times New Roman"/>
          <w:i/>
          <w:iCs/>
          <w:lang w:val="en-US"/>
        </w:rPr>
        <w:t>digital transformation preparedness</w:t>
      </w:r>
      <w:r w:rsidRPr="00A9200E">
        <w:rPr>
          <w:rFonts w:ascii="Times New Roman" w:hAnsi="Times New Roman" w:cs="Times New Roman"/>
          <w:lang w:val="en-US"/>
        </w:rPr>
        <w:t>, a distinct construct that better explains sustained transformation than conventional readiness measures.</w:t>
      </w:r>
      <w:r w:rsidR="00A9200E">
        <w:rPr>
          <w:rFonts w:ascii="Times New Roman" w:hAnsi="Times New Roman" w:cs="Times New Roman"/>
          <w:lang w:val="en-US"/>
        </w:rPr>
        <w:t xml:space="preserve"> </w:t>
      </w:r>
      <w:r w:rsidRPr="00A9200E">
        <w:rPr>
          <w:rFonts w:ascii="Times New Roman" w:hAnsi="Times New Roman" w:cs="Times New Roman"/>
          <w:i/>
          <w:iCs/>
          <w:lang w:val="en-US"/>
        </w:rPr>
        <w:t>Originality/value</w:t>
      </w:r>
      <w:r w:rsidRPr="00A9200E">
        <w:rPr>
          <w:rFonts w:ascii="Times New Roman" w:hAnsi="Times New Roman" w:cs="Times New Roman"/>
          <w:lang w:val="en-US"/>
        </w:rPr>
        <w:t xml:space="preserve"> – The paper advances theory by distinguishing readiness from preparedness and positioning cross-level alignment as the central mechanism of digital transformation. It also proposes the </w:t>
      </w:r>
      <w:r w:rsidRPr="00A9200E">
        <w:rPr>
          <w:rFonts w:ascii="Times New Roman" w:hAnsi="Times New Roman" w:cs="Times New Roman"/>
          <w:i/>
          <w:iCs/>
          <w:lang w:val="en-US"/>
        </w:rPr>
        <w:t>Behavioural–Digital Readiness Index (BDRI)</w:t>
      </w:r>
      <w:r w:rsidRPr="00A9200E">
        <w:rPr>
          <w:rFonts w:ascii="Times New Roman" w:hAnsi="Times New Roman" w:cs="Times New Roman"/>
          <w:lang w:val="en-US"/>
        </w:rPr>
        <w:t xml:space="preserve"> as a multi-method agenda for assessing preparedness through context-sensitive and performance-oriented indicators.</w:t>
      </w:r>
    </w:p>
    <w:p w14:paraId="2E0E7673" w14:textId="77777777" w:rsidR="009F5B0D" w:rsidRPr="00A9200E" w:rsidRDefault="009F5B0D" w:rsidP="006E4B04">
      <w:pPr>
        <w:spacing w:before="240" w:after="240" w:line="240" w:lineRule="auto"/>
        <w:jc w:val="both"/>
        <w:rPr>
          <w:rFonts w:ascii="Times New Roman" w:hAnsi="Times New Roman" w:cs="Times New Roman"/>
          <w:lang w:val="en-US"/>
        </w:rPr>
      </w:pPr>
      <w:r w:rsidRPr="00A9200E">
        <w:rPr>
          <w:rFonts w:ascii="Times New Roman" w:hAnsi="Times New Roman" w:cs="Times New Roman"/>
          <w:b/>
          <w:bCs/>
          <w:lang w:val="en-US"/>
        </w:rPr>
        <w:t>Keywords:</w:t>
      </w:r>
      <w:r w:rsidRPr="00A9200E">
        <w:rPr>
          <w:rFonts w:ascii="Times New Roman" w:hAnsi="Times New Roman" w:cs="Times New Roman"/>
          <w:lang w:val="en-US"/>
        </w:rPr>
        <w:t xml:space="preserve"> Digital Readiness; Higher Education; Digital Transformation; Multilevel Framework; Behavioural–Institutional Lens.</w:t>
      </w:r>
    </w:p>
    <w:p w14:paraId="51304B5C" w14:textId="7F081F2A" w:rsidR="009F5B0D" w:rsidRPr="00A9200E" w:rsidRDefault="00A9200E" w:rsidP="006E4B04">
      <w:pPr>
        <w:pStyle w:val="Heading1"/>
        <w:spacing w:before="240" w:after="240" w:line="240" w:lineRule="auto"/>
        <w:jc w:val="both"/>
        <w:rPr>
          <w:rFonts w:ascii="Times New Roman" w:hAnsi="Times New Roman" w:cs="Times New Roman"/>
          <w:b/>
          <w:bCs/>
          <w:color w:val="auto"/>
          <w:sz w:val="24"/>
          <w:szCs w:val="24"/>
          <w:lang w:val="en-US"/>
        </w:rPr>
      </w:pPr>
      <w:r w:rsidRPr="00A9200E">
        <w:rPr>
          <w:rFonts w:ascii="Times New Roman" w:hAnsi="Times New Roman" w:cs="Times New Roman"/>
          <w:b/>
          <w:bCs/>
          <w:color w:val="auto"/>
          <w:sz w:val="24"/>
          <w:szCs w:val="24"/>
          <w:lang w:val="en-US"/>
        </w:rPr>
        <w:t>INTRODUCTION</w:t>
      </w:r>
    </w:p>
    <w:p w14:paraId="44C7E8C8" w14:textId="77777777" w:rsidR="009F5B0D" w:rsidRPr="00A9200E" w:rsidRDefault="009F5B0D" w:rsidP="00937B6B">
      <w:pPr>
        <w:spacing w:before="240" w:after="240" w:line="240" w:lineRule="auto"/>
        <w:jc w:val="both"/>
        <w:rPr>
          <w:rFonts w:ascii="Times New Roman" w:hAnsi="Times New Roman" w:cs="Times New Roman"/>
          <w:lang w:val="en-US"/>
        </w:rPr>
      </w:pPr>
      <w:r w:rsidRPr="00A9200E">
        <w:rPr>
          <w:rFonts w:ascii="Times New Roman" w:hAnsi="Times New Roman" w:cs="Times New Roman"/>
          <w:lang w:val="en-US"/>
        </w:rPr>
        <w:t>Digital transformation in higher education has shifted from a peripheral innovation to a structural imperative. The rapid diffusion of Learning Management Systems (LMS), the rise of generative artificial intelligence, and the expansion of digital governance have compelled institutions to reconfigure both academic delivery and administrative processes (Adiwijaya et al., 2025). The COVID-19 pandemic further accelerated this transition, exposing not only the possibilities of digital technologies but also the fragility of institutional systems responsible for implementing them (Nair and Sandip, 2023).</w:t>
      </w:r>
    </w:p>
    <w:p w14:paraId="443A0AC3" w14:textId="77777777" w:rsidR="009F5B0D" w:rsidRPr="00A9200E" w:rsidRDefault="009F5B0D" w:rsidP="00937B6B">
      <w:pPr>
        <w:spacing w:before="240" w:after="240" w:line="240" w:lineRule="auto"/>
        <w:jc w:val="both"/>
        <w:rPr>
          <w:rFonts w:ascii="Times New Roman" w:hAnsi="Times New Roman" w:cs="Times New Roman"/>
          <w:lang w:val="en-US"/>
        </w:rPr>
      </w:pPr>
      <w:r w:rsidRPr="00A9200E">
        <w:rPr>
          <w:rFonts w:ascii="Times New Roman" w:hAnsi="Times New Roman" w:cs="Times New Roman"/>
          <w:lang w:val="en-US"/>
        </w:rPr>
        <w:t>Despite substantial investment in digital infrastructure and competency development, many institutions still struggle to convert digital capacity into sustained transformation outcomes (Niemiec and Zerbst, 2025; Rocha et al., 2025). Some universities turn digital investment into pedagogical innovation and organisational agility, while others experience stalled initiatives, superficial adoption, or outright resistance. This pattern suggests that access to technology, though necessary, is not sufficient to explain transformation success.</w:t>
      </w:r>
    </w:p>
    <w:p w14:paraId="1701408D" w14:textId="06AF716B" w:rsidR="009F5B0D" w:rsidRPr="00A9200E" w:rsidRDefault="009F5B0D" w:rsidP="00937B6B">
      <w:pPr>
        <w:spacing w:before="240" w:after="240" w:line="240" w:lineRule="auto"/>
        <w:jc w:val="both"/>
        <w:rPr>
          <w:rFonts w:ascii="Times New Roman" w:hAnsi="Times New Roman" w:cs="Times New Roman"/>
          <w:lang w:val="en-US"/>
        </w:rPr>
      </w:pPr>
      <w:r w:rsidRPr="00A9200E">
        <w:rPr>
          <w:rFonts w:ascii="Times New Roman" w:hAnsi="Times New Roman" w:cs="Times New Roman"/>
          <w:lang w:val="en-US"/>
        </w:rPr>
        <w:t xml:space="preserve">At the centre of this problem is the concept of digital readiness. In policy and research, digital readiness is usually defined as a multidimensional construct encompassing infrastructure, technical skills, and access to digital tools (Soomro et al., 2020; Valdivia-Salazar et al., 2025). Measurement frameworks mirror this view, relying heavily </w:t>
      </w:r>
      <w:r w:rsidRPr="00A9200E">
        <w:rPr>
          <w:rFonts w:ascii="Times New Roman" w:hAnsi="Times New Roman" w:cs="Times New Roman"/>
          <w:lang w:val="en-US"/>
        </w:rPr>
        <w:lastRenderedPageBreak/>
        <w:t>on maturity indices and self-reported assessments that privilege technological capacity and perceived competence (Chounta et al., 2024; Tsimpanis et al., 2023). In this dominant paradigm, institutions are treated as “ready” when they possess the relevant technologies and digitally literate users. However, this conceptualisation has limited explanatory power. Studies increasingly show that institutions scoring highly on readiness indices often fail to achieve meaningful or sustained change (Koczerga, 2024; Michelotto &amp; Joia, 2024). The problem is not merely that readiness measures are incomplete; it is that they often capture capacity without explaining how that capacity becomes effective. Digital readiness has therefore been mis-specified as a static inventory rather than a dynamic, multilevel condition.</w:t>
      </w:r>
    </w:p>
    <w:p w14:paraId="26162D81" w14:textId="77777777" w:rsidR="009F5B0D" w:rsidRPr="00A9200E" w:rsidRDefault="009F5B0D" w:rsidP="00937B6B">
      <w:pPr>
        <w:spacing w:before="240" w:after="240" w:line="240" w:lineRule="auto"/>
        <w:jc w:val="both"/>
        <w:rPr>
          <w:rFonts w:ascii="Times New Roman" w:hAnsi="Times New Roman" w:cs="Times New Roman"/>
          <w:lang w:val="en-US"/>
        </w:rPr>
      </w:pPr>
      <w:r w:rsidRPr="00A9200E">
        <w:rPr>
          <w:rFonts w:ascii="Times New Roman" w:hAnsi="Times New Roman" w:cs="Times New Roman"/>
          <w:lang w:val="en-US"/>
        </w:rPr>
        <w:t>This paper argues that the persistence of uneven transformation in higher education reflects a theoretical problem as much as a practical one. Existing infrastructure-centric and adoption-centric models are reductive because they explain readiness in terms of isolated variables rather than the interaction among them. They privilege infrastructure over human agency, reduce behavioural dynamics to simplified adoption constructs, treat leadership and institutional context as background conditions, and fragment analysis across levels without specifying their interdependence. As a result, institutions may appear prepared while remaining unable to translate digital capacity into sustained transformation.</w:t>
      </w:r>
    </w:p>
    <w:p w14:paraId="3BDC74E5" w14:textId="77777777" w:rsidR="009F5B0D" w:rsidRPr="00A9200E" w:rsidRDefault="009F5B0D" w:rsidP="00937B6B">
      <w:pPr>
        <w:spacing w:before="240" w:after="240" w:line="240" w:lineRule="auto"/>
        <w:jc w:val="both"/>
        <w:rPr>
          <w:rFonts w:ascii="Times New Roman" w:hAnsi="Times New Roman" w:cs="Times New Roman"/>
          <w:lang w:val="en-US"/>
        </w:rPr>
      </w:pPr>
      <w:r w:rsidRPr="00A9200E">
        <w:rPr>
          <w:rFonts w:ascii="Times New Roman" w:hAnsi="Times New Roman" w:cs="Times New Roman"/>
          <w:lang w:val="en-US"/>
        </w:rPr>
        <w:t>To address this problem, the paper develops a Behavioural–Institutional perspective that reconceptualises readiness as a multilevel, interactional phenomenon. On this basis, it introduces the Behavioural–Institutional Framework for Transformation (BIFT), which distinguishes readiness from digital transformation preparedness. Readiness refers to the presence of behavioural, leadership, and institutional attributes; preparedness refers to the functional alignment and activation of those attributes in support of sustained transformation outcomes.</w:t>
      </w:r>
    </w:p>
    <w:p w14:paraId="137D5687" w14:textId="77777777" w:rsidR="009F5B0D" w:rsidRPr="00A9200E" w:rsidRDefault="009F5B0D" w:rsidP="00937B6B">
      <w:pPr>
        <w:spacing w:before="240" w:after="240" w:line="240" w:lineRule="auto"/>
        <w:jc w:val="both"/>
        <w:rPr>
          <w:rFonts w:ascii="Times New Roman" w:hAnsi="Times New Roman" w:cs="Times New Roman"/>
          <w:lang w:val="en-US"/>
        </w:rPr>
      </w:pPr>
      <w:r w:rsidRPr="00A9200E">
        <w:rPr>
          <w:rFonts w:ascii="Times New Roman" w:hAnsi="Times New Roman" w:cs="Times New Roman"/>
          <w:lang w:val="en-US"/>
        </w:rPr>
        <w:t>The paper makes two main contributions. The first is theoretical: it reframes digital readiness as a multilevel construct grounded in cross-level interaction rather than isolated capacity. The second is methodological: it proposes the Behavioural-Digital Readiness Index (BDRI) as a measurement agenda that shifts assessment from self-reported capacity to performance-oriented, context-sensitive indicators.</w:t>
      </w:r>
    </w:p>
    <w:p w14:paraId="5EE9B509" w14:textId="613451B7" w:rsidR="00BF5BC8" w:rsidRPr="00A9200E" w:rsidRDefault="00A9200E" w:rsidP="006E4B04">
      <w:pPr>
        <w:pStyle w:val="Heading1"/>
        <w:spacing w:before="240" w:after="240" w:line="240" w:lineRule="auto"/>
        <w:jc w:val="both"/>
        <w:rPr>
          <w:rFonts w:ascii="Times New Roman" w:hAnsi="Times New Roman" w:cs="Times New Roman"/>
          <w:b/>
          <w:bCs/>
          <w:color w:val="auto"/>
          <w:sz w:val="24"/>
          <w:szCs w:val="24"/>
          <w:lang w:val="en-US"/>
        </w:rPr>
      </w:pPr>
      <w:r w:rsidRPr="00A9200E">
        <w:rPr>
          <w:rFonts w:ascii="Times New Roman" w:hAnsi="Times New Roman" w:cs="Times New Roman"/>
          <w:b/>
          <w:bCs/>
          <w:color w:val="auto"/>
          <w:sz w:val="24"/>
          <w:szCs w:val="24"/>
          <w:lang w:val="en-US"/>
        </w:rPr>
        <w:t>LIMITATIONS OF EXISTING DIGITAL READINESS MODELS</w:t>
      </w:r>
    </w:p>
    <w:p w14:paraId="2FA6CAD5" w14:textId="77777777" w:rsidR="00816480" w:rsidRPr="00A9200E" w:rsidRDefault="00816480" w:rsidP="00937B6B">
      <w:pPr>
        <w:spacing w:before="240" w:after="240" w:line="240" w:lineRule="auto"/>
        <w:jc w:val="both"/>
        <w:rPr>
          <w:rFonts w:ascii="Times New Roman" w:hAnsi="Times New Roman" w:cs="Times New Roman"/>
          <w:lang w:val="en-US"/>
        </w:rPr>
      </w:pPr>
      <w:r w:rsidRPr="00A9200E">
        <w:rPr>
          <w:rFonts w:ascii="Times New Roman" w:hAnsi="Times New Roman" w:cs="Times New Roman"/>
          <w:lang w:val="en-US"/>
        </w:rPr>
        <w:t>The rapid expansion of digital infrastructures in higher education has intensified the need to assess institutional “readiness.” Yet, despite increasingly sophisticated measurement frameworks, a persistent disconnect remains between digital capacity and transformation outcomes (Adiwijaya et al., 2025; Rocha et al., 2025). Institutions that score highly on readiness indices frequently fail to achieve sustained pedagogical innovation or organisational change. This discrepancy suggests a deeper problem in how digital readiness is conceptualised and measured.</w:t>
      </w:r>
    </w:p>
    <w:p w14:paraId="2CC00FD8" w14:textId="77777777" w:rsidR="00816480" w:rsidRPr="00A9200E" w:rsidRDefault="00816480" w:rsidP="00937B6B">
      <w:pPr>
        <w:spacing w:before="240" w:after="240" w:line="240" w:lineRule="auto"/>
        <w:jc w:val="both"/>
        <w:rPr>
          <w:rFonts w:ascii="Times New Roman" w:hAnsi="Times New Roman" w:cs="Times New Roman"/>
          <w:lang w:val="en-US"/>
        </w:rPr>
      </w:pPr>
      <w:r w:rsidRPr="00A9200E">
        <w:rPr>
          <w:rFonts w:ascii="Times New Roman" w:hAnsi="Times New Roman" w:cs="Times New Roman"/>
          <w:lang w:val="en-US"/>
        </w:rPr>
        <w:t>The central limitation of prevailing models is not the absence of relevant variables, but the theoretical logic that organises them. Most frameworks privilege infrastructure over agency, reduce behavioural complexity to simplified adoption constructs, treat leadership and institutional context as background conditions, and fail to specify how factors at different levels interact. The result is a form of illusory readiness: institutions appear prepared in measurement terms, yet remain unable to translate capacity into transformation.</w:t>
      </w:r>
    </w:p>
    <w:p w14:paraId="5F2C895D" w14:textId="77777777" w:rsidR="00816480" w:rsidRPr="00A9200E" w:rsidRDefault="00816480" w:rsidP="00937B6B">
      <w:pPr>
        <w:spacing w:before="240" w:after="240" w:line="240" w:lineRule="auto"/>
        <w:jc w:val="both"/>
        <w:rPr>
          <w:rFonts w:ascii="Times New Roman" w:hAnsi="Times New Roman" w:cs="Times New Roman"/>
          <w:lang w:val="en-US"/>
        </w:rPr>
      </w:pPr>
      <w:r w:rsidRPr="00A9200E">
        <w:rPr>
          <w:rFonts w:ascii="Times New Roman" w:hAnsi="Times New Roman" w:cs="Times New Roman"/>
          <w:lang w:val="en-US"/>
        </w:rPr>
        <w:t>A first limitation is infrastructural determinism. Many digital readiness frameworks assume that technological capacity leads predictably to adoption and, in turn, to transformation. Maturity indices and related tools therefore foreground connectivity, hardware availability, platform access, and software provision as primary indicators of readiness (Chounta et al., 2024; Nazyrova et al., 2025). This emphasis is analytically convenient, but it is empirically fragile. Across higher education contexts, infrastructure alone does not ensure meaningful use, and it certainly does not guarantee sustained change. In resource-constrained settings, investments in digital tools are often weakened by unstable power supply, weak support systems, and insufficient contextualised training (Ogbonna et al., 2025; Omojemite, 2025). Even in better resourced institutions, digital technologies may produce only surface-level adoption, reinforcing existing routines rather than transforming them (Zhong et al., 2025). The problem is that infrastructure is often treated as an agent of change rather than as a resource whose effects depend on organisational and human conditions.</w:t>
      </w:r>
    </w:p>
    <w:p w14:paraId="4A9EA1F5" w14:textId="77777777" w:rsidR="00816480" w:rsidRPr="00A9200E" w:rsidRDefault="00816480" w:rsidP="00937B6B">
      <w:pPr>
        <w:spacing w:before="240" w:after="240" w:line="240" w:lineRule="auto"/>
        <w:jc w:val="both"/>
        <w:rPr>
          <w:rFonts w:ascii="Times New Roman" w:hAnsi="Times New Roman" w:cs="Times New Roman"/>
          <w:lang w:val="en-US"/>
        </w:rPr>
      </w:pPr>
      <w:r w:rsidRPr="00A9200E">
        <w:rPr>
          <w:rFonts w:ascii="Times New Roman" w:hAnsi="Times New Roman" w:cs="Times New Roman"/>
          <w:lang w:val="en-US"/>
        </w:rPr>
        <w:lastRenderedPageBreak/>
        <w:t>A second limitation is behavioural reductionism. In response to infrastructural bias, many models incorporate constructs drawn from adoption theories such as TAM and UTAUT, but these are usually narrowed to perceived usefulness, ease of use, and behavioural intention (Tbaishat et al., 2026). Such variables help explain initial acceptance, but they do not capture the deeper behavioural work required for transformation. Digital change in higher education involves cognitive restructuring, emotional adjustment, and the abandonment of entrenched habits. Constructs such as unlearning, resilience, technostress, and psychological resistance remain marginal in most readiness models. The measurement problem is compounded by heavy reliance on self-reported data, which tends to inflate perceived competence and conceal anxiety or resistance (Zhao et al., 2021). Cultural variation further limits generalisability, because the drivers of digital engagement differ across contexts (Rüller, 2025). As a result, behavioural readiness is often represented as static competence rather than as a dynamic disposition shaped by context and change demands.</w:t>
      </w:r>
    </w:p>
    <w:p w14:paraId="42B8006E" w14:textId="77777777" w:rsidR="00816480" w:rsidRPr="00A9200E" w:rsidRDefault="00816480" w:rsidP="00937B6B">
      <w:pPr>
        <w:spacing w:before="240" w:after="240" w:line="240" w:lineRule="auto"/>
        <w:jc w:val="both"/>
        <w:rPr>
          <w:rFonts w:ascii="Times New Roman" w:hAnsi="Times New Roman" w:cs="Times New Roman"/>
          <w:lang w:val="en-US"/>
        </w:rPr>
      </w:pPr>
      <w:r w:rsidRPr="00A9200E">
        <w:rPr>
          <w:rFonts w:ascii="Times New Roman" w:hAnsi="Times New Roman" w:cs="Times New Roman"/>
          <w:lang w:val="en-US"/>
        </w:rPr>
        <w:t>A third limitation is the under-specification of leadership and institutional dynamics. Although leadership and institutional context are frequently acknowledged in the literature, they are rarely theorised as active mechanisms within readiness models. Leadership is often treated as a supportive backdrop, despite evidence that its capacity to align stakeholders and orchestrate resources is a stronger predictor of transformation than infrastructure alone (Truong and Tran, 2026). What is usually missing is an account of how leadership translates dispersed individual capability into coordinated institutional action. The same problem affects institutional analysis. Organisational culture, governance structures, and legacy systems are often simplified or ignored, even though they shape whether digital initiatives are enabled, delayed, or blocked. The concept of technical debt is especially important here, because accumulated infrastructural and procedural rigidity can actively inhibit transformation rather than merely slow it (Park, 2025). Without treating leadership and institutions as causal forces, readiness models cannot explain why institutions with similar resources produce very different outcomes.</w:t>
      </w:r>
    </w:p>
    <w:p w14:paraId="27F5604B" w14:textId="77777777" w:rsidR="00816480" w:rsidRPr="00A9200E" w:rsidRDefault="00816480" w:rsidP="00937B6B">
      <w:pPr>
        <w:spacing w:before="240" w:after="240" w:line="240" w:lineRule="auto"/>
        <w:jc w:val="both"/>
        <w:rPr>
          <w:rFonts w:ascii="Times New Roman" w:hAnsi="Times New Roman" w:cs="Times New Roman"/>
          <w:lang w:val="en-US"/>
        </w:rPr>
      </w:pPr>
      <w:r w:rsidRPr="00A9200E">
        <w:rPr>
          <w:rFonts w:ascii="Times New Roman" w:hAnsi="Times New Roman" w:cs="Times New Roman"/>
          <w:lang w:val="en-US"/>
        </w:rPr>
        <w:t>A fourth limitation is fragmentation across levels of analysis. Some models focus on individual competencies, others on organisational capacity, but few offer a coherent account of how micro-, meso-, and macro-level conditions interact. This fragmentation produces partial explanations. A model may show that faculty possess high digital literacy while ignoring the organisational barriers that prevent those skills from being used. Conversely, institutional policies may appear robust yet fail because they lack the behavioural commitment required for implementation (Ukeje et al., 2026). Although some studies have introduced multilevel measurement, they often stop at correlation and do not specify the mechanisms through which cross-level interaction produces transformation (Kalbarczyk et al., 2021). The result is a set of readiness assessments that provide static snapshots rather than dynamic explanations.</w:t>
      </w:r>
    </w:p>
    <w:p w14:paraId="0B7BD90B" w14:textId="77777777" w:rsidR="00816480" w:rsidRPr="00A9200E" w:rsidRDefault="00816480" w:rsidP="00937B6B">
      <w:pPr>
        <w:spacing w:before="240" w:after="240" w:line="240" w:lineRule="auto"/>
        <w:jc w:val="both"/>
        <w:rPr>
          <w:rFonts w:ascii="Times New Roman" w:hAnsi="Times New Roman" w:cs="Times New Roman"/>
          <w:lang w:val="en-US"/>
        </w:rPr>
      </w:pPr>
      <w:r w:rsidRPr="00A9200E">
        <w:rPr>
          <w:rFonts w:ascii="Times New Roman" w:hAnsi="Times New Roman" w:cs="Times New Roman"/>
          <w:lang w:val="en-US"/>
        </w:rPr>
        <w:t>The cumulative effect of these limitations is systematic misdiagnosis. Institutions are classified as “ready” on the basis of infrastructural provision and self-reported competence, encouraging policy responses that prioritise hardware acquisition and skills training while leaving deeper behavioural and organisational conditions untouched (Truong and Tran, 2026). In this sense, dominant readiness models are not merely incomplete; they are analytically reductive. By conflating resource availability with transformation capability, they obscure the conditions under which digital capacity is activated, coordinated, and sustained.</w:t>
      </w:r>
    </w:p>
    <w:p w14:paraId="29422C87" w14:textId="77777777" w:rsidR="00816480" w:rsidRPr="00A9200E" w:rsidRDefault="00816480" w:rsidP="00937B6B">
      <w:pPr>
        <w:spacing w:before="240" w:after="240" w:line="240" w:lineRule="auto"/>
        <w:jc w:val="both"/>
        <w:rPr>
          <w:rFonts w:ascii="Times New Roman" w:hAnsi="Times New Roman" w:cs="Times New Roman"/>
          <w:lang w:val="en-US"/>
        </w:rPr>
      </w:pPr>
      <w:r w:rsidRPr="00A9200E">
        <w:rPr>
          <w:rFonts w:ascii="Times New Roman" w:hAnsi="Times New Roman" w:cs="Times New Roman"/>
          <w:lang w:val="en-US"/>
        </w:rPr>
        <w:t>This is therefore not simply a measurement problem but a theoretical one. If readiness is treated as a set of independent attributes, it becomes impossible to explain why some institutions convert digital investment into transformation while others do not. What matters is not whether the relevant components exist in isolation, but how they interact. A more adequate account must therefore move beyond variable-centric models toward a framework that captures the interdependence of behavioural, leadership, and institutional dynamics. This reconceptualisation provides the basis for the Behavioural–Institutional Lens developed in the next section, where readiness is reframed as an emergent property of cross-level interaction and alignment.</w:t>
      </w:r>
    </w:p>
    <w:p w14:paraId="25D6BD58" w14:textId="4BF7612D" w:rsidR="000E4B0B" w:rsidRPr="00A9200E" w:rsidRDefault="00A9200E" w:rsidP="006E4B04">
      <w:pPr>
        <w:pStyle w:val="Heading1"/>
        <w:spacing w:before="240" w:after="240" w:line="240" w:lineRule="auto"/>
        <w:jc w:val="both"/>
        <w:rPr>
          <w:rFonts w:ascii="Times New Roman" w:hAnsi="Times New Roman" w:cs="Times New Roman"/>
          <w:b/>
          <w:bCs/>
          <w:color w:val="auto"/>
          <w:sz w:val="24"/>
          <w:szCs w:val="24"/>
          <w:lang w:val="en-US"/>
        </w:rPr>
      </w:pPr>
      <w:r w:rsidRPr="00A9200E">
        <w:rPr>
          <w:rFonts w:ascii="Times New Roman" w:hAnsi="Times New Roman" w:cs="Times New Roman"/>
          <w:b/>
          <w:bCs/>
          <w:color w:val="auto"/>
          <w:sz w:val="24"/>
          <w:szCs w:val="24"/>
          <w:lang w:val="en-US"/>
        </w:rPr>
        <w:t>THE BEHAVIOURAL–INSTITUTIONAL LENS</w:t>
      </w:r>
    </w:p>
    <w:p w14:paraId="5C9FFF3E" w14:textId="77777777" w:rsidR="000E4B0B" w:rsidRPr="00A9200E" w:rsidRDefault="000E4B0B" w:rsidP="00937B6B">
      <w:pPr>
        <w:spacing w:before="240" w:after="240" w:line="240" w:lineRule="auto"/>
        <w:jc w:val="both"/>
        <w:rPr>
          <w:rFonts w:ascii="Times New Roman" w:hAnsi="Times New Roman" w:cs="Times New Roman"/>
          <w:lang w:val="en-US"/>
        </w:rPr>
      </w:pPr>
      <w:r w:rsidRPr="00A9200E">
        <w:rPr>
          <w:rFonts w:ascii="Times New Roman" w:hAnsi="Times New Roman" w:cs="Times New Roman"/>
          <w:lang w:val="en-US"/>
        </w:rPr>
        <w:t xml:space="preserve">The preceding analysis shows that the “transformation gap” in higher education cannot be explained by infrastructure or digital skills alone. The deeper problem is that existing models do not explain how individual, organisational, and systemic factors work together to produce transformation. Most frameworks assume a linear </w:t>
      </w:r>
      <w:r w:rsidRPr="00A9200E">
        <w:rPr>
          <w:rFonts w:ascii="Times New Roman" w:hAnsi="Times New Roman" w:cs="Times New Roman"/>
          <w:lang w:val="en-US"/>
        </w:rPr>
        <w:lastRenderedPageBreak/>
        <w:t>movement from capacity to outcome, yet digital change is usually uneven, conditional, and often disrupted (Niemiec and Zerbst, 2025).</w:t>
      </w:r>
    </w:p>
    <w:p w14:paraId="010FD0A8" w14:textId="77777777" w:rsidR="000E4B0B" w:rsidRPr="00A9200E" w:rsidRDefault="000E4B0B" w:rsidP="00937B6B">
      <w:pPr>
        <w:spacing w:before="240" w:after="240" w:line="240" w:lineRule="auto"/>
        <w:jc w:val="both"/>
        <w:rPr>
          <w:rFonts w:ascii="Times New Roman" w:hAnsi="Times New Roman" w:cs="Times New Roman"/>
          <w:lang w:val="en-US"/>
        </w:rPr>
      </w:pPr>
      <w:r w:rsidRPr="00A9200E">
        <w:rPr>
          <w:rFonts w:ascii="Times New Roman" w:hAnsi="Times New Roman" w:cs="Times New Roman"/>
          <w:lang w:val="en-US"/>
        </w:rPr>
        <w:t>To address this limitation, this section develops a Behavioural–Institutional Lens that reframes digital readiness as a multilevel and interactional construct. Rather than treating behavioural, leadership, and institutional elements as separate dimensions, the lens views them as interdependent domains whose alignment determines whether transformation occurs. The central issue is therefore not simply what institutions possess, but how these elements cohere in practice.</w:t>
      </w:r>
    </w:p>
    <w:p w14:paraId="56C47C6B" w14:textId="3621ED77" w:rsidR="000E4B0B" w:rsidRPr="00A9200E" w:rsidRDefault="000E4B0B" w:rsidP="006E4B04">
      <w:pPr>
        <w:pStyle w:val="Heading2"/>
        <w:spacing w:before="240" w:after="240" w:line="240" w:lineRule="auto"/>
        <w:jc w:val="both"/>
        <w:rPr>
          <w:rFonts w:ascii="Times New Roman" w:hAnsi="Times New Roman" w:cs="Times New Roman"/>
          <w:b/>
          <w:bCs/>
          <w:color w:val="auto"/>
          <w:sz w:val="24"/>
          <w:szCs w:val="24"/>
          <w:lang w:val="en-US"/>
        </w:rPr>
      </w:pPr>
      <w:r w:rsidRPr="00A9200E">
        <w:rPr>
          <w:rFonts w:ascii="Times New Roman" w:hAnsi="Times New Roman" w:cs="Times New Roman"/>
          <w:b/>
          <w:bCs/>
          <w:color w:val="auto"/>
          <w:sz w:val="24"/>
          <w:szCs w:val="24"/>
          <w:lang w:val="en-US"/>
        </w:rPr>
        <w:t>Behavioural Readiness: Latent Capacity and Its Limits</w:t>
      </w:r>
    </w:p>
    <w:p w14:paraId="4AE60856" w14:textId="77777777" w:rsidR="000E4B0B" w:rsidRPr="00A9200E" w:rsidRDefault="000E4B0B" w:rsidP="00937B6B">
      <w:pPr>
        <w:spacing w:before="240" w:after="240" w:line="240" w:lineRule="auto"/>
        <w:jc w:val="both"/>
        <w:rPr>
          <w:rFonts w:ascii="Times New Roman" w:hAnsi="Times New Roman" w:cs="Times New Roman"/>
          <w:lang w:val="en-US"/>
        </w:rPr>
      </w:pPr>
      <w:r w:rsidRPr="00A9200E">
        <w:rPr>
          <w:rFonts w:ascii="Times New Roman" w:hAnsi="Times New Roman" w:cs="Times New Roman"/>
          <w:lang w:val="en-US"/>
        </w:rPr>
        <w:t>At the micro level, digital readiness rests on the dispositions of individual actors. Digital self-efficacy, adaptability, and intrinsic motivation are important because they shape whether people are willing to engage with new technologies (Sabani et al., 2023). Even so, these qualities do not automatically generate institutional change.</w:t>
      </w:r>
    </w:p>
    <w:p w14:paraId="75DAAD05" w14:textId="77777777" w:rsidR="000E4B0B" w:rsidRPr="00A9200E" w:rsidRDefault="000E4B0B" w:rsidP="00937B6B">
      <w:pPr>
        <w:spacing w:before="240" w:after="240" w:line="240" w:lineRule="auto"/>
        <w:jc w:val="both"/>
        <w:rPr>
          <w:rFonts w:ascii="Times New Roman" w:hAnsi="Times New Roman" w:cs="Times New Roman"/>
          <w:lang w:val="en-US"/>
        </w:rPr>
      </w:pPr>
      <w:r w:rsidRPr="00A9200E">
        <w:rPr>
          <w:rFonts w:ascii="Times New Roman" w:hAnsi="Times New Roman" w:cs="Times New Roman"/>
          <w:lang w:val="en-US"/>
        </w:rPr>
        <w:t>Behavioural readiness is best understood as latent capacity rather than operative transformation. Self-efficacy may encourage engagement, but it does not ensure coordination; motivation may support experimentation, but it does not guarantee uptake across the institution. In higher education, change often requires unlearning established pedagogical habits, a process that is demanding and context-dependent (Zhao et al., 2026). Without supportive structures, even competent individuals may revert to familiar routines, producing symbolic or superficial adoption.</w:t>
      </w:r>
    </w:p>
    <w:p w14:paraId="612C9A97" w14:textId="77777777" w:rsidR="000E4B0B" w:rsidRPr="00A9200E" w:rsidRDefault="000E4B0B" w:rsidP="00937B6B">
      <w:pPr>
        <w:spacing w:before="240" w:after="240" w:line="240" w:lineRule="auto"/>
        <w:jc w:val="both"/>
        <w:rPr>
          <w:rFonts w:ascii="Times New Roman" w:hAnsi="Times New Roman" w:cs="Times New Roman"/>
          <w:lang w:val="en-US"/>
        </w:rPr>
      </w:pPr>
      <w:r w:rsidRPr="00A9200E">
        <w:rPr>
          <w:rFonts w:ascii="Times New Roman" w:hAnsi="Times New Roman" w:cs="Times New Roman"/>
          <w:lang w:val="en-US"/>
        </w:rPr>
        <w:t>Evidence also shows that digital literacy can reduce technostress and increase willingness to engage (Le et al., 2022; Rehman et al., 2024), but these effects are sustained only when the organisational environment supports them. Behavioural readiness is therefore necessary, but not sufficient. Its contribution depends on alignment with higher-level conditions.</w:t>
      </w:r>
    </w:p>
    <w:p w14:paraId="22426E33" w14:textId="3C6AC0E4" w:rsidR="000E4B0B" w:rsidRPr="00A9200E" w:rsidRDefault="000E4B0B" w:rsidP="006E4B04">
      <w:pPr>
        <w:pStyle w:val="Heading2"/>
        <w:spacing w:before="240" w:after="240" w:line="240" w:lineRule="auto"/>
        <w:jc w:val="both"/>
        <w:rPr>
          <w:rFonts w:ascii="Times New Roman" w:hAnsi="Times New Roman" w:cs="Times New Roman"/>
          <w:b/>
          <w:bCs/>
          <w:color w:val="auto"/>
          <w:sz w:val="24"/>
          <w:szCs w:val="24"/>
          <w:lang w:val="en-US"/>
        </w:rPr>
      </w:pPr>
      <w:r w:rsidRPr="00A9200E">
        <w:rPr>
          <w:rFonts w:ascii="Times New Roman" w:hAnsi="Times New Roman" w:cs="Times New Roman"/>
          <w:b/>
          <w:bCs/>
          <w:color w:val="auto"/>
          <w:sz w:val="24"/>
          <w:szCs w:val="24"/>
          <w:lang w:val="en-US"/>
        </w:rPr>
        <w:t>Leadership Readiness: Translating Capacity into Collective Action</w:t>
      </w:r>
    </w:p>
    <w:p w14:paraId="5E531281" w14:textId="7BC2384E" w:rsidR="000E4B0B" w:rsidRPr="00A9200E" w:rsidRDefault="000E4B0B" w:rsidP="00937B6B">
      <w:pPr>
        <w:spacing w:before="240" w:after="240" w:line="240" w:lineRule="auto"/>
        <w:jc w:val="both"/>
        <w:rPr>
          <w:rFonts w:ascii="Times New Roman" w:hAnsi="Times New Roman" w:cs="Times New Roman"/>
          <w:lang w:val="en-US"/>
        </w:rPr>
      </w:pPr>
      <w:r w:rsidRPr="00A9200E">
        <w:rPr>
          <w:rFonts w:ascii="Times New Roman" w:hAnsi="Times New Roman" w:cs="Times New Roman"/>
          <w:lang w:val="en-US"/>
        </w:rPr>
        <w:t>At the meso level, leadership is often cited as a key enabler of digital transformation. Yet many readiness models treat leadership as a supportive backdrop rather than as a mechanism that converts individual capability into institutional action. This leaves a major explanatory gap.</w:t>
      </w:r>
    </w:p>
    <w:p w14:paraId="33F9B4F5" w14:textId="77777777" w:rsidR="000E4B0B" w:rsidRPr="00A9200E" w:rsidRDefault="000E4B0B" w:rsidP="00937B6B">
      <w:pPr>
        <w:spacing w:before="240" w:after="240" w:line="240" w:lineRule="auto"/>
        <w:jc w:val="both"/>
        <w:rPr>
          <w:rFonts w:ascii="Times New Roman" w:hAnsi="Times New Roman" w:cs="Times New Roman"/>
          <w:lang w:val="en-US"/>
        </w:rPr>
      </w:pPr>
      <w:r w:rsidRPr="00A9200E">
        <w:rPr>
          <w:rFonts w:ascii="Times New Roman" w:hAnsi="Times New Roman" w:cs="Times New Roman"/>
          <w:lang w:val="en-US"/>
        </w:rPr>
        <w:t>Within the Behavioural–Institutional Lens, leadership readiness performs a translational function. It provides direction, coordinates resources, and aligns behavioural efforts across units. Leadership is the channel through which strategic intent is communicated and implemented. Transformational and participative leadership styles can promote innovation and engagement (Antonopoulou et al., 2020), but their impact depends on whether they bridge the gap between policy and practice.</w:t>
      </w:r>
    </w:p>
    <w:p w14:paraId="0D9FE988" w14:textId="77777777" w:rsidR="000E4B0B" w:rsidRPr="00A9200E" w:rsidRDefault="000E4B0B" w:rsidP="00937B6B">
      <w:pPr>
        <w:spacing w:before="240" w:after="240" w:line="240" w:lineRule="auto"/>
        <w:jc w:val="both"/>
        <w:rPr>
          <w:rFonts w:ascii="Times New Roman" w:hAnsi="Times New Roman" w:cs="Times New Roman"/>
          <w:lang w:val="en-US"/>
        </w:rPr>
      </w:pPr>
      <w:r w:rsidRPr="00A9200E">
        <w:rPr>
          <w:rFonts w:ascii="Times New Roman" w:hAnsi="Times New Roman" w:cs="Times New Roman"/>
          <w:lang w:val="en-US"/>
        </w:rPr>
        <w:t>Middle managers are especially important in this process because they interpret, adapt, and operationalise strategy in local contexts (Li et al., 2024). When this translational role is weak, readiness remains fragmented: individuals may be capable, but their efforts do not combine into collective capability. Leadership readiness, then, is not just about vision or support. It is about conversion—turning dispersed capacity into coordinated action.</w:t>
      </w:r>
    </w:p>
    <w:p w14:paraId="21D09A61" w14:textId="7707A62F" w:rsidR="000E4B0B" w:rsidRPr="00A9200E" w:rsidRDefault="000E4B0B" w:rsidP="006E4B04">
      <w:pPr>
        <w:pStyle w:val="Heading2"/>
        <w:spacing w:before="240" w:after="240" w:line="240" w:lineRule="auto"/>
        <w:jc w:val="both"/>
        <w:rPr>
          <w:rFonts w:ascii="Times New Roman" w:hAnsi="Times New Roman" w:cs="Times New Roman"/>
          <w:b/>
          <w:bCs/>
          <w:color w:val="auto"/>
          <w:sz w:val="24"/>
          <w:szCs w:val="24"/>
          <w:lang w:val="en-US"/>
        </w:rPr>
      </w:pPr>
      <w:r w:rsidRPr="00A9200E">
        <w:rPr>
          <w:rFonts w:ascii="Times New Roman" w:hAnsi="Times New Roman" w:cs="Times New Roman"/>
          <w:b/>
          <w:bCs/>
          <w:color w:val="auto"/>
          <w:sz w:val="24"/>
          <w:szCs w:val="24"/>
          <w:lang w:val="en-US"/>
        </w:rPr>
        <w:t>Institutional Readiness: Enabling Conditions and Structural Constraints</w:t>
      </w:r>
    </w:p>
    <w:p w14:paraId="0D9A7534" w14:textId="7524E07E" w:rsidR="000E4B0B" w:rsidRPr="00A9200E" w:rsidRDefault="000E4B0B" w:rsidP="00937B6B">
      <w:pPr>
        <w:spacing w:before="240" w:after="240" w:line="240" w:lineRule="auto"/>
        <w:jc w:val="both"/>
        <w:rPr>
          <w:rFonts w:ascii="Times New Roman" w:hAnsi="Times New Roman" w:cs="Times New Roman"/>
          <w:lang w:val="en-US"/>
        </w:rPr>
      </w:pPr>
      <w:r w:rsidRPr="00A9200E">
        <w:rPr>
          <w:rFonts w:ascii="Times New Roman" w:hAnsi="Times New Roman" w:cs="Times New Roman"/>
          <w:lang w:val="en-US"/>
        </w:rPr>
        <w:t xml:space="preserve">At the macro level, institutional readiness refers to the cultural, structural, and systemic conditions that shape whether transformation can be sustained. Institutions are often treated as passive settings, but they actively influence the success or failure of digital change. One important condition is psychological safety, which encourages experimentation, risk-taking, and knowledge sharing (Du and Xie, 2025; Papadonikolaki and Morgan, 2026). Where psychological safety is weak, digital initiatives may provoke caution, resistance, or </w:t>
      </w:r>
      <w:r w:rsidRPr="00A9200E">
        <w:rPr>
          <w:rFonts w:ascii="Times New Roman" w:hAnsi="Times New Roman" w:cs="Times New Roman"/>
          <w:lang w:val="en-US"/>
        </w:rPr>
        <w:lastRenderedPageBreak/>
        <w:t>compliance without real adoption. Institutional culture matters in a similar way: openness to innovation and tolerance for failure increase the likelihood that change will take root (Mashinini and Sethibe, 2025).</w:t>
      </w:r>
    </w:p>
    <w:p w14:paraId="798F1265" w14:textId="77777777" w:rsidR="000E4B0B" w:rsidRPr="00A9200E" w:rsidRDefault="000E4B0B" w:rsidP="00937B6B">
      <w:pPr>
        <w:spacing w:before="240" w:after="240" w:line="240" w:lineRule="auto"/>
        <w:jc w:val="both"/>
        <w:rPr>
          <w:rFonts w:ascii="Times New Roman" w:hAnsi="Times New Roman" w:cs="Times New Roman"/>
          <w:lang w:val="en-US"/>
        </w:rPr>
      </w:pPr>
      <w:r w:rsidRPr="00A9200E">
        <w:rPr>
          <w:rFonts w:ascii="Times New Roman" w:hAnsi="Times New Roman" w:cs="Times New Roman"/>
          <w:lang w:val="en-US"/>
        </w:rPr>
        <w:t>Institutional readiness is also constraining, not only enabling. Technical debt shows how legacy systems, rigid procedures, and accumulated structural inefficiencies can slow or block transformation (Park, 2025). In such cases, the institution itself becomes a source of friction. This means institutional readiness is a conditional force that shapes how far behavioural and leadership efforts can go.</w:t>
      </w:r>
    </w:p>
    <w:p w14:paraId="6C17D30E" w14:textId="4E442326" w:rsidR="000E4B0B" w:rsidRPr="00A9200E" w:rsidRDefault="000E4B0B" w:rsidP="006E4B04">
      <w:pPr>
        <w:pStyle w:val="Heading2"/>
        <w:spacing w:before="240" w:after="240" w:line="240" w:lineRule="auto"/>
        <w:jc w:val="both"/>
        <w:rPr>
          <w:rFonts w:ascii="Times New Roman" w:hAnsi="Times New Roman" w:cs="Times New Roman"/>
          <w:b/>
          <w:bCs/>
          <w:color w:val="auto"/>
          <w:sz w:val="24"/>
          <w:szCs w:val="24"/>
          <w:lang w:val="en-US"/>
        </w:rPr>
      </w:pPr>
      <w:r w:rsidRPr="00A9200E">
        <w:rPr>
          <w:rFonts w:ascii="Times New Roman" w:hAnsi="Times New Roman" w:cs="Times New Roman"/>
          <w:b/>
          <w:bCs/>
          <w:color w:val="auto"/>
          <w:sz w:val="24"/>
          <w:szCs w:val="24"/>
          <w:lang w:val="en-US"/>
        </w:rPr>
        <w:t>From Fragmentation to Alignment</w:t>
      </w:r>
    </w:p>
    <w:p w14:paraId="15AB3BF1" w14:textId="0F24C6CE" w:rsidR="000E4B0B" w:rsidRPr="00A9200E" w:rsidRDefault="000E4B0B" w:rsidP="00937B6B">
      <w:pPr>
        <w:spacing w:before="240" w:after="240" w:line="240" w:lineRule="auto"/>
        <w:jc w:val="both"/>
        <w:rPr>
          <w:rFonts w:ascii="Times New Roman" w:hAnsi="Times New Roman" w:cs="Times New Roman"/>
          <w:lang w:val="en-US"/>
        </w:rPr>
      </w:pPr>
      <w:r w:rsidRPr="00A9200E">
        <w:rPr>
          <w:rFonts w:ascii="Times New Roman" w:hAnsi="Times New Roman" w:cs="Times New Roman"/>
          <w:lang w:val="en-US"/>
        </w:rPr>
        <w:t>Taken together, the three domains show that digital transformation does not fail because one component is missing, but because the components are not aligned. Existing models are limited not because they exclude relevant variables, but because they treat them as independent rather than interdependent. This is why institutions may display high digital competence but weak coordination, strong leadership vision but an unsupportive culture, or robust infrastructure but persistent resistance. In each case, the problem is not the absence of readiness in general; it is misalignment across levels (Qin et al., 2022; Singun, 2025).</w:t>
      </w:r>
    </w:p>
    <w:p w14:paraId="652757AA" w14:textId="77777777" w:rsidR="000E4B0B" w:rsidRPr="00A9200E" w:rsidRDefault="000E4B0B" w:rsidP="00937B6B">
      <w:pPr>
        <w:spacing w:before="240" w:after="240" w:line="240" w:lineRule="auto"/>
        <w:jc w:val="both"/>
        <w:rPr>
          <w:rFonts w:ascii="Times New Roman" w:hAnsi="Times New Roman" w:cs="Times New Roman"/>
          <w:lang w:val="en-US"/>
        </w:rPr>
      </w:pPr>
      <w:r w:rsidRPr="00A9200E">
        <w:rPr>
          <w:rFonts w:ascii="Times New Roman" w:hAnsi="Times New Roman" w:cs="Times New Roman"/>
          <w:lang w:val="en-US"/>
        </w:rPr>
        <w:t>What remains underdeveloped in the literature is the mechanism through which alignment itself becomes transformative. Although multilevel interaction is often acknowledged (Heuermann et al., 2024), it is rarely specified in a way that explains how readiness conditions are activated and sustained. There is still no clear construct for the integrated capacity that emerges when alignment is achieved.</w:t>
      </w:r>
    </w:p>
    <w:p w14:paraId="056C22B4" w14:textId="06BFFA99" w:rsidR="000E4B0B" w:rsidRPr="00A9200E" w:rsidRDefault="000E4B0B" w:rsidP="006E4B04">
      <w:pPr>
        <w:pStyle w:val="Heading2"/>
        <w:spacing w:before="240" w:after="240" w:line="240" w:lineRule="auto"/>
        <w:jc w:val="both"/>
        <w:rPr>
          <w:rFonts w:ascii="Times New Roman" w:hAnsi="Times New Roman" w:cs="Times New Roman"/>
          <w:b/>
          <w:bCs/>
          <w:color w:val="auto"/>
          <w:sz w:val="24"/>
          <w:szCs w:val="24"/>
          <w:lang w:val="en-US"/>
        </w:rPr>
      </w:pPr>
      <w:r w:rsidRPr="00A9200E">
        <w:rPr>
          <w:rFonts w:ascii="Times New Roman" w:hAnsi="Times New Roman" w:cs="Times New Roman"/>
          <w:b/>
          <w:bCs/>
          <w:color w:val="auto"/>
          <w:sz w:val="24"/>
          <w:szCs w:val="24"/>
          <w:lang w:val="en-US"/>
        </w:rPr>
        <w:t>Toward a Theory of Alignment</w:t>
      </w:r>
    </w:p>
    <w:p w14:paraId="0BEB7DD7" w14:textId="77777777" w:rsidR="000E4B0B" w:rsidRPr="00A9200E" w:rsidRDefault="000E4B0B" w:rsidP="00937B6B">
      <w:pPr>
        <w:spacing w:before="240" w:after="240" w:line="240" w:lineRule="auto"/>
        <w:jc w:val="both"/>
        <w:rPr>
          <w:rFonts w:ascii="Times New Roman" w:hAnsi="Times New Roman" w:cs="Times New Roman"/>
          <w:lang w:val="en-US"/>
        </w:rPr>
      </w:pPr>
      <w:r w:rsidRPr="00A9200E">
        <w:rPr>
          <w:rFonts w:ascii="Times New Roman" w:hAnsi="Times New Roman" w:cs="Times New Roman"/>
          <w:lang w:val="en-US"/>
        </w:rPr>
        <w:t>The implication is that digital readiness cannot be reduced to a descriptive inventory of resources or competencies. What matters is whether those conditions are coordinated into a coherent system capable of supporting change. Without such a construct, readiness remains a static label that cannot explain variation in transformation outcomes.</w:t>
      </w:r>
    </w:p>
    <w:p w14:paraId="64475BC6" w14:textId="77777777" w:rsidR="000E4B0B" w:rsidRPr="00A9200E" w:rsidRDefault="000E4B0B" w:rsidP="00937B6B">
      <w:pPr>
        <w:spacing w:before="240" w:after="240" w:line="240" w:lineRule="auto"/>
        <w:jc w:val="both"/>
        <w:rPr>
          <w:rFonts w:ascii="Times New Roman" w:hAnsi="Times New Roman" w:cs="Times New Roman"/>
          <w:lang w:val="en-US"/>
        </w:rPr>
      </w:pPr>
      <w:r w:rsidRPr="00A9200E">
        <w:rPr>
          <w:rFonts w:ascii="Times New Roman" w:hAnsi="Times New Roman" w:cs="Times New Roman"/>
          <w:lang w:val="en-US"/>
        </w:rPr>
        <w:t>This gap motivates the next section, which introduces the BIFT. BIFT formalises alignment as a causal mechanism and advances digital transformation preparedness as the integrative construct linking readiness to outcomes.</w:t>
      </w:r>
    </w:p>
    <w:p w14:paraId="5D855D61" w14:textId="67E83A2D" w:rsidR="00510FAB" w:rsidRPr="00A9200E" w:rsidRDefault="00A9200E" w:rsidP="006E4B04">
      <w:pPr>
        <w:pStyle w:val="Heading1"/>
        <w:spacing w:before="240" w:after="240" w:line="240" w:lineRule="auto"/>
        <w:jc w:val="both"/>
        <w:rPr>
          <w:rFonts w:ascii="Times New Roman" w:hAnsi="Times New Roman" w:cs="Times New Roman"/>
          <w:b/>
          <w:bCs/>
          <w:color w:val="auto"/>
          <w:sz w:val="24"/>
          <w:szCs w:val="24"/>
          <w:lang w:val="en-US"/>
        </w:rPr>
      </w:pPr>
      <w:r w:rsidRPr="00A9200E">
        <w:rPr>
          <w:rFonts w:ascii="Times New Roman" w:hAnsi="Times New Roman" w:cs="Times New Roman"/>
          <w:b/>
          <w:bCs/>
          <w:color w:val="auto"/>
          <w:sz w:val="24"/>
          <w:szCs w:val="24"/>
          <w:lang w:val="en-US"/>
        </w:rPr>
        <w:t>PROPOSED BEHAVIOURAL–INSTITUTIONAL FRAMEWORK</w:t>
      </w:r>
    </w:p>
    <w:p w14:paraId="33E66225" w14:textId="77777777" w:rsidR="00DE56E0" w:rsidRPr="00A9200E" w:rsidRDefault="00DE56E0" w:rsidP="00937B6B">
      <w:pPr>
        <w:spacing w:before="240" w:after="240" w:line="240" w:lineRule="auto"/>
        <w:jc w:val="both"/>
        <w:rPr>
          <w:rFonts w:ascii="Times New Roman" w:hAnsi="Times New Roman" w:cs="Times New Roman"/>
          <w:lang w:val="en-US"/>
        </w:rPr>
      </w:pPr>
      <w:r w:rsidRPr="00A9200E">
        <w:rPr>
          <w:rFonts w:ascii="Times New Roman" w:hAnsi="Times New Roman" w:cs="Times New Roman"/>
          <w:lang w:val="en-US"/>
        </w:rPr>
        <w:t>The limitations identified in existing digital readiness models point to a deeper theoretical gap: current frameworks describe resources and competencies, but they do not explain how these elements combine to produce institutional transformation. The Behavioural–Institutional Framework for Transformation (BIFT) addresses this gap by treating digital transformation as an outcome of cross-level alignment rather than the additive effect of separate readiness inputs.</w:t>
      </w:r>
    </w:p>
    <w:p w14:paraId="284FEC07" w14:textId="77777777" w:rsidR="00DE56E0" w:rsidRPr="00A9200E" w:rsidRDefault="00DE56E0" w:rsidP="00937B6B">
      <w:pPr>
        <w:spacing w:before="240" w:after="240" w:line="240" w:lineRule="auto"/>
        <w:jc w:val="both"/>
        <w:rPr>
          <w:rFonts w:ascii="Times New Roman" w:hAnsi="Times New Roman" w:cs="Times New Roman"/>
          <w:lang w:val="en-US"/>
        </w:rPr>
      </w:pPr>
      <w:r w:rsidRPr="00A9200E">
        <w:rPr>
          <w:rFonts w:ascii="Times New Roman" w:hAnsi="Times New Roman" w:cs="Times New Roman"/>
          <w:lang w:val="en-US"/>
        </w:rPr>
        <w:t>BIFT also introduces a sharper distinction between readiness and digital transformation preparedness. Readiness refers to the presence of behavioural, leadership, and institutional attributes; preparedness refers to the extent to which those attributes are aligned and activated for sustained transformation. This distinction helps explain why institutions with similar resources may produce very different outcomes (Adiwijaya et al., 2025; Niemiec and Zerbst, 2025).</w:t>
      </w:r>
    </w:p>
    <w:p w14:paraId="1F6C0F4F" w14:textId="2BDD73BE" w:rsidR="00510FAB" w:rsidRPr="00A9200E" w:rsidRDefault="006B709E" w:rsidP="006E4B04">
      <w:pPr>
        <w:pStyle w:val="Heading2"/>
        <w:spacing w:before="240" w:after="240" w:line="240" w:lineRule="auto"/>
        <w:jc w:val="both"/>
        <w:rPr>
          <w:rFonts w:ascii="Times New Roman" w:hAnsi="Times New Roman" w:cs="Times New Roman"/>
          <w:b/>
          <w:bCs/>
          <w:color w:val="auto"/>
          <w:sz w:val="24"/>
          <w:szCs w:val="24"/>
          <w:lang w:val="en-US"/>
        </w:rPr>
      </w:pPr>
      <w:r w:rsidRPr="00A9200E">
        <w:rPr>
          <w:rFonts w:ascii="Times New Roman" w:hAnsi="Times New Roman" w:cs="Times New Roman"/>
          <w:b/>
          <w:bCs/>
          <w:color w:val="auto"/>
          <w:sz w:val="24"/>
          <w:szCs w:val="24"/>
          <w:lang w:val="en-US"/>
        </w:rPr>
        <w:t>From Readiness to Preparedness: A Multilevel Causal Architecture</w:t>
      </w:r>
    </w:p>
    <w:p w14:paraId="3623D681" w14:textId="77777777" w:rsidR="00DE56E0" w:rsidRPr="00A9200E" w:rsidRDefault="00DE56E0" w:rsidP="00937B6B">
      <w:pPr>
        <w:spacing w:before="240" w:after="240" w:line="240" w:lineRule="auto"/>
        <w:jc w:val="both"/>
        <w:rPr>
          <w:rFonts w:ascii="Times New Roman" w:hAnsi="Times New Roman" w:cs="Times New Roman"/>
          <w:lang w:val="en-US"/>
        </w:rPr>
      </w:pPr>
      <w:r w:rsidRPr="00A9200E">
        <w:rPr>
          <w:rFonts w:ascii="Times New Roman" w:hAnsi="Times New Roman" w:cs="Times New Roman"/>
          <w:lang w:val="en-US"/>
        </w:rPr>
        <w:t>BIFT conceptualises digital transformation as a mediated and conditional process. Behavioural, leadership, and institutional readiness are necessary inputs, but their effects matter only when they converge into preparedness. Preparedness is therefore a higher-order construct emerging from cross-level coherence and functioning as the immediate precursor to transformation outcomes.</w:t>
      </w:r>
    </w:p>
    <w:p w14:paraId="17E8F3E6" w14:textId="77777777" w:rsidR="00DE56E0" w:rsidRPr="00A9200E" w:rsidRDefault="00DE56E0" w:rsidP="00937B6B">
      <w:pPr>
        <w:spacing w:before="240" w:after="240" w:line="240" w:lineRule="auto"/>
        <w:jc w:val="both"/>
        <w:rPr>
          <w:rFonts w:ascii="Times New Roman" w:hAnsi="Times New Roman" w:cs="Times New Roman"/>
          <w:lang w:val="en-US"/>
        </w:rPr>
      </w:pPr>
      <w:r w:rsidRPr="00A9200E">
        <w:rPr>
          <w:rFonts w:ascii="Times New Roman" w:hAnsi="Times New Roman" w:cs="Times New Roman"/>
          <w:lang w:val="en-US"/>
        </w:rPr>
        <w:lastRenderedPageBreak/>
        <w:t>This formulation departs from linear models in two ways. First, it rejects the assumption that capacity automatically becomes transformation, a premise embedded in infrastructure-centric frameworks (Chounta et al., 2024). Second, it treats alignment as causal rather than incidental: transformation occurs when micro-, meso-, and macro-level conditions reinforce one another. In practical terms, an institution may possess advanced LMS infrastructure, but without leadership coordination and a supportive culture, that capacity remains underused.</w:t>
      </w:r>
    </w:p>
    <w:p w14:paraId="2961BDAA" w14:textId="2D24EE9D" w:rsidR="00510FAB" w:rsidRPr="00A9200E" w:rsidRDefault="006B709E" w:rsidP="006E4B04">
      <w:pPr>
        <w:pStyle w:val="Heading2"/>
        <w:spacing w:before="240" w:after="240" w:line="240" w:lineRule="auto"/>
        <w:jc w:val="both"/>
        <w:rPr>
          <w:rFonts w:ascii="Times New Roman" w:hAnsi="Times New Roman" w:cs="Times New Roman"/>
          <w:b/>
          <w:bCs/>
          <w:color w:val="auto"/>
          <w:sz w:val="24"/>
          <w:szCs w:val="24"/>
          <w:lang w:val="en-US"/>
        </w:rPr>
      </w:pPr>
      <w:r w:rsidRPr="00A9200E">
        <w:rPr>
          <w:rFonts w:ascii="Times New Roman" w:hAnsi="Times New Roman" w:cs="Times New Roman"/>
          <w:b/>
          <w:bCs/>
          <w:color w:val="auto"/>
          <w:sz w:val="24"/>
          <w:szCs w:val="24"/>
          <w:lang w:val="en-US"/>
        </w:rPr>
        <w:t>Cross-Level Mechanisms: How Alignment Produces Transformation</w:t>
      </w:r>
    </w:p>
    <w:p w14:paraId="4A845EAA" w14:textId="015AAA15" w:rsidR="00DE56E0" w:rsidRPr="00A9200E" w:rsidRDefault="00DE56E0" w:rsidP="00937B6B">
      <w:pPr>
        <w:spacing w:before="240" w:after="240" w:line="240" w:lineRule="auto"/>
        <w:jc w:val="both"/>
        <w:rPr>
          <w:rFonts w:ascii="Times New Roman" w:hAnsi="Times New Roman" w:cs="Times New Roman"/>
          <w:lang w:val="en-US"/>
        </w:rPr>
      </w:pPr>
      <w:r w:rsidRPr="00A9200E">
        <w:rPr>
          <w:rFonts w:ascii="Times New Roman" w:hAnsi="Times New Roman" w:cs="Times New Roman"/>
          <w:lang w:val="en-US"/>
        </w:rPr>
        <w:t>BIFT explains transformation through three interacting mechanisms. First, behavioural readiness provides the cognitive and motivational basis for change. It includes self-efficacy, adaptability, and willingness to unlearn. Yet these qualities remain local unless organisational structures enable them to be translated into practice (Le et al., 2022; Zhao et al., 2026).</w:t>
      </w:r>
      <w:r w:rsidR="006B709E" w:rsidRPr="00A9200E">
        <w:rPr>
          <w:rFonts w:ascii="Times New Roman" w:hAnsi="Times New Roman" w:cs="Times New Roman"/>
          <w:lang w:val="en-US"/>
        </w:rPr>
        <w:t xml:space="preserve"> </w:t>
      </w:r>
      <w:r w:rsidRPr="00A9200E">
        <w:rPr>
          <w:rFonts w:ascii="Times New Roman" w:hAnsi="Times New Roman" w:cs="Times New Roman"/>
          <w:lang w:val="en-US"/>
        </w:rPr>
        <w:t>Second, leadership readiness performs the translational function. It connects strategy to implementation, coordinates resources, and aligns action across units. Middle managers are especially important because they interpret and operationalise strategy in everyday settings (Li et al., 2024; Truong and Tran, 2026).</w:t>
      </w:r>
      <w:r w:rsidR="006B709E" w:rsidRPr="00A9200E">
        <w:rPr>
          <w:rFonts w:ascii="Times New Roman" w:hAnsi="Times New Roman" w:cs="Times New Roman"/>
          <w:lang w:val="en-US"/>
        </w:rPr>
        <w:t xml:space="preserve"> </w:t>
      </w:r>
      <w:r w:rsidRPr="00A9200E">
        <w:rPr>
          <w:rFonts w:ascii="Times New Roman" w:hAnsi="Times New Roman" w:cs="Times New Roman"/>
          <w:lang w:val="en-US"/>
        </w:rPr>
        <w:t>Finally, institutional readiness shapes the conditions under which behavioural and leadership capacity can be converted into action. Psychological safety encourages experimentation and knowledge sharing, while technical debt and rigid procedures constrain integration and slow change (Du and Xie, 2025; Park, 2025).</w:t>
      </w:r>
    </w:p>
    <w:p w14:paraId="533074A7" w14:textId="2E73CE0A" w:rsidR="00DE56E0" w:rsidRPr="00A9200E" w:rsidRDefault="00DE56E0" w:rsidP="00937B6B">
      <w:pPr>
        <w:spacing w:before="240" w:after="240" w:line="240" w:lineRule="auto"/>
        <w:jc w:val="both"/>
        <w:rPr>
          <w:rFonts w:ascii="Times New Roman" w:hAnsi="Times New Roman" w:cs="Times New Roman"/>
          <w:lang w:val="en-US"/>
        </w:rPr>
      </w:pPr>
      <w:r w:rsidRPr="00A9200E">
        <w:rPr>
          <w:rFonts w:ascii="Times New Roman" w:hAnsi="Times New Roman" w:cs="Times New Roman"/>
          <w:lang w:val="en-US"/>
        </w:rPr>
        <w:t>When behavioural, leadership and institutional readiness align, preparedness emerges; when they do not, institutions may remain formally ready but functionally stalled. In this sense, BIFT explains not only success but also structural resistance.</w:t>
      </w:r>
    </w:p>
    <w:p w14:paraId="25B5DF3A" w14:textId="51F731FE" w:rsidR="00510FAB" w:rsidRPr="00A9200E" w:rsidRDefault="00F762A7" w:rsidP="006E4B04">
      <w:pPr>
        <w:pStyle w:val="Heading2"/>
        <w:spacing w:before="240" w:after="240" w:line="240" w:lineRule="auto"/>
        <w:jc w:val="both"/>
        <w:rPr>
          <w:rFonts w:ascii="Times New Roman" w:hAnsi="Times New Roman" w:cs="Times New Roman"/>
          <w:b/>
          <w:bCs/>
          <w:color w:val="auto"/>
          <w:sz w:val="24"/>
          <w:szCs w:val="24"/>
          <w:lang w:val="en-US"/>
        </w:rPr>
      </w:pPr>
      <w:r w:rsidRPr="00A9200E">
        <w:rPr>
          <w:rFonts w:ascii="Times New Roman" w:hAnsi="Times New Roman" w:cs="Times New Roman"/>
          <w:b/>
          <w:bCs/>
          <w:color w:val="auto"/>
          <w:sz w:val="24"/>
          <w:szCs w:val="24"/>
          <w:lang w:val="en-US"/>
        </w:rPr>
        <w:t>Boundary Conditions of the Framework</w:t>
      </w:r>
    </w:p>
    <w:p w14:paraId="608D7634" w14:textId="6765B4BF" w:rsidR="00DE56E0" w:rsidRPr="00A9200E" w:rsidRDefault="00DE56E0" w:rsidP="00937B6B">
      <w:pPr>
        <w:spacing w:before="240" w:after="240" w:line="240" w:lineRule="auto"/>
        <w:jc w:val="both"/>
        <w:rPr>
          <w:rFonts w:ascii="Times New Roman" w:hAnsi="Times New Roman" w:cs="Times New Roman"/>
          <w:lang w:val="en-US"/>
        </w:rPr>
      </w:pPr>
      <w:r w:rsidRPr="00A9200E">
        <w:rPr>
          <w:rFonts w:ascii="Times New Roman" w:hAnsi="Times New Roman" w:cs="Times New Roman"/>
          <w:lang w:val="en-US"/>
        </w:rPr>
        <w:t>BIFT is not universal in a strict sense. Its explanatory power depends on several boundary conditions. Where basic digital infrastructure is absent, alignment mechanisms alone cannot generate transformation. Similarly, high policy volatility or political instability can disrupt coordination before preparedness stabilises. Deeply entrenched bureaucratic systems may also resist change even when behavioural and leadership readiness are present. These conditions indicate that BIFT is most useful where a minimal threshold of structural and governance capacity already exists. It is a framework for explaining why transformation succeeds or fails under conditions of partial readiness, not a substitute for basic infrastructure.</w:t>
      </w:r>
    </w:p>
    <w:p w14:paraId="4D417DF3" w14:textId="7267B677" w:rsidR="00510FAB" w:rsidRPr="00A9200E" w:rsidRDefault="00510FAB" w:rsidP="006E4B04">
      <w:pPr>
        <w:pStyle w:val="Heading2"/>
        <w:spacing w:before="240" w:after="240" w:line="240" w:lineRule="auto"/>
        <w:jc w:val="both"/>
        <w:rPr>
          <w:rFonts w:ascii="Times New Roman" w:hAnsi="Times New Roman" w:cs="Times New Roman"/>
          <w:b/>
          <w:bCs/>
          <w:color w:val="auto"/>
          <w:sz w:val="24"/>
          <w:szCs w:val="24"/>
          <w:lang w:val="en-US"/>
        </w:rPr>
      </w:pPr>
      <w:r w:rsidRPr="00A9200E">
        <w:rPr>
          <w:rFonts w:ascii="Times New Roman" w:hAnsi="Times New Roman" w:cs="Times New Roman"/>
          <w:b/>
          <w:bCs/>
          <w:color w:val="auto"/>
          <w:sz w:val="24"/>
          <w:szCs w:val="24"/>
          <w:lang w:val="en-US"/>
        </w:rPr>
        <w:t>Theoretical Propositions</w:t>
      </w:r>
    </w:p>
    <w:p w14:paraId="2DFC9D41" w14:textId="4617A97B" w:rsidR="00DE56E0" w:rsidRPr="00A9200E" w:rsidRDefault="00510FAB" w:rsidP="006E4B04">
      <w:pPr>
        <w:spacing w:before="240" w:after="240" w:line="240" w:lineRule="auto"/>
        <w:ind w:firstLine="709"/>
        <w:jc w:val="both"/>
        <w:rPr>
          <w:rFonts w:ascii="Times New Roman" w:hAnsi="Times New Roman" w:cs="Times New Roman"/>
          <w:lang w:val="en-US"/>
        </w:rPr>
      </w:pPr>
      <w:r w:rsidRPr="00A9200E">
        <w:rPr>
          <w:rFonts w:ascii="Times New Roman" w:hAnsi="Times New Roman" w:cs="Times New Roman"/>
          <w:lang w:val="en-US"/>
        </w:rPr>
        <w:t>The foregoing discourse contemplates the seven propositions shown in Table 1.</w:t>
      </w:r>
    </w:p>
    <w:p w14:paraId="4F29A3D3" w14:textId="77777777" w:rsidR="00DE56E0" w:rsidRPr="00A9200E" w:rsidRDefault="00DE56E0" w:rsidP="00510FAB">
      <w:pPr>
        <w:spacing w:after="120" w:line="240" w:lineRule="auto"/>
        <w:jc w:val="center"/>
        <w:rPr>
          <w:rFonts w:ascii="Times New Roman" w:hAnsi="Times New Roman" w:cs="Times New Roman"/>
          <w:lang w:val="en-US"/>
        </w:rPr>
      </w:pPr>
      <w:r w:rsidRPr="00A9200E">
        <w:rPr>
          <w:rFonts w:ascii="Times New Roman" w:hAnsi="Times New Roman" w:cs="Times New Roman"/>
          <w:lang w:val="en-US"/>
        </w:rPr>
        <w:t>Table 1. Core propositions of BIFT</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399"/>
        <w:gridCol w:w="9294"/>
      </w:tblGrid>
      <w:tr w:rsidR="00DE56E0" w:rsidRPr="00A9200E" w14:paraId="2B5E16FE" w14:textId="77777777" w:rsidTr="00142EC3">
        <w:trPr>
          <w:tblHeader/>
        </w:trPr>
        <w:tc>
          <w:tcPr>
            <w:tcW w:w="654" w:type="pct"/>
            <w:vAlign w:val="center"/>
            <w:hideMark/>
          </w:tcPr>
          <w:p w14:paraId="0B7EADFF" w14:textId="77777777" w:rsidR="00DE56E0" w:rsidRPr="00A9200E" w:rsidRDefault="00DE56E0" w:rsidP="00DE56E0">
            <w:pPr>
              <w:jc w:val="both"/>
              <w:rPr>
                <w:rFonts w:ascii="Times New Roman" w:hAnsi="Times New Roman" w:cs="Times New Roman"/>
                <w:b/>
                <w:bCs/>
                <w:lang w:val="en-US"/>
              </w:rPr>
            </w:pPr>
            <w:r w:rsidRPr="00A9200E">
              <w:rPr>
                <w:rFonts w:ascii="Times New Roman" w:hAnsi="Times New Roman" w:cs="Times New Roman"/>
                <w:b/>
                <w:bCs/>
                <w:lang w:val="en-US"/>
              </w:rPr>
              <w:t>Proposition</w:t>
            </w:r>
          </w:p>
        </w:tc>
        <w:tc>
          <w:tcPr>
            <w:tcW w:w="4346" w:type="pct"/>
            <w:vAlign w:val="center"/>
            <w:hideMark/>
          </w:tcPr>
          <w:p w14:paraId="15E5C909" w14:textId="77777777" w:rsidR="00DE56E0" w:rsidRPr="00A9200E" w:rsidRDefault="00DE56E0" w:rsidP="00DE56E0">
            <w:pPr>
              <w:jc w:val="both"/>
              <w:rPr>
                <w:rFonts w:ascii="Times New Roman" w:hAnsi="Times New Roman" w:cs="Times New Roman"/>
                <w:b/>
                <w:bCs/>
                <w:lang w:val="en-US"/>
              </w:rPr>
            </w:pPr>
            <w:r w:rsidRPr="00A9200E">
              <w:rPr>
                <w:rFonts w:ascii="Times New Roman" w:hAnsi="Times New Roman" w:cs="Times New Roman"/>
                <w:b/>
                <w:bCs/>
                <w:lang w:val="en-US"/>
              </w:rPr>
              <w:t>Statement</w:t>
            </w:r>
          </w:p>
        </w:tc>
      </w:tr>
      <w:tr w:rsidR="00DE56E0" w:rsidRPr="00A9200E" w14:paraId="282BBA87" w14:textId="77777777" w:rsidTr="00176DBA">
        <w:tc>
          <w:tcPr>
            <w:tcW w:w="654" w:type="pct"/>
            <w:vAlign w:val="center"/>
            <w:hideMark/>
          </w:tcPr>
          <w:p w14:paraId="53A4D501" w14:textId="77777777" w:rsidR="00DE56E0" w:rsidRPr="00A9200E" w:rsidRDefault="00DE56E0" w:rsidP="00DE56E0">
            <w:pPr>
              <w:jc w:val="both"/>
              <w:rPr>
                <w:rFonts w:ascii="Times New Roman" w:hAnsi="Times New Roman" w:cs="Times New Roman"/>
                <w:lang w:val="en-US"/>
              </w:rPr>
            </w:pPr>
            <w:r w:rsidRPr="00A9200E">
              <w:rPr>
                <w:rFonts w:ascii="Times New Roman" w:hAnsi="Times New Roman" w:cs="Times New Roman"/>
                <w:lang w:val="en-US"/>
              </w:rPr>
              <w:t>P1</w:t>
            </w:r>
          </w:p>
        </w:tc>
        <w:tc>
          <w:tcPr>
            <w:tcW w:w="4346" w:type="pct"/>
            <w:vAlign w:val="center"/>
            <w:hideMark/>
          </w:tcPr>
          <w:p w14:paraId="758C732F" w14:textId="77777777" w:rsidR="00DE56E0" w:rsidRPr="00A9200E" w:rsidRDefault="00DE56E0" w:rsidP="00DE56E0">
            <w:pPr>
              <w:jc w:val="both"/>
              <w:rPr>
                <w:rFonts w:ascii="Times New Roman" w:hAnsi="Times New Roman" w:cs="Times New Roman"/>
                <w:lang w:val="en-US"/>
              </w:rPr>
            </w:pPr>
            <w:r w:rsidRPr="00A9200E">
              <w:rPr>
                <w:rFonts w:ascii="Times New Roman" w:hAnsi="Times New Roman" w:cs="Times New Roman"/>
                <w:lang w:val="en-US"/>
              </w:rPr>
              <w:t>Behavioural readiness contributes to digital transformation preparedness as a foundational but indirect effect.</w:t>
            </w:r>
          </w:p>
        </w:tc>
      </w:tr>
      <w:tr w:rsidR="00DE56E0" w:rsidRPr="00A9200E" w14:paraId="46E2527E" w14:textId="77777777" w:rsidTr="00176DBA">
        <w:tc>
          <w:tcPr>
            <w:tcW w:w="654" w:type="pct"/>
            <w:vAlign w:val="center"/>
            <w:hideMark/>
          </w:tcPr>
          <w:p w14:paraId="309F889D" w14:textId="77777777" w:rsidR="00DE56E0" w:rsidRPr="00A9200E" w:rsidRDefault="00DE56E0" w:rsidP="00DE56E0">
            <w:pPr>
              <w:jc w:val="both"/>
              <w:rPr>
                <w:rFonts w:ascii="Times New Roman" w:hAnsi="Times New Roman" w:cs="Times New Roman"/>
                <w:lang w:val="en-US"/>
              </w:rPr>
            </w:pPr>
            <w:r w:rsidRPr="00A9200E">
              <w:rPr>
                <w:rFonts w:ascii="Times New Roman" w:hAnsi="Times New Roman" w:cs="Times New Roman"/>
                <w:lang w:val="en-US"/>
              </w:rPr>
              <w:t>P2</w:t>
            </w:r>
          </w:p>
        </w:tc>
        <w:tc>
          <w:tcPr>
            <w:tcW w:w="4346" w:type="pct"/>
            <w:vAlign w:val="center"/>
            <w:hideMark/>
          </w:tcPr>
          <w:p w14:paraId="7348B205" w14:textId="77777777" w:rsidR="00DE56E0" w:rsidRPr="00A9200E" w:rsidRDefault="00DE56E0" w:rsidP="00DE56E0">
            <w:pPr>
              <w:jc w:val="both"/>
              <w:rPr>
                <w:rFonts w:ascii="Times New Roman" w:hAnsi="Times New Roman" w:cs="Times New Roman"/>
                <w:lang w:val="en-US"/>
              </w:rPr>
            </w:pPr>
            <w:r w:rsidRPr="00A9200E">
              <w:rPr>
                <w:rFonts w:ascii="Times New Roman" w:hAnsi="Times New Roman" w:cs="Times New Roman"/>
                <w:lang w:val="en-US"/>
              </w:rPr>
              <w:t>Leadership readiness mediates the relationship between behavioural readiness and preparedness by translating individual capacity into coordinated institutional action.</w:t>
            </w:r>
          </w:p>
        </w:tc>
      </w:tr>
      <w:tr w:rsidR="00DE56E0" w:rsidRPr="00A9200E" w14:paraId="1C383FEC" w14:textId="77777777" w:rsidTr="00176DBA">
        <w:tc>
          <w:tcPr>
            <w:tcW w:w="654" w:type="pct"/>
            <w:vAlign w:val="center"/>
            <w:hideMark/>
          </w:tcPr>
          <w:p w14:paraId="73837C2B" w14:textId="77777777" w:rsidR="00DE56E0" w:rsidRPr="00A9200E" w:rsidRDefault="00DE56E0" w:rsidP="00DE56E0">
            <w:pPr>
              <w:jc w:val="both"/>
              <w:rPr>
                <w:rFonts w:ascii="Times New Roman" w:hAnsi="Times New Roman" w:cs="Times New Roman"/>
                <w:lang w:val="en-US"/>
              </w:rPr>
            </w:pPr>
            <w:r w:rsidRPr="00A9200E">
              <w:rPr>
                <w:rFonts w:ascii="Times New Roman" w:hAnsi="Times New Roman" w:cs="Times New Roman"/>
                <w:lang w:val="en-US"/>
              </w:rPr>
              <w:t>P3</w:t>
            </w:r>
          </w:p>
        </w:tc>
        <w:tc>
          <w:tcPr>
            <w:tcW w:w="4346" w:type="pct"/>
            <w:vAlign w:val="center"/>
            <w:hideMark/>
          </w:tcPr>
          <w:p w14:paraId="163F7A01" w14:textId="77777777" w:rsidR="00DE56E0" w:rsidRPr="00A9200E" w:rsidRDefault="00DE56E0" w:rsidP="00DE56E0">
            <w:pPr>
              <w:jc w:val="both"/>
              <w:rPr>
                <w:rFonts w:ascii="Times New Roman" w:hAnsi="Times New Roman" w:cs="Times New Roman"/>
                <w:lang w:val="en-US"/>
              </w:rPr>
            </w:pPr>
            <w:r w:rsidRPr="00A9200E">
              <w:rPr>
                <w:rFonts w:ascii="Times New Roman" w:hAnsi="Times New Roman" w:cs="Times New Roman"/>
                <w:lang w:val="en-US"/>
              </w:rPr>
              <w:t>Institutional readiness moderates the relationship between behavioural and leadership readiness and preparedness.</w:t>
            </w:r>
          </w:p>
        </w:tc>
      </w:tr>
      <w:tr w:rsidR="00DE56E0" w:rsidRPr="00A9200E" w14:paraId="6F9F0523" w14:textId="77777777" w:rsidTr="00176DBA">
        <w:tc>
          <w:tcPr>
            <w:tcW w:w="654" w:type="pct"/>
            <w:vAlign w:val="center"/>
            <w:hideMark/>
          </w:tcPr>
          <w:p w14:paraId="34F9061E" w14:textId="77777777" w:rsidR="00DE56E0" w:rsidRPr="00A9200E" w:rsidRDefault="00DE56E0" w:rsidP="00DE56E0">
            <w:pPr>
              <w:jc w:val="both"/>
              <w:rPr>
                <w:rFonts w:ascii="Times New Roman" w:hAnsi="Times New Roman" w:cs="Times New Roman"/>
                <w:lang w:val="en-US"/>
              </w:rPr>
            </w:pPr>
            <w:r w:rsidRPr="00A9200E">
              <w:rPr>
                <w:rFonts w:ascii="Times New Roman" w:hAnsi="Times New Roman" w:cs="Times New Roman"/>
                <w:lang w:val="en-US"/>
              </w:rPr>
              <w:t>P4</w:t>
            </w:r>
          </w:p>
        </w:tc>
        <w:tc>
          <w:tcPr>
            <w:tcW w:w="4346" w:type="pct"/>
            <w:vAlign w:val="center"/>
            <w:hideMark/>
          </w:tcPr>
          <w:p w14:paraId="506C8E61" w14:textId="77777777" w:rsidR="00DE56E0" w:rsidRPr="00A9200E" w:rsidRDefault="00DE56E0" w:rsidP="00DE56E0">
            <w:pPr>
              <w:jc w:val="both"/>
              <w:rPr>
                <w:rFonts w:ascii="Times New Roman" w:hAnsi="Times New Roman" w:cs="Times New Roman"/>
                <w:lang w:val="en-US"/>
              </w:rPr>
            </w:pPr>
            <w:r w:rsidRPr="00A9200E">
              <w:rPr>
                <w:rFonts w:ascii="Times New Roman" w:hAnsi="Times New Roman" w:cs="Times New Roman"/>
                <w:lang w:val="en-US"/>
              </w:rPr>
              <w:t>Digital transformation preparedness positively predicts the effectiveness and sustainability of transformation outcomes.</w:t>
            </w:r>
          </w:p>
        </w:tc>
      </w:tr>
      <w:tr w:rsidR="00DE56E0" w:rsidRPr="00A9200E" w14:paraId="055D0983" w14:textId="77777777" w:rsidTr="00176DBA">
        <w:tc>
          <w:tcPr>
            <w:tcW w:w="654" w:type="pct"/>
            <w:vAlign w:val="center"/>
            <w:hideMark/>
          </w:tcPr>
          <w:p w14:paraId="4295111E" w14:textId="77777777" w:rsidR="00DE56E0" w:rsidRPr="00A9200E" w:rsidRDefault="00DE56E0" w:rsidP="00DE56E0">
            <w:pPr>
              <w:jc w:val="both"/>
              <w:rPr>
                <w:rFonts w:ascii="Times New Roman" w:hAnsi="Times New Roman" w:cs="Times New Roman"/>
                <w:lang w:val="en-US"/>
              </w:rPr>
            </w:pPr>
            <w:r w:rsidRPr="00A9200E">
              <w:rPr>
                <w:rFonts w:ascii="Times New Roman" w:hAnsi="Times New Roman" w:cs="Times New Roman"/>
                <w:lang w:val="en-US"/>
              </w:rPr>
              <w:t>P5</w:t>
            </w:r>
          </w:p>
        </w:tc>
        <w:tc>
          <w:tcPr>
            <w:tcW w:w="4346" w:type="pct"/>
            <w:vAlign w:val="center"/>
            <w:hideMark/>
          </w:tcPr>
          <w:p w14:paraId="6BBE7A0C" w14:textId="77777777" w:rsidR="00DE56E0" w:rsidRPr="00A9200E" w:rsidRDefault="00DE56E0" w:rsidP="00DE56E0">
            <w:pPr>
              <w:jc w:val="both"/>
              <w:rPr>
                <w:rFonts w:ascii="Times New Roman" w:hAnsi="Times New Roman" w:cs="Times New Roman"/>
                <w:lang w:val="en-US"/>
              </w:rPr>
            </w:pPr>
            <w:r w:rsidRPr="00A9200E">
              <w:rPr>
                <w:rFonts w:ascii="Times New Roman" w:hAnsi="Times New Roman" w:cs="Times New Roman"/>
                <w:lang w:val="en-US"/>
              </w:rPr>
              <w:t>Multilevel alignment produces stronger and more durable transformation outcomes than single-level readiness conditions.</w:t>
            </w:r>
          </w:p>
        </w:tc>
      </w:tr>
      <w:tr w:rsidR="00DE56E0" w:rsidRPr="00A9200E" w14:paraId="5F581F37" w14:textId="77777777" w:rsidTr="00176DBA">
        <w:tc>
          <w:tcPr>
            <w:tcW w:w="654" w:type="pct"/>
            <w:vAlign w:val="center"/>
            <w:hideMark/>
          </w:tcPr>
          <w:p w14:paraId="5D429079" w14:textId="77777777" w:rsidR="00DE56E0" w:rsidRPr="00A9200E" w:rsidRDefault="00DE56E0" w:rsidP="00DE56E0">
            <w:pPr>
              <w:jc w:val="both"/>
              <w:rPr>
                <w:rFonts w:ascii="Times New Roman" w:hAnsi="Times New Roman" w:cs="Times New Roman"/>
                <w:lang w:val="en-US"/>
              </w:rPr>
            </w:pPr>
            <w:r w:rsidRPr="00A9200E">
              <w:rPr>
                <w:rFonts w:ascii="Times New Roman" w:hAnsi="Times New Roman" w:cs="Times New Roman"/>
                <w:lang w:val="en-US"/>
              </w:rPr>
              <w:t>P6</w:t>
            </w:r>
          </w:p>
        </w:tc>
        <w:tc>
          <w:tcPr>
            <w:tcW w:w="4346" w:type="pct"/>
            <w:vAlign w:val="center"/>
            <w:hideMark/>
          </w:tcPr>
          <w:p w14:paraId="5DAD6066" w14:textId="77777777" w:rsidR="00DE56E0" w:rsidRPr="00A9200E" w:rsidRDefault="00DE56E0" w:rsidP="00DE56E0">
            <w:pPr>
              <w:jc w:val="both"/>
              <w:rPr>
                <w:rFonts w:ascii="Times New Roman" w:hAnsi="Times New Roman" w:cs="Times New Roman"/>
                <w:lang w:val="en-US"/>
              </w:rPr>
            </w:pPr>
            <w:r w:rsidRPr="00A9200E">
              <w:rPr>
                <w:rFonts w:ascii="Times New Roman" w:hAnsi="Times New Roman" w:cs="Times New Roman"/>
                <w:lang w:val="en-US"/>
              </w:rPr>
              <w:t>Technical debt and bureaucratic rigidity weaken the relationship between readiness and preparedness.</w:t>
            </w:r>
          </w:p>
        </w:tc>
      </w:tr>
      <w:tr w:rsidR="00DE56E0" w:rsidRPr="00A9200E" w14:paraId="72959EB7" w14:textId="77777777" w:rsidTr="00176DBA">
        <w:tc>
          <w:tcPr>
            <w:tcW w:w="654" w:type="pct"/>
            <w:vAlign w:val="center"/>
            <w:hideMark/>
          </w:tcPr>
          <w:p w14:paraId="52B26BFA" w14:textId="77777777" w:rsidR="00DE56E0" w:rsidRPr="00A9200E" w:rsidRDefault="00DE56E0" w:rsidP="00DE56E0">
            <w:pPr>
              <w:jc w:val="both"/>
              <w:rPr>
                <w:rFonts w:ascii="Times New Roman" w:hAnsi="Times New Roman" w:cs="Times New Roman"/>
                <w:lang w:val="en-US"/>
              </w:rPr>
            </w:pPr>
            <w:r w:rsidRPr="00A9200E">
              <w:rPr>
                <w:rFonts w:ascii="Times New Roman" w:hAnsi="Times New Roman" w:cs="Times New Roman"/>
                <w:lang w:val="en-US"/>
              </w:rPr>
              <w:t>P7</w:t>
            </w:r>
          </w:p>
        </w:tc>
        <w:tc>
          <w:tcPr>
            <w:tcW w:w="4346" w:type="pct"/>
            <w:vAlign w:val="center"/>
            <w:hideMark/>
          </w:tcPr>
          <w:p w14:paraId="21E53E59" w14:textId="77777777" w:rsidR="00DE56E0" w:rsidRPr="00A9200E" w:rsidRDefault="00DE56E0" w:rsidP="00DE56E0">
            <w:pPr>
              <w:jc w:val="both"/>
              <w:rPr>
                <w:rFonts w:ascii="Times New Roman" w:hAnsi="Times New Roman" w:cs="Times New Roman"/>
                <w:lang w:val="en-US"/>
              </w:rPr>
            </w:pPr>
            <w:r w:rsidRPr="00A9200E">
              <w:rPr>
                <w:rFonts w:ascii="Times New Roman" w:hAnsi="Times New Roman" w:cs="Times New Roman"/>
                <w:lang w:val="en-US"/>
              </w:rPr>
              <w:t>Misalignment across levels produces illusory readiness, where high readiness indicators coexist with failed transformation outcomes.</w:t>
            </w:r>
          </w:p>
        </w:tc>
      </w:tr>
    </w:tbl>
    <w:p w14:paraId="6489B0DC" w14:textId="454BBD68" w:rsidR="00510FAB" w:rsidRPr="00A9200E" w:rsidRDefault="007B00FA" w:rsidP="006E4B04">
      <w:pPr>
        <w:pStyle w:val="Heading2"/>
        <w:spacing w:before="240" w:after="240" w:line="240" w:lineRule="auto"/>
        <w:jc w:val="both"/>
        <w:rPr>
          <w:rFonts w:ascii="Times New Roman" w:hAnsi="Times New Roman" w:cs="Times New Roman"/>
          <w:b/>
          <w:bCs/>
          <w:color w:val="auto"/>
          <w:sz w:val="24"/>
          <w:szCs w:val="24"/>
          <w:lang w:val="en-US"/>
        </w:rPr>
      </w:pPr>
      <w:r w:rsidRPr="00A9200E">
        <w:rPr>
          <w:rFonts w:ascii="Times New Roman" w:hAnsi="Times New Roman" w:cs="Times New Roman"/>
          <w:b/>
          <w:bCs/>
          <w:color w:val="auto"/>
          <w:sz w:val="24"/>
          <w:szCs w:val="24"/>
          <w:lang w:val="en-US"/>
        </w:rPr>
        <w:lastRenderedPageBreak/>
        <w:t>Conceptual Implication</w:t>
      </w:r>
    </w:p>
    <w:p w14:paraId="3764FAF1" w14:textId="2E8E237A" w:rsidR="00DE56E0" w:rsidRPr="00A9200E" w:rsidRDefault="00DE56E0" w:rsidP="00937B6B">
      <w:pPr>
        <w:spacing w:before="240" w:after="240" w:line="240" w:lineRule="auto"/>
        <w:jc w:val="both"/>
        <w:rPr>
          <w:rFonts w:ascii="Times New Roman" w:hAnsi="Times New Roman" w:cs="Times New Roman"/>
          <w:lang w:val="en-US"/>
        </w:rPr>
      </w:pPr>
      <w:r w:rsidRPr="00A9200E">
        <w:rPr>
          <w:rFonts w:ascii="Times New Roman" w:hAnsi="Times New Roman" w:cs="Times New Roman"/>
          <w:lang w:val="en-US"/>
        </w:rPr>
        <w:t>The central implication of BIFT is that the main barrier to digital transformation is not the absence of resources, but the failure to align them. By shifting the analytical focus from possession to coordination, BIFT offers a more precise explanation of the transformation gap and establishes preparedness as the key construct for both theory and measurement.</w:t>
      </w:r>
      <w:r w:rsidR="007B00FA" w:rsidRPr="00A9200E">
        <w:rPr>
          <w:rFonts w:ascii="Times New Roman" w:hAnsi="Times New Roman" w:cs="Times New Roman"/>
          <w:lang w:val="en-US"/>
        </w:rPr>
        <w:t xml:space="preserve"> </w:t>
      </w:r>
      <w:r w:rsidRPr="00A9200E">
        <w:rPr>
          <w:rFonts w:ascii="Times New Roman" w:hAnsi="Times New Roman" w:cs="Times New Roman"/>
          <w:lang w:val="en-US"/>
        </w:rPr>
        <w:t>Figure 1 summarises the framework.</w:t>
      </w:r>
    </w:p>
    <w:p w14:paraId="731EE775" w14:textId="77777777" w:rsidR="007B00FA" w:rsidRPr="00A9200E" w:rsidRDefault="007B00FA" w:rsidP="007B00FA">
      <w:pPr>
        <w:spacing w:after="0" w:line="240" w:lineRule="auto"/>
        <w:jc w:val="center"/>
        <w:rPr>
          <w:rFonts w:ascii="Times New Roman" w:hAnsi="Times New Roman" w:cs="Times New Roman"/>
        </w:rPr>
      </w:pPr>
      <w:r w:rsidRPr="00A9200E">
        <w:rPr>
          <w:rFonts w:ascii="Times New Roman" w:hAnsi="Times New Roman" w:cs="Times New Roman"/>
          <w:noProof/>
        </w:rPr>
        <w:drawing>
          <wp:inline distT="0" distB="0" distL="0" distR="0" wp14:anchorId="0694A2AA" wp14:editId="0F310E81">
            <wp:extent cx="5943600" cy="2994025"/>
            <wp:effectExtent l="0" t="0" r="0" b="0"/>
            <wp:docPr id="2088483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483719" name=""/>
                    <pic:cNvPicPr/>
                  </pic:nvPicPr>
                  <pic:blipFill>
                    <a:blip r:embed="rId8"/>
                    <a:stretch>
                      <a:fillRect/>
                    </a:stretch>
                  </pic:blipFill>
                  <pic:spPr>
                    <a:xfrm>
                      <a:off x="0" y="0"/>
                      <a:ext cx="5943600" cy="2994025"/>
                    </a:xfrm>
                    <a:prstGeom prst="rect">
                      <a:avLst/>
                    </a:prstGeom>
                  </pic:spPr>
                </pic:pic>
              </a:graphicData>
            </a:graphic>
          </wp:inline>
        </w:drawing>
      </w:r>
    </w:p>
    <w:p w14:paraId="03A25B49" w14:textId="77777777" w:rsidR="007B00FA" w:rsidRPr="00A9200E" w:rsidRDefault="007B00FA" w:rsidP="007B00FA">
      <w:pPr>
        <w:spacing w:after="0" w:line="240" w:lineRule="auto"/>
        <w:jc w:val="center"/>
        <w:rPr>
          <w:rFonts w:ascii="Times New Roman" w:hAnsi="Times New Roman" w:cs="Times New Roman"/>
        </w:rPr>
      </w:pPr>
      <w:r w:rsidRPr="00A9200E">
        <w:rPr>
          <w:rFonts w:ascii="Times New Roman" w:hAnsi="Times New Roman" w:cs="Times New Roman"/>
        </w:rPr>
        <w:t>Figure 1: The Behavioural–Institutional Framework for Transformation (BIFT)</w:t>
      </w:r>
    </w:p>
    <w:p w14:paraId="3593B878" w14:textId="76F8918C" w:rsidR="0020277E" w:rsidRPr="00A9200E" w:rsidRDefault="00A9200E" w:rsidP="006E4B04">
      <w:pPr>
        <w:pStyle w:val="Heading1"/>
        <w:spacing w:before="240" w:after="240" w:line="240" w:lineRule="auto"/>
        <w:jc w:val="both"/>
        <w:rPr>
          <w:rFonts w:ascii="Times New Roman" w:hAnsi="Times New Roman" w:cs="Times New Roman"/>
          <w:b/>
          <w:bCs/>
          <w:color w:val="auto"/>
          <w:sz w:val="24"/>
          <w:szCs w:val="24"/>
          <w:lang w:val="en-US"/>
        </w:rPr>
      </w:pPr>
      <w:r w:rsidRPr="00A9200E">
        <w:rPr>
          <w:rFonts w:ascii="Times New Roman" w:hAnsi="Times New Roman" w:cs="Times New Roman"/>
          <w:b/>
          <w:bCs/>
          <w:color w:val="auto"/>
          <w:sz w:val="24"/>
          <w:szCs w:val="24"/>
          <w:lang w:val="en-US"/>
        </w:rPr>
        <w:t>IMPLICATIONS FOR HIGHER EDUCATION SYSTEMS</w:t>
      </w:r>
    </w:p>
    <w:p w14:paraId="6121591A" w14:textId="77777777" w:rsidR="0020277E" w:rsidRPr="00A9200E" w:rsidRDefault="0020277E" w:rsidP="00937B6B">
      <w:pPr>
        <w:spacing w:before="240" w:after="240" w:line="240" w:lineRule="auto"/>
        <w:jc w:val="both"/>
        <w:rPr>
          <w:rFonts w:ascii="Times New Roman" w:hAnsi="Times New Roman" w:cs="Times New Roman"/>
          <w:lang w:val="en-US"/>
        </w:rPr>
      </w:pPr>
      <w:r w:rsidRPr="00A9200E">
        <w:rPr>
          <w:rFonts w:ascii="Times New Roman" w:hAnsi="Times New Roman" w:cs="Times New Roman"/>
          <w:lang w:val="en-US"/>
        </w:rPr>
        <w:t>Reframing digital readiness through BIFT shifts attention from resource accumulation to alignment management. The central challenge for higher education institutions is not simply acquiring digital technologies, but ensuring that behavioural, leadership, and institutional conditions reinforce one another. Transformation outcomes depend less on the volume of digital assets than on the extent to which these assets are coordinated into a state of preparedness.</w:t>
      </w:r>
    </w:p>
    <w:p w14:paraId="5764248B" w14:textId="77777777" w:rsidR="0020277E" w:rsidRPr="00A9200E" w:rsidRDefault="0020277E" w:rsidP="00937B6B">
      <w:pPr>
        <w:spacing w:before="240" w:after="240" w:line="240" w:lineRule="auto"/>
        <w:jc w:val="both"/>
        <w:rPr>
          <w:rFonts w:ascii="Times New Roman" w:hAnsi="Times New Roman" w:cs="Times New Roman"/>
          <w:lang w:val="en-US"/>
        </w:rPr>
      </w:pPr>
      <w:r w:rsidRPr="00A9200E">
        <w:rPr>
          <w:rFonts w:ascii="Times New Roman" w:hAnsi="Times New Roman" w:cs="Times New Roman"/>
          <w:lang w:val="en-US"/>
        </w:rPr>
        <w:t>A primary implication concerns governance. From a BIFT perspective, governance is the mechanism through which distributed readiness is either integrated or fragmented. Institutions that encourage experimentation without coordination risk localised innovation with limited institutional impact, while highly centralised systems may achieve consistency at the expense of adaptability (Limanovskaja and Davidavičienė, 2025). Effective governance therefore requires a balance between strategic direction and participatory coordination. Such arrangements help bridge policy–practice gaps by ensuring that institutional objectives are translated into operational realities (Jimenez Garcia et al., 2026). Governance also plays a critical role in managing technical debt, which can impede integration and slow organisational response to change (Park, 2025).</w:t>
      </w:r>
    </w:p>
    <w:p w14:paraId="37DACA21" w14:textId="77777777" w:rsidR="0020277E" w:rsidRPr="00A9200E" w:rsidRDefault="0020277E" w:rsidP="00937B6B">
      <w:pPr>
        <w:spacing w:before="240" w:after="240" w:line="240" w:lineRule="auto"/>
        <w:jc w:val="both"/>
        <w:rPr>
          <w:rFonts w:ascii="Times New Roman" w:hAnsi="Times New Roman" w:cs="Times New Roman"/>
          <w:lang w:val="en-US"/>
        </w:rPr>
      </w:pPr>
      <w:r w:rsidRPr="00A9200E">
        <w:rPr>
          <w:rFonts w:ascii="Times New Roman" w:hAnsi="Times New Roman" w:cs="Times New Roman"/>
          <w:lang w:val="en-US"/>
        </w:rPr>
        <w:t>The framework also provides a diagnostic lens for understanding transformation failure. Rather than viewing failure as a consequence of resource scarcity, BIFT interprets it as evidence of misalignment across levels. Institutions may possess extensive digital infrastructure yet experience low utilisation because behavioural readiness remains underdeveloped or unsupported (Le et al., 2022; Qin et al., 2022). Conversely, strong leadership initiatives may fail where institutional cultures discourage experimentation or where bureaucratic rigidity constrains implementation (Du and Xie, 2025; Singun, 2025). In both cases, the result is illusory readiness: the presence of apparent capacity without the conditions required for effective deployment.</w:t>
      </w:r>
    </w:p>
    <w:p w14:paraId="5F892176" w14:textId="77777777" w:rsidR="0020277E" w:rsidRPr="00A9200E" w:rsidRDefault="0020277E" w:rsidP="00937B6B">
      <w:pPr>
        <w:spacing w:before="240" w:after="240" w:line="240" w:lineRule="auto"/>
        <w:jc w:val="both"/>
        <w:rPr>
          <w:rFonts w:ascii="Times New Roman" w:hAnsi="Times New Roman" w:cs="Times New Roman"/>
          <w:lang w:val="en-US"/>
        </w:rPr>
      </w:pPr>
      <w:r w:rsidRPr="00A9200E">
        <w:rPr>
          <w:rFonts w:ascii="Times New Roman" w:hAnsi="Times New Roman" w:cs="Times New Roman"/>
          <w:lang w:val="en-US"/>
        </w:rPr>
        <w:t xml:space="preserve">For managers and policymakers, the practical implication is a shift from technology procurement to capability orchestration. Investments in infrastructure remain necessary, but they are unlikely to generate sustainable transformation unless accompanied by complementary interventions at behavioural and institutional levels. </w:t>
      </w:r>
      <w:r w:rsidRPr="00A9200E">
        <w:rPr>
          <w:rFonts w:ascii="Times New Roman" w:hAnsi="Times New Roman" w:cs="Times New Roman"/>
          <w:lang w:val="en-US"/>
        </w:rPr>
        <w:lastRenderedPageBreak/>
        <w:t>Leadership must coordinate dispersed expertise and align stakeholders around shared goals (Henderikx and Stoffers, 2023; Li et al., 2024). At the same time, institutions must cultivate conditions that support experimentation, learning, and collaboration while reducing structural barriers such as technical debt (Du and Xie, 2025; Park, 2025). Behavioural interventions should likewise move beyond skills training to promote adaptability, self-efficacy, and unlearning, enabling individuals to adopt new ways of working (Zhang et al., 2025). Sustainable transformation emerges when these interventions are pursued as mutually reinforcing components of a single change process rather than as isolated initiatives.</w:t>
      </w:r>
    </w:p>
    <w:p w14:paraId="2AD5A507" w14:textId="40E0FE3D" w:rsidR="0020277E" w:rsidRPr="00A9200E" w:rsidRDefault="0020277E" w:rsidP="00937B6B">
      <w:pPr>
        <w:spacing w:before="240" w:after="240" w:line="240" w:lineRule="auto"/>
        <w:jc w:val="both"/>
        <w:rPr>
          <w:rFonts w:ascii="Times New Roman" w:hAnsi="Times New Roman" w:cs="Times New Roman"/>
          <w:lang w:val="en-US"/>
        </w:rPr>
      </w:pPr>
      <w:r w:rsidRPr="00A9200E">
        <w:rPr>
          <w:rFonts w:ascii="Times New Roman" w:hAnsi="Times New Roman" w:cs="Times New Roman"/>
          <w:lang w:val="en-US"/>
        </w:rPr>
        <w:t>The implications are particularly relevant for resource-constrained higher education systems. In contexts such as Nigeria, uneven infrastructure, rapid enrolment growth, and governance challenges often make transformation difficult to sustain (David, 2025; Ogbonna et al., 2025). Under such conditions, policies that emphasise compliance or technology acquisition alone may produce limited results because behavioural engagement and institutional support lag behind formal mandates. More effective approaches focus on strengthening coordination across levels through stakeholder participation, leadership integration, and supportive institutional environments (</w:t>
      </w:r>
      <w:r w:rsidR="00E95373" w:rsidRPr="00A9200E">
        <w:rPr>
          <w:rFonts w:ascii="Times New Roman" w:hAnsi="Times New Roman" w:cs="Times New Roman"/>
          <w:lang w:val="en-US"/>
        </w:rPr>
        <w:t>Asamoah &amp; Ansong</w:t>
      </w:r>
      <w:r w:rsidRPr="00A9200E">
        <w:rPr>
          <w:rFonts w:ascii="Times New Roman" w:hAnsi="Times New Roman" w:cs="Times New Roman"/>
          <w:lang w:val="en-US"/>
        </w:rPr>
        <w:t>, 2025; Ukeje et al., 2026). From a BIFT perspective, the key challenge is not simply expanding resources but aligning existing capacities so that preparedness can emerge despite constraint.</w:t>
      </w:r>
    </w:p>
    <w:p w14:paraId="2ADC9E91" w14:textId="08E5F0B3" w:rsidR="00F53AFE" w:rsidRPr="00A9200E" w:rsidRDefault="00A9200E" w:rsidP="006E4B04">
      <w:pPr>
        <w:pStyle w:val="Heading1"/>
        <w:spacing w:before="240" w:after="240" w:line="240" w:lineRule="auto"/>
        <w:jc w:val="both"/>
        <w:rPr>
          <w:rFonts w:ascii="Times New Roman" w:hAnsi="Times New Roman" w:cs="Times New Roman"/>
          <w:b/>
          <w:bCs/>
          <w:color w:val="auto"/>
          <w:sz w:val="24"/>
          <w:szCs w:val="24"/>
          <w:lang w:val="en-US"/>
        </w:rPr>
      </w:pPr>
      <w:r w:rsidRPr="00A9200E">
        <w:rPr>
          <w:rFonts w:ascii="Times New Roman" w:hAnsi="Times New Roman" w:cs="Times New Roman"/>
          <w:b/>
          <w:bCs/>
          <w:color w:val="auto"/>
          <w:sz w:val="24"/>
          <w:szCs w:val="24"/>
          <w:lang w:val="en-US"/>
        </w:rPr>
        <w:t>TOWARD MEASUREMENT: THE BDRI AGENDA</w:t>
      </w:r>
    </w:p>
    <w:p w14:paraId="2A74D21D" w14:textId="77777777" w:rsidR="00C15878" w:rsidRPr="00A9200E" w:rsidRDefault="00C15878" w:rsidP="00937B6B">
      <w:pPr>
        <w:spacing w:before="240" w:after="240" w:line="240" w:lineRule="auto"/>
        <w:jc w:val="both"/>
        <w:rPr>
          <w:rFonts w:ascii="Times New Roman" w:hAnsi="Times New Roman" w:cs="Times New Roman"/>
          <w:lang w:val="en-US"/>
        </w:rPr>
      </w:pPr>
      <w:r w:rsidRPr="00A9200E">
        <w:rPr>
          <w:rFonts w:ascii="Times New Roman" w:hAnsi="Times New Roman" w:cs="Times New Roman"/>
          <w:lang w:val="en-US"/>
        </w:rPr>
        <w:t>The reconceptualisation of digital readiness as multilevel socio-technical alignment requires a corresponding shift in measurement. The Behavioural–Digital Readiness Index (BDRI) is proposed as the operational extension of BIFT: it is designed to assess not only whether institutions possess digital resources, but whether behavioural, leadership, and institutional conditions are aligned for sustained transformation.</w:t>
      </w:r>
    </w:p>
    <w:p w14:paraId="6716F292" w14:textId="3B1F00B1" w:rsidR="00F53AFE" w:rsidRPr="00A9200E" w:rsidRDefault="00F53AFE" w:rsidP="006E4B04">
      <w:pPr>
        <w:pStyle w:val="Heading2"/>
        <w:spacing w:before="240" w:after="240" w:line="240" w:lineRule="auto"/>
        <w:jc w:val="both"/>
        <w:rPr>
          <w:rFonts w:ascii="Times New Roman" w:hAnsi="Times New Roman" w:cs="Times New Roman"/>
          <w:b/>
          <w:bCs/>
          <w:color w:val="auto"/>
          <w:sz w:val="24"/>
          <w:szCs w:val="24"/>
          <w:lang w:val="en-US"/>
        </w:rPr>
      </w:pPr>
      <w:r w:rsidRPr="00A9200E">
        <w:rPr>
          <w:rFonts w:ascii="Times New Roman" w:hAnsi="Times New Roman" w:cs="Times New Roman"/>
          <w:b/>
          <w:bCs/>
          <w:color w:val="auto"/>
          <w:sz w:val="24"/>
          <w:szCs w:val="24"/>
          <w:lang w:val="en-US"/>
        </w:rPr>
        <w:t>The Need for Integrative Measurement</w:t>
      </w:r>
    </w:p>
    <w:p w14:paraId="409D5FA4" w14:textId="77777777" w:rsidR="00C15878" w:rsidRPr="00A9200E" w:rsidRDefault="00C15878" w:rsidP="00937B6B">
      <w:pPr>
        <w:spacing w:before="240" w:after="240" w:line="240" w:lineRule="auto"/>
        <w:jc w:val="both"/>
        <w:rPr>
          <w:rFonts w:ascii="Times New Roman" w:hAnsi="Times New Roman" w:cs="Times New Roman"/>
          <w:lang w:val="en-US"/>
        </w:rPr>
      </w:pPr>
      <w:r w:rsidRPr="00A9200E">
        <w:rPr>
          <w:rFonts w:ascii="Times New Roman" w:hAnsi="Times New Roman" w:cs="Times New Roman"/>
          <w:lang w:val="en-US"/>
        </w:rPr>
        <w:t xml:space="preserve">Existing digital readiness instruments are useful but fragmented. Many conflate readiness with preparedness, treating technical assets and self-reported competence as proxies for transformational capability (Adiwijaya et al., 2025; Michelotto &amp; Joia, 2024). They also rely heavily on self-assessment, which tends to inflate competence and obscure actual performance (González-Mujico, 2024). In developing contexts, imported models such as the UNESCO Six Pillars are often applied with limited adaptation to local constraints and institutional realities (Tsimpanis et al., 2023). The BDRI responds to these limitations by treating </w:t>
      </w:r>
      <w:r w:rsidRPr="00A9200E">
        <w:rPr>
          <w:rFonts w:ascii="Times New Roman" w:hAnsi="Times New Roman" w:cs="Times New Roman"/>
          <w:i/>
          <w:iCs/>
          <w:lang w:val="en-US"/>
        </w:rPr>
        <w:t>preparedness</w:t>
      </w:r>
      <w:r w:rsidRPr="00A9200E">
        <w:rPr>
          <w:rFonts w:ascii="Times New Roman" w:hAnsi="Times New Roman" w:cs="Times New Roman"/>
          <w:lang w:val="en-US"/>
        </w:rPr>
        <w:t xml:space="preserve"> as the primary outcome and readiness dimensions as its formative inputs.</w:t>
      </w:r>
    </w:p>
    <w:p w14:paraId="0A9DF585" w14:textId="6917D638" w:rsidR="00512347" w:rsidRPr="00A9200E" w:rsidRDefault="00512347" w:rsidP="006E4B04">
      <w:pPr>
        <w:pStyle w:val="Heading2"/>
        <w:spacing w:before="240" w:after="240" w:line="240" w:lineRule="auto"/>
        <w:jc w:val="both"/>
        <w:rPr>
          <w:rFonts w:ascii="Times New Roman" w:hAnsi="Times New Roman" w:cs="Times New Roman"/>
          <w:b/>
          <w:bCs/>
          <w:color w:val="auto"/>
          <w:sz w:val="24"/>
          <w:szCs w:val="24"/>
          <w:lang w:val="en-US"/>
        </w:rPr>
      </w:pPr>
      <w:r w:rsidRPr="00A9200E">
        <w:rPr>
          <w:rFonts w:ascii="Times New Roman" w:hAnsi="Times New Roman" w:cs="Times New Roman"/>
          <w:b/>
          <w:bCs/>
          <w:color w:val="auto"/>
          <w:sz w:val="24"/>
          <w:szCs w:val="24"/>
          <w:lang w:val="en-US"/>
        </w:rPr>
        <w:t>Structure and Dimensions of the BDRI</w:t>
      </w:r>
    </w:p>
    <w:p w14:paraId="52F1DAE5" w14:textId="12B4D903" w:rsidR="00C15878" w:rsidRPr="00A9200E" w:rsidRDefault="00C15878" w:rsidP="00937B6B">
      <w:pPr>
        <w:spacing w:before="240" w:after="240" w:line="240" w:lineRule="auto"/>
        <w:jc w:val="both"/>
        <w:rPr>
          <w:rFonts w:ascii="Times New Roman" w:hAnsi="Times New Roman" w:cs="Times New Roman"/>
          <w:lang w:val="en-US"/>
        </w:rPr>
      </w:pPr>
      <w:r w:rsidRPr="00A9200E">
        <w:rPr>
          <w:rFonts w:ascii="Times New Roman" w:hAnsi="Times New Roman" w:cs="Times New Roman"/>
          <w:lang w:val="en-US"/>
        </w:rPr>
        <w:t>The BDRI reflects the three levels of the behavioural–institutional framework. Unlike technology-centred indices</w:t>
      </w:r>
      <w:r w:rsidR="00031913" w:rsidRPr="00A9200E">
        <w:rPr>
          <w:rFonts w:ascii="Times New Roman" w:hAnsi="Times New Roman" w:cs="Times New Roman"/>
          <w:lang w:val="en-US"/>
        </w:rPr>
        <w:t xml:space="preserve"> </w:t>
      </w:r>
      <w:r w:rsidR="004611E1" w:rsidRPr="00A9200E">
        <w:rPr>
          <w:rFonts w:ascii="Times New Roman" w:hAnsi="Times New Roman" w:cs="Times New Roman"/>
        </w:rPr>
        <w:t>[e.g., the Smart Industry Readiness Index (</w:t>
      </w:r>
      <w:r w:rsidR="00031913" w:rsidRPr="00A9200E">
        <w:rPr>
          <w:rFonts w:ascii="Times New Roman" w:hAnsi="Times New Roman" w:cs="Times New Roman"/>
        </w:rPr>
        <w:t xml:space="preserve">Abdullah </w:t>
      </w:r>
      <w:r w:rsidR="004611E1" w:rsidRPr="00A9200E">
        <w:rPr>
          <w:rFonts w:ascii="Times New Roman" w:hAnsi="Times New Roman" w:cs="Times New Roman"/>
        </w:rPr>
        <w:t>&amp;</w:t>
      </w:r>
      <w:r w:rsidR="00031913" w:rsidRPr="00A9200E">
        <w:rPr>
          <w:rFonts w:ascii="Times New Roman" w:hAnsi="Times New Roman" w:cs="Times New Roman"/>
        </w:rPr>
        <w:t xml:space="preserve"> Al-Ahmari, 2025</w:t>
      </w:r>
      <w:r w:rsidR="004611E1" w:rsidRPr="00A9200E">
        <w:rPr>
          <w:rFonts w:ascii="Times New Roman" w:hAnsi="Times New Roman" w:cs="Times New Roman"/>
        </w:rPr>
        <w:t>)</w:t>
      </w:r>
      <w:r w:rsidR="00031913" w:rsidRPr="00A9200E">
        <w:rPr>
          <w:rFonts w:ascii="Times New Roman" w:hAnsi="Times New Roman" w:cs="Times New Roman"/>
        </w:rPr>
        <w:t xml:space="preserve">; </w:t>
      </w:r>
      <w:r w:rsidR="004611E1" w:rsidRPr="00A9200E">
        <w:rPr>
          <w:rFonts w:ascii="Times New Roman" w:hAnsi="Times New Roman" w:cs="Times New Roman"/>
        </w:rPr>
        <w:t>the Industrial Transformation Technology Index (</w:t>
      </w:r>
      <w:r w:rsidR="00031913" w:rsidRPr="00A9200E">
        <w:rPr>
          <w:rFonts w:ascii="Times New Roman" w:hAnsi="Times New Roman" w:cs="Times New Roman"/>
        </w:rPr>
        <w:t>Al-Breiki, 2026)</w:t>
      </w:r>
      <w:r w:rsidR="004611E1" w:rsidRPr="00A9200E">
        <w:rPr>
          <w:rFonts w:ascii="Times New Roman" w:hAnsi="Times New Roman" w:cs="Times New Roman"/>
        </w:rPr>
        <w:t>]</w:t>
      </w:r>
      <w:r w:rsidRPr="00A9200E">
        <w:rPr>
          <w:rFonts w:ascii="Times New Roman" w:hAnsi="Times New Roman" w:cs="Times New Roman"/>
          <w:lang w:val="en-US"/>
        </w:rPr>
        <w:t>, it gives substantial weight to the human and organisational conditions that determine whether digital capacity is activated.</w:t>
      </w:r>
    </w:p>
    <w:p w14:paraId="23675CBC" w14:textId="77777777" w:rsidR="00C15878" w:rsidRPr="00A9200E" w:rsidRDefault="00C15878" w:rsidP="006E4B04">
      <w:pPr>
        <w:numPr>
          <w:ilvl w:val="0"/>
          <w:numId w:val="3"/>
        </w:numPr>
        <w:spacing w:before="240" w:after="240" w:line="240" w:lineRule="auto"/>
        <w:jc w:val="both"/>
        <w:rPr>
          <w:rFonts w:ascii="Times New Roman" w:hAnsi="Times New Roman" w:cs="Times New Roman"/>
          <w:lang w:val="en-US"/>
        </w:rPr>
      </w:pPr>
      <w:r w:rsidRPr="00A9200E">
        <w:rPr>
          <w:rFonts w:ascii="Times New Roman" w:hAnsi="Times New Roman" w:cs="Times New Roman"/>
          <w:i/>
          <w:iCs/>
          <w:lang w:val="en-US"/>
        </w:rPr>
        <w:t>Behavioural readiness (micro):</w:t>
      </w:r>
      <w:r w:rsidRPr="00A9200E">
        <w:rPr>
          <w:rFonts w:ascii="Times New Roman" w:hAnsi="Times New Roman" w:cs="Times New Roman"/>
          <w:lang w:val="en-US"/>
        </w:rPr>
        <w:t xml:space="preserve"> psychological preparedness for digital change, including cognitive flexibility, adaptability, and willingness to engage with new practices (Sabani et al., 2023). </w:t>
      </w:r>
    </w:p>
    <w:p w14:paraId="4F5D4E18" w14:textId="77777777" w:rsidR="00C15878" w:rsidRPr="00A9200E" w:rsidRDefault="00C15878" w:rsidP="006E4B04">
      <w:pPr>
        <w:numPr>
          <w:ilvl w:val="0"/>
          <w:numId w:val="3"/>
        </w:numPr>
        <w:spacing w:before="240" w:after="240" w:line="240" w:lineRule="auto"/>
        <w:jc w:val="both"/>
        <w:rPr>
          <w:rFonts w:ascii="Times New Roman" w:hAnsi="Times New Roman" w:cs="Times New Roman"/>
          <w:lang w:val="en-US"/>
        </w:rPr>
      </w:pPr>
      <w:r w:rsidRPr="00A9200E">
        <w:rPr>
          <w:rFonts w:ascii="Times New Roman" w:hAnsi="Times New Roman" w:cs="Times New Roman"/>
          <w:i/>
          <w:iCs/>
          <w:lang w:val="en-US"/>
        </w:rPr>
        <w:t>Leadership readiness (meso):</w:t>
      </w:r>
      <w:r w:rsidRPr="00A9200E">
        <w:rPr>
          <w:rFonts w:ascii="Times New Roman" w:hAnsi="Times New Roman" w:cs="Times New Roman"/>
          <w:lang w:val="en-US"/>
        </w:rPr>
        <w:t xml:space="preserve"> the ability of management to coordinate change, provide direction, and align resources (Truong and Tran, 2026). </w:t>
      </w:r>
    </w:p>
    <w:p w14:paraId="4989D898" w14:textId="77777777" w:rsidR="00C15878" w:rsidRPr="00A9200E" w:rsidRDefault="00C15878" w:rsidP="006E4B04">
      <w:pPr>
        <w:numPr>
          <w:ilvl w:val="0"/>
          <w:numId w:val="3"/>
        </w:numPr>
        <w:spacing w:before="240" w:after="240" w:line="240" w:lineRule="auto"/>
        <w:jc w:val="both"/>
        <w:rPr>
          <w:rFonts w:ascii="Times New Roman" w:hAnsi="Times New Roman" w:cs="Times New Roman"/>
          <w:lang w:val="en-US"/>
        </w:rPr>
      </w:pPr>
      <w:r w:rsidRPr="00A9200E">
        <w:rPr>
          <w:rFonts w:ascii="Times New Roman" w:hAnsi="Times New Roman" w:cs="Times New Roman"/>
          <w:i/>
          <w:iCs/>
          <w:lang w:val="en-US"/>
        </w:rPr>
        <w:t>Institutional readiness (macro):</w:t>
      </w:r>
      <w:r w:rsidRPr="00A9200E">
        <w:rPr>
          <w:rFonts w:ascii="Times New Roman" w:hAnsi="Times New Roman" w:cs="Times New Roman"/>
          <w:lang w:val="en-US"/>
        </w:rPr>
        <w:t xml:space="preserve"> the organisational climate for transformation, including policy coherence, digital culture, and the mitigation of technical debt (Orkamo et al., 2025; Park, 2025). </w:t>
      </w:r>
    </w:p>
    <w:p w14:paraId="68E0972D" w14:textId="1B7EE8AB" w:rsidR="00512347" w:rsidRPr="00A9200E" w:rsidRDefault="00512347" w:rsidP="006E4B04">
      <w:pPr>
        <w:pStyle w:val="Heading2"/>
        <w:spacing w:before="240" w:after="240" w:line="240" w:lineRule="auto"/>
        <w:jc w:val="both"/>
        <w:rPr>
          <w:rFonts w:ascii="Times New Roman" w:hAnsi="Times New Roman" w:cs="Times New Roman"/>
          <w:b/>
          <w:bCs/>
          <w:color w:val="auto"/>
          <w:sz w:val="24"/>
          <w:szCs w:val="24"/>
          <w:lang w:val="en-US"/>
        </w:rPr>
      </w:pPr>
      <w:r w:rsidRPr="00A9200E">
        <w:rPr>
          <w:rFonts w:ascii="Times New Roman" w:hAnsi="Times New Roman" w:cs="Times New Roman"/>
          <w:b/>
          <w:bCs/>
          <w:color w:val="auto"/>
          <w:sz w:val="24"/>
          <w:szCs w:val="24"/>
          <w:lang w:val="en-US"/>
        </w:rPr>
        <w:t>Indicative Indicators for Diagnostic Rigor</w:t>
      </w:r>
    </w:p>
    <w:p w14:paraId="4FA1FD96" w14:textId="23AF174D" w:rsidR="00C15878" w:rsidRPr="00A9200E" w:rsidRDefault="00285EF3" w:rsidP="00937B6B">
      <w:pPr>
        <w:spacing w:before="240" w:after="240" w:line="240" w:lineRule="auto"/>
        <w:jc w:val="both"/>
        <w:rPr>
          <w:rFonts w:ascii="Times New Roman" w:hAnsi="Times New Roman" w:cs="Times New Roman"/>
        </w:rPr>
      </w:pPr>
      <w:r w:rsidRPr="00A9200E">
        <w:rPr>
          <w:rFonts w:ascii="Times New Roman" w:hAnsi="Times New Roman" w:cs="Times New Roman"/>
        </w:rPr>
        <w:t>To illustrate how the BDRI can be operationalised, Table 2 presents the core readiness dimensions, representative indicators, and their corresponding diagnostic functions.</w:t>
      </w:r>
    </w:p>
    <w:p w14:paraId="14F867B8" w14:textId="700FFBA1" w:rsidR="00C15878" w:rsidRPr="00A9200E" w:rsidRDefault="00C5729D" w:rsidP="00C5729D">
      <w:pPr>
        <w:spacing w:after="120" w:line="240" w:lineRule="auto"/>
        <w:jc w:val="center"/>
        <w:rPr>
          <w:rFonts w:ascii="Times New Roman" w:hAnsi="Times New Roman" w:cs="Times New Roman"/>
          <w:lang w:val="en-US"/>
        </w:rPr>
      </w:pPr>
      <w:r w:rsidRPr="00A9200E">
        <w:rPr>
          <w:rFonts w:ascii="Times New Roman" w:hAnsi="Times New Roman" w:cs="Times New Roman"/>
          <w:lang w:val="en-US"/>
        </w:rPr>
        <w:lastRenderedPageBreak/>
        <w:t>Table 2. Operationalisation of BDRI Dimensions and Diagnostic Indicators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667"/>
        <w:gridCol w:w="3112"/>
        <w:gridCol w:w="5914"/>
      </w:tblGrid>
      <w:tr w:rsidR="00C15878" w:rsidRPr="00A9200E" w14:paraId="46E1935F" w14:textId="77777777" w:rsidTr="00A274D2">
        <w:tc>
          <w:tcPr>
            <w:tcW w:w="0" w:type="auto"/>
            <w:vAlign w:val="center"/>
            <w:hideMark/>
          </w:tcPr>
          <w:p w14:paraId="68A21CC0" w14:textId="77777777" w:rsidR="00C15878" w:rsidRPr="00A9200E" w:rsidRDefault="00C15878" w:rsidP="00C15878">
            <w:pPr>
              <w:rPr>
                <w:rFonts w:ascii="Times New Roman" w:hAnsi="Times New Roman" w:cs="Times New Roman"/>
                <w:b/>
                <w:bCs/>
                <w:lang w:val="en-US"/>
              </w:rPr>
            </w:pPr>
            <w:r w:rsidRPr="00A9200E">
              <w:rPr>
                <w:rFonts w:ascii="Times New Roman" w:hAnsi="Times New Roman" w:cs="Times New Roman"/>
                <w:b/>
                <w:bCs/>
                <w:lang w:val="en-US"/>
              </w:rPr>
              <w:t>Dimension</w:t>
            </w:r>
          </w:p>
        </w:tc>
        <w:tc>
          <w:tcPr>
            <w:tcW w:w="0" w:type="auto"/>
            <w:vAlign w:val="center"/>
            <w:hideMark/>
          </w:tcPr>
          <w:p w14:paraId="2E35E9C9" w14:textId="77777777" w:rsidR="00C15878" w:rsidRPr="00A9200E" w:rsidRDefault="00C15878" w:rsidP="00C15878">
            <w:pPr>
              <w:rPr>
                <w:rFonts w:ascii="Times New Roman" w:hAnsi="Times New Roman" w:cs="Times New Roman"/>
                <w:b/>
                <w:bCs/>
                <w:lang w:val="en-US"/>
              </w:rPr>
            </w:pPr>
            <w:r w:rsidRPr="00A9200E">
              <w:rPr>
                <w:rFonts w:ascii="Times New Roman" w:hAnsi="Times New Roman" w:cs="Times New Roman"/>
                <w:b/>
                <w:bCs/>
                <w:lang w:val="en-US"/>
              </w:rPr>
              <w:t>Indicative indicators</w:t>
            </w:r>
          </w:p>
        </w:tc>
        <w:tc>
          <w:tcPr>
            <w:tcW w:w="0" w:type="auto"/>
            <w:vAlign w:val="center"/>
            <w:hideMark/>
          </w:tcPr>
          <w:p w14:paraId="65569D68" w14:textId="77777777" w:rsidR="00C15878" w:rsidRPr="00A9200E" w:rsidRDefault="00C15878" w:rsidP="00C15878">
            <w:pPr>
              <w:rPr>
                <w:rFonts w:ascii="Times New Roman" w:hAnsi="Times New Roman" w:cs="Times New Roman"/>
                <w:b/>
                <w:bCs/>
                <w:lang w:val="en-US"/>
              </w:rPr>
            </w:pPr>
            <w:r w:rsidRPr="00A9200E">
              <w:rPr>
                <w:rFonts w:ascii="Times New Roman" w:hAnsi="Times New Roman" w:cs="Times New Roman"/>
                <w:b/>
                <w:bCs/>
                <w:lang w:val="en-US"/>
              </w:rPr>
              <w:t>Diagnostic purpose</w:t>
            </w:r>
          </w:p>
        </w:tc>
      </w:tr>
      <w:tr w:rsidR="00C15878" w:rsidRPr="00A9200E" w14:paraId="3F9C183D" w14:textId="77777777" w:rsidTr="00A274D2">
        <w:tc>
          <w:tcPr>
            <w:tcW w:w="0" w:type="auto"/>
            <w:vAlign w:val="center"/>
            <w:hideMark/>
          </w:tcPr>
          <w:p w14:paraId="56DF6F43" w14:textId="77777777" w:rsidR="00C15878" w:rsidRPr="00A9200E" w:rsidRDefault="00C15878" w:rsidP="00C15878">
            <w:pPr>
              <w:rPr>
                <w:rFonts w:ascii="Times New Roman" w:hAnsi="Times New Roman" w:cs="Times New Roman"/>
                <w:lang w:val="en-US"/>
              </w:rPr>
            </w:pPr>
            <w:r w:rsidRPr="00A9200E">
              <w:rPr>
                <w:rFonts w:ascii="Times New Roman" w:hAnsi="Times New Roman" w:cs="Times New Roman"/>
                <w:lang w:val="en-US"/>
              </w:rPr>
              <w:t>Behavioural readiness</w:t>
            </w:r>
          </w:p>
        </w:tc>
        <w:tc>
          <w:tcPr>
            <w:tcW w:w="0" w:type="auto"/>
            <w:vAlign w:val="center"/>
            <w:hideMark/>
          </w:tcPr>
          <w:p w14:paraId="54BC4FAE" w14:textId="77777777" w:rsidR="00C15878" w:rsidRPr="00A9200E" w:rsidRDefault="00C15878" w:rsidP="00C15878">
            <w:pPr>
              <w:rPr>
                <w:rFonts w:ascii="Times New Roman" w:hAnsi="Times New Roman" w:cs="Times New Roman"/>
                <w:lang w:val="en-US"/>
              </w:rPr>
            </w:pPr>
            <w:r w:rsidRPr="00A9200E">
              <w:rPr>
                <w:rFonts w:ascii="Times New Roman" w:hAnsi="Times New Roman" w:cs="Times New Roman"/>
                <w:lang w:val="en-US"/>
              </w:rPr>
              <w:t>Adaptability; unlearning; digital confidence/self-efficacy</w:t>
            </w:r>
          </w:p>
        </w:tc>
        <w:tc>
          <w:tcPr>
            <w:tcW w:w="0" w:type="auto"/>
            <w:vAlign w:val="center"/>
            <w:hideMark/>
          </w:tcPr>
          <w:p w14:paraId="5749A718" w14:textId="77777777" w:rsidR="00C15878" w:rsidRPr="00A9200E" w:rsidRDefault="00C15878" w:rsidP="00C15878">
            <w:pPr>
              <w:rPr>
                <w:rFonts w:ascii="Times New Roman" w:hAnsi="Times New Roman" w:cs="Times New Roman"/>
                <w:lang w:val="en-US"/>
              </w:rPr>
            </w:pPr>
            <w:r w:rsidRPr="00A9200E">
              <w:rPr>
                <w:rFonts w:ascii="Times New Roman" w:hAnsi="Times New Roman" w:cs="Times New Roman"/>
                <w:lang w:val="en-US"/>
              </w:rPr>
              <w:t>Captures whether individuals can move beyond old practices and engage effectively with digital tasks (Zhao et al., 2026; Le et al., 2022; Rehman et al., 2024).</w:t>
            </w:r>
          </w:p>
        </w:tc>
      </w:tr>
      <w:tr w:rsidR="00C15878" w:rsidRPr="00A9200E" w14:paraId="69713E3E" w14:textId="77777777" w:rsidTr="00A274D2">
        <w:tc>
          <w:tcPr>
            <w:tcW w:w="0" w:type="auto"/>
            <w:vAlign w:val="center"/>
            <w:hideMark/>
          </w:tcPr>
          <w:p w14:paraId="625AB1CD" w14:textId="77777777" w:rsidR="00C15878" w:rsidRPr="00A9200E" w:rsidRDefault="00C15878" w:rsidP="00C15878">
            <w:pPr>
              <w:rPr>
                <w:rFonts w:ascii="Times New Roman" w:hAnsi="Times New Roman" w:cs="Times New Roman"/>
                <w:lang w:val="en-US"/>
              </w:rPr>
            </w:pPr>
            <w:r w:rsidRPr="00A9200E">
              <w:rPr>
                <w:rFonts w:ascii="Times New Roman" w:hAnsi="Times New Roman" w:cs="Times New Roman"/>
                <w:lang w:val="en-US"/>
              </w:rPr>
              <w:t>Leadership readiness</w:t>
            </w:r>
          </w:p>
        </w:tc>
        <w:tc>
          <w:tcPr>
            <w:tcW w:w="0" w:type="auto"/>
            <w:vAlign w:val="center"/>
            <w:hideMark/>
          </w:tcPr>
          <w:p w14:paraId="4C63F6EA" w14:textId="77777777" w:rsidR="00C15878" w:rsidRPr="00A9200E" w:rsidRDefault="00C15878" w:rsidP="00C15878">
            <w:pPr>
              <w:rPr>
                <w:rFonts w:ascii="Times New Roman" w:hAnsi="Times New Roman" w:cs="Times New Roman"/>
                <w:lang w:val="en-US"/>
              </w:rPr>
            </w:pPr>
            <w:r w:rsidRPr="00A9200E">
              <w:rPr>
                <w:rFonts w:ascii="Times New Roman" w:hAnsi="Times New Roman" w:cs="Times New Roman"/>
                <w:lang w:val="en-US"/>
              </w:rPr>
              <w:t>Leadership support; trust; orchestration capacity</w:t>
            </w:r>
          </w:p>
        </w:tc>
        <w:tc>
          <w:tcPr>
            <w:tcW w:w="0" w:type="auto"/>
            <w:vAlign w:val="center"/>
            <w:hideMark/>
          </w:tcPr>
          <w:p w14:paraId="320448FF" w14:textId="77777777" w:rsidR="00C15878" w:rsidRPr="00A9200E" w:rsidRDefault="00C15878" w:rsidP="00C15878">
            <w:pPr>
              <w:rPr>
                <w:rFonts w:ascii="Times New Roman" w:hAnsi="Times New Roman" w:cs="Times New Roman"/>
                <w:lang w:val="en-US"/>
              </w:rPr>
            </w:pPr>
            <w:r w:rsidRPr="00A9200E">
              <w:rPr>
                <w:rFonts w:ascii="Times New Roman" w:hAnsi="Times New Roman" w:cs="Times New Roman"/>
                <w:lang w:val="en-US"/>
              </w:rPr>
              <w:t>Assesses whether managers can coordinate action and create conditions for adoption (Li et al., 2024).</w:t>
            </w:r>
          </w:p>
        </w:tc>
      </w:tr>
      <w:tr w:rsidR="00C15878" w:rsidRPr="00A9200E" w14:paraId="7E1D47B5" w14:textId="77777777" w:rsidTr="00A274D2">
        <w:tc>
          <w:tcPr>
            <w:tcW w:w="0" w:type="auto"/>
            <w:vAlign w:val="center"/>
            <w:hideMark/>
          </w:tcPr>
          <w:p w14:paraId="386DC809" w14:textId="77777777" w:rsidR="00C15878" w:rsidRPr="00A9200E" w:rsidRDefault="00C15878" w:rsidP="00C15878">
            <w:pPr>
              <w:rPr>
                <w:rFonts w:ascii="Times New Roman" w:hAnsi="Times New Roman" w:cs="Times New Roman"/>
                <w:lang w:val="en-US"/>
              </w:rPr>
            </w:pPr>
            <w:r w:rsidRPr="00A9200E">
              <w:rPr>
                <w:rFonts w:ascii="Times New Roman" w:hAnsi="Times New Roman" w:cs="Times New Roman"/>
                <w:lang w:val="en-US"/>
              </w:rPr>
              <w:t>Institutional readiness</w:t>
            </w:r>
          </w:p>
        </w:tc>
        <w:tc>
          <w:tcPr>
            <w:tcW w:w="0" w:type="auto"/>
            <w:vAlign w:val="center"/>
            <w:hideMark/>
          </w:tcPr>
          <w:p w14:paraId="669FD03E" w14:textId="77777777" w:rsidR="00C15878" w:rsidRPr="00A9200E" w:rsidRDefault="00C15878" w:rsidP="00C15878">
            <w:pPr>
              <w:rPr>
                <w:rFonts w:ascii="Times New Roman" w:hAnsi="Times New Roman" w:cs="Times New Roman"/>
                <w:lang w:val="en-US"/>
              </w:rPr>
            </w:pPr>
            <w:r w:rsidRPr="00A9200E">
              <w:rPr>
                <w:rFonts w:ascii="Times New Roman" w:hAnsi="Times New Roman" w:cs="Times New Roman"/>
                <w:lang w:val="en-US"/>
              </w:rPr>
              <w:t>Psychological safety; policy coherence; technical debt reduction</w:t>
            </w:r>
          </w:p>
        </w:tc>
        <w:tc>
          <w:tcPr>
            <w:tcW w:w="0" w:type="auto"/>
            <w:vAlign w:val="center"/>
            <w:hideMark/>
          </w:tcPr>
          <w:p w14:paraId="1C04C599" w14:textId="77777777" w:rsidR="00C15878" w:rsidRPr="00A9200E" w:rsidRDefault="00C15878" w:rsidP="00C15878">
            <w:pPr>
              <w:rPr>
                <w:rFonts w:ascii="Times New Roman" w:hAnsi="Times New Roman" w:cs="Times New Roman"/>
                <w:lang w:val="en-US"/>
              </w:rPr>
            </w:pPr>
            <w:r w:rsidRPr="00A9200E">
              <w:rPr>
                <w:rFonts w:ascii="Times New Roman" w:hAnsi="Times New Roman" w:cs="Times New Roman"/>
                <w:lang w:val="en-US"/>
              </w:rPr>
              <w:t>Evaluates whether the organisational environment enables experimentation, collaboration, and integration (Du and Xie, 2025; Papadonikolaki and Morgan, 2026).</w:t>
            </w:r>
          </w:p>
        </w:tc>
      </w:tr>
    </w:tbl>
    <w:p w14:paraId="0B148B78" w14:textId="6EAA7D2E" w:rsidR="00512347" w:rsidRPr="00A9200E" w:rsidRDefault="00512347" w:rsidP="00140520">
      <w:pPr>
        <w:pStyle w:val="Heading2"/>
        <w:spacing w:before="240" w:after="240" w:line="240" w:lineRule="auto"/>
        <w:jc w:val="both"/>
        <w:rPr>
          <w:rFonts w:ascii="Times New Roman" w:hAnsi="Times New Roman" w:cs="Times New Roman"/>
          <w:b/>
          <w:bCs/>
          <w:color w:val="auto"/>
          <w:sz w:val="24"/>
          <w:szCs w:val="24"/>
          <w:lang w:val="en-US"/>
        </w:rPr>
      </w:pPr>
      <w:r w:rsidRPr="00A9200E">
        <w:rPr>
          <w:rFonts w:ascii="Times New Roman" w:hAnsi="Times New Roman" w:cs="Times New Roman"/>
          <w:b/>
          <w:bCs/>
          <w:color w:val="auto"/>
          <w:sz w:val="24"/>
          <w:szCs w:val="24"/>
          <w:lang w:val="en-US"/>
        </w:rPr>
        <w:t>Methodological Pathway</w:t>
      </w:r>
    </w:p>
    <w:p w14:paraId="0A647822" w14:textId="77777777" w:rsidR="00C15878" w:rsidRPr="00A9200E" w:rsidRDefault="00C15878" w:rsidP="00937B6B">
      <w:pPr>
        <w:spacing w:before="240" w:after="240" w:line="240" w:lineRule="auto"/>
        <w:jc w:val="both"/>
        <w:rPr>
          <w:rFonts w:ascii="Times New Roman" w:hAnsi="Times New Roman" w:cs="Times New Roman"/>
          <w:lang w:val="en-US"/>
        </w:rPr>
      </w:pPr>
      <w:r w:rsidRPr="00A9200E">
        <w:rPr>
          <w:rFonts w:ascii="Times New Roman" w:hAnsi="Times New Roman" w:cs="Times New Roman"/>
          <w:lang w:val="en-US"/>
        </w:rPr>
        <w:t>The BDRI should be developed through a multi-method design. Item generation should begin with qualitative work to ensure contextual relevance, followed by psychometric refinement (Nurtjahjanti et al., 2024; Zincirli and Polat, 2025). Confirmatory Factor Analysis (CFA) can then test the measurement structure, especially for reflective constructs such as self-efficacy and trust (Mueller and Hancock, 2015; Voss, 2023). Partial Least Squares Structural Equation Modelling (PLS-SEM) can subsequently examine predictive relationships and compare the relative contribution of each readiness dimension to preparedness and transformation outcomes (Al-Emran et al., 2019; Chin et al., 2020). Discriminant validity and predictive relevance should be assessed using standard diagnostics such as HTMT and PLSpredict (Shmueli et al., 2019).</w:t>
      </w:r>
    </w:p>
    <w:p w14:paraId="2E372036" w14:textId="6D778183" w:rsidR="00512347" w:rsidRPr="00A9200E" w:rsidRDefault="00512347" w:rsidP="00140520">
      <w:pPr>
        <w:pStyle w:val="Heading2"/>
        <w:spacing w:before="240" w:after="240" w:line="240" w:lineRule="auto"/>
        <w:jc w:val="both"/>
        <w:rPr>
          <w:rFonts w:ascii="Times New Roman" w:hAnsi="Times New Roman" w:cs="Times New Roman"/>
          <w:b/>
          <w:bCs/>
          <w:color w:val="auto"/>
          <w:sz w:val="24"/>
          <w:szCs w:val="24"/>
          <w:lang w:val="en-US"/>
        </w:rPr>
      </w:pPr>
      <w:r w:rsidRPr="00A9200E">
        <w:rPr>
          <w:rFonts w:ascii="Times New Roman" w:hAnsi="Times New Roman" w:cs="Times New Roman"/>
          <w:b/>
          <w:bCs/>
          <w:color w:val="auto"/>
          <w:sz w:val="24"/>
          <w:szCs w:val="24"/>
          <w:lang w:val="en-US"/>
        </w:rPr>
        <w:t>Contribution of the BDRI</w:t>
      </w:r>
    </w:p>
    <w:p w14:paraId="7087C179" w14:textId="77777777" w:rsidR="00C15878" w:rsidRPr="00A9200E" w:rsidRDefault="00C15878" w:rsidP="00937B6B">
      <w:pPr>
        <w:spacing w:before="240" w:after="240" w:line="240" w:lineRule="auto"/>
        <w:jc w:val="both"/>
        <w:rPr>
          <w:rFonts w:ascii="Times New Roman" w:hAnsi="Times New Roman" w:cs="Times New Roman"/>
          <w:lang w:val="en-US"/>
        </w:rPr>
      </w:pPr>
      <w:r w:rsidRPr="00A9200E">
        <w:rPr>
          <w:rFonts w:ascii="Times New Roman" w:hAnsi="Times New Roman" w:cs="Times New Roman"/>
          <w:lang w:val="en-US"/>
        </w:rPr>
        <w:t>BDRI is more than a measurement tool. As a diagnostic instrument, it can identify specific bottlenecks, such as high infrastructure but low psychological safety. As a policy tool, it can help decision-makers channel investment toward human and organisational capacity rather than hardware alone. As a research platform, it enables longitudinal and comparative studies across institutions and countries. In this way, BDRI gives empirical form to BIFT and offers a practical basis for studying digital transformation preparedness in higher education.</w:t>
      </w:r>
    </w:p>
    <w:p w14:paraId="63BC2027" w14:textId="45193349" w:rsidR="00BF4908" w:rsidRPr="00A9200E" w:rsidRDefault="00A9200E" w:rsidP="00140520">
      <w:pPr>
        <w:pStyle w:val="Heading1"/>
        <w:spacing w:before="240" w:after="240" w:line="240" w:lineRule="auto"/>
        <w:jc w:val="both"/>
        <w:rPr>
          <w:rFonts w:ascii="Times New Roman" w:hAnsi="Times New Roman" w:cs="Times New Roman"/>
          <w:b/>
          <w:bCs/>
          <w:color w:val="auto"/>
          <w:sz w:val="24"/>
          <w:szCs w:val="24"/>
          <w:lang w:val="en-US"/>
        </w:rPr>
      </w:pPr>
      <w:r w:rsidRPr="00A9200E">
        <w:rPr>
          <w:rFonts w:ascii="Times New Roman" w:hAnsi="Times New Roman" w:cs="Times New Roman"/>
          <w:b/>
          <w:bCs/>
          <w:color w:val="auto"/>
          <w:sz w:val="24"/>
          <w:szCs w:val="24"/>
          <w:lang w:val="en-US"/>
        </w:rPr>
        <w:t>CONCLUSION</w:t>
      </w:r>
    </w:p>
    <w:p w14:paraId="6A7BA240" w14:textId="56B5C0CA" w:rsidR="00BF4908" w:rsidRPr="00A9200E" w:rsidRDefault="00BF4908" w:rsidP="00937B6B">
      <w:pPr>
        <w:spacing w:before="240" w:after="240" w:line="240" w:lineRule="auto"/>
        <w:jc w:val="both"/>
        <w:rPr>
          <w:rFonts w:ascii="Times New Roman" w:hAnsi="Times New Roman" w:cs="Times New Roman"/>
          <w:lang w:val="en-US"/>
        </w:rPr>
      </w:pPr>
      <w:r w:rsidRPr="00A9200E">
        <w:rPr>
          <w:rFonts w:ascii="Times New Roman" w:hAnsi="Times New Roman" w:cs="Times New Roman"/>
          <w:lang w:val="en-US"/>
        </w:rPr>
        <w:t>The persistence of the digital transformation gap in higher education shows that technological capacity alone does not produce institutional change. When digital readiness is defined mainly as infrastructure and skills, it captures potential but not the conditions under which that potential is mobilised. In response, this paper advances a behavioural–institutional reconceptualisation of readiness as a multilevel, interactional phenomenon. The BIFT shifts attention from resource possession to cross-level alignment and introduces digital transformation preparedness as the construct that links capacity to outcomes. In this formulation, preparedness reflects what institutions can coordinate, sustain, and scale.</w:t>
      </w:r>
    </w:p>
    <w:p w14:paraId="240C59DA" w14:textId="77777777" w:rsidR="00BF4908" w:rsidRDefault="00BF4908" w:rsidP="00937B6B">
      <w:pPr>
        <w:spacing w:before="240" w:after="240" w:line="240" w:lineRule="auto"/>
        <w:jc w:val="both"/>
        <w:rPr>
          <w:rFonts w:ascii="Times New Roman" w:hAnsi="Times New Roman" w:cs="Times New Roman"/>
          <w:lang w:val="en-US"/>
        </w:rPr>
      </w:pPr>
      <w:r w:rsidRPr="00A9200E">
        <w:rPr>
          <w:rFonts w:ascii="Times New Roman" w:hAnsi="Times New Roman" w:cs="Times New Roman"/>
          <w:lang w:val="en-US"/>
        </w:rPr>
        <w:t>The paper contributes theoretically by specifying alignment as a causal mechanism, conceptually by distinguishing readiness from preparedness, and methodologically by proposing the BDRI as a way to assess preparedness through integrated, performance-oriented indicators. Future research should empirically test the BIFT–BDRI nexus across diverse institutional settings, especially where structural constraints make alignment difficult.</w:t>
      </w:r>
    </w:p>
    <w:p w14:paraId="22CA72D9" w14:textId="77777777" w:rsidR="00E768AE" w:rsidRDefault="00E768AE" w:rsidP="00937B6B">
      <w:pPr>
        <w:spacing w:before="240" w:after="240" w:line="240" w:lineRule="auto"/>
        <w:jc w:val="both"/>
        <w:rPr>
          <w:rFonts w:ascii="Times New Roman" w:hAnsi="Times New Roman" w:cs="Times New Roman"/>
          <w:lang w:val="en-US"/>
        </w:rPr>
      </w:pPr>
    </w:p>
    <w:p w14:paraId="0A998CD5" w14:textId="77777777" w:rsidR="00E768AE" w:rsidRPr="00A9200E" w:rsidRDefault="00E768AE" w:rsidP="00937B6B">
      <w:pPr>
        <w:spacing w:before="240" w:after="240" w:line="240" w:lineRule="auto"/>
        <w:jc w:val="both"/>
        <w:rPr>
          <w:rFonts w:ascii="Times New Roman" w:hAnsi="Times New Roman" w:cs="Times New Roman"/>
          <w:lang w:val="en-US"/>
        </w:rPr>
      </w:pPr>
    </w:p>
    <w:p w14:paraId="4AD69356" w14:textId="77777777" w:rsidR="00922B67" w:rsidRPr="00A9200E" w:rsidRDefault="00922B67" w:rsidP="00140520">
      <w:pPr>
        <w:spacing w:before="240" w:after="240" w:line="240" w:lineRule="auto"/>
        <w:ind w:left="709" w:hanging="709"/>
        <w:jc w:val="both"/>
        <w:rPr>
          <w:rFonts w:ascii="Times New Roman" w:hAnsi="Times New Roman" w:cs="Times New Roman"/>
          <w:b/>
          <w:bCs/>
        </w:rPr>
      </w:pPr>
      <w:r w:rsidRPr="00A9200E">
        <w:rPr>
          <w:rFonts w:ascii="Times New Roman" w:hAnsi="Times New Roman" w:cs="Times New Roman"/>
          <w:b/>
          <w:bCs/>
        </w:rPr>
        <w:t>References</w:t>
      </w:r>
    </w:p>
    <w:p w14:paraId="24DF335E" w14:textId="77777777" w:rsidR="00922B67" w:rsidRPr="00A274D2" w:rsidRDefault="00922B67" w:rsidP="00A274D2">
      <w:pPr>
        <w:pStyle w:val="ListParagraph"/>
        <w:numPr>
          <w:ilvl w:val="0"/>
          <w:numId w:val="4"/>
        </w:numPr>
        <w:spacing w:after="0" w:line="240" w:lineRule="auto"/>
        <w:ind w:left="426" w:hanging="426"/>
        <w:jc w:val="both"/>
        <w:rPr>
          <w:rFonts w:ascii="Times New Roman" w:hAnsi="Times New Roman" w:cs="Times New Roman"/>
          <w:lang w:val="en-US"/>
        </w:rPr>
      </w:pPr>
      <w:r w:rsidRPr="00A274D2">
        <w:rPr>
          <w:rFonts w:ascii="Times New Roman" w:hAnsi="Times New Roman" w:cs="Times New Roman"/>
          <w:lang w:val="en-US"/>
        </w:rPr>
        <w:t xml:space="preserve">Abdullah, F.M. and Al-Ahmari, A.M. (2025), “Analyzing the smart industry readiness index in adopting Industry 4.0 technologies”, </w:t>
      </w:r>
      <w:r w:rsidRPr="00A274D2">
        <w:rPr>
          <w:rFonts w:ascii="Times New Roman" w:hAnsi="Times New Roman" w:cs="Times New Roman"/>
          <w:i/>
          <w:iCs/>
          <w:lang w:val="en-US"/>
        </w:rPr>
        <w:t>Processes</w:t>
      </w:r>
      <w:r w:rsidRPr="00A274D2">
        <w:rPr>
          <w:rFonts w:ascii="Times New Roman" w:hAnsi="Times New Roman" w:cs="Times New Roman"/>
          <w:lang w:val="en-US"/>
        </w:rPr>
        <w:t xml:space="preserve">, Vol. 13 No. 10, 3172, </w:t>
      </w:r>
      <w:hyperlink r:id="rId9" w:tgtFrame="_blank" w:history="1">
        <w:r w:rsidRPr="00A274D2">
          <w:rPr>
            <w:rStyle w:val="Hyperlink"/>
            <w:rFonts w:ascii="Times New Roman" w:hAnsi="Times New Roman" w:cs="Times New Roman"/>
            <w:lang w:val="en-US"/>
          </w:rPr>
          <w:t>https://doi.org/10.3390/pr13103172</w:t>
        </w:r>
      </w:hyperlink>
    </w:p>
    <w:p w14:paraId="21C270EC" w14:textId="77777777" w:rsidR="00922B67" w:rsidRPr="00A274D2" w:rsidRDefault="00922B67" w:rsidP="00A274D2">
      <w:pPr>
        <w:pStyle w:val="ListParagraph"/>
        <w:numPr>
          <w:ilvl w:val="0"/>
          <w:numId w:val="4"/>
        </w:numPr>
        <w:spacing w:after="0" w:line="240" w:lineRule="auto"/>
        <w:ind w:left="426" w:hanging="426"/>
        <w:jc w:val="both"/>
        <w:rPr>
          <w:rFonts w:ascii="Times New Roman" w:hAnsi="Times New Roman" w:cs="Times New Roman"/>
          <w:lang w:val="en-US"/>
        </w:rPr>
      </w:pPr>
      <w:r w:rsidRPr="00A274D2">
        <w:rPr>
          <w:rFonts w:ascii="Times New Roman" w:hAnsi="Times New Roman" w:cs="Times New Roman"/>
          <w:lang w:val="en-US"/>
        </w:rPr>
        <w:lastRenderedPageBreak/>
        <w:t xml:space="preserve">Adiwijaya, A., Anggadwita, G., Gozali, A.A., Ramadhana, M.R. and Purbolaksono, M.D. (2025), “Digital transformation in higher education: developing a new framework”, </w:t>
      </w:r>
      <w:r w:rsidRPr="00A274D2">
        <w:rPr>
          <w:rFonts w:ascii="Times New Roman" w:hAnsi="Times New Roman" w:cs="Times New Roman"/>
          <w:i/>
          <w:iCs/>
          <w:lang w:val="en-US"/>
        </w:rPr>
        <w:t>Globalisation, Societies and Education</w:t>
      </w:r>
      <w:r w:rsidRPr="00A274D2">
        <w:rPr>
          <w:rFonts w:ascii="Times New Roman" w:hAnsi="Times New Roman" w:cs="Times New Roman"/>
          <w:lang w:val="en-US"/>
        </w:rPr>
        <w:t xml:space="preserve">, Vol. 23 No. 1, pp. 1–22, </w:t>
      </w:r>
      <w:hyperlink r:id="rId10" w:tgtFrame="_blank" w:history="1">
        <w:r w:rsidRPr="00A274D2">
          <w:rPr>
            <w:rStyle w:val="Hyperlink"/>
            <w:rFonts w:ascii="Times New Roman" w:hAnsi="Times New Roman" w:cs="Times New Roman"/>
            <w:lang w:val="en-US"/>
          </w:rPr>
          <w:t>https://doi.org/10.1080/14767724.2025.2520952</w:t>
        </w:r>
      </w:hyperlink>
    </w:p>
    <w:p w14:paraId="3B72C40F" w14:textId="77777777" w:rsidR="00922B67" w:rsidRPr="00A274D2" w:rsidRDefault="00922B67" w:rsidP="00A274D2">
      <w:pPr>
        <w:pStyle w:val="ListParagraph"/>
        <w:numPr>
          <w:ilvl w:val="0"/>
          <w:numId w:val="4"/>
        </w:numPr>
        <w:spacing w:after="0" w:line="240" w:lineRule="auto"/>
        <w:ind w:left="426" w:hanging="426"/>
        <w:jc w:val="both"/>
        <w:rPr>
          <w:rFonts w:ascii="Times New Roman" w:hAnsi="Times New Roman" w:cs="Times New Roman"/>
          <w:lang w:val="en-US"/>
        </w:rPr>
      </w:pPr>
      <w:r w:rsidRPr="00A274D2">
        <w:rPr>
          <w:rFonts w:ascii="Times New Roman" w:hAnsi="Times New Roman" w:cs="Times New Roman"/>
          <w:lang w:val="en-US"/>
        </w:rPr>
        <w:t xml:space="preserve">Al-Breiki, M.A. (2026), “Assessing readiness for Industry 4.0: Key indexes and sustainable measures”, Khan, M.I., Al-ghamdi, S.G. and Khan, N. (Eds.), </w:t>
      </w:r>
      <w:r w:rsidRPr="00A274D2">
        <w:rPr>
          <w:rFonts w:ascii="Times New Roman" w:hAnsi="Times New Roman" w:cs="Times New Roman"/>
          <w:i/>
          <w:iCs/>
          <w:lang w:val="en-US"/>
        </w:rPr>
        <w:t>Industry 4.0 and Sustainability</w:t>
      </w:r>
      <w:r w:rsidRPr="00A274D2">
        <w:rPr>
          <w:rFonts w:ascii="Times New Roman" w:hAnsi="Times New Roman" w:cs="Times New Roman"/>
          <w:lang w:val="en-US"/>
        </w:rPr>
        <w:t xml:space="preserve">, Elsevier, Amsterdam, pp. 112–135, </w:t>
      </w:r>
      <w:hyperlink r:id="rId11" w:tgtFrame="_blank" w:history="1">
        <w:r w:rsidRPr="00A274D2">
          <w:rPr>
            <w:rStyle w:val="Hyperlink"/>
            <w:rFonts w:ascii="Times New Roman" w:hAnsi="Times New Roman" w:cs="Times New Roman"/>
            <w:lang w:val="en-US"/>
          </w:rPr>
          <w:t>https://doi.org/10.1016/B978-0-443-32880-0.00019-X</w:t>
        </w:r>
      </w:hyperlink>
    </w:p>
    <w:p w14:paraId="3CD84160" w14:textId="77777777" w:rsidR="00922B67" w:rsidRPr="00A274D2" w:rsidRDefault="00922B67" w:rsidP="00A274D2">
      <w:pPr>
        <w:pStyle w:val="ListParagraph"/>
        <w:numPr>
          <w:ilvl w:val="0"/>
          <w:numId w:val="4"/>
        </w:numPr>
        <w:spacing w:after="0" w:line="240" w:lineRule="auto"/>
        <w:ind w:left="426" w:hanging="426"/>
        <w:jc w:val="both"/>
        <w:rPr>
          <w:rFonts w:ascii="Times New Roman" w:hAnsi="Times New Roman" w:cs="Times New Roman"/>
          <w:lang w:val="en-US"/>
        </w:rPr>
      </w:pPr>
      <w:r w:rsidRPr="00A274D2">
        <w:rPr>
          <w:rFonts w:ascii="Times New Roman" w:hAnsi="Times New Roman" w:cs="Times New Roman"/>
          <w:lang w:val="en-US"/>
        </w:rPr>
        <w:t xml:space="preserve">Al-Emran, M., Mezhuyev, V. and Kamaludin, A. (2019), “PLS-SEM in information systems research: A comprehensive methodological reference”, </w:t>
      </w:r>
      <w:r w:rsidRPr="00A274D2">
        <w:rPr>
          <w:rFonts w:ascii="Times New Roman" w:hAnsi="Times New Roman" w:cs="Times New Roman"/>
          <w:i/>
          <w:iCs/>
          <w:lang w:val="en-US"/>
        </w:rPr>
        <w:t>Advances in Intelligent Systems and Computing</w:t>
      </w:r>
      <w:r w:rsidRPr="00A274D2">
        <w:rPr>
          <w:rFonts w:ascii="Times New Roman" w:hAnsi="Times New Roman" w:cs="Times New Roman"/>
          <w:lang w:val="en-US"/>
        </w:rPr>
        <w:t xml:space="preserve">, Vol. 1007, pp. 319–329, </w:t>
      </w:r>
      <w:hyperlink r:id="rId12" w:tgtFrame="_blank" w:history="1">
        <w:r w:rsidRPr="00A274D2">
          <w:rPr>
            <w:rStyle w:val="Hyperlink"/>
            <w:rFonts w:ascii="Times New Roman" w:hAnsi="Times New Roman" w:cs="Times New Roman"/>
            <w:lang w:val="en-US"/>
          </w:rPr>
          <w:t>https://doi.org/10.1007/978-3-319-99010-1_59</w:t>
        </w:r>
      </w:hyperlink>
    </w:p>
    <w:p w14:paraId="4F50D61E" w14:textId="77777777" w:rsidR="00922B67" w:rsidRPr="00A274D2" w:rsidRDefault="00922B67" w:rsidP="00A274D2">
      <w:pPr>
        <w:pStyle w:val="ListParagraph"/>
        <w:numPr>
          <w:ilvl w:val="0"/>
          <w:numId w:val="4"/>
        </w:numPr>
        <w:spacing w:after="0" w:line="240" w:lineRule="auto"/>
        <w:ind w:left="426" w:hanging="426"/>
        <w:jc w:val="both"/>
        <w:rPr>
          <w:rFonts w:ascii="Times New Roman" w:hAnsi="Times New Roman" w:cs="Times New Roman"/>
          <w:lang w:val="en-US"/>
        </w:rPr>
      </w:pPr>
      <w:r w:rsidRPr="00A274D2">
        <w:rPr>
          <w:rFonts w:ascii="Times New Roman" w:hAnsi="Times New Roman" w:cs="Times New Roman"/>
          <w:lang w:val="en-US"/>
        </w:rPr>
        <w:t xml:space="preserve">Antonopoulou, H., Halkiopoulos, C., Barlou, O. and Beligiannis, G.N. (2020), “Leadership types and digital leadership in higher education: Behavioural data analysis from University of Patras in Greece”, </w:t>
      </w:r>
      <w:r w:rsidRPr="00A274D2">
        <w:rPr>
          <w:rFonts w:ascii="Times New Roman" w:hAnsi="Times New Roman" w:cs="Times New Roman"/>
          <w:i/>
          <w:iCs/>
          <w:lang w:val="en-US"/>
        </w:rPr>
        <w:t>International Journal of Learning, Teaching and Educational Research</w:t>
      </w:r>
      <w:r w:rsidRPr="00A274D2">
        <w:rPr>
          <w:rFonts w:ascii="Times New Roman" w:hAnsi="Times New Roman" w:cs="Times New Roman"/>
          <w:lang w:val="en-US"/>
        </w:rPr>
        <w:t xml:space="preserve">, Vol. 19 No. 4, pp. 110–129, </w:t>
      </w:r>
      <w:hyperlink r:id="rId13" w:tgtFrame="_blank" w:history="1">
        <w:r w:rsidRPr="00A274D2">
          <w:rPr>
            <w:rStyle w:val="Hyperlink"/>
            <w:rFonts w:ascii="Times New Roman" w:hAnsi="Times New Roman" w:cs="Times New Roman"/>
            <w:lang w:val="en-US"/>
          </w:rPr>
          <w:t>https://doi.org/10.26803/ijlter.19.4.8</w:t>
        </w:r>
      </w:hyperlink>
    </w:p>
    <w:p w14:paraId="6B33195C" w14:textId="77777777" w:rsidR="00922B67" w:rsidRPr="00A274D2" w:rsidRDefault="00922B67" w:rsidP="00A274D2">
      <w:pPr>
        <w:pStyle w:val="ListParagraph"/>
        <w:numPr>
          <w:ilvl w:val="0"/>
          <w:numId w:val="4"/>
        </w:numPr>
        <w:spacing w:after="0" w:line="240" w:lineRule="auto"/>
        <w:ind w:left="426" w:hanging="426"/>
        <w:jc w:val="both"/>
        <w:rPr>
          <w:rFonts w:ascii="Times New Roman" w:hAnsi="Times New Roman" w:cs="Times New Roman"/>
          <w:lang w:val="en-US"/>
        </w:rPr>
      </w:pPr>
      <w:r w:rsidRPr="00A274D2">
        <w:rPr>
          <w:rFonts w:ascii="Times New Roman" w:hAnsi="Times New Roman" w:cs="Times New Roman"/>
          <w:lang w:val="en-US"/>
        </w:rPr>
        <w:t xml:space="preserve">Asamoah, M.K. and Ansong, J.D. (2025), “Building resilience in higher education by addressing infrastructure and financial resource challenges in Ghana”, </w:t>
      </w:r>
      <w:r w:rsidRPr="00A274D2">
        <w:rPr>
          <w:rFonts w:ascii="Times New Roman" w:hAnsi="Times New Roman" w:cs="Times New Roman"/>
          <w:i/>
          <w:iCs/>
          <w:lang w:val="en-US"/>
        </w:rPr>
        <w:t>SN Social Sciences</w:t>
      </w:r>
      <w:r w:rsidRPr="00A274D2">
        <w:rPr>
          <w:rFonts w:ascii="Times New Roman" w:hAnsi="Times New Roman" w:cs="Times New Roman"/>
          <w:lang w:val="en-US"/>
        </w:rPr>
        <w:t xml:space="preserve">, Vol. 5 No. 1, Article 1, </w:t>
      </w:r>
      <w:hyperlink r:id="rId14" w:tgtFrame="_blank" w:history="1">
        <w:r w:rsidRPr="00A274D2">
          <w:rPr>
            <w:rStyle w:val="Hyperlink"/>
            <w:rFonts w:ascii="Times New Roman" w:hAnsi="Times New Roman" w:cs="Times New Roman"/>
            <w:lang w:val="en-US"/>
          </w:rPr>
          <w:t>https://doi.org/10.1007/s43545-025-01110-z</w:t>
        </w:r>
      </w:hyperlink>
    </w:p>
    <w:p w14:paraId="2260BDCF" w14:textId="77777777" w:rsidR="00922B67" w:rsidRPr="00A274D2" w:rsidRDefault="00922B67" w:rsidP="00A274D2">
      <w:pPr>
        <w:pStyle w:val="ListParagraph"/>
        <w:numPr>
          <w:ilvl w:val="0"/>
          <w:numId w:val="4"/>
        </w:numPr>
        <w:spacing w:after="0" w:line="240" w:lineRule="auto"/>
        <w:ind w:left="426" w:hanging="426"/>
        <w:jc w:val="both"/>
        <w:rPr>
          <w:rFonts w:ascii="Times New Roman" w:hAnsi="Times New Roman" w:cs="Times New Roman"/>
          <w:lang w:val="en-US"/>
        </w:rPr>
      </w:pPr>
      <w:r w:rsidRPr="00A274D2">
        <w:rPr>
          <w:rFonts w:ascii="Times New Roman" w:hAnsi="Times New Roman" w:cs="Times New Roman"/>
          <w:lang w:val="en-US"/>
        </w:rPr>
        <w:t xml:space="preserve">Chin, W., Jun-Hwa, J.-H., Liu, Y. and Cham, T.H. (2020), “Demystifying the role of causal predictive modeling using partial least squares structural equation modeling in information systems research”, </w:t>
      </w:r>
      <w:r w:rsidRPr="00A274D2">
        <w:rPr>
          <w:rFonts w:ascii="Times New Roman" w:hAnsi="Times New Roman" w:cs="Times New Roman"/>
          <w:i/>
          <w:iCs/>
          <w:lang w:val="en-US"/>
        </w:rPr>
        <w:t>Industrial Management and Data Systems</w:t>
      </w:r>
      <w:r w:rsidRPr="00A274D2">
        <w:rPr>
          <w:rFonts w:ascii="Times New Roman" w:hAnsi="Times New Roman" w:cs="Times New Roman"/>
          <w:lang w:val="en-US"/>
        </w:rPr>
        <w:t xml:space="preserve">, Vol. 120 No. 10, pp. 1829–1849, </w:t>
      </w:r>
      <w:hyperlink r:id="rId15" w:tgtFrame="_blank" w:history="1">
        <w:r w:rsidRPr="00A274D2">
          <w:rPr>
            <w:rStyle w:val="Hyperlink"/>
            <w:rFonts w:ascii="Times New Roman" w:hAnsi="Times New Roman" w:cs="Times New Roman"/>
            <w:lang w:val="en-US"/>
          </w:rPr>
          <w:t>https://doi.org/10.1108/IMDS-10-2019-0529</w:t>
        </w:r>
      </w:hyperlink>
    </w:p>
    <w:p w14:paraId="745E6A83" w14:textId="77777777" w:rsidR="00922B67" w:rsidRPr="00A274D2" w:rsidRDefault="00922B67" w:rsidP="00A274D2">
      <w:pPr>
        <w:pStyle w:val="ListParagraph"/>
        <w:numPr>
          <w:ilvl w:val="0"/>
          <w:numId w:val="4"/>
        </w:numPr>
        <w:spacing w:after="0" w:line="240" w:lineRule="auto"/>
        <w:ind w:left="426" w:hanging="426"/>
        <w:jc w:val="both"/>
        <w:rPr>
          <w:rFonts w:ascii="Times New Roman" w:hAnsi="Times New Roman" w:cs="Times New Roman"/>
          <w:lang w:val="en-US"/>
        </w:rPr>
      </w:pPr>
      <w:r w:rsidRPr="00A274D2">
        <w:rPr>
          <w:rFonts w:ascii="Times New Roman" w:hAnsi="Times New Roman" w:cs="Times New Roman"/>
          <w:lang w:val="en-US"/>
        </w:rPr>
        <w:t xml:space="preserve">Chounta, I.-A., Ortega-Arranz, A., Daskalaki, S. and Avouris, N. (2024), “Toward a data-informed framework for the assessment of digital readiness of higher education institutions”, </w:t>
      </w:r>
      <w:r w:rsidRPr="00A274D2">
        <w:rPr>
          <w:rFonts w:ascii="Times New Roman" w:hAnsi="Times New Roman" w:cs="Times New Roman"/>
          <w:i/>
          <w:iCs/>
          <w:lang w:val="en-US"/>
        </w:rPr>
        <w:t>International Journal of Educational Technology in Higher Education</w:t>
      </w:r>
      <w:r w:rsidRPr="00A274D2">
        <w:rPr>
          <w:rFonts w:ascii="Times New Roman" w:hAnsi="Times New Roman" w:cs="Times New Roman"/>
          <w:lang w:val="en-US"/>
        </w:rPr>
        <w:t xml:space="preserve">, Vol. 21 No. 1, Article 23, </w:t>
      </w:r>
      <w:hyperlink r:id="rId16" w:tgtFrame="_blank" w:history="1">
        <w:r w:rsidRPr="00A274D2">
          <w:rPr>
            <w:rStyle w:val="Hyperlink"/>
            <w:rFonts w:ascii="Times New Roman" w:hAnsi="Times New Roman" w:cs="Times New Roman"/>
            <w:lang w:val="en-US"/>
          </w:rPr>
          <w:t>https://doi.org/10.1186/s41239-024-00491-0</w:t>
        </w:r>
      </w:hyperlink>
    </w:p>
    <w:p w14:paraId="65292C42" w14:textId="77777777" w:rsidR="00922B67" w:rsidRPr="00A274D2" w:rsidRDefault="00922B67" w:rsidP="00A274D2">
      <w:pPr>
        <w:pStyle w:val="ListParagraph"/>
        <w:numPr>
          <w:ilvl w:val="0"/>
          <w:numId w:val="4"/>
        </w:numPr>
        <w:spacing w:after="0" w:line="240" w:lineRule="auto"/>
        <w:ind w:left="426" w:hanging="426"/>
        <w:jc w:val="both"/>
        <w:rPr>
          <w:rFonts w:ascii="Times New Roman" w:hAnsi="Times New Roman" w:cs="Times New Roman"/>
          <w:lang w:val="en-US"/>
        </w:rPr>
      </w:pPr>
      <w:r w:rsidRPr="00A274D2">
        <w:rPr>
          <w:rFonts w:ascii="Times New Roman" w:hAnsi="Times New Roman" w:cs="Times New Roman"/>
          <w:lang w:val="en-US"/>
        </w:rPr>
        <w:t xml:space="preserve">David, J.O. (2025), “Balancing growth, inclusivity, and technology: Rethinking student-centered learning in South African higher education”, </w:t>
      </w:r>
      <w:r w:rsidRPr="00A274D2">
        <w:rPr>
          <w:rFonts w:ascii="Times New Roman" w:hAnsi="Times New Roman" w:cs="Times New Roman"/>
          <w:i/>
          <w:iCs/>
          <w:lang w:val="en-US"/>
        </w:rPr>
        <w:t>International Journal of Learning, Teaching and Educational Research</w:t>
      </w:r>
      <w:r w:rsidRPr="00A274D2">
        <w:rPr>
          <w:rFonts w:ascii="Times New Roman" w:hAnsi="Times New Roman" w:cs="Times New Roman"/>
          <w:lang w:val="en-US"/>
        </w:rPr>
        <w:t xml:space="preserve">, Vol. 24 No. 4, Article 7, </w:t>
      </w:r>
      <w:hyperlink r:id="rId17" w:tgtFrame="_blank" w:history="1">
        <w:r w:rsidRPr="00A274D2">
          <w:rPr>
            <w:rStyle w:val="Hyperlink"/>
            <w:rFonts w:ascii="Times New Roman" w:hAnsi="Times New Roman" w:cs="Times New Roman"/>
            <w:lang w:val="en-US"/>
          </w:rPr>
          <w:t>https://doi.org/10.26803/ijlter.24.4.7</w:t>
        </w:r>
      </w:hyperlink>
    </w:p>
    <w:p w14:paraId="7793C5CD" w14:textId="77777777" w:rsidR="00922B67" w:rsidRPr="00A274D2" w:rsidRDefault="00922B67" w:rsidP="00A274D2">
      <w:pPr>
        <w:pStyle w:val="ListParagraph"/>
        <w:numPr>
          <w:ilvl w:val="0"/>
          <w:numId w:val="4"/>
        </w:numPr>
        <w:spacing w:after="0" w:line="240" w:lineRule="auto"/>
        <w:ind w:left="426" w:hanging="426"/>
        <w:jc w:val="both"/>
        <w:rPr>
          <w:rFonts w:ascii="Times New Roman" w:hAnsi="Times New Roman" w:cs="Times New Roman"/>
          <w:lang w:val="en-US"/>
        </w:rPr>
      </w:pPr>
      <w:r w:rsidRPr="00A274D2">
        <w:rPr>
          <w:rFonts w:ascii="Times New Roman" w:hAnsi="Times New Roman" w:cs="Times New Roman"/>
          <w:lang w:val="en-US"/>
        </w:rPr>
        <w:t xml:space="preserve">Du, S. and Xie, W. (2025), “The impact of leader mindfulness in communication on employees’ psychological safety”, </w:t>
      </w:r>
      <w:r w:rsidRPr="00A274D2">
        <w:rPr>
          <w:rFonts w:ascii="Times New Roman" w:hAnsi="Times New Roman" w:cs="Times New Roman"/>
          <w:i/>
          <w:iCs/>
          <w:lang w:val="en-US"/>
        </w:rPr>
        <w:t>Frontiers in Psychology</w:t>
      </w:r>
      <w:r w:rsidRPr="00A274D2">
        <w:rPr>
          <w:rFonts w:ascii="Times New Roman" w:hAnsi="Times New Roman" w:cs="Times New Roman"/>
          <w:lang w:val="en-US"/>
        </w:rPr>
        <w:t xml:space="preserve">, Vol. 16, Article 1540820, </w:t>
      </w:r>
      <w:hyperlink r:id="rId18" w:tgtFrame="_blank" w:history="1">
        <w:r w:rsidRPr="00A274D2">
          <w:rPr>
            <w:rStyle w:val="Hyperlink"/>
            <w:rFonts w:ascii="Times New Roman" w:hAnsi="Times New Roman" w:cs="Times New Roman"/>
            <w:lang w:val="en-US"/>
          </w:rPr>
          <w:t>https://doi.org/10.3389/fpsyg.2025.1540820</w:t>
        </w:r>
      </w:hyperlink>
    </w:p>
    <w:p w14:paraId="7B1843E7" w14:textId="77777777" w:rsidR="00922B67" w:rsidRPr="00A274D2" w:rsidRDefault="00922B67" w:rsidP="00A274D2">
      <w:pPr>
        <w:pStyle w:val="ListParagraph"/>
        <w:numPr>
          <w:ilvl w:val="0"/>
          <w:numId w:val="4"/>
        </w:numPr>
        <w:spacing w:after="0" w:line="240" w:lineRule="auto"/>
        <w:ind w:left="426" w:hanging="426"/>
        <w:jc w:val="both"/>
        <w:rPr>
          <w:rFonts w:ascii="Times New Roman" w:hAnsi="Times New Roman" w:cs="Times New Roman"/>
          <w:lang w:val="en-US"/>
        </w:rPr>
      </w:pPr>
      <w:r w:rsidRPr="00A274D2">
        <w:rPr>
          <w:rFonts w:ascii="Times New Roman" w:hAnsi="Times New Roman" w:cs="Times New Roman"/>
          <w:lang w:val="en-US"/>
        </w:rPr>
        <w:t xml:space="preserve">González-Mujico, F.D.L. (2024), “Measuring student and educator digital competence beyond self-assessment: Developing and validating two rubric-based frameworks”, </w:t>
      </w:r>
      <w:r w:rsidRPr="00A274D2">
        <w:rPr>
          <w:rFonts w:ascii="Times New Roman" w:hAnsi="Times New Roman" w:cs="Times New Roman"/>
          <w:i/>
          <w:iCs/>
          <w:lang w:val="en-US"/>
        </w:rPr>
        <w:t>Education and Information Technologies</w:t>
      </w:r>
      <w:r w:rsidRPr="00A274D2">
        <w:rPr>
          <w:rFonts w:ascii="Times New Roman" w:hAnsi="Times New Roman" w:cs="Times New Roman"/>
          <w:lang w:val="en-US"/>
        </w:rPr>
        <w:t xml:space="preserve">, Vol. 29 No. 1, pp. 45–70, </w:t>
      </w:r>
      <w:hyperlink r:id="rId19" w:tgtFrame="_blank" w:history="1">
        <w:r w:rsidRPr="00A274D2">
          <w:rPr>
            <w:rStyle w:val="Hyperlink"/>
            <w:rFonts w:ascii="Times New Roman" w:hAnsi="Times New Roman" w:cs="Times New Roman"/>
            <w:lang w:val="en-US"/>
          </w:rPr>
          <w:t>https://doi.org/10.1007/s10639-023-12363-7</w:t>
        </w:r>
      </w:hyperlink>
    </w:p>
    <w:p w14:paraId="6CF1EDA0" w14:textId="77777777" w:rsidR="00922B67" w:rsidRPr="00A274D2" w:rsidRDefault="00922B67" w:rsidP="00A274D2">
      <w:pPr>
        <w:pStyle w:val="ListParagraph"/>
        <w:numPr>
          <w:ilvl w:val="0"/>
          <w:numId w:val="4"/>
        </w:numPr>
        <w:spacing w:after="0" w:line="240" w:lineRule="auto"/>
        <w:ind w:left="426" w:hanging="426"/>
        <w:jc w:val="both"/>
        <w:rPr>
          <w:rFonts w:ascii="Times New Roman" w:hAnsi="Times New Roman" w:cs="Times New Roman"/>
          <w:lang w:val="en-US"/>
        </w:rPr>
      </w:pPr>
      <w:r w:rsidRPr="00A274D2">
        <w:rPr>
          <w:rFonts w:ascii="Times New Roman" w:hAnsi="Times New Roman" w:cs="Times New Roman"/>
          <w:lang w:val="en-US"/>
        </w:rPr>
        <w:t xml:space="preserve">Henderikx, M. and Stoffers, J. (2023), “Digital transformation and middle managers’ leadership skills and behavior: A group concept mapping approach”, </w:t>
      </w:r>
      <w:r w:rsidRPr="00A274D2">
        <w:rPr>
          <w:rFonts w:ascii="Times New Roman" w:hAnsi="Times New Roman" w:cs="Times New Roman"/>
          <w:i/>
          <w:iCs/>
          <w:lang w:val="en-US"/>
        </w:rPr>
        <w:t>Frontiers in Psychology</w:t>
      </w:r>
      <w:r w:rsidRPr="00A274D2">
        <w:rPr>
          <w:rFonts w:ascii="Times New Roman" w:hAnsi="Times New Roman" w:cs="Times New Roman"/>
          <w:lang w:val="en-US"/>
        </w:rPr>
        <w:t xml:space="preserve">, Vol. 14, Article 1147002, </w:t>
      </w:r>
      <w:hyperlink r:id="rId20" w:tgtFrame="_blank" w:history="1">
        <w:r w:rsidRPr="00A274D2">
          <w:rPr>
            <w:rStyle w:val="Hyperlink"/>
            <w:rFonts w:ascii="Times New Roman" w:hAnsi="Times New Roman" w:cs="Times New Roman"/>
            <w:lang w:val="en-US"/>
          </w:rPr>
          <w:t>https://doi.org/10.3389/fpsyg.2023.1147002</w:t>
        </w:r>
      </w:hyperlink>
    </w:p>
    <w:p w14:paraId="183604F2" w14:textId="77777777" w:rsidR="00922B67" w:rsidRPr="00A274D2" w:rsidRDefault="00922B67" w:rsidP="00A274D2">
      <w:pPr>
        <w:pStyle w:val="ListParagraph"/>
        <w:numPr>
          <w:ilvl w:val="0"/>
          <w:numId w:val="4"/>
        </w:numPr>
        <w:spacing w:after="0" w:line="240" w:lineRule="auto"/>
        <w:ind w:left="426" w:hanging="426"/>
        <w:jc w:val="both"/>
        <w:rPr>
          <w:rFonts w:ascii="Times New Roman" w:hAnsi="Times New Roman" w:cs="Times New Roman"/>
          <w:lang w:val="en-US"/>
        </w:rPr>
      </w:pPr>
      <w:r w:rsidRPr="00A274D2">
        <w:rPr>
          <w:rFonts w:ascii="Times New Roman" w:hAnsi="Times New Roman" w:cs="Times New Roman"/>
          <w:lang w:val="en-US"/>
        </w:rPr>
        <w:t xml:space="preserve">Heuermann, M., Gaiser-Bertram, S. and Schallmo, D. (2024), “Digital transformation success factors: A systematic literature review and bibliometric analysis”, </w:t>
      </w:r>
      <w:r w:rsidRPr="00A274D2">
        <w:rPr>
          <w:rFonts w:ascii="Times New Roman" w:hAnsi="Times New Roman" w:cs="Times New Roman"/>
          <w:i/>
          <w:iCs/>
          <w:lang w:val="en-US"/>
        </w:rPr>
        <w:t>International Journal of Innovation Management</w:t>
      </w:r>
      <w:r w:rsidRPr="00A274D2">
        <w:rPr>
          <w:rFonts w:ascii="Times New Roman" w:hAnsi="Times New Roman" w:cs="Times New Roman"/>
          <w:lang w:val="en-US"/>
        </w:rPr>
        <w:t xml:space="preserve">, Vol. 28 No. 1, Article 24400048, </w:t>
      </w:r>
      <w:hyperlink r:id="rId21" w:tgtFrame="_blank" w:history="1">
        <w:r w:rsidRPr="00A274D2">
          <w:rPr>
            <w:rStyle w:val="Hyperlink"/>
            <w:rFonts w:ascii="Times New Roman" w:hAnsi="Times New Roman" w:cs="Times New Roman"/>
            <w:lang w:val="en-US"/>
          </w:rPr>
          <w:t>https://doi.org/10.1142/S1363919624400048</w:t>
        </w:r>
      </w:hyperlink>
    </w:p>
    <w:p w14:paraId="6B686817" w14:textId="77777777" w:rsidR="00922B67" w:rsidRPr="00A274D2" w:rsidRDefault="00922B67" w:rsidP="00A274D2">
      <w:pPr>
        <w:pStyle w:val="ListParagraph"/>
        <w:numPr>
          <w:ilvl w:val="0"/>
          <w:numId w:val="4"/>
        </w:numPr>
        <w:spacing w:after="0" w:line="240" w:lineRule="auto"/>
        <w:ind w:left="426" w:hanging="426"/>
        <w:jc w:val="both"/>
        <w:rPr>
          <w:rFonts w:ascii="Times New Roman" w:hAnsi="Times New Roman" w:cs="Times New Roman"/>
          <w:lang w:val="en-US"/>
        </w:rPr>
      </w:pPr>
      <w:r w:rsidRPr="00A274D2">
        <w:rPr>
          <w:rFonts w:ascii="Times New Roman" w:hAnsi="Times New Roman" w:cs="Times New Roman"/>
          <w:lang w:val="en-US"/>
        </w:rPr>
        <w:t xml:space="preserve">Jimenez Garcia, J.A., Valera-Aredo, J.C., Valencia-Arias, A. and Valencia, J. (2026), “Governance in higher education: Models, institutional transformations and management challenges”, </w:t>
      </w:r>
      <w:r w:rsidRPr="00A274D2">
        <w:rPr>
          <w:rFonts w:ascii="Times New Roman" w:hAnsi="Times New Roman" w:cs="Times New Roman"/>
          <w:i/>
          <w:iCs/>
          <w:lang w:val="en-US"/>
        </w:rPr>
        <w:t>Qubahan Academic Journal</w:t>
      </w:r>
      <w:r w:rsidRPr="00A274D2">
        <w:rPr>
          <w:rFonts w:ascii="Times New Roman" w:hAnsi="Times New Roman" w:cs="Times New Roman"/>
          <w:lang w:val="en-US"/>
        </w:rPr>
        <w:t xml:space="preserve">, Vol. 6 No. 1, pp. 45–60, </w:t>
      </w:r>
      <w:hyperlink r:id="rId22" w:tgtFrame="_blank" w:history="1">
        <w:r w:rsidRPr="00A274D2">
          <w:rPr>
            <w:rStyle w:val="Hyperlink"/>
            <w:rFonts w:ascii="Times New Roman" w:hAnsi="Times New Roman" w:cs="Times New Roman"/>
            <w:lang w:val="en-US"/>
          </w:rPr>
          <w:t>https://doi.org/10.48161/qaj.v6n1a2062</w:t>
        </w:r>
      </w:hyperlink>
    </w:p>
    <w:p w14:paraId="1F6E32B1" w14:textId="77777777" w:rsidR="00922B67" w:rsidRPr="00A274D2" w:rsidRDefault="00922B67" w:rsidP="00A274D2">
      <w:pPr>
        <w:pStyle w:val="ListParagraph"/>
        <w:numPr>
          <w:ilvl w:val="0"/>
          <w:numId w:val="4"/>
        </w:numPr>
        <w:spacing w:after="0" w:line="240" w:lineRule="auto"/>
        <w:ind w:left="426" w:hanging="426"/>
        <w:jc w:val="both"/>
        <w:rPr>
          <w:rFonts w:ascii="Times New Roman" w:hAnsi="Times New Roman" w:cs="Times New Roman"/>
          <w:lang w:val="en-US"/>
        </w:rPr>
      </w:pPr>
      <w:r w:rsidRPr="00A274D2">
        <w:rPr>
          <w:rFonts w:ascii="Times New Roman" w:hAnsi="Times New Roman" w:cs="Times New Roman"/>
          <w:lang w:val="en-US"/>
        </w:rPr>
        <w:t xml:space="preserve">Kalbarczyk, A., Rao, A. and Alonge, O. (2021), “A mixed methods study to develop a tool to assess institutional readiness to conduct knowledge translation activities in low-income and middle-income countries”, </w:t>
      </w:r>
      <w:r w:rsidRPr="00A274D2">
        <w:rPr>
          <w:rFonts w:ascii="Times New Roman" w:hAnsi="Times New Roman" w:cs="Times New Roman"/>
          <w:i/>
          <w:iCs/>
          <w:lang w:val="en-US"/>
        </w:rPr>
        <w:t>BMJ Open</w:t>
      </w:r>
      <w:r w:rsidRPr="00A274D2">
        <w:rPr>
          <w:rFonts w:ascii="Times New Roman" w:hAnsi="Times New Roman" w:cs="Times New Roman"/>
          <w:lang w:val="en-US"/>
        </w:rPr>
        <w:t xml:space="preserve">, Vol. 11 No. 12, Article e050049, </w:t>
      </w:r>
      <w:hyperlink r:id="rId23" w:tgtFrame="_blank" w:history="1">
        <w:r w:rsidRPr="00A274D2">
          <w:rPr>
            <w:rStyle w:val="Hyperlink"/>
            <w:rFonts w:ascii="Times New Roman" w:hAnsi="Times New Roman" w:cs="Times New Roman"/>
            <w:lang w:val="en-US"/>
          </w:rPr>
          <w:t>https://doi.org/10.1136/bmjopen-2021-050049</w:t>
        </w:r>
      </w:hyperlink>
    </w:p>
    <w:p w14:paraId="619B7F59" w14:textId="77777777" w:rsidR="00922B67" w:rsidRPr="00A274D2" w:rsidRDefault="00922B67" w:rsidP="00A274D2">
      <w:pPr>
        <w:pStyle w:val="ListParagraph"/>
        <w:numPr>
          <w:ilvl w:val="0"/>
          <w:numId w:val="4"/>
        </w:numPr>
        <w:spacing w:after="0" w:line="240" w:lineRule="auto"/>
        <w:ind w:left="426" w:hanging="426"/>
        <w:jc w:val="both"/>
        <w:rPr>
          <w:rFonts w:ascii="Times New Roman" w:hAnsi="Times New Roman" w:cs="Times New Roman"/>
        </w:rPr>
      </w:pPr>
      <w:r w:rsidRPr="00A274D2">
        <w:rPr>
          <w:rFonts w:ascii="Times New Roman" w:hAnsi="Times New Roman" w:cs="Times New Roman"/>
        </w:rPr>
        <w:t xml:space="preserve">Koczerga, M. (2024). Navigating the digital chasm: An analysis of digital transformation failures, organizational readiness assessment methods, and their limitations. </w:t>
      </w:r>
      <w:r w:rsidRPr="00A274D2">
        <w:rPr>
          <w:rFonts w:ascii="Times New Roman" w:hAnsi="Times New Roman" w:cs="Times New Roman"/>
          <w:i/>
          <w:iCs/>
        </w:rPr>
        <w:t>Scientific Journal of Bielsko-Biala School of Finance and Law</w:t>
      </w:r>
      <w:r w:rsidRPr="00A274D2">
        <w:rPr>
          <w:rFonts w:ascii="Times New Roman" w:hAnsi="Times New Roman" w:cs="Times New Roman"/>
        </w:rPr>
        <w:t xml:space="preserve">. </w:t>
      </w:r>
      <w:r w:rsidRPr="00A274D2">
        <w:rPr>
          <w:rFonts w:ascii="Times New Roman" w:hAnsi="Times New Roman" w:cs="Times New Roman"/>
          <w:i/>
          <w:iCs/>
        </w:rPr>
        <w:t>28</w:t>
      </w:r>
      <w:r w:rsidRPr="00A274D2">
        <w:rPr>
          <w:rFonts w:ascii="Times New Roman" w:hAnsi="Times New Roman" w:cs="Times New Roman"/>
        </w:rPr>
        <w:t xml:space="preserve">(3). </w:t>
      </w:r>
      <w:hyperlink r:id="rId24" w:history="1">
        <w:r w:rsidRPr="00A274D2">
          <w:rPr>
            <w:rStyle w:val="Hyperlink"/>
            <w:rFonts w:ascii="Times New Roman" w:hAnsi="Times New Roman" w:cs="Times New Roman"/>
          </w:rPr>
          <w:t>https://doi.org/10.19192/wsfip.sj3.2024.7</w:t>
        </w:r>
      </w:hyperlink>
    </w:p>
    <w:p w14:paraId="25716B60" w14:textId="77777777" w:rsidR="00922B67" w:rsidRPr="00A274D2" w:rsidRDefault="00922B67" w:rsidP="00A274D2">
      <w:pPr>
        <w:pStyle w:val="ListParagraph"/>
        <w:numPr>
          <w:ilvl w:val="0"/>
          <w:numId w:val="4"/>
        </w:numPr>
        <w:spacing w:after="0" w:line="240" w:lineRule="auto"/>
        <w:ind w:left="426" w:hanging="426"/>
        <w:jc w:val="both"/>
        <w:rPr>
          <w:rFonts w:ascii="Times New Roman" w:hAnsi="Times New Roman" w:cs="Times New Roman"/>
          <w:lang w:val="en-US"/>
        </w:rPr>
      </w:pPr>
      <w:r w:rsidRPr="00A274D2">
        <w:rPr>
          <w:rFonts w:ascii="Times New Roman" w:hAnsi="Times New Roman" w:cs="Times New Roman"/>
          <w:lang w:val="en-US"/>
        </w:rPr>
        <w:t xml:space="preserve">Le, T.L.H., Hoang, V.H., Hoang, M.D.M. and Bui, X.B. (2022), “Impact of digital literacy on intention to use technology for online distribution of higher education in Vietnam”, </w:t>
      </w:r>
      <w:r w:rsidRPr="00A274D2">
        <w:rPr>
          <w:rFonts w:ascii="Times New Roman" w:hAnsi="Times New Roman" w:cs="Times New Roman"/>
          <w:i/>
          <w:iCs/>
          <w:lang w:val="en-US"/>
        </w:rPr>
        <w:t>Journal of Distribution Science</w:t>
      </w:r>
      <w:r w:rsidRPr="00A274D2">
        <w:rPr>
          <w:rFonts w:ascii="Times New Roman" w:hAnsi="Times New Roman" w:cs="Times New Roman"/>
          <w:lang w:val="en-US"/>
        </w:rPr>
        <w:t xml:space="preserve">, Vol. 20 No. 6, pp. 75–84, </w:t>
      </w:r>
      <w:hyperlink r:id="rId25" w:tgtFrame="_blank" w:history="1">
        <w:r w:rsidRPr="00A274D2">
          <w:rPr>
            <w:rStyle w:val="Hyperlink"/>
            <w:rFonts w:ascii="Times New Roman" w:hAnsi="Times New Roman" w:cs="Times New Roman"/>
            <w:lang w:val="en-US"/>
          </w:rPr>
          <w:t>https://doi.org/10.15722/jds.20.06.202206.75</w:t>
        </w:r>
      </w:hyperlink>
    </w:p>
    <w:p w14:paraId="0B3106E3" w14:textId="77777777" w:rsidR="00922B67" w:rsidRPr="00A274D2" w:rsidRDefault="00922B67" w:rsidP="00A274D2">
      <w:pPr>
        <w:pStyle w:val="ListParagraph"/>
        <w:numPr>
          <w:ilvl w:val="0"/>
          <w:numId w:val="4"/>
        </w:numPr>
        <w:spacing w:after="0" w:line="240" w:lineRule="auto"/>
        <w:ind w:left="426" w:hanging="426"/>
        <w:jc w:val="both"/>
        <w:rPr>
          <w:rFonts w:ascii="Times New Roman" w:hAnsi="Times New Roman" w:cs="Times New Roman"/>
          <w:lang w:val="en-US"/>
        </w:rPr>
      </w:pPr>
      <w:r w:rsidRPr="00A274D2">
        <w:rPr>
          <w:rFonts w:ascii="Times New Roman" w:hAnsi="Times New Roman" w:cs="Times New Roman"/>
          <w:lang w:val="en-US"/>
        </w:rPr>
        <w:lastRenderedPageBreak/>
        <w:t xml:space="preserve">Li, Z., Yang, C., Yang, Z. and Zhao, Y. (2024), “The impact of middle managers’ digital leadership on employee work engagement”, </w:t>
      </w:r>
      <w:r w:rsidRPr="00A274D2">
        <w:rPr>
          <w:rFonts w:ascii="Times New Roman" w:hAnsi="Times New Roman" w:cs="Times New Roman"/>
          <w:i/>
          <w:iCs/>
          <w:lang w:val="en-US"/>
        </w:rPr>
        <w:t>Frontiers in Psychology</w:t>
      </w:r>
      <w:r w:rsidRPr="00A274D2">
        <w:rPr>
          <w:rFonts w:ascii="Times New Roman" w:hAnsi="Times New Roman" w:cs="Times New Roman"/>
          <w:lang w:val="en-US"/>
        </w:rPr>
        <w:t xml:space="preserve">, Vol. 15, Article 1368442, </w:t>
      </w:r>
      <w:hyperlink r:id="rId26" w:tgtFrame="_blank" w:history="1">
        <w:r w:rsidRPr="00A274D2">
          <w:rPr>
            <w:rStyle w:val="Hyperlink"/>
            <w:rFonts w:ascii="Times New Roman" w:hAnsi="Times New Roman" w:cs="Times New Roman"/>
            <w:lang w:val="en-US"/>
          </w:rPr>
          <w:t>https://doi.org/10.3389/fpsyg.2024.1368442</w:t>
        </w:r>
      </w:hyperlink>
    </w:p>
    <w:p w14:paraId="72E1F11A" w14:textId="77777777" w:rsidR="00922B67" w:rsidRPr="00A274D2" w:rsidRDefault="00922B67" w:rsidP="00A274D2">
      <w:pPr>
        <w:pStyle w:val="ListParagraph"/>
        <w:numPr>
          <w:ilvl w:val="0"/>
          <w:numId w:val="4"/>
        </w:numPr>
        <w:spacing w:after="0" w:line="240" w:lineRule="auto"/>
        <w:ind w:left="426" w:hanging="426"/>
        <w:jc w:val="both"/>
        <w:rPr>
          <w:rFonts w:ascii="Times New Roman" w:hAnsi="Times New Roman" w:cs="Times New Roman"/>
          <w:lang w:val="en-US"/>
        </w:rPr>
      </w:pPr>
      <w:r w:rsidRPr="00A274D2">
        <w:rPr>
          <w:rFonts w:ascii="Times New Roman" w:hAnsi="Times New Roman" w:cs="Times New Roman"/>
          <w:lang w:val="en-US"/>
        </w:rPr>
        <w:t xml:space="preserve">Limanovskaja, A. and Davidavičienė, V. (2025), “Digital transformation in higher education: Challenges and transformation directions”, </w:t>
      </w:r>
      <w:r w:rsidRPr="00A274D2">
        <w:rPr>
          <w:rFonts w:ascii="Times New Roman" w:hAnsi="Times New Roman" w:cs="Times New Roman"/>
          <w:i/>
          <w:iCs/>
          <w:lang w:val="en-US"/>
        </w:rPr>
        <w:t>Economics and Culture</w:t>
      </w:r>
      <w:r w:rsidRPr="00A274D2">
        <w:rPr>
          <w:rFonts w:ascii="Times New Roman" w:hAnsi="Times New Roman" w:cs="Times New Roman"/>
          <w:lang w:val="en-US"/>
        </w:rPr>
        <w:t xml:space="preserve">, Vol. 22 No. 1, pp. 16–25, </w:t>
      </w:r>
      <w:hyperlink r:id="rId27" w:tgtFrame="_blank" w:history="1">
        <w:r w:rsidRPr="00A274D2">
          <w:rPr>
            <w:rStyle w:val="Hyperlink"/>
            <w:rFonts w:ascii="Times New Roman" w:hAnsi="Times New Roman" w:cs="Times New Roman"/>
            <w:lang w:val="en-US"/>
          </w:rPr>
          <w:t>https://doi.org/10.2478/jec-2025-0016</w:t>
        </w:r>
      </w:hyperlink>
    </w:p>
    <w:p w14:paraId="60EB6CF4" w14:textId="77777777" w:rsidR="00922B67" w:rsidRPr="00A274D2" w:rsidRDefault="00922B67" w:rsidP="00A274D2">
      <w:pPr>
        <w:pStyle w:val="ListParagraph"/>
        <w:numPr>
          <w:ilvl w:val="0"/>
          <w:numId w:val="4"/>
        </w:numPr>
        <w:spacing w:after="0" w:line="240" w:lineRule="auto"/>
        <w:ind w:left="426" w:hanging="426"/>
        <w:jc w:val="both"/>
        <w:rPr>
          <w:rFonts w:ascii="Times New Roman" w:hAnsi="Times New Roman" w:cs="Times New Roman"/>
          <w:lang w:val="en-US"/>
        </w:rPr>
      </w:pPr>
      <w:r w:rsidRPr="00A274D2">
        <w:rPr>
          <w:rFonts w:ascii="Times New Roman" w:hAnsi="Times New Roman" w:cs="Times New Roman"/>
          <w:lang w:val="en-US"/>
        </w:rPr>
        <w:t xml:space="preserve">Mashinini, T. and Sethibe, T. (2025), “A model of the interplay between leadership styles, culture and digital transformation”, </w:t>
      </w:r>
      <w:r w:rsidRPr="00A274D2">
        <w:rPr>
          <w:rFonts w:ascii="Times New Roman" w:hAnsi="Times New Roman" w:cs="Times New Roman"/>
          <w:i/>
          <w:iCs/>
          <w:lang w:val="en-US"/>
        </w:rPr>
        <w:t>South African Journal of Information Management</w:t>
      </w:r>
      <w:r w:rsidRPr="00A274D2">
        <w:rPr>
          <w:rFonts w:ascii="Times New Roman" w:hAnsi="Times New Roman" w:cs="Times New Roman"/>
          <w:lang w:val="en-US"/>
        </w:rPr>
        <w:t xml:space="preserve">, Vol. 27 No. 1, Article 1959, </w:t>
      </w:r>
      <w:hyperlink r:id="rId28" w:tgtFrame="_blank" w:history="1">
        <w:r w:rsidRPr="00A274D2">
          <w:rPr>
            <w:rStyle w:val="Hyperlink"/>
            <w:rFonts w:ascii="Times New Roman" w:hAnsi="Times New Roman" w:cs="Times New Roman"/>
            <w:lang w:val="en-US"/>
          </w:rPr>
          <w:t>https://doi.org/10.4102/sajim.v27i1.1959</w:t>
        </w:r>
      </w:hyperlink>
    </w:p>
    <w:p w14:paraId="4D4B8F64" w14:textId="77777777" w:rsidR="00922B67" w:rsidRPr="00A274D2" w:rsidRDefault="00922B67" w:rsidP="00A274D2">
      <w:pPr>
        <w:pStyle w:val="ListParagraph"/>
        <w:numPr>
          <w:ilvl w:val="0"/>
          <w:numId w:val="4"/>
        </w:numPr>
        <w:spacing w:after="0" w:line="240" w:lineRule="auto"/>
        <w:ind w:left="426" w:hanging="426"/>
        <w:jc w:val="both"/>
        <w:rPr>
          <w:rFonts w:ascii="Times New Roman" w:hAnsi="Times New Roman" w:cs="Times New Roman"/>
        </w:rPr>
      </w:pPr>
      <w:r w:rsidRPr="00A274D2">
        <w:rPr>
          <w:rFonts w:ascii="Times New Roman" w:hAnsi="Times New Roman" w:cs="Times New Roman"/>
        </w:rPr>
        <w:t xml:space="preserve">Michelotto, F., &amp; Joia, L. A. (2024). Organizational digital transformation readiness: An exploratory investigation. </w:t>
      </w:r>
      <w:r w:rsidRPr="00A274D2">
        <w:rPr>
          <w:rFonts w:ascii="Times New Roman" w:hAnsi="Times New Roman" w:cs="Times New Roman"/>
          <w:i/>
          <w:iCs/>
        </w:rPr>
        <w:t>Journal of Theoretical and Applied Electronic Commerce Research</w:t>
      </w:r>
      <w:r w:rsidRPr="00A274D2">
        <w:rPr>
          <w:rFonts w:ascii="Times New Roman" w:hAnsi="Times New Roman" w:cs="Times New Roman"/>
        </w:rPr>
        <w:t xml:space="preserve">, </w:t>
      </w:r>
      <w:r w:rsidRPr="00A274D2">
        <w:rPr>
          <w:rFonts w:ascii="Times New Roman" w:hAnsi="Times New Roman" w:cs="Times New Roman"/>
          <w:i/>
          <w:iCs/>
        </w:rPr>
        <w:t>19</w:t>
      </w:r>
      <w:r w:rsidRPr="00A274D2">
        <w:rPr>
          <w:rFonts w:ascii="Times New Roman" w:hAnsi="Times New Roman" w:cs="Times New Roman"/>
        </w:rPr>
        <w:t xml:space="preserve">(4), 3283-3304. </w:t>
      </w:r>
      <w:hyperlink r:id="rId29" w:history="1">
        <w:r w:rsidRPr="00A274D2">
          <w:rPr>
            <w:rStyle w:val="Hyperlink"/>
            <w:rFonts w:ascii="Times New Roman" w:hAnsi="Times New Roman" w:cs="Times New Roman"/>
          </w:rPr>
          <w:t>https://doi.org/10.3390/jtaer19040159</w:t>
        </w:r>
      </w:hyperlink>
    </w:p>
    <w:p w14:paraId="66C8C352" w14:textId="77777777" w:rsidR="00922B67" w:rsidRPr="00A274D2" w:rsidRDefault="00922B67" w:rsidP="00A274D2">
      <w:pPr>
        <w:pStyle w:val="ListParagraph"/>
        <w:numPr>
          <w:ilvl w:val="0"/>
          <w:numId w:val="4"/>
        </w:numPr>
        <w:spacing w:after="0" w:line="240" w:lineRule="auto"/>
        <w:ind w:left="426" w:hanging="426"/>
        <w:jc w:val="both"/>
        <w:rPr>
          <w:rFonts w:ascii="Times New Roman" w:hAnsi="Times New Roman" w:cs="Times New Roman"/>
          <w:lang w:val="en-US"/>
        </w:rPr>
      </w:pPr>
      <w:r w:rsidRPr="00A274D2">
        <w:rPr>
          <w:rFonts w:ascii="Times New Roman" w:hAnsi="Times New Roman" w:cs="Times New Roman"/>
          <w:lang w:val="en-US"/>
        </w:rPr>
        <w:t xml:space="preserve">Mueller, R.O. and Hancock, G.R. (2015), “Factor analysis and latent structure analysis: Confirmatory factor analysis”, Wright, J.D. (Ed.), </w:t>
      </w:r>
      <w:r w:rsidRPr="00A274D2">
        <w:rPr>
          <w:rFonts w:ascii="Times New Roman" w:hAnsi="Times New Roman" w:cs="Times New Roman"/>
          <w:i/>
          <w:iCs/>
          <w:lang w:val="en-US"/>
        </w:rPr>
        <w:t>International Encyclopedia of the Social &amp; Behavioral Sciences</w:t>
      </w:r>
      <w:r w:rsidRPr="00A274D2">
        <w:rPr>
          <w:rFonts w:ascii="Times New Roman" w:hAnsi="Times New Roman" w:cs="Times New Roman"/>
          <w:lang w:val="en-US"/>
        </w:rPr>
        <w:t xml:space="preserve">, Elsevier, Oxford, pp. 686–690, </w:t>
      </w:r>
      <w:hyperlink r:id="rId30" w:tgtFrame="_blank" w:history="1">
        <w:r w:rsidRPr="00A274D2">
          <w:rPr>
            <w:rStyle w:val="Hyperlink"/>
            <w:rFonts w:ascii="Times New Roman" w:hAnsi="Times New Roman" w:cs="Times New Roman"/>
            <w:lang w:val="en-US"/>
          </w:rPr>
          <w:t>https://doi.org/10.1016/B978-0-08-097086-8.25009-5</w:t>
        </w:r>
      </w:hyperlink>
    </w:p>
    <w:p w14:paraId="3EFA1261" w14:textId="77777777" w:rsidR="00922B67" w:rsidRPr="00A274D2" w:rsidRDefault="00922B67" w:rsidP="00A274D2">
      <w:pPr>
        <w:pStyle w:val="ListParagraph"/>
        <w:numPr>
          <w:ilvl w:val="0"/>
          <w:numId w:val="4"/>
        </w:numPr>
        <w:spacing w:after="0" w:line="240" w:lineRule="auto"/>
        <w:ind w:left="426" w:hanging="426"/>
        <w:jc w:val="both"/>
        <w:rPr>
          <w:rFonts w:ascii="Times New Roman" w:hAnsi="Times New Roman" w:cs="Times New Roman"/>
          <w:lang w:val="en-US"/>
        </w:rPr>
      </w:pPr>
      <w:r w:rsidRPr="00A274D2">
        <w:rPr>
          <w:rFonts w:ascii="Times New Roman" w:hAnsi="Times New Roman" w:cs="Times New Roman"/>
          <w:lang w:val="en-US"/>
        </w:rPr>
        <w:t xml:space="preserve">Nair, B.B. and Sandip, S. (2023), “Student perceptions of knowledge management and institutional readiness for online classes amid COVID-19 pandemic”, </w:t>
      </w:r>
      <w:r w:rsidRPr="00A274D2">
        <w:rPr>
          <w:rFonts w:ascii="Times New Roman" w:hAnsi="Times New Roman" w:cs="Times New Roman"/>
          <w:i/>
          <w:iCs/>
          <w:lang w:val="en-US"/>
        </w:rPr>
        <w:t>Knowledge Management and E-Learning</w:t>
      </w:r>
      <w:r w:rsidRPr="00A274D2">
        <w:rPr>
          <w:rFonts w:ascii="Times New Roman" w:hAnsi="Times New Roman" w:cs="Times New Roman"/>
          <w:lang w:val="en-US"/>
        </w:rPr>
        <w:t xml:space="preserve">, Vol. 15 No. 2, pp. 245–265, </w:t>
      </w:r>
      <w:hyperlink r:id="rId31" w:tgtFrame="_blank" w:history="1">
        <w:r w:rsidRPr="00A274D2">
          <w:rPr>
            <w:rStyle w:val="Hyperlink"/>
            <w:rFonts w:ascii="Times New Roman" w:hAnsi="Times New Roman" w:cs="Times New Roman"/>
            <w:lang w:val="en-US"/>
          </w:rPr>
          <w:t>https://doi.org/10.34105/j.kmel.2023.15.016</w:t>
        </w:r>
      </w:hyperlink>
    </w:p>
    <w:p w14:paraId="1A9FFB2B" w14:textId="77777777" w:rsidR="00922B67" w:rsidRPr="00A274D2" w:rsidRDefault="00922B67" w:rsidP="00A274D2">
      <w:pPr>
        <w:pStyle w:val="ListParagraph"/>
        <w:numPr>
          <w:ilvl w:val="0"/>
          <w:numId w:val="4"/>
        </w:numPr>
        <w:spacing w:after="0" w:line="240" w:lineRule="auto"/>
        <w:ind w:left="426" w:hanging="426"/>
        <w:jc w:val="both"/>
        <w:rPr>
          <w:rFonts w:ascii="Times New Roman" w:hAnsi="Times New Roman" w:cs="Times New Roman"/>
          <w:lang w:val="en-US"/>
        </w:rPr>
      </w:pPr>
      <w:r w:rsidRPr="00A274D2">
        <w:rPr>
          <w:rFonts w:ascii="Times New Roman" w:hAnsi="Times New Roman" w:cs="Times New Roman"/>
          <w:lang w:val="en-US"/>
        </w:rPr>
        <w:t xml:space="preserve">Nazyrova, A., Milosz, M., Bekmanova, G. and Kadyr, Y. (2025), “The digital transformation of higher education in the context of an AI-driven future”, </w:t>
      </w:r>
      <w:r w:rsidRPr="00A274D2">
        <w:rPr>
          <w:rFonts w:ascii="Times New Roman" w:hAnsi="Times New Roman" w:cs="Times New Roman"/>
          <w:i/>
          <w:iCs/>
          <w:lang w:val="en-US"/>
        </w:rPr>
        <w:t>Sustainability</w:t>
      </w:r>
      <w:r w:rsidRPr="00A274D2">
        <w:rPr>
          <w:rFonts w:ascii="Times New Roman" w:hAnsi="Times New Roman" w:cs="Times New Roman"/>
          <w:lang w:val="en-US"/>
        </w:rPr>
        <w:t xml:space="preserve">, Vol. 17 No. 22, Article 9927, </w:t>
      </w:r>
      <w:hyperlink r:id="rId32" w:tgtFrame="_blank" w:history="1">
        <w:r w:rsidRPr="00A274D2">
          <w:rPr>
            <w:rStyle w:val="Hyperlink"/>
            <w:rFonts w:ascii="Times New Roman" w:hAnsi="Times New Roman" w:cs="Times New Roman"/>
            <w:lang w:val="en-US"/>
          </w:rPr>
          <w:t>https://doi.org/10.3390/su17229927</w:t>
        </w:r>
      </w:hyperlink>
    </w:p>
    <w:p w14:paraId="067351A1" w14:textId="77777777" w:rsidR="00922B67" w:rsidRPr="00A274D2" w:rsidRDefault="00922B67" w:rsidP="00A274D2">
      <w:pPr>
        <w:pStyle w:val="ListParagraph"/>
        <w:numPr>
          <w:ilvl w:val="0"/>
          <w:numId w:val="4"/>
        </w:numPr>
        <w:spacing w:after="0" w:line="240" w:lineRule="auto"/>
        <w:ind w:left="426" w:hanging="426"/>
        <w:jc w:val="both"/>
        <w:rPr>
          <w:rFonts w:ascii="Times New Roman" w:hAnsi="Times New Roman" w:cs="Times New Roman"/>
          <w:lang w:val="en-US"/>
        </w:rPr>
      </w:pPr>
      <w:r w:rsidRPr="00A274D2">
        <w:rPr>
          <w:rFonts w:ascii="Times New Roman" w:hAnsi="Times New Roman" w:cs="Times New Roman"/>
          <w:lang w:val="en-US"/>
        </w:rPr>
        <w:t xml:space="preserve">Niemiec, A. and Zerbst, Sł. (2025), “Between Technology and Institutions: Systemic, institutional, and social enablers of digital transformation”, </w:t>
      </w:r>
      <w:r w:rsidRPr="00A274D2">
        <w:rPr>
          <w:rFonts w:ascii="Times New Roman" w:hAnsi="Times New Roman" w:cs="Times New Roman"/>
          <w:i/>
          <w:iCs/>
          <w:lang w:val="en-US"/>
        </w:rPr>
        <w:t>Procedia Computer Science</w:t>
      </w:r>
      <w:r w:rsidRPr="00A274D2">
        <w:rPr>
          <w:rFonts w:ascii="Times New Roman" w:hAnsi="Times New Roman" w:cs="Times New Roman"/>
          <w:lang w:val="en-US"/>
        </w:rPr>
        <w:t xml:space="preserve">, Vol. 245, pp. 554–563, </w:t>
      </w:r>
      <w:hyperlink r:id="rId33" w:tgtFrame="_blank" w:history="1">
        <w:r w:rsidRPr="00A274D2">
          <w:rPr>
            <w:rStyle w:val="Hyperlink"/>
            <w:rFonts w:ascii="Times New Roman" w:hAnsi="Times New Roman" w:cs="Times New Roman"/>
            <w:lang w:val="en-US"/>
          </w:rPr>
          <w:t>https://doi.org/10.1016/j.procs.2025.09.554</w:t>
        </w:r>
      </w:hyperlink>
    </w:p>
    <w:p w14:paraId="110F3906" w14:textId="77777777" w:rsidR="00922B67" w:rsidRPr="00A274D2" w:rsidRDefault="00922B67" w:rsidP="00A274D2">
      <w:pPr>
        <w:pStyle w:val="ListParagraph"/>
        <w:numPr>
          <w:ilvl w:val="0"/>
          <w:numId w:val="4"/>
        </w:numPr>
        <w:spacing w:after="0" w:line="240" w:lineRule="auto"/>
        <w:ind w:left="426" w:hanging="426"/>
        <w:jc w:val="both"/>
        <w:rPr>
          <w:rFonts w:ascii="Times New Roman" w:hAnsi="Times New Roman" w:cs="Times New Roman"/>
          <w:lang w:val="en-US"/>
        </w:rPr>
      </w:pPr>
      <w:r w:rsidRPr="00A274D2">
        <w:rPr>
          <w:rFonts w:ascii="Times New Roman" w:hAnsi="Times New Roman" w:cs="Times New Roman"/>
          <w:lang w:val="en-US"/>
        </w:rPr>
        <w:t xml:space="preserve">Nurtjahjanti, H., Hidayat, R. and Indrayanti, I. (2024), “Development and psychometric evaluation of the Employee’s Workplace Cyberloafing Scale (EWCS)”, </w:t>
      </w:r>
      <w:r w:rsidRPr="00A274D2">
        <w:rPr>
          <w:rFonts w:ascii="Times New Roman" w:hAnsi="Times New Roman" w:cs="Times New Roman"/>
          <w:i/>
          <w:iCs/>
          <w:lang w:val="en-US"/>
        </w:rPr>
        <w:t>Heliyon</w:t>
      </w:r>
      <w:r w:rsidRPr="00A274D2">
        <w:rPr>
          <w:rFonts w:ascii="Times New Roman" w:hAnsi="Times New Roman" w:cs="Times New Roman"/>
          <w:lang w:val="en-US"/>
        </w:rPr>
        <w:t xml:space="preserve">, Vol. 10 No. 8, Article e39376, </w:t>
      </w:r>
      <w:hyperlink r:id="rId34" w:tgtFrame="_blank" w:history="1">
        <w:r w:rsidRPr="00A274D2">
          <w:rPr>
            <w:rStyle w:val="Hyperlink"/>
            <w:rFonts w:ascii="Times New Roman" w:hAnsi="Times New Roman" w:cs="Times New Roman"/>
            <w:lang w:val="en-US"/>
          </w:rPr>
          <w:t>https://doi.org/10.1016/j.heliyon.2024.e39376</w:t>
        </w:r>
      </w:hyperlink>
    </w:p>
    <w:p w14:paraId="100B631D" w14:textId="77777777" w:rsidR="00922B67" w:rsidRPr="00A274D2" w:rsidRDefault="00922B67" w:rsidP="00A274D2">
      <w:pPr>
        <w:pStyle w:val="ListParagraph"/>
        <w:numPr>
          <w:ilvl w:val="0"/>
          <w:numId w:val="4"/>
        </w:numPr>
        <w:spacing w:after="0" w:line="240" w:lineRule="auto"/>
        <w:ind w:left="426" w:hanging="426"/>
        <w:jc w:val="both"/>
        <w:rPr>
          <w:rFonts w:ascii="Times New Roman" w:hAnsi="Times New Roman" w:cs="Times New Roman"/>
          <w:lang w:val="en-US"/>
        </w:rPr>
      </w:pPr>
      <w:r w:rsidRPr="00A274D2">
        <w:rPr>
          <w:rFonts w:ascii="Times New Roman" w:hAnsi="Times New Roman" w:cs="Times New Roman"/>
          <w:lang w:val="en-US"/>
        </w:rPr>
        <w:t xml:space="preserve">Ogbonna, R.N.O., Onuoha-Chidiebere, U., Ike, F. and Ofondu, M.M. (2025), “Metacognitive analysis of electronic technology use in Nigerian tertiary institutions”, </w:t>
      </w:r>
      <w:r w:rsidRPr="00A274D2">
        <w:rPr>
          <w:rFonts w:ascii="Times New Roman" w:hAnsi="Times New Roman" w:cs="Times New Roman"/>
          <w:i/>
          <w:iCs/>
          <w:lang w:val="en-US"/>
        </w:rPr>
        <w:t>Discover Education</w:t>
      </w:r>
      <w:r w:rsidRPr="00A274D2">
        <w:rPr>
          <w:rFonts w:ascii="Times New Roman" w:hAnsi="Times New Roman" w:cs="Times New Roman"/>
          <w:lang w:val="en-US"/>
        </w:rPr>
        <w:t xml:space="preserve">, Vol. 4 No. 1, Article 25, </w:t>
      </w:r>
      <w:hyperlink r:id="rId35" w:tgtFrame="_blank" w:history="1">
        <w:r w:rsidRPr="00A274D2">
          <w:rPr>
            <w:rStyle w:val="Hyperlink"/>
            <w:rFonts w:ascii="Times New Roman" w:hAnsi="Times New Roman" w:cs="Times New Roman"/>
            <w:lang w:val="en-US"/>
          </w:rPr>
          <w:t>https://doi.org/10.1007/s44217-025-00894-9</w:t>
        </w:r>
      </w:hyperlink>
    </w:p>
    <w:p w14:paraId="1FE61166" w14:textId="77777777" w:rsidR="00922B67" w:rsidRPr="00A274D2" w:rsidRDefault="00922B67" w:rsidP="00A274D2">
      <w:pPr>
        <w:pStyle w:val="ListParagraph"/>
        <w:numPr>
          <w:ilvl w:val="0"/>
          <w:numId w:val="4"/>
        </w:numPr>
        <w:spacing w:after="0" w:line="240" w:lineRule="auto"/>
        <w:ind w:left="426" w:hanging="426"/>
        <w:jc w:val="both"/>
        <w:rPr>
          <w:rFonts w:ascii="Times New Roman" w:hAnsi="Times New Roman" w:cs="Times New Roman"/>
          <w:lang w:val="en-US"/>
        </w:rPr>
      </w:pPr>
      <w:r w:rsidRPr="00A274D2">
        <w:rPr>
          <w:rFonts w:ascii="Times New Roman" w:hAnsi="Times New Roman" w:cs="Times New Roman"/>
          <w:lang w:val="en-US"/>
        </w:rPr>
        <w:t xml:space="preserve">Omojemite, M.D. (2025), “Assessing digital infrastructure and transition challenges in Southwestern Nigerian public universities”, </w:t>
      </w:r>
      <w:r w:rsidRPr="00A274D2">
        <w:rPr>
          <w:rFonts w:ascii="Times New Roman" w:hAnsi="Times New Roman" w:cs="Times New Roman"/>
          <w:i/>
          <w:iCs/>
          <w:lang w:val="en-US"/>
        </w:rPr>
        <w:t>Scientific Culture</w:t>
      </w:r>
      <w:r w:rsidRPr="00A274D2">
        <w:rPr>
          <w:rFonts w:ascii="Times New Roman" w:hAnsi="Times New Roman" w:cs="Times New Roman"/>
          <w:lang w:val="en-US"/>
        </w:rPr>
        <w:t xml:space="preserve">, Vol. 11 No. 1, pp. 1–12, </w:t>
      </w:r>
      <w:hyperlink r:id="rId36" w:tgtFrame="_blank" w:history="1">
        <w:r w:rsidRPr="00A274D2">
          <w:rPr>
            <w:rStyle w:val="Hyperlink"/>
            <w:rFonts w:ascii="Times New Roman" w:hAnsi="Times New Roman" w:cs="Times New Roman"/>
            <w:lang w:val="en-US"/>
          </w:rPr>
          <w:t>https://doi.org/10.5281/zenodo.11322579</w:t>
        </w:r>
      </w:hyperlink>
    </w:p>
    <w:p w14:paraId="583642EE" w14:textId="77777777" w:rsidR="00922B67" w:rsidRPr="00A274D2" w:rsidRDefault="00922B67" w:rsidP="00A274D2">
      <w:pPr>
        <w:pStyle w:val="ListParagraph"/>
        <w:numPr>
          <w:ilvl w:val="0"/>
          <w:numId w:val="4"/>
        </w:numPr>
        <w:spacing w:after="0" w:line="240" w:lineRule="auto"/>
        <w:ind w:left="426" w:hanging="426"/>
        <w:jc w:val="both"/>
        <w:rPr>
          <w:rFonts w:ascii="Times New Roman" w:hAnsi="Times New Roman" w:cs="Times New Roman"/>
          <w:lang w:val="en-US"/>
        </w:rPr>
      </w:pPr>
      <w:r w:rsidRPr="00A274D2">
        <w:rPr>
          <w:rFonts w:ascii="Times New Roman" w:hAnsi="Times New Roman" w:cs="Times New Roman"/>
          <w:lang w:val="en-US"/>
        </w:rPr>
        <w:t xml:space="preserve">Orkamo, M., Ukko, J., Rantala, T. and Saunila, M. (2025), “Leadership behaviours to promote organisational performance in private sector digital transformation”, </w:t>
      </w:r>
      <w:r w:rsidRPr="00A274D2">
        <w:rPr>
          <w:rFonts w:ascii="Times New Roman" w:hAnsi="Times New Roman" w:cs="Times New Roman"/>
          <w:i/>
          <w:iCs/>
          <w:lang w:val="en-US"/>
        </w:rPr>
        <w:t>Digital Business</w:t>
      </w:r>
      <w:r w:rsidRPr="00A274D2">
        <w:rPr>
          <w:rFonts w:ascii="Times New Roman" w:hAnsi="Times New Roman" w:cs="Times New Roman"/>
          <w:lang w:val="en-US"/>
        </w:rPr>
        <w:t xml:space="preserve">, Vol. 5 No. 1, Article 100155, </w:t>
      </w:r>
      <w:hyperlink r:id="rId37" w:tgtFrame="_blank" w:history="1">
        <w:r w:rsidRPr="00A274D2">
          <w:rPr>
            <w:rStyle w:val="Hyperlink"/>
            <w:rFonts w:ascii="Times New Roman" w:hAnsi="Times New Roman" w:cs="Times New Roman"/>
            <w:lang w:val="en-US"/>
          </w:rPr>
          <w:t>https://doi.org/10.1016/j.digbus.2025.100155</w:t>
        </w:r>
      </w:hyperlink>
    </w:p>
    <w:p w14:paraId="34B28C3D" w14:textId="77777777" w:rsidR="00922B67" w:rsidRPr="00A274D2" w:rsidRDefault="00922B67" w:rsidP="00A274D2">
      <w:pPr>
        <w:pStyle w:val="ListParagraph"/>
        <w:numPr>
          <w:ilvl w:val="0"/>
          <w:numId w:val="4"/>
        </w:numPr>
        <w:spacing w:after="0" w:line="240" w:lineRule="auto"/>
        <w:ind w:left="426" w:hanging="426"/>
        <w:jc w:val="both"/>
        <w:rPr>
          <w:rFonts w:ascii="Times New Roman" w:hAnsi="Times New Roman" w:cs="Times New Roman"/>
          <w:lang w:val="en-US"/>
        </w:rPr>
      </w:pPr>
      <w:r w:rsidRPr="00A274D2">
        <w:rPr>
          <w:rFonts w:ascii="Times New Roman" w:hAnsi="Times New Roman" w:cs="Times New Roman"/>
          <w:lang w:val="en-US"/>
        </w:rPr>
        <w:t xml:space="preserve">Papadonikolaki, E. and Morgan, B. (2026), “Leading psychologically safe digitally enabled project teams”, </w:t>
      </w:r>
      <w:r w:rsidRPr="00A274D2">
        <w:rPr>
          <w:rFonts w:ascii="Times New Roman" w:hAnsi="Times New Roman" w:cs="Times New Roman"/>
          <w:i/>
          <w:iCs/>
          <w:lang w:val="en-US"/>
        </w:rPr>
        <w:t>Project Management Journal</w:t>
      </w:r>
      <w:r w:rsidRPr="00A274D2">
        <w:rPr>
          <w:rFonts w:ascii="Times New Roman" w:hAnsi="Times New Roman" w:cs="Times New Roman"/>
          <w:lang w:val="en-US"/>
        </w:rPr>
        <w:t xml:space="preserve">, Vol. 57 No. 1, pp. 45–62, </w:t>
      </w:r>
      <w:hyperlink r:id="rId38" w:tgtFrame="_blank" w:history="1">
        <w:r w:rsidRPr="00A274D2">
          <w:rPr>
            <w:rStyle w:val="Hyperlink"/>
            <w:rFonts w:ascii="Times New Roman" w:hAnsi="Times New Roman" w:cs="Times New Roman"/>
            <w:lang w:val="en-US"/>
          </w:rPr>
          <w:t>https://doi.org/10.1177/87569728251362760</w:t>
        </w:r>
      </w:hyperlink>
    </w:p>
    <w:p w14:paraId="40BAC997" w14:textId="77777777" w:rsidR="00922B67" w:rsidRPr="00A274D2" w:rsidRDefault="00922B67" w:rsidP="00A274D2">
      <w:pPr>
        <w:pStyle w:val="ListParagraph"/>
        <w:numPr>
          <w:ilvl w:val="0"/>
          <w:numId w:val="4"/>
        </w:numPr>
        <w:spacing w:after="0" w:line="240" w:lineRule="auto"/>
        <w:ind w:left="426" w:hanging="426"/>
        <w:jc w:val="both"/>
        <w:rPr>
          <w:rFonts w:ascii="Times New Roman" w:hAnsi="Times New Roman" w:cs="Times New Roman"/>
          <w:lang w:val="en-US"/>
        </w:rPr>
      </w:pPr>
      <w:r w:rsidRPr="00A274D2">
        <w:rPr>
          <w:rFonts w:ascii="Times New Roman" w:hAnsi="Times New Roman" w:cs="Times New Roman"/>
          <w:lang w:val="en-US"/>
        </w:rPr>
        <w:t xml:space="preserve">Park, H.E. (2025), “Navigating the paradox of digital platforms: Affordances, constraints, and the gradual path”, </w:t>
      </w:r>
      <w:r w:rsidRPr="00A274D2">
        <w:rPr>
          <w:rFonts w:ascii="Times New Roman" w:hAnsi="Times New Roman" w:cs="Times New Roman"/>
          <w:i/>
          <w:iCs/>
          <w:lang w:val="en-US"/>
        </w:rPr>
        <w:t>Asia Pacific Journal of Information Systems</w:t>
      </w:r>
      <w:r w:rsidRPr="00A274D2">
        <w:rPr>
          <w:rFonts w:ascii="Times New Roman" w:hAnsi="Times New Roman" w:cs="Times New Roman"/>
          <w:lang w:val="en-US"/>
        </w:rPr>
        <w:t xml:space="preserve">, Vol. 35 No. 4, pp. 896–915, </w:t>
      </w:r>
      <w:hyperlink r:id="rId39" w:tgtFrame="_blank" w:history="1">
        <w:r w:rsidRPr="00A274D2">
          <w:rPr>
            <w:rStyle w:val="Hyperlink"/>
            <w:rFonts w:ascii="Times New Roman" w:hAnsi="Times New Roman" w:cs="Times New Roman"/>
            <w:lang w:val="en-US"/>
          </w:rPr>
          <w:t>https://doi.org/10.14329/apjis.2025.35.4.896</w:t>
        </w:r>
      </w:hyperlink>
    </w:p>
    <w:p w14:paraId="58D47FFE" w14:textId="77777777" w:rsidR="00922B67" w:rsidRPr="00A274D2" w:rsidRDefault="00922B67" w:rsidP="00A274D2">
      <w:pPr>
        <w:pStyle w:val="ListParagraph"/>
        <w:numPr>
          <w:ilvl w:val="0"/>
          <w:numId w:val="4"/>
        </w:numPr>
        <w:spacing w:after="0" w:line="240" w:lineRule="auto"/>
        <w:ind w:left="426" w:hanging="426"/>
        <w:jc w:val="both"/>
        <w:rPr>
          <w:rFonts w:ascii="Times New Roman" w:hAnsi="Times New Roman" w:cs="Times New Roman"/>
          <w:lang w:val="en-US"/>
        </w:rPr>
      </w:pPr>
      <w:r w:rsidRPr="00A274D2">
        <w:rPr>
          <w:rFonts w:ascii="Times New Roman" w:hAnsi="Times New Roman" w:cs="Times New Roman"/>
          <w:lang w:val="en-US"/>
        </w:rPr>
        <w:t xml:space="preserve">Qin, C., He, H., Hao, Z., Zhu, J. and Yu, J. (2022), “Do learners with higher readiness feel less anxious when studying online at home?”, </w:t>
      </w:r>
      <w:r w:rsidRPr="00A274D2">
        <w:rPr>
          <w:rFonts w:ascii="Times New Roman" w:hAnsi="Times New Roman" w:cs="Times New Roman"/>
          <w:i/>
          <w:iCs/>
          <w:lang w:val="en-US"/>
        </w:rPr>
        <w:t>Frontiers in Psychology</w:t>
      </w:r>
      <w:r w:rsidRPr="00A274D2">
        <w:rPr>
          <w:rFonts w:ascii="Times New Roman" w:hAnsi="Times New Roman" w:cs="Times New Roman"/>
          <w:lang w:val="en-US"/>
        </w:rPr>
        <w:t xml:space="preserve">, Vol. 13, Article 945914, </w:t>
      </w:r>
      <w:hyperlink r:id="rId40" w:tgtFrame="_blank" w:history="1">
        <w:r w:rsidRPr="00A274D2">
          <w:rPr>
            <w:rStyle w:val="Hyperlink"/>
            <w:rFonts w:ascii="Times New Roman" w:hAnsi="Times New Roman" w:cs="Times New Roman"/>
            <w:lang w:val="en-US"/>
          </w:rPr>
          <w:t>https://doi.org/10.3389/fpsyg.2022.945914</w:t>
        </w:r>
      </w:hyperlink>
    </w:p>
    <w:p w14:paraId="6B3F20D1" w14:textId="77777777" w:rsidR="00922B67" w:rsidRPr="00A274D2" w:rsidRDefault="00922B67" w:rsidP="00A274D2">
      <w:pPr>
        <w:pStyle w:val="ListParagraph"/>
        <w:numPr>
          <w:ilvl w:val="0"/>
          <w:numId w:val="4"/>
        </w:numPr>
        <w:spacing w:after="0" w:line="240" w:lineRule="auto"/>
        <w:ind w:left="426" w:hanging="426"/>
        <w:jc w:val="both"/>
        <w:rPr>
          <w:rFonts w:ascii="Times New Roman" w:hAnsi="Times New Roman" w:cs="Times New Roman"/>
          <w:lang w:val="en-US"/>
        </w:rPr>
      </w:pPr>
      <w:r w:rsidRPr="00A274D2">
        <w:rPr>
          <w:rFonts w:ascii="Times New Roman" w:hAnsi="Times New Roman" w:cs="Times New Roman"/>
          <w:lang w:val="en-US"/>
        </w:rPr>
        <w:t xml:space="preserve">Rehman, S., Addas, A., Rehman, E. and Wang, M. (2024), “Leveraging digital skills to reduce cognitive strain”, </w:t>
      </w:r>
      <w:r w:rsidRPr="00A274D2">
        <w:rPr>
          <w:rFonts w:ascii="Times New Roman" w:hAnsi="Times New Roman" w:cs="Times New Roman"/>
          <w:i/>
          <w:iCs/>
          <w:lang w:val="en-US"/>
        </w:rPr>
        <w:t>Acta Psychologica</w:t>
      </w:r>
      <w:r w:rsidRPr="00A274D2">
        <w:rPr>
          <w:rFonts w:ascii="Times New Roman" w:hAnsi="Times New Roman" w:cs="Times New Roman"/>
          <w:lang w:val="en-US"/>
        </w:rPr>
        <w:t xml:space="preserve">, Vol. 248, Article 104602, </w:t>
      </w:r>
      <w:hyperlink r:id="rId41" w:tgtFrame="_blank" w:history="1">
        <w:r w:rsidRPr="00A274D2">
          <w:rPr>
            <w:rStyle w:val="Hyperlink"/>
            <w:rFonts w:ascii="Times New Roman" w:hAnsi="Times New Roman" w:cs="Times New Roman"/>
            <w:lang w:val="en-US"/>
          </w:rPr>
          <w:t>https://doi.org/10.1016/j.actpsy.2024.104602</w:t>
        </w:r>
      </w:hyperlink>
    </w:p>
    <w:p w14:paraId="6FDAE131" w14:textId="77777777" w:rsidR="00922B67" w:rsidRPr="00A274D2" w:rsidRDefault="00922B67" w:rsidP="00A274D2">
      <w:pPr>
        <w:pStyle w:val="ListParagraph"/>
        <w:numPr>
          <w:ilvl w:val="0"/>
          <w:numId w:val="4"/>
        </w:numPr>
        <w:spacing w:after="0" w:line="240" w:lineRule="auto"/>
        <w:ind w:left="426" w:hanging="426"/>
        <w:jc w:val="both"/>
        <w:rPr>
          <w:rFonts w:ascii="Times New Roman" w:hAnsi="Times New Roman" w:cs="Times New Roman"/>
          <w:lang w:val="en-US"/>
        </w:rPr>
      </w:pPr>
      <w:r w:rsidRPr="00A274D2">
        <w:rPr>
          <w:rFonts w:ascii="Times New Roman" w:hAnsi="Times New Roman" w:cs="Times New Roman"/>
          <w:lang w:val="en-US"/>
        </w:rPr>
        <w:t xml:space="preserve">Rocha, C.F., Quandt, C., Deschamps, F. and Cruzara, G. (2025), “Digital transformation readiness in large manufacturing firms”, </w:t>
      </w:r>
      <w:r w:rsidRPr="00A274D2">
        <w:rPr>
          <w:rFonts w:ascii="Times New Roman" w:hAnsi="Times New Roman" w:cs="Times New Roman"/>
          <w:i/>
          <w:iCs/>
          <w:lang w:val="en-US"/>
        </w:rPr>
        <w:t>Journal of Manufacturing Technology Management</w:t>
      </w:r>
      <w:r w:rsidRPr="00A274D2">
        <w:rPr>
          <w:rFonts w:ascii="Times New Roman" w:hAnsi="Times New Roman" w:cs="Times New Roman"/>
          <w:lang w:val="en-US"/>
        </w:rPr>
        <w:t xml:space="preserve">, Vol. 36 No. 1, pp. 115–138, </w:t>
      </w:r>
      <w:hyperlink r:id="rId42" w:tgtFrame="_blank" w:history="1">
        <w:r w:rsidRPr="00A274D2">
          <w:rPr>
            <w:rStyle w:val="Hyperlink"/>
            <w:rFonts w:ascii="Times New Roman" w:hAnsi="Times New Roman" w:cs="Times New Roman"/>
            <w:lang w:val="en-US"/>
          </w:rPr>
          <w:t>https://doi.org/10.1108/JMTM-12-2023-0544</w:t>
        </w:r>
      </w:hyperlink>
    </w:p>
    <w:p w14:paraId="3AFE0AF7" w14:textId="77777777" w:rsidR="00922B67" w:rsidRPr="00A274D2" w:rsidRDefault="00922B67" w:rsidP="00A274D2">
      <w:pPr>
        <w:pStyle w:val="ListParagraph"/>
        <w:numPr>
          <w:ilvl w:val="0"/>
          <w:numId w:val="4"/>
        </w:numPr>
        <w:spacing w:after="0" w:line="240" w:lineRule="auto"/>
        <w:ind w:left="426" w:hanging="426"/>
        <w:jc w:val="both"/>
        <w:rPr>
          <w:rFonts w:ascii="Times New Roman" w:hAnsi="Times New Roman" w:cs="Times New Roman"/>
          <w:lang w:val="en-US"/>
        </w:rPr>
      </w:pPr>
      <w:r w:rsidRPr="00A274D2">
        <w:rPr>
          <w:rFonts w:ascii="Times New Roman" w:hAnsi="Times New Roman" w:cs="Times New Roman"/>
          <w:lang w:val="en-US"/>
        </w:rPr>
        <w:t xml:space="preserve">Rüller, S. (2025), </w:t>
      </w:r>
      <w:r w:rsidRPr="00A274D2">
        <w:rPr>
          <w:rFonts w:ascii="Times New Roman" w:hAnsi="Times New Roman" w:cs="Times New Roman"/>
          <w:i/>
          <w:iCs/>
          <w:lang w:val="en-US"/>
        </w:rPr>
        <w:t>Moving beyond the WEIRD: Lessons from an Amazigh community in shaping pluralistic digital futures</w:t>
      </w:r>
      <w:r w:rsidRPr="00A274D2">
        <w:rPr>
          <w:rFonts w:ascii="Times New Roman" w:hAnsi="Times New Roman" w:cs="Times New Roman"/>
          <w:lang w:val="en-US"/>
        </w:rPr>
        <w:t>, Springer VS, Wiesbaden.</w:t>
      </w:r>
    </w:p>
    <w:p w14:paraId="3EF76A71" w14:textId="77777777" w:rsidR="00922B67" w:rsidRPr="00A274D2" w:rsidRDefault="00922B67" w:rsidP="00A274D2">
      <w:pPr>
        <w:pStyle w:val="ListParagraph"/>
        <w:numPr>
          <w:ilvl w:val="0"/>
          <w:numId w:val="4"/>
        </w:numPr>
        <w:spacing w:after="0" w:line="240" w:lineRule="auto"/>
        <w:ind w:left="426" w:hanging="426"/>
        <w:jc w:val="both"/>
        <w:rPr>
          <w:rFonts w:ascii="Times New Roman" w:hAnsi="Times New Roman" w:cs="Times New Roman"/>
          <w:lang w:val="en-US"/>
        </w:rPr>
      </w:pPr>
      <w:r w:rsidRPr="00A274D2">
        <w:rPr>
          <w:rFonts w:ascii="Times New Roman" w:hAnsi="Times New Roman" w:cs="Times New Roman"/>
          <w:lang w:val="en-US"/>
        </w:rPr>
        <w:lastRenderedPageBreak/>
        <w:t xml:space="preserve">Sabani, N., Jimmie, A. and Salleh, S.M. (2023), “Factors influencing the use of digital learning personalisation”, </w:t>
      </w:r>
      <w:r w:rsidRPr="00A274D2">
        <w:rPr>
          <w:rFonts w:ascii="Times New Roman" w:hAnsi="Times New Roman" w:cs="Times New Roman"/>
          <w:i/>
          <w:iCs/>
          <w:lang w:val="en-US"/>
        </w:rPr>
        <w:t>11th International Conference on Information and Education Technology (ICIET)</w:t>
      </w:r>
      <w:r w:rsidRPr="00A274D2">
        <w:rPr>
          <w:rFonts w:ascii="Times New Roman" w:hAnsi="Times New Roman" w:cs="Times New Roman"/>
          <w:lang w:val="en-US"/>
        </w:rPr>
        <w:t xml:space="preserve">, pp. 45–50, </w:t>
      </w:r>
      <w:hyperlink r:id="rId43" w:tgtFrame="_blank" w:history="1">
        <w:r w:rsidRPr="00A274D2">
          <w:rPr>
            <w:rStyle w:val="Hyperlink"/>
            <w:rFonts w:ascii="Times New Roman" w:hAnsi="Times New Roman" w:cs="Times New Roman"/>
            <w:lang w:val="en-US"/>
          </w:rPr>
          <w:t>https://doi.org/10.1109/ICIET56899.2023.10111345</w:t>
        </w:r>
      </w:hyperlink>
    </w:p>
    <w:p w14:paraId="34BB3A2F" w14:textId="77777777" w:rsidR="00922B67" w:rsidRPr="00A274D2" w:rsidRDefault="00922B67" w:rsidP="00A274D2">
      <w:pPr>
        <w:pStyle w:val="ListParagraph"/>
        <w:numPr>
          <w:ilvl w:val="0"/>
          <w:numId w:val="4"/>
        </w:numPr>
        <w:spacing w:after="0" w:line="240" w:lineRule="auto"/>
        <w:ind w:left="426" w:hanging="426"/>
        <w:jc w:val="both"/>
        <w:rPr>
          <w:rFonts w:ascii="Times New Roman" w:hAnsi="Times New Roman" w:cs="Times New Roman"/>
          <w:lang w:val="en-US"/>
        </w:rPr>
      </w:pPr>
      <w:r w:rsidRPr="00A274D2">
        <w:rPr>
          <w:rFonts w:ascii="Times New Roman" w:hAnsi="Times New Roman" w:cs="Times New Roman"/>
        </w:rPr>
        <w:t>Shmueli, G., Sarstedt, M., Hair, J.F., Cheah, J.H., Ting, H., Vaithilingam, S. and Ringle, C.M. (2019), “Predictive model assessment in PLS-SEM: Guidelines for using PLSpredict”, </w:t>
      </w:r>
      <w:r w:rsidRPr="00A274D2">
        <w:rPr>
          <w:rFonts w:ascii="Times New Roman" w:hAnsi="Times New Roman" w:cs="Times New Roman"/>
          <w:i/>
          <w:iCs/>
        </w:rPr>
        <w:t>European Journal of Marketing</w:t>
      </w:r>
      <w:r w:rsidRPr="00A274D2">
        <w:rPr>
          <w:rFonts w:ascii="Times New Roman" w:hAnsi="Times New Roman" w:cs="Times New Roman"/>
        </w:rPr>
        <w:t>, Vol. 53 No. 11, pp. 2322</w:t>
      </w:r>
      <w:r w:rsidRPr="00A274D2">
        <w:rPr>
          <w:rFonts w:ascii="Times New Roman" w:hAnsi="Times New Roman" w:cs="Times New Roman"/>
          <w:lang w:val="en-US"/>
        </w:rPr>
        <w:t>–</w:t>
      </w:r>
      <w:r w:rsidRPr="00A274D2">
        <w:rPr>
          <w:rFonts w:ascii="Times New Roman" w:hAnsi="Times New Roman" w:cs="Times New Roman"/>
        </w:rPr>
        <w:t xml:space="preserve">2347, </w:t>
      </w:r>
      <w:hyperlink r:id="rId44" w:tgtFrame="_blank" w:history="1">
        <w:r w:rsidRPr="00A274D2">
          <w:rPr>
            <w:rStyle w:val="Hyperlink"/>
            <w:rFonts w:ascii="Times New Roman" w:hAnsi="Times New Roman" w:cs="Times New Roman"/>
          </w:rPr>
          <w:t>https://doi.org/10.1108/EJM-02-2019-0189</w:t>
        </w:r>
      </w:hyperlink>
    </w:p>
    <w:p w14:paraId="0DB3DB58" w14:textId="77777777" w:rsidR="00922B67" w:rsidRPr="00A274D2" w:rsidRDefault="00922B67" w:rsidP="00A274D2">
      <w:pPr>
        <w:pStyle w:val="ListParagraph"/>
        <w:numPr>
          <w:ilvl w:val="0"/>
          <w:numId w:val="4"/>
        </w:numPr>
        <w:spacing w:after="0" w:line="240" w:lineRule="auto"/>
        <w:ind w:left="426" w:hanging="426"/>
        <w:jc w:val="both"/>
        <w:rPr>
          <w:rFonts w:ascii="Times New Roman" w:hAnsi="Times New Roman" w:cs="Times New Roman"/>
          <w:lang w:val="en-US"/>
        </w:rPr>
      </w:pPr>
      <w:r w:rsidRPr="00A274D2">
        <w:rPr>
          <w:rFonts w:ascii="Times New Roman" w:hAnsi="Times New Roman" w:cs="Times New Roman"/>
          <w:lang w:val="en-US"/>
        </w:rPr>
        <w:t xml:space="preserve">Singun, A.J. (2025), “Unveiling the barriers to digital transformation in higher education institutions: a systematic literature review”, </w:t>
      </w:r>
      <w:r w:rsidRPr="00A274D2">
        <w:rPr>
          <w:rFonts w:ascii="Times New Roman" w:hAnsi="Times New Roman" w:cs="Times New Roman"/>
          <w:i/>
          <w:iCs/>
          <w:lang w:val="en-US"/>
        </w:rPr>
        <w:t>Discover Education</w:t>
      </w:r>
      <w:r w:rsidRPr="00A274D2">
        <w:rPr>
          <w:rFonts w:ascii="Times New Roman" w:hAnsi="Times New Roman" w:cs="Times New Roman"/>
          <w:lang w:val="en-US"/>
        </w:rPr>
        <w:t xml:space="preserve">, Vol. 4 No. 1, Article 43, </w:t>
      </w:r>
      <w:hyperlink r:id="rId45" w:tgtFrame="_blank" w:history="1">
        <w:r w:rsidRPr="00A274D2">
          <w:rPr>
            <w:rStyle w:val="Hyperlink"/>
            <w:rFonts w:ascii="Times New Roman" w:hAnsi="Times New Roman" w:cs="Times New Roman"/>
            <w:lang w:val="en-US"/>
          </w:rPr>
          <w:t>https://doi.org/10.1007/s44217-025-00430-9</w:t>
        </w:r>
      </w:hyperlink>
    </w:p>
    <w:p w14:paraId="47F27045" w14:textId="77777777" w:rsidR="00922B67" w:rsidRPr="00A274D2" w:rsidRDefault="00922B67" w:rsidP="00A274D2">
      <w:pPr>
        <w:pStyle w:val="ListParagraph"/>
        <w:numPr>
          <w:ilvl w:val="0"/>
          <w:numId w:val="4"/>
        </w:numPr>
        <w:spacing w:after="0" w:line="240" w:lineRule="auto"/>
        <w:ind w:left="426" w:hanging="426"/>
        <w:jc w:val="both"/>
        <w:rPr>
          <w:rFonts w:ascii="Times New Roman" w:hAnsi="Times New Roman" w:cs="Times New Roman"/>
          <w:lang w:val="en-US"/>
        </w:rPr>
      </w:pPr>
      <w:r w:rsidRPr="00A274D2">
        <w:rPr>
          <w:rFonts w:ascii="Times New Roman" w:hAnsi="Times New Roman" w:cs="Times New Roman"/>
          <w:lang w:val="en-US"/>
        </w:rPr>
        <w:t xml:space="preserve">Soomro, M.A., Hizam-Hanafiah, M. and Abdullah, N.L. (2020), “Digital readiness models: A systematic literature review”, </w:t>
      </w:r>
      <w:r w:rsidRPr="00A274D2">
        <w:rPr>
          <w:rFonts w:ascii="Times New Roman" w:hAnsi="Times New Roman" w:cs="Times New Roman"/>
          <w:i/>
          <w:iCs/>
          <w:lang w:val="en-US"/>
        </w:rPr>
        <w:t>Compusoft</w:t>
      </w:r>
      <w:r w:rsidRPr="00A274D2">
        <w:rPr>
          <w:rFonts w:ascii="Times New Roman" w:hAnsi="Times New Roman" w:cs="Times New Roman"/>
          <w:lang w:val="en-US"/>
        </w:rPr>
        <w:t xml:space="preserve">, Vol. 9 No. 3, pp. 3575–3580, </w:t>
      </w:r>
      <w:hyperlink r:id="rId46" w:tgtFrame="_blank" w:history="1">
        <w:r w:rsidRPr="00A274D2">
          <w:rPr>
            <w:rStyle w:val="Hyperlink"/>
            <w:rFonts w:ascii="Times New Roman" w:hAnsi="Times New Roman" w:cs="Times New Roman"/>
            <w:lang w:val="en-US"/>
          </w:rPr>
          <w:t>https://www.scopus.com/pages/publications/85091643573</w:t>
        </w:r>
      </w:hyperlink>
    </w:p>
    <w:p w14:paraId="3AC9F4D6" w14:textId="77777777" w:rsidR="00922B67" w:rsidRPr="00A274D2" w:rsidRDefault="00922B67" w:rsidP="00A274D2">
      <w:pPr>
        <w:pStyle w:val="ListParagraph"/>
        <w:numPr>
          <w:ilvl w:val="0"/>
          <w:numId w:val="4"/>
        </w:numPr>
        <w:spacing w:after="0" w:line="240" w:lineRule="auto"/>
        <w:ind w:left="426" w:hanging="426"/>
        <w:jc w:val="both"/>
        <w:rPr>
          <w:rFonts w:ascii="Times New Roman" w:hAnsi="Times New Roman" w:cs="Times New Roman"/>
          <w:lang w:val="en-US"/>
        </w:rPr>
      </w:pPr>
      <w:r w:rsidRPr="00A274D2">
        <w:rPr>
          <w:rFonts w:ascii="Times New Roman" w:hAnsi="Times New Roman" w:cs="Times New Roman"/>
          <w:lang w:val="en-US"/>
        </w:rPr>
        <w:t xml:space="preserve">Tbaishat, D., Alfandi, O. and Hamad, F. (2026), “Modeling generative AI adoption in higher education: An integrated TAM–TPB–SDT framework with SEM validation”, </w:t>
      </w:r>
      <w:r w:rsidRPr="00A274D2">
        <w:rPr>
          <w:rFonts w:ascii="Times New Roman" w:hAnsi="Times New Roman" w:cs="Times New Roman"/>
          <w:i/>
          <w:iCs/>
          <w:lang w:val="en-US"/>
        </w:rPr>
        <w:t>Computers and Education: Artificial Intelligence</w:t>
      </w:r>
      <w:r w:rsidRPr="00A274D2">
        <w:rPr>
          <w:rFonts w:ascii="Times New Roman" w:hAnsi="Times New Roman" w:cs="Times New Roman"/>
          <w:lang w:val="en-US"/>
        </w:rPr>
        <w:t xml:space="preserve">, Vol. 10, Article 100541, pp. 1-13, </w:t>
      </w:r>
      <w:hyperlink r:id="rId47" w:tgtFrame="_blank" w:history="1">
        <w:r w:rsidRPr="00A274D2">
          <w:rPr>
            <w:rStyle w:val="Hyperlink"/>
            <w:rFonts w:ascii="Times New Roman" w:hAnsi="Times New Roman" w:cs="Times New Roman"/>
            <w:lang w:val="en-US"/>
          </w:rPr>
          <w:t>https://doi.org/10.1016/j.caeai.2026.100541</w:t>
        </w:r>
      </w:hyperlink>
    </w:p>
    <w:p w14:paraId="70C2938D" w14:textId="77777777" w:rsidR="00922B67" w:rsidRPr="00A274D2" w:rsidRDefault="00922B67" w:rsidP="00A274D2">
      <w:pPr>
        <w:pStyle w:val="ListParagraph"/>
        <w:numPr>
          <w:ilvl w:val="0"/>
          <w:numId w:val="4"/>
        </w:numPr>
        <w:spacing w:after="0" w:line="240" w:lineRule="auto"/>
        <w:ind w:left="426" w:hanging="426"/>
        <w:jc w:val="both"/>
        <w:rPr>
          <w:rFonts w:ascii="Times New Roman" w:hAnsi="Times New Roman" w:cs="Times New Roman"/>
          <w:lang w:val="en-US"/>
        </w:rPr>
      </w:pPr>
      <w:r w:rsidRPr="00A274D2">
        <w:rPr>
          <w:rFonts w:ascii="Times New Roman" w:hAnsi="Times New Roman" w:cs="Times New Roman"/>
          <w:lang w:val="en-US"/>
        </w:rPr>
        <w:t xml:space="preserve">Truong, T.D. and Tran, Q.G. (2026), “Assessing digital transformation readiness of the higher education workforce”, </w:t>
      </w:r>
      <w:r w:rsidRPr="00A274D2">
        <w:rPr>
          <w:rFonts w:ascii="Times New Roman" w:hAnsi="Times New Roman" w:cs="Times New Roman"/>
          <w:i/>
          <w:iCs/>
          <w:lang w:val="en-US"/>
        </w:rPr>
        <w:t>Multidisciplinary Science Journal</w:t>
      </w:r>
      <w:r w:rsidRPr="00A274D2">
        <w:rPr>
          <w:rFonts w:ascii="Times New Roman" w:hAnsi="Times New Roman" w:cs="Times New Roman"/>
          <w:lang w:val="en-US"/>
        </w:rPr>
        <w:t xml:space="preserve">, Vol. 8 No. 1, Article 2026574, </w:t>
      </w:r>
      <w:hyperlink r:id="rId48" w:tgtFrame="_blank" w:history="1">
        <w:r w:rsidRPr="00A274D2">
          <w:rPr>
            <w:rStyle w:val="Hyperlink"/>
            <w:rFonts w:ascii="Times New Roman" w:hAnsi="Times New Roman" w:cs="Times New Roman"/>
            <w:lang w:val="en-US"/>
          </w:rPr>
          <w:t>https://doi.org/10.31893/multiscience.2026574</w:t>
        </w:r>
      </w:hyperlink>
    </w:p>
    <w:p w14:paraId="73A371F2" w14:textId="77777777" w:rsidR="00922B67" w:rsidRPr="00A274D2" w:rsidRDefault="00922B67" w:rsidP="00A274D2">
      <w:pPr>
        <w:pStyle w:val="ListParagraph"/>
        <w:numPr>
          <w:ilvl w:val="0"/>
          <w:numId w:val="4"/>
        </w:numPr>
        <w:spacing w:after="0" w:line="240" w:lineRule="auto"/>
        <w:ind w:left="426" w:hanging="426"/>
        <w:jc w:val="both"/>
        <w:rPr>
          <w:rFonts w:ascii="Times New Roman" w:hAnsi="Times New Roman" w:cs="Times New Roman"/>
          <w:lang w:val="en-US"/>
        </w:rPr>
      </w:pPr>
      <w:r w:rsidRPr="00A274D2">
        <w:rPr>
          <w:rFonts w:ascii="Times New Roman" w:hAnsi="Times New Roman" w:cs="Times New Roman"/>
          <w:lang w:val="en-US"/>
        </w:rPr>
        <w:t xml:space="preserve">Tsimpanis, K., Avouris, N., Chounta, I.A. and Balaouras, P. (2023), “Implementing a data-driven framework for measuring digital readiness”, </w:t>
      </w:r>
      <w:r w:rsidRPr="00A274D2">
        <w:rPr>
          <w:rFonts w:ascii="Times New Roman" w:hAnsi="Times New Roman" w:cs="Times New Roman"/>
          <w:i/>
          <w:iCs/>
          <w:lang w:val="en-US"/>
        </w:rPr>
        <w:t>EPiC Series in Computing</w:t>
      </w:r>
      <w:r w:rsidRPr="00A274D2">
        <w:rPr>
          <w:rFonts w:ascii="Times New Roman" w:hAnsi="Times New Roman" w:cs="Times New Roman"/>
          <w:lang w:val="en-US"/>
        </w:rPr>
        <w:t xml:space="preserve">, Vol. 90, pp. 45–55, </w:t>
      </w:r>
      <w:hyperlink r:id="rId49" w:tgtFrame="_blank" w:history="1">
        <w:r w:rsidRPr="00A274D2">
          <w:rPr>
            <w:rStyle w:val="Hyperlink"/>
            <w:rFonts w:ascii="Times New Roman" w:hAnsi="Times New Roman" w:cs="Times New Roman"/>
            <w:lang w:val="en-US"/>
          </w:rPr>
          <w:t>https://doi.org/10.29007/ds3v</w:t>
        </w:r>
      </w:hyperlink>
    </w:p>
    <w:p w14:paraId="60573624" w14:textId="77777777" w:rsidR="00922B67" w:rsidRPr="00A274D2" w:rsidRDefault="00922B67" w:rsidP="00A274D2">
      <w:pPr>
        <w:pStyle w:val="ListParagraph"/>
        <w:numPr>
          <w:ilvl w:val="0"/>
          <w:numId w:val="4"/>
        </w:numPr>
        <w:spacing w:after="0" w:line="240" w:lineRule="auto"/>
        <w:ind w:left="426" w:hanging="426"/>
        <w:jc w:val="both"/>
        <w:rPr>
          <w:rFonts w:ascii="Times New Roman" w:hAnsi="Times New Roman" w:cs="Times New Roman"/>
          <w:lang w:val="en-US"/>
        </w:rPr>
      </w:pPr>
      <w:r w:rsidRPr="00A274D2">
        <w:rPr>
          <w:rFonts w:ascii="Times New Roman" w:hAnsi="Times New Roman" w:cs="Times New Roman"/>
          <w:lang w:val="en-US"/>
        </w:rPr>
        <w:t xml:space="preserve">Ukeje, I.O., Offiah, G.A., Nnaji, I.L. and Akonye, J.E. (2026), “Digitally transforming higher education in Nigeria through a stakeholder-driven co-governance model”, </w:t>
      </w:r>
      <w:r w:rsidRPr="00A274D2">
        <w:rPr>
          <w:rFonts w:ascii="Times New Roman" w:hAnsi="Times New Roman" w:cs="Times New Roman"/>
          <w:i/>
          <w:iCs/>
          <w:lang w:val="en-US"/>
        </w:rPr>
        <w:t>Innovative Higher Education</w:t>
      </w:r>
      <w:r w:rsidRPr="00A274D2">
        <w:rPr>
          <w:rFonts w:ascii="Times New Roman" w:hAnsi="Times New Roman" w:cs="Times New Roman"/>
          <w:lang w:val="en-US"/>
        </w:rPr>
        <w:t xml:space="preserve">, Vol. 51 No. 2, pp. 235–255, </w:t>
      </w:r>
      <w:hyperlink r:id="rId50" w:tgtFrame="_blank" w:history="1">
        <w:r w:rsidRPr="00A274D2">
          <w:rPr>
            <w:rStyle w:val="Hyperlink"/>
            <w:rFonts w:ascii="Times New Roman" w:hAnsi="Times New Roman" w:cs="Times New Roman"/>
            <w:lang w:val="en-US"/>
          </w:rPr>
          <w:t>https://doi.org/10.1007/s10755-025-09861-6</w:t>
        </w:r>
      </w:hyperlink>
    </w:p>
    <w:p w14:paraId="0CC4EC35" w14:textId="77777777" w:rsidR="00922B67" w:rsidRPr="00A274D2" w:rsidRDefault="00922B67" w:rsidP="00A274D2">
      <w:pPr>
        <w:pStyle w:val="ListParagraph"/>
        <w:numPr>
          <w:ilvl w:val="0"/>
          <w:numId w:val="4"/>
        </w:numPr>
        <w:spacing w:after="0" w:line="240" w:lineRule="auto"/>
        <w:ind w:left="426" w:hanging="426"/>
        <w:jc w:val="both"/>
        <w:rPr>
          <w:rFonts w:ascii="Times New Roman" w:hAnsi="Times New Roman" w:cs="Times New Roman"/>
          <w:lang w:val="en-US"/>
        </w:rPr>
      </w:pPr>
      <w:r w:rsidRPr="00A274D2">
        <w:rPr>
          <w:rFonts w:ascii="Times New Roman" w:hAnsi="Times New Roman" w:cs="Times New Roman"/>
          <w:lang w:val="en-US"/>
        </w:rPr>
        <w:t xml:space="preserve">Valdivia-Salazar, C., Serquén, O., Guevara, L. and Moreno-Heredia, A. (2025), “Development and validation of an instrument to assess the maturity of digital transformation in higher education institutions”, </w:t>
      </w:r>
      <w:r w:rsidRPr="00A274D2">
        <w:rPr>
          <w:rFonts w:ascii="Times New Roman" w:hAnsi="Times New Roman" w:cs="Times New Roman"/>
          <w:i/>
          <w:iCs/>
          <w:lang w:val="en-US"/>
        </w:rPr>
        <w:t>Frontiers in Education</w:t>
      </w:r>
      <w:r w:rsidRPr="00A274D2">
        <w:rPr>
          <w:rFonts w:ascii="Times New Roman" w:hAnsi="Times New Roman" w:cs="Times New Roman"/>
          <w:lang w:val="en-US"/>
        </w:rPr>
        <w:t xml:space="preserve">, Vol. 10, 1691178, </w:t>
      </w:r>
      <w:hyperlink r:id="rId51" w:tgtFrame="_blank" w:history="1">
        <w:r w:rsidRPr="00A274D2">
          <w:rPr>
            <w:rStyle w:val="Hyperlink"/>
            <w:rFonts w:ascii="Times New Roman" w:hAnsi="Times New Roman" w:cs="Times New Roman"/>
            <w:lang w:val="en-US"/>
          </w:rPr>
          <w:t>https://doi.org/10.3389/feduc.2025.1691178</w:t>
        </w:r>
      </w:hyperlink>
    </w:p>
    <w:p w14:paraId="79A65AA8" w14:textId="77777777" w:rsidR="00922B67" w:rsidRPr="00A274D2" w:rsidRDefault="00922B67" w:rsidP="00A274D2">
      <w:pPr>
        <w:pStyle w:val="ListParagraph"/>
        <w:numPr>
          <w:ilvl w:val="0"/>
          <w:numId w:val="4"/>
        </w:numPr>
        <w:spacing w:after="0" w:line="240" w:lineRule="auto"/>
        <w:ind w:left="426" w:hanging="426"/>
        <w:jc w:val="both"/>
        <w:rPr>
          <w:rFonts w:ascii="Times New Roman" w:hAnsi="Times New Roman" w:cs="Times New Roman"/>
          <w:lang w:val="en-US"/>
        </w:rPr>
      </w:pPr>
      <w:r w:rsidRPr="00A274D2">
        <w:rPr>
          <w:rFonts w:ascii="Times New Roman" w:hAnsi="Times New Roman" w:cs="Times New Roman"/>
          <w:lang w:val="en-US"/>
        </w:rPr>
        <w:t xml:space="preserve">Voss, K.E. (2023), “Composite-based and covariance-based structural equations modeling”, </w:t>
      </w:r>
      <w:r w:rsidRPr="00A274D2">
        <w:rPr>
          <w:rFonts w:ascii="Times New Roman" w:hAnsi="Times New Roman" w:cs="Times New Roman"/>
          <w:i/>
          <w:iCs/>
          <w:lang w:val="en-US"/>
        </w:rPr>
        <w:t>European Journal of Marketing</w:t>
      </w:r>
      <w:r w:rsidRPr="00A274D2">
        <w:rPr>
          <w:rFonts w:ascii="Times New Roman" w:hAnsi="Times New Roman" w:cs="Times New Roman"/>
          <w:lang w:val="en-US"/>
        </w:rPr>
        <w:t xml:space="preserve">, Vol. 57 No. 1, pp. 125–148, </w:t>
      </w:r>
      <w:hyperlink r:id="rId52" w:tgtFrame="_blank" w:history="1">
        <w:r w:rsidRPr="00A274D2">
          <w:rPr>
            <w:rStyle w:val="Hyperlink"/>
            <w:rFonts w:ascii="Times New Roman" w:hAnsi="Times New Roman" w:cs="Times New Roman"/>
            <w:lang w:val="en-US"/>
          </w:rPr>
          <w:t>https://doi.org/10.1108/EJM-02-2022-0137</w:t>
        </w:r>
      </w:hyperlink>
    </w:p>
    <w:p w14:paraId="7DF0E214" w14:textId="77777777" w:rsidR="00922B67" w:rsidRPr="00A274D2" w:rsidRDefault="00922B67" w:rsidP="00A274D2">
      <w:pPr>
        <w:pStyle w:val="ListParagraph"/>
        <w:numPr>
          <w:ilvl w:val="0"/>
          <w:numId w:val="4"/>
        </w:numPr>
        <w:spacing w:after="0" w:line="240" w:lineRule="auto"/>
        <w:ind w:left="426" w:hanging="426"/>
        <w:jc w:val="both"/>
        <w:rPr>
          <w:rFonts w:ascii="Times New Roman" w:hAnsi="Times New Roman" w:cs="Times New Roman"/>
          <w:lang w:val="en-US"/>
        </w:rPr>
      </w:pPr>
      <w:r w:rsidRPr="00A274D2">
        <w:rPr>
          <w:rFonts w:ascii="Times New Roman" w:hAnsi="Times New Roman" w:cs="Times New Roman"/>
          <w:lang w:val="en-US"/>
        </w:rPr>
        <w:t xml:space="preserve">Zhang, X., Hao, X. and Jia, X. (2025), “Enhancing employees’ readiness for digital transformation”, </w:t>
      </w:r>
      <w:r w:rsidRPr="00A274D2">
        <w:rPr>
          <w:rFonts w:ascii="Times New Roman" w:hAnsi="Times New Roman" w:cs="Times New Roman"/>
          <w:i/>
          <w:iCs/>
          <w:lang w:val="en-US"/>
        </w:rPr>
        <w:t>Journal of Enterprise Information Management</w:t>
      </w:r>
      <w:r w:rsidRPr="00A274D2">
        <w:rPr>
          <w:rFonts w:ascii="Times New Roman" w:hAnsi="Times New Roman" w:cs="Times New Roman"/>
          <w:lang w:val="en-US"/>
        </w:rPr>
        <w:t xml:space="preserve">, Vol. 38 No. 1, pp. 25–45, </w:t>
      </w:r>
      <w:hyperlink r:id="rId53" w:tgtFrame="_blank" w:history="1">
        <w:r w:rsidRPr="00A274D2">
          <w:rPr>
            <w:rStyle w:val="Hyperlink"/>
            <w:rFonts w:ascii="Times New Roman" w:hAnsi="Times New Roman" w:cs="Times New Roman"/>
            <w:lang w:val="en-US"/>
          </w:rPr>
          <w:t>https://doi.org/10.1108/JEIM-01-2025-0025</w:t>
        </w:r>
      </w:hyperlink>
    </w:p>
    <w:p w14:paraId="1D1E0DA2" w14:textId="77777777" w:rsidR="00922B67" w:rsidRPr="00A274D2" w:rsidRDefault="00922B67" w:rsidP="00A274D2">
      <w:pPr>
        <w:pStyle w:val="ListParagraph"/>
        <w:numPr>
          <w:ilvl w:val="0"/>
          <w:numId w:val="4"/>
        </w:numPr>
        <w:spacing w:after="0" w:line="240" w:lineRule="auto"/>
        <w:ind w:left="426" w:hanging="426"/>
        <w:jc w:val="both"/>
        <w:rPr>
          <w:rFonts w:ascii="Times New Roman" w:hAnsi="Times New Roman" w:cs="Times New Roman"/>
          <w:lang w:val="en-US"/>
        </w:rPr>
      </w:pPr>
      <w:r w:rsidRPr="00A274D2">
        <w:rPr>
          <w:rFonts w:ascii="Times New Roman" w:hAnsi="Times New Roman" w:cs="Times New Roman"/>
          <w:lang w:val="en-US"/>
        </w:rPr>
        <w:t xml:space="preserve">Zhao, D., Wang, Y., Shu, E. and Wu, Y.J. (2026), “Impact of individual unlearning on employees’ behavioral resistance to digital transformation”, </w:t>
      </w:r>
      <w:r w:rsidRPr="00A274D2">
        <w:rPr>
          <w:rFonts w:ascii="Times New Roman" w:hAnsi="Times New Roman" w:cs="Times New Roman"/>
          <w:i/>
          <w:iCs/>
          <w:lang w:val="en-US"/>
        </w:rPr>
        <w:t>Technological Forecasting and Social Change</w:t>
      </w:r>
      <w:r w:rsidRPr="00A274D2">
        <w:rPr>
          <w:rFonts w:ascii="Times New Roman" w:hAnsi="Times New Roman" w:cs="Times New Roman"/>
          <w:lang w:val="en-US"/>
        </w:rPr>
        <w:t xml:space="preserve">, Vol. 202, Article 124405, </w:t>
      </w:r>
      <w:hyperlink r:id="rId54" w:tgtFrame="_blank" w:history="1">
        <w:r w:rsidRPr="00A274D2">
          <w:rPr>
            <w:rStyle w:val="Hyperlink"/>
            <w:rFonts w:ascii="Times New Roman" w:hAnsi="Times New Roman" w:cs="Times New Roman"/>
            <w:lang w:val="en-US"/>
          </w:rPr>
          <w:t>https://doi.org/10.1016/j.techfore.2025.124405</w:t>
        </w:r>
      </w:hyperlink>
    </w:p>
    <w:p w14:paraId="24FDB6C7" w14:textId="77777777" w:rsidR="00922B67" w:rsidRPr="00A274D2" w:rsidRDefault="00922B67" w:rsidP="00A274D2">
      <w:pPr>
        <w:pStyle w:val="ListParagraph"/>
        <w:numPr>
          <w:ilvl w:val="0"/>
          <w:numId w:val="4"/>
        </w:numPr>
        <w:spacing w:after="0" w:line="240" w:lineRule="auto"/>
        <w:ind w:left="426" w:hanging="426"/>
        <w:jc w:val="both"/>
        <w:rPr>
          <w:rFonts w:ascii="Times New Roman" w:hAnsi="Times New Roman" w:cs="Times New Roman"/>
          <w:lang w:val="en-US"/>
        </w:rPr>
      </w:pPr>
      <w:r w:rsidRPr="00A274D2">
        <w:rPr>
          <w:rFonts w:ascii="Times New Roman" w:hAnsi="Times New Roman" w:cs="Times New Roman"/>
          <w:lang w:val="en-US"/>
        </w:rPr>
        <w:t xml:space="preserve">Zhao, Y., Pinto-Llorente, A.M. and Sánchez-Gómez, M.C. (2021), “Digital competence in higher education research: A systematic literature review”, </w:t>
      </w:r>
      <w:r w:rsidRPr="00A274D2">
        <w:rPr>
          <w:rFonts w:ascii="Times New Roman" w:hAnsi="Times New Roman" w:cs="Times New Roman"/>
          <w:i/>
          <w:iCs/>
          <w:lang w:val="en-US"/>
        </w:rPr>
        <w:t>Computers and Education</w:t>
      </w:r>
      <w:r w:rsidRPr="00A274D2">
        <w:rPr>
          <w:rFonts w:ascii="Times New Roman" w:hAnsi="Times New Roman" w:cs="Times New Roman"/>
          <w:lang w:val="en-US"/>
        </w:rPr>
        <w:t xml:space="preserve">, Vol. 10, Article 1691178, </w:t>
      </w:r>
      <w:hyperlink r:id="rId55" w:tgtFrame="_blank" w:history="1">
        <w:r w:rsidRPr="00A274D2">
          <w:rPr>
            <w:rStyle w:val="Hyperlink"/>
            <w:rFonts w:ascii="Times New Roman" w:hAnsi="Times New Roman" w:cs="Times New Roman"/>
            <w:lang w:val="en-US"/>
          </w:rPr>
          <w:t>https://doi.org/10.1016/j.compedu.2021.104212</w:t>
        </w:r>
      </w:hyperlink>
    </w:p>
    <w:p w14:paraId="3459A93D" w14:textId="77777777" w:rsidR="00922B67" w:rsidRPr="00A274D2" w:rsidRDefault="00922B67" w:rsidP="00A274D2">
      <w:pPr>
        <w:pStyle w:val="ListParagraph"/>
        <w:numPr>
          <w:ilvl w:val="0"/>
          <w:numId w:val="4"/>
        </w:numPr>
        <w:spacing w:after="0" w:line="240" w:lineRule="auto"/>
        <w:ind w:left="426" w:hanging="426"/>
        <w:jc w:val="both"/>
        <w:rPr>
          <w:rFonts w:ascii="Times New Roman" w:hAnsi="Times New Roman" w:cs="Times New Roman"/>
          <w:lang w:val="en-US"/>
        </w:rPr>
      </w:pPr>
      <w:r w:rsidRPr="00A274D2">
        <w:rPr>
          <w:rFonts w:ascii="Times New Roman" w:hAnsi="Times New Roman" w:cs="Times New Roman"/>
          <w:lang w:val="en-US"/>
        </w:rPr>
        <w:t xml:space="preserve">Zhong, Q., Jiang, J., Bai, W. and Zhong, X. (2025), “Application of digital-intelligent technologies in physical education”, </w:t>
      </w:r>
      <w:r w:rsidRPr="00A274D2">
        <w:rPr>
          <w:rFonts w:ascii="Times New Roman" w:hAnsi="Times New Roman" w:cs="Times New Roman"/>
          <w:i/>
          <w:iCs/>
          <w:lang w:val="en-US"/>
        </w:rPr>
        <w:t>Frontiers in Public Health</w:t>
      </w:r>
      <w:r w:rsidRPr="00A274D2">
        <w:rPr>
          <w:rFonts w:ascii="Times New Roman" w:hAnsi="Times New Roman" w:cs="Times New Roman"/>
          <w:lang w:val="en-US"/>
        </w:rPr>
        <w:t xml:space="preserve">, Vol. 13, Article 1626603, </w:t>
      </w:r>
      <w:hyperlink r:id="rId56" w:tgtFrame="_blank" w:history="1">
        <w:r w:rsidRPr="00A274D2">
          <w:rPr>
            <w:rStyle w:val="Hyperlink"/>
            <w:rFonts w:ascii="Times New Roman" w:hAnsi="Times New Roman" w:cs="Times New Roman"/>
            <w:lang w:val="en-US"/>
          </w:rPr>
          <w:t>https://doi.org/10.3389/fpubh.2025.1626603</w:t>
        </w:r>
      </w:hyperlink>
    </w:p>
    <w:p w14:paraId="456D6782" w14:textId="6C1B8A8F" w:rsidR="000A3FCE" w:rsidRPr="00A274D2" w:rsidRDefault="00922B67" w:rsidP="00A274D2">
      <w:pPr>
        <w:pStyle w:val="ListParagraph"/>
        <w:numPr>
          <w:ilvl w:val="0"/>
          <w:numId w:val="4"/>
        </w:numPr>
        <w:spacing w:after="0" w:line="240" w:lineRule="auto"/>
        <w:ind w:left="426" w:hanging="426"/>
        <w:jc w:val="both"/>
        <w:rPr>
          <w:rFonts w:ascii="Times New Roman" w:hAnsi="Times New Roman" w:cs="Times New Roman"/>
          <w:lang w:val="en-US"/>
        </w:rPr>
      </w:pPr>
      <w:r w:rsidRPr="00A274D2">
        <w:rPr>
          <w:rFonts w:ascii="Times New Roman" w:hAnsi="Times New Roman" w:cs="Times New Roman"/>
          <w:lang w:val="en-US"/>
        </w:rPr>
        <w:t xml:space="preserve">Zincirli, M. and Polat, E. (2025), “Development of the digital transformation scale: assessment of measurement invariance”, </w:t>
      </w:r>
      <w:r w:rsidRPr="00A274D2">
        <w:rPr>
          <w:rFonts w:ascii="Times New Roman" w:hAnsi="Times New Roman" w:cs="Times New Roman"/>
          <w:i/>
          <w:iCs/>
          <w:lang w:val="en-US"/>
        </w:rPr>
        <w:t>SAGE Open</w:t>
      </w:r>
      <w:r w:rsidRPr="00A274D2">
        <w:rPr>
          <w:rFonts w:ascii="Times New Roman" w:hAnsi="Times New Roman" w:cs="Times New Roman"/>
          <w:lang w:val="en-US"/>
        </w:rPr>
        <w:t xml:space="preserve">, Vol. 15 No. 1, Article 1378827, </w:t>
      </w:r>
      <w:hyperlink r:id="rId57" w:tgtFrame="_blank" w:history="1">
        <w:r w:rsidRPr="00A274D2">
          <w:rPr>
            <w:rStyle w:val="Hyperlink"/>
            <w:rFonts w:ascii="Times New Roman" w:hAnsi="Times New Roman" w:cs="Times New Roman"/>
            <w:lang w:val="en-US"/>
          </w:rPr>
          <w:t>https://doi.org/10.1177/21582440251378827</w:t>
        </w:r>
      </w:hyperlink>
    </w:p>
    <w:sectPr w:rsidR="000A3FCE" w:rsidRPr="00A274D2" w:rsidSect="005D11C6">
      <w:footerReference w:type="default" r:id="rId58"/>
      <w:pgSz w:w="11907" w:h="16840" w:code="9"/>
      <w:pgMar w:top="1094" w:right="607" w:bottom="607" w:left="607"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AD149" w14:textId="77777777" w:rsidR="00660267" w:rsidRDefault="00660267" w:rsidP="005D11C6">
      <w:pPr>
        <w:spacing w:after="0" w:line="240" w:lineRule="auto"/>
      </w:pPr>
      <w:r>
        <w:separator/>
      </w:r>
    </w:p>
  </w:endnote>
  <w:endnote w:type="continuationSeparator" w:id="0">
    <w:p w14:paraId="310B7A91" w14:textId="77777777" w:rsidR="00660267" w:rsidRDefault="00660267" w:rsidP="005D1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432634202"/>
      <w:docPartObj>
        <w:docPartGallery w:val="Page Numbers (Bottom of Page)"/>
        <w:docPartUnique/>
      </w:docPartObj>
    </w:sdtPr>
    <w:sdtEndPr>
      <w:rPr>
        <w:noProof/>
      </w:rPr>
    </w:sdtEndPr>
    <w:sdtContent>
      <w:p w14:paraId="10C94EBC" w14:textId="1FCD37AA" w:rsidR="005D11C6" w:rsidRPr="005D11C6" w:rsidRDefault="005D11C6">
        <w:pPr>
          <w:pStyle w:val="Footer"/>
          <w:jc w:val="center"/>
          <w:rPr>
            <w:rFonts w:ascii="Times New Roman" w:hAnsi="Times New Roman" w:cs="Times New Roman"/>
          </w:rPr>
        </w:pPr>
        <w:r w:rsidRPr="005D11C6">
          <w:rPr>
            <w:rFonts w:ascii="Times New Roman" w:hAnsi="Times New Roman" w:cs="Times New Roman"/>
          </w:rPr>
          <w:fldChar w:fldCharType="begin"/>
        </w:r>
        <w:r w:rsidRPr="005D11C6">
          <w:rPr>
            <w:rFonts w:ascii="Times New Roman" w:hAnsi="Times New Roman" w:cs="Times New Roman"/>
          </w:rPr>
          <w:instrText xml:space="preserve"> PAGE   \* MERGEFORMAT </w:instrText>
        </w:r>
        <w:r w:rsidRPr="005D11C6">
          <w:rPr>
            <w:rFonts w:ascii="Times New Roman" w:hAnsi="Times New Roman" w:cs="Times New Roman"/>
          </w:rPr>
          <w:fldChar w:fldCharType="separate"/>
        </w:r>
        <w:r w:rsidRPr="005D11C6">
          <w:rPr>
            <w:rFonts w:ascii="Times New Roman" w:hAnsi="Times New Roman" w:cs="Times New Roman"/>
            <w:noProof/>
          </w:rPr>
          <w:t>2</w:t>
        </w:r>
        <w:r w:rsidRPr="005D11C6">
          <w:rPr>
            <w:rFonts w:ascii="Times New Roman" w:hAnsi="Times New Roman" w:cs="Times New Roman"/>
            <w:noProof/>
          </w:rPr>
          <w:fldChar w:fldCharType="end"/>
        </w:r>
      </w:p>
    </w:sdtContent>
  </w:sdt>
  <w:p w14:paraId="2C7F63FD" w14:textId="77777777" w:rsidR="005D11C6" w:rsidRDefault="005D11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4E395" w14:textId="77777777" w:rsidR="00660267" w:rsidRDefault="00660267" w:rsidP="005D11C6">
      <w:pPr>
        <w:spacing w:after="0" w:line="240" w:lineRule="auto"/>
      </w:pPr>
      <w:r>
        <w:separator/>
      </w:r>
    </w:p>
  </w:footnote>
  <w:footnote w:type="continuationSeparator" w:id="0">
    <w:p w14:paraId="614A6682" w14:textId="77777777" w:rsidR="00660267" w:rsidRDefault="00660267" w:rsidP="005D11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A45CD"/>
    <w:multiLevelType w:val="multilevel"/>
    <w:tmpl w:val="00F88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2538DF"/>
    <w:multiLevelType w:val="multilevel"/>
    <w:tmpl w:val="F5B6CD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AE66BC8"/>
    <w:multiLevelType w:val="hybridMultilevel"/>
    <w:tmpl w:val="56BE3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8D13D5"/>
    <w:multiLevelType w:val="multilevel"/>
    <w:tmpl w:val="16A89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8426819">
    <w:abstractNumId w:val="1"/>
  </w:num>
  <w:num w:numId="2" w16cid:durableId="1218473059">
    <w:abstractNumId w:val="0"/>
  </w:num>
  <w:num w:numId="3" w16cid:durableId="1865558620">
    <w:abstractNumId w:val="3"/>
  </w:num>
  <w:num w:numId="4" w16cid:durableId="12547056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A08"/>
    <w:rsid w:val="00007A5B"/>
    <w:rsid w:val="00013C38"/>
    <w:rsid w:val="00031913"/>
    <w:rsid w:val="00050728"/>
    <w:rsid w:val="000A3FCE"/>
    <w:rsid w:val="000B2AF4"/>
    <w:rsid w:val="000E4B0B"/>
    <w:rsid w:val="00140520"/>
    <w:rsid w:val="00142EC3"/>
    <w:rsid w:val="00151A78"/>
    <w:rsid w:val="00176DBA"/>
    <w:rsid w:val="00191F67"/>
    <w:rsid w:val="001C63BB"/>
    <w:rsid w:val="001D15C6"/>
    <w:rsid w:val="001E5B55"/>
    <w:rsid w:val="001F5A05"/>
    <w:rsid w:val="0020277E"/>
    <w:rsid w:val="002733F6"/>
    <w:rsid w:val="00285EF3"/>
    <w:rsid w:val="003B63EA"/>
    <w:rsid w:val="003F0D41"/>
    <w:rsid w:val="00424E47"/>
    <w:rsid w:val="004611E1"/>
    <w:rsid w:val="004772EC"/>
    <w:rsid w:val="00510FAB"/>
    <w:rsid w:val="00512347"/>
    <w:rsid w:val="00555C80"/>
    <w:rsid w:val="005C0ED8"/>
    <w:rsid w:val="005D11C6"/>
    <w:rsid w:val="005F4600"/>
    <w:rsid w:val="006020EA"/>
    <w:rsid w:val="00660267"/>
    <w:rsid w:val="006B682E"/>
    <w:rsid w:val="006B709E"/>
    <w:rsid w:val="006C61BF"/>
    <w:rsid w:val="006E4B04"/>
    <w:rsid w:val="006E5EA6"/>
    <w:rsid w:val="00710B6F"/>
    <w:rsid w:val="00753FCA"/>
    <w:rsid w:val="00784DDC"/>
    <w:rsid w:val="007A3BB8"/>
    <w:rsid w:val="007B00FA"/>
    <w:rsid w:val="00805021"/>
    <w:rsid w:val="00816480"/>
    <w:rsid w:val="008D23AD"/>
    <w:rsid w:val="008D7D12"/>
    <w:rsid w:val="008E165E"/>
    <w:rsid w:val="00922B67"/>
    <w:rsid w:val="00932F51"/>
    <w:rsid w:val="00937B6B"/>
    <w:rsid w:val="009A136E"/>
    <w:rsid w:val="009B142F"/>
    <w:rsid w:val="009C1A63"/>
    <w:rsid w:val="009D02CF"/>
    <w:rsid w:val="009D2A08"/>
    <w:rsid w:val="009F5B0D"/>
    <w:rsid w:val="00A220A6"/>
    <w:rsid w:val="00A274D2"/>
    <w:rsid w:val="00A45B1A"/>
    <w:rsid w:val="00A51350"/>
    <w:rsid w:val="00A60ED9"/>
    <w:rsid w:val="00A7333C"/>
    <w:rsid w:val="00A903D5"/>
    <w:rsid w:val="00A9200E"/>
    <w:rsid w:val="00AF3593"/>
    <w:rsid w:val="00B04F97"/>
    <w:rsid w:val="00B71F05"/>
    <w:rsid w:val="00BF4908"/>
    <w:rsid w:val="00BF5BC8"/>
    <w:rsid w:val="00C15878"/>
    <w:rsid w:val="00C25E30"/>
    <w:rsid w:val="00C3093F"/>
    <w:rsid w:val="00C45099"/>
    <w:rsid w:val="00C5729D"/>
    <w:rsid w:val="00D1750A"/>
    <w:rsid w:val="00D5262E"/>
    <w:rsid w:val="00D76C64"/>
    <w:rsid w:val="00D82A06"/>
    <w:rsid w:val="00DA2E47"/>
    <w:rsid w:val="00DE56E0"/>
    <w:rsid w:val="00E31B32"/>
    <w:rsid w:val="00E47C7F"/>
    <w:rsid w:val="00E6578A"/>
    <w:rsid w:val="00E768AE"/>
    <w:rsid w:val="00E91CB7"/>
    <w:rsid w:val="00E95373"/>
    <w:rsid w:val="00EF4F6B"/>
    <w:rsid w:val="00EF7317"/>
    <w:rsid w:val="00F16AD3"/>
    <w:rsid w:val="00F53AFE"/>
    <w:rsid w:val="00F762A7"/>
    <w:rsid w:val="00FD48E9"/>
    <w:rsid w:val="00FE1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90121"/>
  <w15:chartTrackingRefBased/>
  <w15:docId w15:val="{C9D47AB7-5788-4ACD-9529-F25B03BA0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AF4"/>
    <w:rPr>
      <w:lang w:val="en-GB"/>
    </w:rPr>
  </w:style>
  <w:style w:type="paragraph" w:styleId="Heading1">
    <w:name w:val="heading 1"/>
    <w:basedOn w:val="Normal"/>
    <w:next w:val="Normal"/>
    <w:link w:val="Heading1Char"/>
    <w:uiPriority w:val="9"/>
    <w:qFormat/>
    <w:rsid w:val="009D2A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D2A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2A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2A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2A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2A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2A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2A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2A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A08"/>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rsid w:val="009D2A08"/>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9D2A08"/>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9D2A08"/>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9D2A08"/>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9D2A08"/>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9D2A08"/>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9D2A08"/>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9D2A08"/>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9D2A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2A08"/>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9D2A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2A08"/>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9D2A08"/>
    <w:pPr>
      <w:spacing w:before="160"/>
      <w:jc w:val="center"/>
    </w:pPr>
    <w:rPr>
      <w:i/>
      <w:iCs/>
      <w:color w:val="404040" w:themeColor="text1" w:themeTint="BF"/>
    </w:rPr>
  </w:style>
  <w:style w:type="character" w:customStyle="1" w:styleId="QuoteChar">
    <w:name w:val="Quote Char"/>
    <w:basedOn w:val="DefaultParagraphFont"/>
    <w:link w:val="Quote"/>
    <w:uiPriority w:val="29"/>
    <w:rsid w:val="009D2A08"/>
    <w:rPr>
      <w:i/>
      <w:iCs/>
      <w:color w:val="404040" w:themeColor="text1" w:themeTint="BF"/>
      <w:lang w:val="en-GB"/>
    </w:rPr>
  </w:style>
  <w:style w:type="paragraph" w:styleId="ListParagraph">
    <w:name w:val="List Paragraph"/>
    <w:basedOn w:val="Normal"/>
    <w:uiPriority w:val="34"/>
    <w:qFormat/>
    <w:rsid w:val="009D2A08"/>
    <w:pPr>
      <w:ind w:left="720"/>
      <w:contextualSpacing/>
    </w:pPr>
  </w:style>
  <w:style w:type="character" w:styleId="IntenseEmphasis">
    <w:name w:val="Intense Emphasis"/>
    <w:basedOn w:val="DefaultParagraphFont"/>
    <w:uiPriority w:val="21"/>
    <w:qFormat/>
    <w:rsid w:val="009D2A08"/>
    <w:rPr>
      <w:i/>
      <w:iCs/>
      <w:color w:val="2F5496" w:themeColor="accent1" w:themeShade="BF"/>
    </w:rPr>
  </w:style>
  <w:style w:type="paragraph" w:styleId="IntenseQuote">
    <w:name w:val="Intense Quote"/>
    <w:basedOn w:val="Normal"/>
    <w:next w:val="Normal"/>
    <w:link w:val="IntenseQuoteChar"/>
    <w:uiPriority w:val="30"/>
    <w:qFormat/>
    <w:rsid w:val="009D2A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2A08"/>
    <w:rPr>
      <w:i/>
      <w:iCs/>
      <w:color w:val="2F5496" w:themeColor="accent1" w:themeShade="BF"/>
      <w:lang w:val="en-GB"/>
    </w:rPr>
  </w:style>
  <w:style w:type="character" w:styleId="IntenseReference">
    <w:name w:val="Intense Reference"/>
    <w:basedOn w:val="DefaultParagraphFont"/>
    <w:uiPriority w:val="32"/>
    <w:qFormat/>
    <w:rsid w:val="009D2A08"/>
    <w:rPr>
      <w:b/>
      <w:bCs/>
      <w:smallCaps/>
      <w:color w:val="2F5496" w:themeColor="accent1" w:themeShade="BF"/>
      <w:spacing w:val="5"/>
    </w:rPr>
  </w:style>
  <w:style w:type="character" w:styleId="Hyperlink">
    <w:name w:val="Hyperlink"/>
    <w:basedOn w:val="DefaultParagraphFont"/>
    <w:uiPriority w:val="99"/>
    <w:unhideWhenUsed/>
    <w:rsid w:val="000B2AF4"/>
    <w:rPr>
      <w:color w:val="0563C1" w:themeColor="hyperlink"/>
      <w:u w:val="single"/>
    </w:rPr>
  </w:style>
  <w:style w:type="table" w:styleId="TableGrid">
    <w:name w:val="Table Grid"/>
    <w:basedOn w:val="TableNormal"/>
    <w:uiPriority w:val="39"/>
    <w:rsid w:val="00DE5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22B67"/>
    <w:rPr>
      <w:color w:val="605E5C"/>
      <w:shd w:val="clear" w:color="auto" w:fill="E1DFDD"/>
    </w:rPr>
  </w:style>
  <w:style w:type="paragraph" w:styleId="Header">
    <w:name w:val="header"/>
    <w:basedOn w:val="Normal"/>
    <w:link w:val="HeaderChar"/>
    <w:uiPriority w:val="99"/>
    <w:unhideWhenUsed/>
    <w:rsid w:val="005D11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1C6"/>
    <w:rPr>
      <w:lang w:val="en-GB"/>
    </w:rPr>
  </w:style>
  <w:style w:type="paragraph" w:styleId="Footer">
    <w:name w:val="footer"/>
    <w:basedOn w:val="Normal"/>
    <w:link w:val="FooterChar"/>
    <w:uiPriority w:val="99"/>
    <w:unhideWhenUsed/>
    <w:rsid w:val="005D11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1C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m/url?sa=E&amp;q=https%3A%2F%2Fdoi.org%2F10.26803%2Fijlter.19.4.8" TargetMode="External"/><Relationship Id="rId18" Type="http://schemas.openxmlformats.org/officeDocument/2006/relationships/hyperlink" Target="https://www.google.com/url?sa=E&amp;q=https%3A%2F%2Fdoi.org%2F10.3389%2Ffpsyg.2025.1540820" TargetMode="External"/><Relationship Id="rId26" Type="http://schemas.openxmlformats.org/officeDocument/2006/relationships/hyperlink" Target="https://www.google.com/url?sa=E&amp;q=https%3A%2F%2Fdoi.org%2F10.3389%2Ffpsyg.2024.1368442" TargetMode="External"/><Relationship Id="rId39" Type="http://schemas.openxmlformats.org/officeDocument/2006/relationships/hyperlink" Target="https://www.google.com/url?sa=E&amp;q=https%3A%2F%2Fdoi.org%2F10.14329%2Fapjis.2025.35.4.896" TargetMode="External"/><Relationship Id="rId21" Type="http://schemas.openxmlformats.org/officeDocument/2006/relationships/hyperlink" Target="https://www.google.com/url?sa=E&amp;q=https%3A%2F%2Fdoi.org%2F10.1142%2FS1363919624400048" TargetMode="External"/><Relationship Id="rId34" Type="http://schemas.openxmlformats.org/officeDocument/2006/relationships/hyperlink" Target="https://www.google.com/url?sa=E&amp;q=https%3A%2F%2Fdoi.org%2F10.1016%2Fj.heliyon.2024.e39376" TargetMode="External"/><Relationship Id="rId42" Type="http://schemas.openxmlformats.org/officeDocument/2006/relationships/hyperlink" Target="https://www.google.com/url?sa=E&amp;q=https%3A%2F%2Fdoi.org%2F10.1108%2FJMTM-12-2023-0544" TargetMode="External"/><Relationship Id="rId47" Type="http://schemas.openxmlformats.org/officeDocument/2006/relationships/hyperlink" Target="https://www.google.com/url?sa=E&amp;q=https%3A%2F%2Fdoi.org%2F10.1016%2Fj.caeai.2026.100541" TargetMode="External"/><Relationship Id="rId50" Type="http://schemas.openxmlformats.org/officeDocument/2006/relationships/hyperlink" Target="https://www.google.com/url?sa=E&amp;q=https%3A%2F%2Fdoi.org%2F10.1007%2Fs10755-025-09861-6" TargetMode="External"/><Relationship Id="rId55" Type="http://schemas.openxmlformats.org/officeDocument/2006/relationships/hyperlink" Target="https://www.google.com/url?sa=E&amp;q=https%3A%2F%2Fdoi.org%2F10.1016%2Fj.compedu.2021.104212" TargetMode="External"/><Relationship Id="rId7" Type="http://schemas.openxmlformats.org/officeDocument/2006/relationships/hyperlink" Target="https://doi.org/10.51244/IJRSI.2026.XXXXXXXX" TargetMode="External"/><Relationship Id="rId2" Type="http://schemas.openxmlformats.org/officeDocument/2006/relationships/styles" Target="styles.xml"/><Relationship Id="rId16" Type="http://schemas.openxmlformats.org/officeDocument/2006/relationships/hyperlink" Target="https://www.google.com/url?sa=E&amp;q=https%3A%2F%2Fdoi.org%2F10.1186%2Fs41239-024-00491-0" TargetMode="External"/><Relationship Id="rId29" Type="http://schemas.openxmlformats.org/officeDocument/2006/relationships/hyperlink" Target="https://doi.org/10.3390/jtaer19040159" TargetMode="External"/><Relationship Id="rId11" Type="http://schemas.openxmlformats.org/officeDocument/2006/relationships/hyperlink" Target="https://www.google.com/url?sa=E&amp;q=https%3A%2F%2Fdoi.org%2F10.1016%2FB978-0-443-32880-0.00019-X" TargetMode="External"/><Relationship Id="rId24" Type="http://schemas.openxmlformats.org/officeDocument/2006/relationships/hyperlink" Target="https://doi.org/10.19192/wsfip.sj3.2024.7" TargetMode="External"/><Relationship Id="rId32" Type="http://schemas.openxmlformats.org/officeDocument/2006/relationships/hyperlink" Target="https://www.google.com/url?sa=E&amp;q=https%3A%2F%2Fdoi.org%2F10.3390%2Fsu17229927" TargetMode="External"/><Relationship Id="rId37" Type="http://schemas.openxmlformats.org/officeDocument/2006/relationships/hyperlink" Target="https://www.google.com/url?sa=E&amp;q=https%3A%2F%2Fdoi.org%2F10.1016%2Fj.digbus.2025.100155" TargetMode="External"/><Relationship Id="rId40" Type="http://schemas.openxmlformats.org/officeDocument/2006/relationships/hyperlink" Target="https://www.google.com/url?sa=E&amp;q=https%3A%2F%2Fdoi.org%2F10.3389%2Ffpsyg.2022.945914" TargetMode="External"/><Relationship Id="rId45" Type="http://schemas.openxmlformats.org/officeDocument/2006/relationships/hyperlink" Target="https://www.google.com/url?sa=E&amp;q=https%3A%2F%2Fdoi.org%2F10.1007%2Fs44217-025-00430-9" TargetMode="External"/><Relationship Id="rId53" Type="http://schemas.openxmlformats.org/officeDocument/2006/relationships/hyperlink" Target="https://www.google.com/url?sa=E&amp;q=https%3A%2F%2Fdoi.org%2F10.1108%2FJEIM-01-2025-0025" TargetMode="External"/><Relationship Id="rId58" Type="http://schemas.openxmlformats.org/officeDocument/2006/relationships/footer" Target="footer1.xml"/><Relationship Id="rId5" Type="http://schemas.openxmlformats.org/officeDocument/2006/relationships/footnotes" Target="footnotes.xml"/><Relationship Id="rId19" Type="http://schemas.openxmlformats.org/officeDocument/2006/relationships/hyperlink" Target="https://www.google.com/url?sa=E&amp;q=https%3A%2F%2Fdoi.org%2F10.1007%2Fs10639-023-12363-7" TargetMode="External"/><Relationship Id="rId4" Type="http://schemas.openxmlformats.org/officeDocument/2006/relationships/webSettings" Target="webSettings.xml"/><Relationship Id="rId9" Type="http://schemas.openxmlformats.org/officeDocument/2006/relationships/hyperlink" Target="https://www.google.com/url?sa=E&amp;q=https%3A%2F%2Fdoi.org%2F10.3390%2Fpr13103172" TargetMode="External"/><Relationship Id="rId14" Type="http://schemas.openxmlformats.org/officeDocument/2006/relationships/hyperlink" Target="https://www.google.com/url?sa=E&amp;q=https%3A%2F%2Fdoi.org%2F10.1007%2Fs43545-025-01110-z" TargetMode="External"/><Relationship Id="rId22" Type="http://schemas.openxmlformats.org/officeDocument/2006/relationships/hyperlink" Target="https://www.google.com/url?sa=E&amp;q=https%3A%2F%2Fdoi.org%2F10.48161%2Fqaj.v6n1a2062" TargetMode="External"/><Relationship Id="rId27" Type="http://schemas.openxmlformats.org/officeDocument/2006/relationships/hyperlink" Target="https://www.google.com/url?sa=E&amp;q=https%3A%2F%2Fdoi.org%2F10.2478%2Fjec-2025-0016" TargetMode="External"/><Relationship Id="rId30" Type="http://schemas.openxmlformats.org/officeDocument/2006/relationships/hyperlink" Target="https://www.google.com/url?sa=E&amp;q=https%3A%2F%2Fdoi.org%2F10.1016%2FB978-0-08-097086-8.25009-5" TargetMode="External"/><Relationship Id="rId35" Type="http://schemas.openxmlformats.org/officeDocument/2006/relationships/hyperlink" Target="https://www.google.com/url?sa=E&amp;q=https%3A%2F%2Fdoi.org%2F10.1007%2Fs44217-025-00894-9" TargetMode="External"/><Relationship Id="rId43" Type="http://schemas.openxmlformats.org/officeDocument/2006/relationships/hyperlink" Target="https://www.google.com/url?sa=E&amp;q=https%3A%2F%2Fdoi.org%2F10.1109%2FICIET56899.2023.10111345" TargetMode="External"/><Relationship Id="rId48" Type="http://schemas.openxmlformats.org/officeDocument/2006/relationships/hyperlink" Target="https://www.google.com/url?sa=E&amp;q=https%3A%2F%2Fdoi.org%2F10.31893%2Fmultiscience.2026574" TargetMode="External"/><Relationship Id="rId56" Type="http://schemas.openxmlformats.org/officeDocument/2006/relationships/hyperlink" Target="https://www.google.com/url?sa=E&amp;q=https%3A%2F%2Fdoi.org%2F10.3389%2Ffpubh.2025.1626603" TargetMode="External"/><Relationship Id="rId8" Type="http://schemas.openxmlformats.org/officeDocument/2006/relationships/image" Target="media/image1.png"/><Relationship Id="rId51" Type="http://schemas.openxmlformats.org/officeDocument/2006/relationships/hyperlink" Target="https://www.google.com/url?sa=E&amp;q=https%3A%2F%2Fdoi.org%2F10.3389%2Ffeduc.2025.1691178" TargetMode="External"/><Relationship Id="rId3" Type="http://schemas.openxmlformats.org/officeDocument/2006/relationships/settings" Target="settings.xml"/><Relationship Id="rId12" Type="http://schemas.openxmlformats.org/officeDocument/2006/relationships/hyperlink" Target="https://www.google.com/url?sa=E&amp;q=https%3A%2F%2Fdoi.org%2F10.1007%2F978-3-319-99010-1_59" TargetMode="External"/><Relationship Id="rId17" Type="http://schemas.openxmlformats.org/officeDocument/2006/relationships/hyperlink" Target="https://www.google.com/url?sa=E&amp;q=https%3A%2F%2Fdoi.org%2F10.26803%2Fijlter.24.4.7" TargetMode="External"/><Relationship Id="rId25" Type="http://schemas.openxmlformats.org/officeDocument/2006/relationships/hyperlink" Target="https://www.google.com/url?sa=E&amp;q=https%3A%2F%2Fdoi.org%2F10.15722%2Fjds.20.06.202206.75" TargetMode="External"/><Relationship Id="rId33" Type="http://schemas.openxmlformats.org/officeDocument/2006/relationships/hyperlink" Target="https://www.google.com/url?sa=E&amp;q=https%3A%2F%2Fdoi.org%2F10.1016%2Fj.procs.2025.09.554" TargetMode="External"/><Relationship Id="rId38" Type="http://schemas.openxmlformats.org/officeDocument/2006/relationships/hyperlink" Target="https://www.google.com/url?sa=E&amp;q=https%3A%2F%2Fdoi.org%2F10.1177%2F87569728251362760" TargetMode="External"/><Relationship Id="rId46" Type="http://schemas.openxmlformats.org/officeDocument/2006/relationships/hyperlink" Target="https://www.google.com/url?sa=E&amp;q=https%3A%2F%2Fwww.scopus.com%2Fpages%2Fpublications%2F85091643573" TargetMode="External"/><Relationship Id="rId59" Type="http://schemas.openxmlformats.org/officeDocument/2006/relationships/fontTable" Target="fontTable.xml"/><Relationship Id="rId20" Type="http://schemas.openxmlformats.org/officeDocument/2006/relationships/hyperlink" Target="https://www.google.com/url?sa=E&amp;q=https%3A%2F%2Fdoi.org%2F10.3389%2Ffpsyg.2023.1147002" TargetMode="External"/><Relationship Id="rId41" Type="http://schemas.openxmlformats.org/officeDocument/2006/relationships/hyperlink" Target="https://www.google.com/url?sa=E&amp;q=https%3A%2F%2Fdoi.org%2F10.1016%2Fj.actpsy.2024.104602" TargetMode="External"/><Relationship Id="rId54" Type="http://schemas.openxmlformats.org/officeDocument/2006/relationships/hyperlink" Target="https://www.google.com/url?sa=E&amp;q=https%3A%2F%2Fdoi.org%2F10.1016%2Fj.techfore.2025.124405"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oogle.com/url?sa=E&amp;q=https%3A%2F%2Fdoi.org%2F10.1108%2FIMDS-10-2019-0529" TargetMode="External"/><Relationship Id="rId23" Type="http://schemas.openxmlformats.org/officeDocument/2006/relationships/hyperlink" Target="https://www.google.com/url?sa=E&amp;q=https%3A%2F%2Fdoi.org%2F10.1136%2Fbmjopen-2021-050049" TargetMode="External"/><Relationship Id="rId28" Type="http://schemas.openxmlformats.org/officeDocument/2006/relationships/hyperlink" Target="https://www.google.com/url?sa=E&amp;q=https%3A%2F%2Fdoi.org%2F10.4102%2Fsajim.v27i1.1959" TargetMode="External"/><Relationship Id="rId36" Type="http://schemas.openxmlformats.org/officeDocument/2006/relationships/hyperlink" Target="https://www.google.com/url?sa=E&amp;q=https%3A%2F%2Fdoi.org%2F10.5281%2Fzenodo.11322579" TargetMode="External"/><Relationship Id="rId49" Type="http://schemas.openxmlformats.org/officeDocument/2006/relationships/hyperlink" Target="https://www.google.com/url?sa=E&amp;q=https%3A%2F%2Fdoi.org%2F10.29007%2Fds3v" TargetMode="External"/><Relationship Id="rId57" Type="http://schemas.openxmlformats.org/officeDocument/2006/relationships/hyperlink" Target="https://www.google.com/url?sa=E&amp;q=https%3A%2F%2Fdoi.org%2F10.1177%2F21582440251378827" TargetMode="External"/><Relationship Id="rId10" Type="http://schemas.openxmlformats.org/officeDocument/2006/relationships/hyperlink" Target="https://www.google.com/url?sa=E&amp;q=https%3A%2F%2Fdoi.org%2F10.1080%2F14767724.2025.2520952" TargetMode="External"/><Relationship Id="rId31" Type="http://schemas.openxmlformats.org/officeDocument/2006/relationships/hyperlink" Target="https://www.google.com/url?sa=E&amp;q=https%3A%2F%2Fdoi.org%2F10.34105%2Fj.kmel.2023.15.016" TargetMode="External"/><Relationship Id="rId44" Type="http://schemas.openxmlformats.org/officeDocument/2006/relationships/hyperlink" Target="https://doi.org/10.1108/EJM-02-2019-0189" TargetMode="External"/><Relationship Id="rId52" Type="http://schemas.openxmlformats.org/officeDocument/2006/relationships/hyperlink" Target="https://www.google.com/url?sa=E&amp;q=https%3A%2F%2Fdoi.org%2F10.1108%2FEJM-02-2022-0137"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7830</Words>
  <Characters>44635</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 Salisu</dc:creator>
  <cp:keywords/>
  <dc:description/>
  <cp:lastModifiedBy>Bala Salisu</cp:lastModifiedBy>
  <cp:revision>4</cp:revision>
  <cp:lastPrinted>2026-06-09T09:15:00Z</cp:lastPrinted>
  <dcterms:created xsi:type="dcterms:W3CDTF">2026-06-20T17:32:00Z</dcterms:created>
  <dcterms:modified xsi:type="dcterms:W3CDTF">2026-06-20T17:43:00Z</dcterms:modified>
</cp:coreProperties>
</file>