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9483" w14:textId="77777777" w:rsidR="00773F2D" w:rsidRDefault="00773F2D" w:rsidP="00773F2D">
      <w:pPr>
        <w:jc w:val="center"/>
      </w:pPr>
      <w:r>
        <w:rPr>
          <w:noProof/>
        </w:rPr>
        <w:drawing>
          <wp:inline distT="0" distB="0" distL="0" distR="0" wp14:anchorId="049CF93B" wp14:editId="1511F32D">
            <wp:extent cx="2286000" cy="1091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6"/>
                    <a:stretch>
                      <a:fillRect/>
                    </a:stretch>
                  </pic:blipFill>
                  <pic:spPr>
                    <a:xfrm>
                      <a:off x="0" y="0"/>
                      <a:ext cx="2286000" cy="1091514"/>
                    </a:xfrm>
                    <a:prstGeom prst="rect">
                      <a:avLst/>
                    </a:prstGeom>
                  </pic:spPr>
                </pic:pic>
              </a:graphicData>
            </a:graphic>
          </wp:inline>
        </w:drawing>
      </w:r>
    </w:p>
    <w:p w14:paraId="60FE213B" w14:textId="77777777" w:rsidR="00773F2D" w:rsidRDefault="00773F2D" w:rsidP="00773F2D">
      <w:pPr>
        <w:jc w:val="center"/>
      </w:pPr>
      <w:r>
        <w:rPr>
          <w:b/>
        </w:rPr>
        <w:t>PAPER PUBLICATION ACCEPTANCE AND AGREEMENT</w:t>
      </w:r>
    </w:p>
    <w:p w14:paraId="104DC4C1" w14:textId="77777777" w:rsidR="00773F2D" w:rsidRDefault="00773F2D" w:rsidP="00773F2D">
      <w:pPr>
        <w:jc w:val="center"/>
      </w:pPr>
      <w:r>
        <w:t>UNIVERSITY OF MALAYA – WALES</w:t>
      </w:r>
    </w:p>
    <w:p w14:paraId="1281DE4F" w14:textId="77777777" w:rsidR="00773F2D" w:rsidRDefault="00773F2D" w:rsidP="00773F2D">
      <w:r>
        <w:br/>
      </w:r>
    </w:p>
    <w:p w14:paraId="3A484575" w14:textId="77777777" w:rsidR="00773F2D" w:rsidRDefault="00773F2D" w:rsidP="00773F2D">
      <w:r>
        <w:rPr>
          <w:b/>
        </w:rPr>
        <w:t>Staff Acceptance of Publication</w:t>
      </w:r>
      <w:r>
        <w:rPr>
          <w:b/>
        </w:rPr>
        <w:br/>
      </w:r>
      <w:r>
        <w:rPr>
          <w:b/>
        </w:rPr>
        <w:br/>
      </w:r>
      <w:r>
        <w:t>I, the undersigned staff, hereby confirm my acceptance of the publication of my academic paper in any journal, conference proceeding, institutional repository, or academic platform.</w:t>
      </w:r>
    </w:p>
    <w:p w14:paraId="1B3A2709" w14:textId="68E04A6B" w:rsidR="00773F2D" w:rsidRDefault="00773F2D" w:rsidP="00773F2D">
      <w:r>
        <w:br/>
        <w:t>I further declare that:</w:t>
      </w:r>
      <w:r>
        <w:br/>
        <w:t>1. The submitted paper is my original work and does not infringe any copyright or intellectual property rights.</w:t>
      </w:r>
      <w:r>
        <w:br/>
        <w:t>2. All sources of information have been properly cited and acknowledged.</w:t>
      </w:r>
      <w:r>
        <w:br/>
        <w:t>3. I grant the University the right to publish, reproduce, distribute, and archive the paper for academic and non-commercial purposes.</w:t>
      </w:r>
      <w:r>
        <w:br/>
        <w:t>4. I understand that the publication may be made available in print and electronic formats.</w:t>
      </w:r>
      <w:r>
        <w:br/>
        <w:t xml:space="preserve">5. </w:t>
      </w:r>
      <w:r w:rsidRPr="00814161">
        <w:t>An AI-generated application was used to develop this paper.</w:t>
      </w:r>
      <w:r>
        <w:br/>
      </w:r>
      <w:r>
        <w:br/>
      </w:r>
      <w:r w:rsidRPr="00044DC1">
        <w:t xml:space="preserve">I acknowledge and agree that I shall indemnify and hold harmless the </w:t>
      </w:r>
      <w:r>
        <w:br/>
      </w:r>
      <w:r w:rsidRPr="00044DC1">
        <w:t>University of Malaya – Wales from any claims or consequences arising from my failure to comply with the above declarations.</w:t>
      </w:r>
      <w:r>
        <w:br/>
      </w:r>
    </w:p>
    <w:tbl>
      <w:tblPr>
        <w:tblStyle w:val="TableGrid"/>
        <w:tblW w:w="8640" w:type="dxa"/>
        <w:tblLayout w:type="fixed"/>
        <w:tblLook w:val="04A0" w:firstRow="1" w:lastRow="0" w:firstColumn="1" w:lastColumn="0" w:noHBand="0" w:noVBand="1"/>
      </w:tblPr>
      <w:tblGrid>
        <w:gridCol w:w="2093"/>
        <w:gridCol w:w="6547"/>
      </w:tblGrid>
      <w:tr w:rsidR="00773F2D" w14:paraId="12AC1BBF" w14:textId="77777777" w:rsidTr="00252758">
        <w:tc>
          <w:tcPr>
            <w:tcW w:w="2093" w:type="dxa"/>
          </w:tcPr>
          <w:p w14:paraId="20F84FCD" w14:textId="16D5B272" w:rsidR="00773F2D" w:rsidRDefault="00773F2D" w:rsidP="00252758">
            <w:r>
              <w:t>Staff Name:</w:t>
            </w:r>
          </w:p>
        </w:tc>
        <w:tc>
          <w:tcPr>
            <w:tcW w:w="6547" w:type="dxa"/>
          </w:tcPr>
          <w:p w14:paraId="711A228B" w14:textId="0A394F48" w:rsidR="00773F2D" w:rsidRDefault="00773F2D" w:rsidP="00252758">
            <w:r>
              <w:t>Dr. Hajah Siti Aminah Binti Harun</w:t>
            </w:r>
          </w:p>
        </w:tc>
      </w:tr>
      <w:tr w:rsidR="00773F2D" w14:paraId="69ECE49C" w14:textId="77777777" w:rsidTr="00252758">
        <w:tc>
          <w:tcPr>
            <w:tcW w:w="2093" w:type="dxa"/>
          </w:tcPr>
          <w:p w14:paraId="6132D8CB" w14:textId="77777777" w:rsidR="00773F2D" w:rsidRDefault="00773F2D" w:rsidP="00252758">
            <w:r>
              <w:t>Signature &amp; Date:</w:t>
            </w:r>
          </w:p>
        </w:tc>
        <w:tc>
          <w:tcPr>
            <w:tcW w:w="6547" w:type="dxa"/>
          </w:tcPr>
          <w:p w14:paraId="76B3C72C" w14:textId="1EB0A63F" w:rsidR="00773F2D" w:rsidRPr="00C56C47" w:rsidRDefault="00C56C47" w:rsidP="00252758">
            <w:pPr>
              <w:rPr>
                <w:rFonts w:ascii="Arial" w:hAnsi="Arial" w:cs="Arial"/>
              </w:rPr>
            </w:pPr>
            <w:r w:rsidRPr="00C56C47">
              <w:rPr>
                <w:rFonts w:ascii="Kunstler Script" w:hAnsi="Kunstler Script"/>
                <w:b/>
                <w:bCs/>
                <w:i/>
                <w:iCs/>
              </w:rPr>
              <w:t>Aminah</w:t>
            </w:r>
            <w:r>
              <w:rPr>
                <w:rFonts w:ascii="Kunstler Script" w:hAnsi="Kunstler Script"/>
                <w:b/>
                <w:bCs/>
                <w:i/>
                <w:iCs/>
              </w:rPr>
              <w:t xml:space="preserve">   </w:t>
            </w:r>
            <w:r>
              <w:rPr>
                <w:rFonts w:ascii="Arial" w:hAnsi="Arial" w:cs="Arial"/>
              </w:rPr>
              <w:t xml:space="preserve">   </w:t>
            </w:r>
            <w:r w:rsidRPr="00C56C47">
              <w:rPr>
                <w:rFonts w:ascii="Arial" w:hAnsi="Arial" w:cs="Arial"/>
                <w:sz w:val="20"/>
                <w:szCs w:val="18"/>
              </w:rPr>
              <w:t>15052026</w:t>
            </w:r>
          </w:p>
        </w:tc>
      </w:tr>
    </w:tbl>
    <w:p w14:paraId="400B17CD" w14:textId="77777777" w:rsidR="00773F2D" w:rsidRDefault="00773F2D" w:rsidP="00773F2D"/>
    <w:p w14:paraId="622837E2" w14:textId="77777777" w:rsidR="00773F2D" w:rsidRDefault="00773F2D" w:rsidP="00773F2D"/>
    <w:p w14:paraId="3A6400F7" w14:textId="77777777" w:rsidR="00773F2D" w:rsidRDefault="00773F2D" w:rsidP="00773F2D"/>
    <w:p w14:paraId="38C9A78A" w14:textId="02963499" w:rsidR="00B06545" w:rsidRDefault="007D2AA8" w:rsidP="00B06545">
      <w:pPr>
        <w:spacing w:after="0"/>
        <w:ind w:right="-7"/>
        <w:jc w:val="center"/>
        <w:rPr>
          <w:rFonts w:eastAsia="Calibri" w:cs="Times New Roman"/>
          <w:b/>
          <w:szCs w:val="24"/>
        </w:rPr>
      </w:pPr>
      <w:r w:rsidRPr="007D2AA8">
        <w:rPr>
          <w:rFonts w:eastAsia="Calibri" w:cs="Times New Roman"/>
          <w:b/>
          <w:szCs w:val="24"/>
        </w:rPr>
        <w:lastRenderedPageBreak/>
        <w:t>Understanding AI Mediator Adoption Among Young Adult Learners: The Mediating Role of Organizational Complexity and Synchronous Expert Guidance in East Coast and Southern Malaysia</w:t>
      </w:r>
    </w:p>
    <w:p w14:paraId="734CC0D3" w14:textId="77777777" w:rsidR="007D2AA8" w:rsidRPr="006472ED" w:rsidRDefault="007D2AA8" w:rsidP="00B06545">
      <w:pPr>
        <w:spacing w:after="0"/>
        <w:ind w:right="-7"/>
        <w:jc w:val="center"/>
        <w:rPr>
          <w:rFonts w:eastAsia="Calibri" w:cs="Times New Roman"/>
          <w:b/>
          <w:szCs w:val="24"/>
        </w:rPr>
      </w:pPr>
    </w:p>
    <w:p w14:paraId="2B2D2F14" w14:textId="29B63069" w:rsidR="00B06545" w:rsidRPr="006472ED" w:rsidRDefault="00B06545" w:rsidP="00B06545">
      <w:pPr>
        <w:spacing w:after="0"/>
        <w:ind w:right="-7"/>
        <w:jc w:val="center"/>
        <w:rPr>
          <w:rFonts w:eastAsia="Calibri" w:cs="Times New Roman"/>
          <w:bCs/>
          <w:szCs w:val="24"/>
          <w:vertAlign w:val="superscript"/>
        </w:rPr>
      </w:pPr>
      <w:r w:rsidRPr="006472ED">
        <w:rPr>
          <w:rFonts w:eastAsia="Calibri" w:cs="Times New Roman"/>
          <w:bCs/>
          <w:szCs w:val="24"/>
        </w:rPr>
        <w:t/>
      </w:r>
      <w:r w:rsidR="00762B7D">
        <w:rPr>
          <w:rFonts w:eastAsia="Calibri" w:cs="Times New Roman"/>
          <w:bCs/>
          <w:szCs w:val="24"/>
          <w:vertAlign w:val="superscript"/>
        </w:rPr>
        <w:t/>
      </w:r>
      <w:r w:rsidRPr="006472ED">
        <w:rPr>
          <w:rFonts w:eastAsia="Calibri" w:cs="Times New Roman"/>
          <w:bCs/>
          <w:szCs w:val="24"/>
        </w:rPr>
        <w:t xml:space="preserve"/>
      </w:r>
      <w:r w:rsidR="007D2AA8" w:rsidRPr="006472ED">
        <w:rPr>
          <w:rFonts w:eastAsia="Calibri" w:cs="Times New Roman"/>
          <w:bCs/>
          <w:szCs w:val="24"/>
        </w:rPr>
        <w:t/>
      </w:r>
      <w:r w:rsidR="007D2AA8">
        <w:rPr>
          <w:rFonts w:eastAsia="Calibri" w:cs="Times New Roman"/>
          <w:bCs/>
          <w:szCs w:val="24"/>
          <w:vertAlign w:val="superscript"/>
        </w:rPr>
        <w:t/>
      </w:r>
      <w:r w:rsidR="007D2AA8" w:rsidRPr="006472ED">
        <w:rPr>
          <w:rFonts w:eastAsia="Calibri" w:cs="Times New Roman"/>
          <w:bCs/>
          <w:szCs w:val="24"/>
        </w:rPr>
        <w:t xml:space="preserve"/>
      </w:r>
      <w:r w:rsidRPr="006472ED">
        <w:rPr>
          <w:rFonts w:eastAsia="Calibri" w:cs="Times New Roman"/>
          <w:bCs/>
          <w:szCs w:val="24"/>
        </w:rPr>
        <w:t/>
      </w:r>
      <w:r w:rsidR="00762B7D">
        <w:rPr>
          <w:rFonts w:eastAsia="Calibri" w:cs="Times New Roman"/>
          <w:bCs/>
          <w:szCs w:val="24"/>
          <w:vertAlign w:val="superscript"/>
        </w:rPr>
        <w:t/>
      </w:r>
      <w:r w:rsidRPr="006472ED">
        <w:rPr>
          <w:rFonts w:eastAsia="Calibri" w:cs="Times New Roman"/>
          <w:bCs/>
          <w:szCs w:val="24"/>
        </w:rPr>
        <w:t xml:space="preserve"/>
      </w:r>
      <w:r w:rsidR="007D2AA8">
        <w:rPr>
          <w:rFonts w:eastAsia="Calibri" w:cs="Times New Roman"/>
          <w:bCs/>
          <w:szCs w:val="24"/>
        </w:rPr>
        <w:t/>
      </w:r>
      <w:r w:rsidRPr="006472ED">
        <w:rPr>
          <w:rFonts w:eastAsia="Calibri" w:cs="Times New Roman"/>
          <w:bCs/>
          <w:szCs w:val="24"/>
          <w:vertAlign w:val="superscript"/>
        </w:rPr>
        <w:t/>
      </w:r>
      <w:r w:rsidR="00DA2138" w:rsidRPr="002B0DA9">
        <w:rPr>
          <w:rFonts w:eastAsia="Calibri" w:cs="Times New Roman"/>
          <w:b/>
          <w:szCs w:val="24"/>
          <w:vertAlign w:val="superscript"/>
        </w:rPr>
        <w:t/>
      </w:r>
    </w:p>
    <w:p w14:paraId="7F73D2DA" w14:textId="77777777" w:rsidR="00B06545" w:rsidRPr="006472ED" w:rsidRDefault="00B06545" w:rsidP="00B06545">
      <w:pPr>
        <w:spacing w:after="0"/>
        <w:ind w:right="-7"/>
        <w:jc w:val="center"/>
        <w:rPr>
          <w:rFonts w:eastAsia="Calibri" w:cs="Times New Roman"/>
          <w:bCs/>
          <w:szCs w:val="24"/>
          <w:vertAlign w:val="superscript"/>
        </w:rPr>
      </w:pPr>
    </w:p>
    <w:p w14:paraId="23173550" w14:textId="77777777" w:rsidR="007D2AA8" w:rsidRDefault="007D2AA8" w:rsidP="007D2AA8">
      <w:pPr>
        <w:spacing w:after="0"/>
        <w:ind w:right="-7"/>
        <w:jc w:val="center"/>
        <w:rPr>
          <w:rFonts w:eastAsia="Calibri" w:cs="Times New Roman"/>
          <w:szCs w:val="24"/>
        </w:rPr>
      </w:pPr>
      <w:r>
        <w:rPr>
          <w:rFonts w:eastAsia="Calibri" w:cs="Times New Roman"/>
          <w:szCs w:val="24"/>
          <w:vertAlign w:val="superscript"/>
        </w:rPr>
        <w:t/>
      </w:r>
      <w:r w:rsidR="00B06545" w:rsidRPr="006472ED">
        <w:rPr>
          <w:rFonts w:eastAsia="Calibri" w:cs="Times New Roman"/>
          <w:szCs w:val="24"/>
        </w:rPr>
        <w:t/>
      </w:r>
    </w:p>
    <w:p w14:paraId="52BA9B72" w14:textId="6CAE249F" w:rsidR="007D2AA8" w:rsidRPr="006472ED" w:rsidRDefault="007D2AA8" w:rsidP="007D2AA8">
      <w:pPr>
        <w:spacing w:after="0"/>
        <w:ind w:right="-7"/>
        <w:jc w:val="center"/>
        <w:rPr>
          <w:rFonts w:eastAsia="Calibri" w:cs="Times New Roman"/>
          <w:bCs/>
          <w:szCs w:val="24"/>
        </w:rPr>
      </w:pPr>
      <w:r>
        <w:rPr>
          <w:rFonts w:eastAsia="Calibri" w:cs="Times New Roman"/>
          <w:szCs w:val="24"/>
          <w:vertAlign w:val="superscript"/>
        </w:rPr>
        <w:t/>
      </w:r>
      <w:r w:rsidRPr="006472ED">
        <w:rPr>
          <w:rFonts w:eastAsia="Calibri" w:cs="Times New Roman"/>
          <w:szCs w:val="24"/>
        </w:rPr>
        <w:t/>
      </w:r>
    </w:p>
    <w:p w14:paraId="18AEBA7A" w14:textId="05CC4ED6" w:rsidR="00DA2138" w:rsidRPr="006472ED" w:rsidRDefault="00B06545" w:rsidP="00DA2138">
      <w:pPr>
        <w:spacing w:after="0"/>
        <w:ind w:right="-7"/>
        <w:jc w:val="center"/>
        <w:rPr>
          <w:rFonts w:eastAsia="Calibri" w:cs="Times New Roman"/>
          <w:bCs/>
          <w:szCs w:val="24"/>
        </w:rPr>
      </w:pPr>
      <w:r w:rsidRPr="006472ED">
        <w:rPr>
          <w:rFonts w:cs="Times New Roman"/>
          <w:szCs w:val="24"/>
          <w:vertAlign w:val="superscript"/>
          <w:lang w:eastAsia="en-GB"/>
        </w:rPr>
        <w:t/>
      </w:r>
      <w:r w:rsidRPr="006472ED">
        <w:rPr>
          <w:rFonts w:eastAsia="Calibri" w:cs="Times New Roman"/>
          <w:szCs w:val="24"/>
        </w:rPr>
        <w:t/>
      </w:r>
      <w:r w:rsidR="00DA2138">
        <w:rPr>
          <w:rFonts w:eastAsia="Calibri" w:cs="Times New Roman"/>
          <w:szCs w:val="24"/>
        </w:rPr>
        <w:t xml:space="preserve"/>
      </w:r>
      <w:r w:rsidR="00DA2138">
        <w:rPr>
          <w:rFonts w:cs="Times New Roman"/>
          <w:szCs w:val="24"/>
          <w:vertAlign w:val="superscript"/>
          <w:lang w:eastAsia="en-GB"/>
        </w:rPr>
        <w:t/>
      </w:r>
      <w:r w:rsidR="00DA2138" w:rsidRPr="006472ED">
        <w:rPr>
          <w:rFonts w:eastAsia="Calibri" w:cs="Times New Roman"/>
          <w:szCs w:val="24"/>
        </w:rPr>
        <w:t xml:space="preserve"/>
      </w:r>
      <w:r w:rsidR="00DA2138">
        <w:rPr>
          <w:rFonts w:eastAsia="Calibri" w:cs="Times New Roman"/>
          <w:szCs w:val="24"/>
        </w:rPr>
        <w:t xml:space="preserve"/>
      </w:r>
      <w:r w:rsidR="00DA2138">
        <w:rPr>
          <w:rFonts w:eastAsia="Calibri" w:cs="Times New Roman"/>
          <w:szCs w:val="24"/>
        </w:rPr>
        <w:br/>
        <w:t/>
      </w:r>
    </w:p>
    <w:p w14:paraId="1F61D449" w14:textId="0234A999" w:rsidR="00B06545" w:rsidRPr="006472ED" w:rsidRDefault="00B06545" w:rsidP="00B06545">
      <w:pPr>
        <w:spacing w:after="0"/>
        <w:ind w:right="-7"/>
        <w:jc w:val="center"/>
        <w:rPr>
          <w:rFonts w:eastAsia="Calibri" w:cs="Times New Roman"/>
          <w:bCs/>
          <w:szCs w:val="24"/>
        </w:rPr>
      </w:pPr>
    </w:p>
    <w:p w14:paraId="2CF86713" w14:textId="77777777" w:rsidR="007D2AA8" w:rsidRDefault="007D2AA8" w:rsidP="007D2AA8"/>
    <w:p w14:paraId="34A8719E" w14:textId="77777777" w:rsidR="007D2AA8" w:rsidRDefault="007D2AA8" w:rsidP="007D2AA8">
      <w:pPr>
        <w:spacing w:after="0"/>
        <w:ind w:right="-7"/>
        <w:jc w:val="center"/>
        <w:rPr>
          <w:rFonts w:cs="Times New Roman"/>
          <w:b/>
          <w:bCs/>
          <w:szCs w:val="24"/>
        </w:rPr>
      </w:pPr>
      <w:r w:rsidRPr="006472ED">
        <w:rPr>
          <w:rFonts w:cs="Times New Roman"/>
          <w:b/>
          <w:bCs/>
          <w:szCs w:val="24"/>
        </w:rPr>
        <w:t>Abstract</w:t>
      </w:r>
    </w:p>
    <w:p w14:paraId="64BCA938" w14:textId="77777777" w:rsidR="007D2AA8" w:rsidRPr="006472ED" w:rsidRDefault="007D2AA8" w:rsidP="007D2AA8">
      <w:pPr>
        <w:spacing w:after="0"/>
        <w:ind w:right="-7"/>
        <w:jc w:val="center"/>
        <w:rPr>
          <w:rFonts w:cs="Times New Roman"/>
          <w:b/>
          <w:bCs/>
          <w:szCs w:val="24"/>
        </w:rPr>
      </w:pPr>
    </w:p>
    <w:p w14:paraId="0A400FF9" w14:textId="50A6E2F2" w:rsidR="007D2AA8" w:rsidRPr="007D2AA8" w:rsidRDefault="007D2AA8" w:rsidP="00332885">
      <w:pPr>
        <w:jc w:val="both"/>
      </w:pPr>
      <w:r w:rsidRPr="007D2AA8">
        <w:t xml:space="preserve">This </w:t>
      </w:r>
      <w:r w:rsidR="000673F0">
        <w:t xml:space="preserve">pilot </w:t>
      </w:r>
      <w:r w:rsidRPr="007D2AA8">
        <w:t>study examines the intention to use AI mediators among young adult learners, focusing on the mediating roles of organizational complexity and synchronous expert guidance within an extended Theory of Planned Behavior framework. Data were collected from learners in East Coast and Southern Malaysia and analyzed using Partial Least Squares Structural Equation Modeling (PLS-SEM).</w:t>
      </w:r>
    </w:p>
    <w:p w14:paraId="73882556" w14:textId="0BB64B14" w:rsidR="007D2AA8" w:rsidRPr="007D2AA8" w:rsidRDefault="00332885" w:rsidP="00332885">
      <w:pPr>
        <w:jc w:val="both"/>
      </w:pPr>
      <w:r w:rsidRPr="00332885">
        <w:t>As a pilot investigation, the study emphasizes mediation analysis to explore the underlying mechanisms prior to full-scale model validation.</w:t>
      </w:r>
      <w:r>
        <w:t xml:space="preserve"> </w:t>
      </w:r>
      <w:r w:rsidRPr="00332885">
        <w:t>This pilot study primarily examines mediation analysis as a preliminary assessment of the model.</w:t>
      </w:r>
      <w:r>
        <w:t xml:space="preserve"> </w:t>
      </w:r>
      <w:r w:rsidR="007D2AA8" w:rsidRPr="007D2AA8">
        <w:t xml:space="preserve">The </w:t>
      </w:r>
      <w:r w:rsidR="000673F0">
        <w:t xml:space="preserve">pilot </w:t>
      </w:r>
      <w:r w:rsidR="007D2AA8" w:rsidRPr="007D2AA8">
        <w:t>findings demonstrate strong explanatory power (R² = 0.863), indicating that the proposed model effectively predicts intention to adopt AI mediators. Organizational complexity emerges as the most influential factor, exerting both a strong direct effect and a substantial mediating role, particularly in transmitting the influence of subjective norms and attitudes. Synchronous expert guidance also contributes positively, though with a comparatively smaller mediating effect, primarily supporting perceived behavioral control.</w:t>
      </w:r>
      <w:r w:rsidR="00762B7D">
        <w:t xml:space="preserve"> </w:t>
      </w:r>
      <w:r w:rsidR="00762B7D" w:rsidRPr="00762B7D">
        <w:t xml:space="preserve">Effect size analysis confirms that organizational complexity exerts an exceptionally large influence (f² = 1.634), whereas synchronous expert guidance contributes a smaller yet meaningful effect (f² = 0.098). </w:t>
      </w:r>
      <w:r w:rsidR="007D2AA8" w:rsidRPr="007D2AA8">
        <w:t>Regional comparison suggests greater reliance on institutional structures in the East Coast and stronger dependence on expert-guided support in Southern Malaysia. The study underscores the importance of organizational readiness in enhancing AI adoption in education.</w:t>
      </w:r>
    </w:p>
    <w:p w14:paraId="421A22EE" w14:textId="77777777" w:rsidR="007D2AA8" w:rsidRPr="007D2AA8" w:rsidRDefault="007D2AA8" w:rsidP="00EC2EE5">
      <w:pPr>
        <w:jc w:val="center"/>
        <w:rPr>
          <w:b/>
          <w:bCs/>
        </w:rPr>
      </w:pPr>
      <w:r w:rsidRPr="007D2AA8">
        <w:rPr>
          <w:b/>
          <w:bCs/>
        </w:rPr>
        <w:t>Introduction</w:t>
      </w:r>
    </w:p>
    <w:p w14:paraId="7E1A035D" w14:textId="5FDEE3AF" w:rsidR="00E66395" w:rsidRDefault="00E66395" w:rsidP="00DA2138">
      <w:pPr>
        <w:jc w:val="both"/>
      </w:pPr>
      <w:r>
        <w:t xml:space="preserve">The rapid evolution of artificial intelligence (AI) technologies has significantly transformed contemporary educational practices, particularly through the integration of intelligent systems that </w:t>
      </w:r>
      <w:r>
        <w:lastRenderedPageBreak/>
        <w:t xml:space="preserve">facilitate personalized and adaptive learning. Among these advancements, AI mediators like intelligent platforms designed to guide learners through interactive and context-aware support. These systems provide real-time assistance, feedback, and scaffolding, thereby enhancing learners’ engagement and autonomy. Despite these advantages, the adoption of AI mediators is not uniform, particularly among young adult learners whose acceptance is shaped by a </w:t>
      </w:r>
      <w:r w:rsidRPr="00EB4D59">
        <w:t>complex interplay of psychological, technological, and institutional factors (</w:t>
      </w:r>
      <w:r w:rsidR="00773F2D" w:rsidRPr="00EB4D59">
        <w:t xml:space="preserve">ul Haq et al., 2026; </w:t>
      </w:r>
      <w:r w:rsidRPr="00EB4D59">
        <w:t>Venkatesh et al., 2012).</w:t>
      </w:r>
    </w:p>
    <w:p w14:paraId="470003D7" w14:textId="42A429A6" w:rsidR="00E66395" w:rsidRDefault="00E66395" w:rsidP="00DA2138">
      <w:pPr>
        <w:jc w:val="both"/>
      </w:pPr>
      <w:r>
        <w:t>The Theory of Planned Behavior (TPB) serves as a foundational framework for understanding individuals’ intention to adopt new technologies. According to TPB, behavioral intention is influenced by attitude, subjective norm, and perceived behavioral control (Ajzen, 1991). In the context of AI-mediated learning, attitude reflects learners’ evaluation of AI usefulness, subjective norm involves peer and institutional influence, and perceived behavioral control relates to learners’ confidence in using such systems. While TPB has been widely applied in technology adoption research, recent studies suggest that its predictive power can be enhanced by incorporating contextual and environmental variables (</w:t>
      </w:r>
      <w:r w:rsidR="00773F2D">
        <w:t xml:space="preserve">Avci, 2026; </w:t>
      </w:r>
      <w:proofErr w:type="spellStart"/>
      <w:r w:rsidRPr="00EB4D59">
        <w:t>Tarhini</w:t>
      </w:r>
      <w:proofErr w:type="spellEnd"/>
      <w:r w:rsidRPr="00EB4D59">
        <w:t xml:space="preserve"> et al., 2015).</w:t>
      </w:r>
    </w:p>
    <w:p w14:paraId="66A02F16" w14:textId="6B237158" w:rsidR="00E66395" w:rsidRDefault="00E66395" w:rsidP="00DA2138">
      <w:pPr>
        <w:jc w:val="both"/>
      </w:pPr>
      <w:r>
        <w:t>In educational settings, particularly those involving AI systems, organizational structures play a pivotal role in shaping user behavior. Organizational complexity (OC), defined as the level of institutional structure, policy integration, and technological infrastructure, represents a critical factor influencing technology adoption. Institutions that provide clear guidelines, robust infrastructure, and seamless integration of AI tools are more likely to encourage usage among students. The findings of this study indicate that organizational complexity exerts the strongest influence on intention, suggesting that institutional readiness is a key determinant of AI mediator adoption (</w:t>
      </w:r>
      <w:r w:rsidR="00773F2D">
        <w:t xml:space="preserve">Obeng et al., 2026; </w:t>
      </w:r>
      <w:r>
        <w:t>Teo</w:t>
      </w:r>
      <w:r w:rsidRPr="00EB4D59">
        <w:t>, 2011).</w:t>
      </w:r>
    </w:p>
    <w:p w14:paraId="7C333AA3" w14:textId="1F18B7C9" w:rsidR="00E66395" w:rsidRDefault="00E66395" w:rsidP="00DA2138">
      <w:pPr>
        <w:jc w:val="both"/>
      </w:pPr>
      <w:r>
        <w:t>Beyond organizational factors, external facilitation mechanisms are also critical in enabling effective technology use. Synchronous expert guidance (EXT), which refers to real-time support provided by instructors or experts, represents an important dimension of the learning experience. Such guidance helps learners navigate complex systems, reduces uncertainty, and enhances perceived competence. Prior research highlights that facilitating conditions and expert support significantly influence behavioral intention, particularly in digital learning environments where users may require continuous assistance (</w:t>
      </w:r>
      <w:r w:rsidR="00725401">
        <w:t xml:space="preserve">Hasan et al., 2025; </w:t>
      </w:r>
      <w:r w:rsidRPr="00EB4D59">
        <w:t>Venkatesh et al., 2003).</w:t>
      </w:r>
    </w:p>
    <w:p w14:paraId="65C2F087" w14:textId="02924DCD" w:rsidR="000673F0" w:rsidRPr="006472ED" w:rsidRDefault="000673F0" w:rsidP="000673F0">
      <w:pPr>
        <w:spacing w:after="0"/>
        <w:ind w:right="-7"/>
        <w:jc w:val="center"/>
        <w:rPr>
          <w:rFonts w:cs="Times New Roman"/>
          <w:b/>
          <w:bCs/>
          <w:szCs w:val="24"/>
        </w:rPr>
      </w:pPr>
      <w:r>
        <w:rPr>
          <w:rFonts w:cs="Times New Roman"/>
          <w:b/>
          <w:bCs/>
          <w:szCs w:val="24"/>
        </w:rPr>
        <w:br/>
      </w:r>
      <w:r w:rsidRPr="006472ED">
        <w:rPr>
          <w:rFonts w:cs="Times New Roman"/>
          <w:b/>
          <w:bCs/>
          <w:szCs w:val="24"/>
        </w:rPr>
        <w:t>Hypothesis Development</w:t>
      </w:r>
    </w:p>
    <w:p w14:paraId="4FC7ED98" w14:textId="704BD8A4" w:rsidR="000673F0" w:rsidRDefault="000673F0" w:rsidP="00DA2138">
      <w:pPr>
        <w:jc w:val="both"/>
      </w:pPr>
      <w:r>
        <w:br/>
        <w:t xml:space="preserve">The Theory of Planned Behavior (TPB) provides a well-established framework for explaining behavioral intention, positing that attitude, subjective norm, and perceived behavioral control are key predictors of individuals’ decision-making processes (Ajzen, 1991). In the context of AI-mediated learning, attitude reflects learners’ positive or negative evaluations toward the use of AI mediators. Prior studies have shown that favorable attitudes significantly enhance the likelihood of adopting new technologies in educational settings (Venkatesh et al., 2003). Based on these </w:t>
      </w:r>
      <w:r>
        <w:lastRenderedPageBreak/>
        <w:t>arguments, it is expected that learners with more positive attitudes toward AI mediators will demonstrate stronger intention to use such systems.</w:t>
      </w:r>
    </w:p>
    <w:p w14:paraId="7F031DFB" w14:textId="77777777" w:rsidR="000673F0" w:rsidRPr="000673F0" w:rsidRDefault="000673F0" w:rsidP="000673F0">
      <w:pPr>
        <w:rPr>
          <w:b/>
          <w:bCs/>
        </w:rPr>
      </w:pPr>
      <w:r w:rsidRPr="000673F0">
        <w:rPr>
          <w:b/>
          <w:bCs/>
        </w:rPr>
        <w:t>H1: Attitude positively influences intention to use AI mediators.</w:t>
      </w:r>
    </w:p>
    <w:p w14:paraId="4A497465" w14:textId="77777777" w:rsidR="000673F0" w:rsidRDefault="000673F0" w:rsidP="000673F0"/>
    <w:p w14:paraId="43F2CE23" w14:textId="67406AFD" w:rsidR="000673F0" w:rsidRDefault="000673F0" w:rsidP="00DA2138">
      <w:pPr>
        <w:jc w:val="both"/>
      </w:pPr>
      <w:r>
        <w:t>Perceived behavioral control (PBC) refers to an individual’s perception of their ability to perform a given behavior, including access to resources and skills required to adopt technology. In digital learning environments, PBC is closely associated with learners’ confidence in using AI tools effectively (</w:t>
      </w:r>
      <w:proofErr w:type="spellStart"/>
      <w:r w:rsidR="00725401" w:rsidRPr="00725401">
        <w:t>Vistari</w:t>
      </w:r>
      <w:proofErr w:type="spellEnd"/>
      <w:r w:rsidR="00725401">
        <w:t xml:space="preserve"> </w:t>
      </w:r>
      <w:r w:rsidR="00725401" w:rsidRPr="00725401">
        <w:t xml:space="preserve">&amp; </w:t>
      </w:r>
      <w:proofErr w:type="spellStart"/>
      <w:r w:rsidR="00725401" w:rsidRPr="00725401">
        <w:t>Yuliasri</w:t>
      </w:r>
      <w:proofErr w:type="spellEnd"/>
      <w:r w:rsidR="00725401">
        <w:t xml:space="preserve">, 2026; </w:t>
      </w:r>
      <w:r>
        <w:t>Ajzen, 1991). Empirical evidence suggests that individuals who perceive greater control over technology usage are more likely to exhibit stronger behavioral intention (</w:t>
      </w:r>
      <w:r w:rsidR="00725401">
        <w:t xml:space="preserve">Hou et al., 2026; </w:t>
      </w:r>
      <w:r w:rsidRPr="00EB4D59">
        <w:t>Pa</w:t>
      </w:r>
      <w:r>
        <w:t xml:space="preserve">vlou &amp; </w:t>
      </w:r>
      <w:proofErr w:type="spellStart"/>
      <w:r>
        <w:t>Fygenson</w:t>
      </w:r>
      <w:proofErr w:type="spellEnd"/>
      <w:r>
        <w:t>, 2006). Therefore, PBC is hypothesized to positively influence intention to use AI mediators.</w:t>
      </w:r>
    </w:p>
    <w:p w14:paraId="479BFB2F" w14:textId="77777777" w:rsidR="000673F0" w:rsidRPr="000673F0" w:rsidRDefault="000673F0" w:rsidP="000673F0">
      <w:pPr>
        <w:rPr>
          <w:b/>
          <w:bCs/>
        </w:rPr>
      </w:pPr>
      <w:r w:rsidRPr="000673F0">
        <w:rPr>
          <w:b/>
          <w:bCs/>
        </w:rPr>
        <w:t>H2: Perceived behavioral control positively influences intention.</w:t>
      </w:r>
    </w:p>
    <w:p w14:paraId="54DB0076" w14:textId="659AED3B" w:rsidR="000673F0" w:rsidRDefault="000673F0" w:rsidP="00DA2138">
      <w:pPr>
        <w:jc w:val="both"/>
      </w:pPr>
      <w:r>
        <w:t>Subjective norm (SN), defined as perceived social pressure to engage in a behavior, is another critical determinant of intention within TPB (Ajzen, 1991). In educational contexts, peers, instructors, and institutional expectations may shape learners’ decisions to adopt AI systems. Research indicates that social influence significantly affects technology acceptance, particularly in collectivist societies where group norms play an important role (</w:t>
      </w:r>
      <w:r w:rsidR="00F130F4">
        <w:t xml:space="preserve">Xue et al., 2026; </w:t>
      </w:r>
      <w:proofErr w:type="spellStart"/>
      <w:r>
        <w:t>Tarhini</w:t>
      </w:r>
      <w:proofErr w:type="spellEnd"/>
      <w:r>
        <w:t xml:space="preserve"> et al., 2015; Venkatesh et al., 2003). Consequently, learners who perceive stronger social endorsement of AI mediators are more likely to adopt them.</w:t>
      </w:r>
    </w:p>
    <w:p w14:paraId="3BD77143" w14:textId="77777777" w:rsidR="000673F0" w:rsidRPr="000673F0" w:rsidRDefault="000673F0" w:rsidP="000673F0">
      <w:pPr>
        <w:rPr>
          <w:b/>
          <w:bCs/>
        </w:rPr>
      </w:pPr>
      <w:r w:rsidRPr="000673F0">
        <w:rPr>
          <w:b/>
          <w:bCs/>
        </w:rPr>
        <w:t>H3: Subjective norm positively influences intention.</w:t>
      </w:r>
    </w:p>
    <w:p w14:paraId="70AD9059" w14:textId="26EE29ED" w:rsidR="000673F0" w:rsidRDefault="000673F0" w:rsidP="00DA2138">
      <w:pPr>
        <w:jc w:val="both"/>
      </w:pPr>
      <w:r w:rsidRPr="00EB4D59">
        <w:t>While the traditional TPB framework emphasizes individual-level factors, recent studies highlight the importance of organizational context in shaping behavioral outcomes (</w:t>
      </w:r>
      <w:proofErr w:type="spellStart"/>
      <w:r w:rsidR="006A098D" w:rsidRPr="00EB4D59">
        <w:t>Koltsida</w:t>
      </w:r>
      <w:proofErr w:type="spellEnd"/>
      <w:r w:rsidR="006A098D" w:rsidRPr="00EB4D59">
        <w:t xml:space="preserve"> et al., 2026; Aziz et al., 2025; </w:t>
      </w:r>
      <w:r w:rsidRPr="00EB4D59">
        <w:t>Teo, 2011). In this study, organizational complexity (OC) is introduced as a mediator capturing institutional structures, policies, and technological infrastructure that facilitate AI adoption. The present findings demonstrate that OC exerts a strong direct effect on intention, suggesting that institutional support systems significantly influence technology usage behavior. Thus, it is hypothesized that OC mediates the relationship between TPB variables and intention.</w:t>
      </w:r>
    </w:p>
    <w:p w14:paraId="339D2EB1" w14:textId="394B0435" w:rsidR="000673F0" w:rsidRPr="000673F0" w:rsidRDefault="000673F0" w:rsidP="000673F0">
      <w:pPr>
        <w:rPr>
          <w:b/>
          <w:bCs/>
        </w:rPr>
      </w:pPr>
      <w:r w:rsidRPr="000673F0">
        <w:rPr>
          <w:b/>
          <w:bCs/>
        </w:rPr>
        <w:t xml:space="preserve">H4: Organizational complexity mediates the relationship between TPB variables and </w:t>
      </w:r>
      <w:r>
        <w:rPr>
          <w:b/>
          <w:bCs/>
        </w:rPr>
        <w:br/>
        <w:t xml:space="preserve">        </w:t>
      </w:r>
      <w:r w:rsidRPr="000673F0">
        <w:rPr>
          <w:b/>
          <w:bCs/>
        </w:rPr>
        <w:t>intention.</w:t>
      </w:r>
    </w:p>
    <w:p w14:paraId="4D878C3C" w14:textId="77777777" w:rsidR="000673F0" w:rsidRDefault="000673F0" w:rsidP="00DA2138">
      <w:pPr>
        <w:jc w:val="both"/>
      </w:pPr>
      <w:r>
        <w:t>Specifically, attitude is expected to influence intention indirectly through organizational complexity. When learners hold positive attitudes toward AI mediators, they are more likely to engage with institutional structures that support such technologies. These structures, in turn, reinforce behavioral intention by providing necessary resources and integration mechanisms (Sun et al., 2009). Therefore, organizational complexity strengthens the translation of individual attitudes into actual intention.</w:t>
      </w:r>
    </w:p>
    <w:p w14:paraId="641BB4D5" w14:textId="7626F15F" w:rsidR="000673F0" w:rsidRDefault="000673F0" w:rsidP="00DA2138">
      <w:pPr>
        <w:jc w:val="both"/>
      </w:pPr>
      <w:r>
        <w:lastRenderedPageBreak/>
        <w:t>Similarly, subjective norms are hypothesized to exert an indirect effect on intention through organizational complexity. Social expectations often become embedded within institutional practices, policies, and norms, thereby influencing learners’ behavior at a structural level (</w:t>
      </w:r>
      <w:proofErr w:type="spellStart"/>
      <w:r w:rsidR="006A098D" w:rsidRPr="006A098D">
        <w:t>Salendab</w:t>
      </w:r>
      <w:proofErr w:type="spellEnd"/>
      <w:r w:rsidR="006A098D">
        <w:t xml:space="preserve"> </w:t>
      </w:r>
      <w:r w:rsidR="006A098D" w:rsidRPr="006A098D">
        <w:t xml:space="preserve">&amp; </w:t>
      </w:r>
      <w:proofErr w:type="spellStart"/>
      <w:r w:rsidR="006A098D" w:rsidRPr="006A098D">
        <w:t>Almano</w:t>
      </w:r>
      <w:proofErr w:type="spellEnd"/>
      <w:r w:rsidR="006A098D">
        <w:t xml:space="preserve">, 2026; </w:t>
      </w:r>
      <w:r>
        <w:t>Scott, 2008). The empirical results indicate that subjective norm has a strong indirect effect via OC, implying that social influence is institutionalized within organizational frameworks. This reinforces the role of OC as a critical mediator in shaping AI adoption.</w:t>
      </w:r>
    </w:p>
    <w:p w14:paraId="6315BC51" w14:textId="1A8FD87E" w:rsidR="000673F0" w:rsidRPr="000673F0" w:rsidRDefault="000673F0" w:rsidP="000673F0">
      <w:pPr>
        <w:rPr>
          <w:b/>
          <w:bCs/>
        </w:rPr>
      </w:pPr>
      <w:r w:rsidRPr="000673F0">
        <w:rPr>
          <w:b/>
          <w:bCs/>
        </w:rPr>
        <w:t xml:space="preserve">H5: Synchronous expert guidance mediates the relationship between perceived behavioral </w:t>
      </w:r>
      <w:r>
        <w:rPr>
          <w:b/>
          <w:bCs/>
        </w:rPr>
        <w:br/>
        <w:t xml:space="preserve">        </w:t>
      </w:r>
      <w:r w:rsidRPr="000673F0">
        <w:rPr>
          <w:b/>
          <w:bCs/>
        </w:rPr>
        <w:t>control and intention.</w:t>
      </w:r>
    </w:p>
    <w:p w14:paraId="15F543D2" w14:textId="7C1D066F" w:rsidR="000673F0" w:rsidRDefault="000673F0" w:rsidP="00DA2138">
      <w:pPr>
        <w:jc w:val="both"/>
      </w:pPr>
      <w:r>
        <w:t>In addition to organizational complexity, synchronous expert guidance (EXT) is proposed as a second mediator that captures real-time support provided by knowledgeable experts in AI-mediated environments. EXT reflects the availability of guidance, feedback, and mentorship, which can enhance learners’ perceived ability to use AI systems effectively. Prior research suggests that external facilitation plays a crucial role in technology adoption by reducing uncertainty and increasing user confidence (</w:t>
      </w:r>
      <w:r w:rsidR="006A098D">
        <w:t xml:space="preserve">Halim et al., 2026; </w:t>
      </w:r>
      <w:r>
        <w:t>Venkatesh et al., 2012). Therefore, EXT is expected to mediate the relationship between perceived behavioral control and intention.</w:t>
      </w:r>
    </w:p>
    <w:p w14:paraId="7D378D1A" w14:textId="77777777" w:rsidR="000673F0" w:rsidRDefault="000673F0" w:rsidP="00DA2138">
      <w:pPr>
        <w:jc w:val="both"/>
      </w:pPr>
      <w:r>
        <w:t>Finally, EXT may also mediate the relationship between subjective norm and intention by translating social expectations into actionable guidance. When learners perceive strong encouragement from peers or instructors, access to expert guidance can further reinforce their readiness to adopt AI mediators. However, consistent with the present results, the mediating effect of EXT is expected to be weaker than that of organizational complexity, indicating that while expert support is beneficial, institutional structures remain the dominant driver of adoption. Based on these arguments, the proposed hypotheses are summarized as follows:</w:t>
      </w:r>
    </w:p>
    <w:p w14:paraId="572D1907" w14:textId="77777777" w:rsidR="000673F0" w:rsidRDefault="000673F0" w:rsidP="000673F0"/>
    <w:p w14:paraId="782601AC" w14:textId="77777777" w:rsidR="000673F0" w:rsidRDefault="000673F0" w:rsidP="000673F0">
      <w:r>
        <w:t>H1: Attitude positively influences intention to use AI mediators.</w:t>
      </w:r>
    </w:p>
    <w:p w14:paraId="651B2568" w14:textId="77777777" w:rsidR="000673F0" w:rsidRDefault="000673F0" w:rsidP="000673F0">
      <w:r>
        <w:t>H2: Perceived behavioral control positively influences intention.</w:t>
      </w:r>
    </w:p>
    <w:p w14:paraId="5D7705C9" w14:textId="77777777" w:rsidR="000673F0" w:rsidRDefault="000673F0" w:rsidP="000673F0">
      <w:r>
        <w:t>H3: Subjective norm positively influences intention.</w:t>
      </w:r>
    </w:p>
    <w:p w14:paraId="3A25C54A" w14:textId="77777777" w:rsidR="000673F0" w:rsidRDefault="000673F0" w:rsidP="000673F0">
      <w:r>
        <w:t>H4: Organizational complexity mediates the relationship between TPB variables and intention.</w:t>
      </w:r>
    </w:p>
    <w:p w14:paraId="286EEA84" w14:textId="560E767B" w:rsidR="000673F0" w:rsidRDefault="000673F0" w:rsidP="000673F0">
      <w:r>
        <w:t>H5: Synchronous expert guidance mediates the relationship between perceived behavioral control and intention.</w:t>
      </w:r>
    </w:p>
    <w:p w14:paraId="29B7156E" w14:textId="77777777" w:rsidR="000673F0" w:rsidRPr="006472ED" w:rsidRDefault="000673F0" w:rsidP="000673F0">
      <w:pPr>
        <w:spacing w:after="0"/>
        <w:ind w:right="-7"/>
        <w:jc w:val="center"/>
        <w:rPr>
          <w:rFonts w:cs="Times New Roman"/>
          <w:b/>
          <w:bCs/>
          <w:szCs w:val="24"/>
        </w:rPr>
      </w:pPr>
      <w:r w:rsidRPr="006472ED">
        <w:rPr>
          <w:rFonts w:cs="Times New Roman"/>
          <w:b/>
          <w:bCs/>
          <w:szCs w:val="24"/>
        </w:rPr>
        <w:t>Method</w:t>
      </w:r>
    </w:p>
    <w:p w14:paraId="22CC238A" w14:textId="1AE0712E" w:rsidR="000673F0" w:rsidRDefault="000673F0" w:rsidP="00332885">
      <w:pPr>
        <w:jc w:val="both"/>
      </w:pPr>
      <w:r>
        <w:t xml:space="preserve">This pilot study adopts a quantitative research design to examine the determinants of intention to use AI mediators among young adult learners. The study applies Partial Least Squares Structural Equation Modeling (PLS-SEM) using a </w:t>
      </w:r>
      <w:proofErr w:type="spellStart"/>
      <w:r>
        <w:t>SmartPLS</w:t>
      </w:r>
      <w:proofErr w:type="spellEnd"/>
      <w:r>
        <w:t xml:space="preserve"> approach, which is appropriate for exploratory </w:t>
      </w:r>
      <w:r>
        <w:lastRenderedPageBreak/>
        <w:t>and prediction-oriented research models involving complex relationships and mediation effects. PLS-SEM is particularly suitable for studies with relatively small sample sizes and non-normal data distributions (Hair et al., 2019).</w:t>
      </w:r>
    </w:p>
    <w:p w14:paraId="0A383788" w14:textId="0C7C1970" w:rsidR="000673F0" w:rsidRDefault="000673F0" w:rsidP="00332885">
      <w:pPr>
        <w:jc w:val="both"/>
      </w:pPr>
      <w:r>
        <w:t>The conceptual model extends the Theory of Planned Behavior (TPB) by incorporating organizational complexity (OC) and synchronous expert guidance (EXT) as mediating variables. This allows for a deeper understanding of how institutional and external factors influence behavioral intention indirectly through structural mechanisms.</w:t>
      </w:r>
    </w:p>
    <w:p w14:paraId="34240987" w14:textId="77777777" w:rsidR="00F768A4" w:rsidRPr="006472ED" w:rsidRDefault="00F768A4" w:rsidP="00F768A4">
      <w:pPr>
        <w:spacing w:after="0"/>
        <w:ind w:right="-7"/>
        <w:jc w:val="center"/>
        <w:rPr>
          <w:rFonts w:cs="Times New Roman"/>
          <w:b/>
          <w:bCs/>
          <w:szCs w:val="24"/>
        </w:rPr>
      </w:pPr>
      <w:r w:rsidRPr="006472ED">
        <w:rPr>
          <w:rFonts w:cs="Times New Roman"/>
          <w:b/>
          <w:bCs/>
          <w:szCs w:val="24"/>
        </w:rPr>
        <w:t>Data Analysis</w:t>
      </w:r>
    </w:p>
    <w:p w14:paraId="62A357F4" w14:textId="4ED03E0A" w:rsidR="00F768A4" w:rsidRDefault="006D7B3E" w:rsidP="00332885">
      <w:pPr>
        <w:jc w:val="both"/>
      </w:pPr>
      <w:r w:rsidRPr="00332885">
        <w:t>As a pilot investigation, the study emphasizes mediation analysis to explore the underlying mechanisms prior to full-scale model validation.</w:t>
      </w:r>
      <w:r>
        <w:t xml:space="preserve"> </w:t>
      </w:r>
      <w:r w:rsidRPr="00332885">
        <w:t>This pilot study primarily examines mediation analysis as a preliminary assessment of the model.</w:t>
      </w:r>
      <w:r>
        <w:t xml:space="preserve"> </w:t>
      </w:r>
      <w:r w:rsidR="00F768A4">
        <w:t xml:space="preserve">Data </w:t>
      </w:r>
      <w:proofErr w:type="gramStart"/>
      <w:r w:rsidR="00F768A4">
        <w:t>were</w:t>
      </w:r>
      <w:proofErr w:type="gramEnd"/>
      <w:r w:rsidR="00F768A4">
        <w:t xml:space="preserve"> analyzed using Partial Least Squares Structural Equation Modeling (PLS-SEM) with </w:t>
      </w:r>
      <w:proofErr w:type="spellStart"/>
      <w:r w:rsidR="00F768A4">
        <w:t>SmartPLS</w:t>
      </w:r>
      <w:proofErr w:type="spellEnd"/>
      <w:r w:rsidR="00F768A4">
        <w:t xml:space="preserve"> 4.0. PLS-SEM was selected because of its suitability for exploratory and prediction-oriented research involving relatively small sample sizes and complex structural relationships (</w:t>
      </w:r>
      <w:r w:rsidR="006A098D">
        <w:t xml:space="preserve">Ringle et al., 2023; </w:t>
      </w:r>
      <w:r w:rsidR="00F768A4">
        <w:t>Hair et al., 2022).</w:t>
      </w:r>
    </w:p>
    <w:p w14:paraId="2F993253" w14:textId="77777777" w:rsidR="00332885" w:rsidRPr="006472ED" w:rsidRDefault="00332885" w:rsidP="00332885">
      <w:pPr>
        <w:spacing w:after="0"/>
        <w:ind w:right="-7"/>
        <w:jc w:val="both"/>
        <w:rPr>
          <w:rFonts w:cs="Times New Roman"/>
          <w:b/>
          <w:bCs/>
          <w:szCs w:val="24"/>
        </w:rPr>
      </w:pPr>
      <w:r w:rsidRPr="006472ED">
        <w:rPr>
          <w:rFonts w:cs="Times New Roman"/>
          <w:b/>
          <w:bCs/>
          <w:szCs w:val="24"/>
        </w:rPr>
        <w:t>Mediation Analysis</w:t>
      </w:r>
    </w:p>
    <w:p w14:paraId="150339DE" w14:textId="261B0A28" w:rsidR="006D7B3E" w:rsidRPr="006D7B3E" w:rsidRDefault="006D7B3E" w:rsidP="006D7B3E">
      <w:pPr>
        <w:spacing w:after="0"/>
        <w:ind w:right="-7" w:firstLine="567"/>
        <w:jc w:val="both"/>
        <w:rPr>
          <w:rFonts w:cs="Times New Roman"/>
          <w:szCs w:val="24"/>
        </w:rPr>
      </w:pPr>
      <w:r w:rsidRPr="006D7B3E">
        <w:rPr>
          <w:rFonts w:cs="Times New Roman"/>
          <w:szCs w:val="24"/>
        </w:rPr>
        <w:t xml:space="preserve">Given its exploratory nature, this </w:t>
      </w:r>
      <w:proofErr w:type="gramStart"/>
      <w:r w:rsidRPr="006D7B3E">
        <w:rPr>
          <w:rFonts w:cs="Times New Roman"/>
          <w:szCs w:val="24"/>
        </w:rPr>
        <w:t>pilot</w:t>
      </w:r>
      <w:proofErr w:type="gramEnd"/>
      <w:r w:rsidRPr="006D7B3E">
        <w:rPr>
          <w:rFonts w:cs="Times New Roman"/>
          <w:szCs w:val="24"/>
        </w:rPr>
        <w:t xml:space="preserve"> study concentrates on mediation analysis to provide initial insights into the underlying mechanisms of the proposed relationships.</w:t>
      </w:r>
      <w:r>
        <w:rPr>
          <w:rFonts w:cs="Times New Roman"/>
          <w:szCs w:val="24"/>
        </w:rPr>
        <w:t xml:space="preserve"> </w:t>
      </w:r>
      <w:r w:rsidRPr="006D7B3E">
        <w:rPr>
          <w:rFonts w:cs="Times New Roman"/>
          <w:szCs w:val="24"/>
        </w:rPr>
        <w:t>Mediation analysis was conducted to examine the indirect effects of attitude (ATT), subjective norm (SN), and perceived behavioral control (PBC) on intention (INT) through two proposed mediators: organizational complexity (OC) and synchronous expert guidance (EXT). In line with best practices in PLS-SEM, the mediation effects were assessed using a bootstrapping procedure, which allows for the estimation of indirect effects and their statistical significance without relying on normal distribution assumptions (Hair et al., 2019; Preacher &amp; Hayes, 2008).</w:t>
      </w:r>
    </w:p>
    <w:p w14:paraId="13E0CF4D" w14:textId="77777777" w:rsidR="006D7B3E" w:rsidRDefault="006D7B3E" w:rsidP="006D7B3E">
      <w:pPr>
        <w:spacing w:after="0"/>
        <w:ind w:right="-7" w:firstLine="567"/>
        <w:jc w:val="both"/>
        <w:rPr>
          <w:rFonts w:cs="Times New Roman"/>
          <w:szCs w:val="24"/>
        </w:rPr>
      </w:pPr>
    </w:p>
    <w:p w14:paraId="232C6C47" w14:textId="27631A91" w:rsidR="00332885" w:rsidRPr="006472ED" w:rsidRDefault="006D7B3E" w:rsidP="00423B38">
      <w:pPr>
        <w:spacing w:after="0"/>
        <w:ind w:right="-7" w:firstLine="567"/>
        <w:jc w:val="both"/>
        <w:rPr>
          <w:rFonts w:cs="Times New Roman"/>
          <w:szCs w:val="24"/>
        </w:rPr>
      </w:pPr>
      <w:r w:rsidRPr="006D7B3E">
        <w:rPr>
          <w:rFonts w:cs="Times New Roman"/>
          <w:szCs w:val="24"/>
        </w:rPr>
        <w:t>This study adopts a parallel mediation model, where OC and EXT operate simultaneously as mediators linking exogenous constructs to intention. The inclusion of mediating variables enables a more nuanced understanding of how individual-level perceptions are translated into behavioral intention within institutional and technology-supported learning contexts.</w:t>
      </w:r>
      <w:r w:rsidR="00332885" w:rsidRPr="006472ED">
        <w:rPr>
          <w:rFonts w:cs="Times New Roman"/>
          <w:szCs w:val="24"/>
        </w:rPr>
        <w:t xml:space="preserve"> As shown in Table </w:t>
      </w:r>
      <w:r>
        <w:rPr>
          <w:rFonts w:cs="Times New Roman"/>
          <w:szCs w:val="24"/>
        </w:rPr>
        <w:t>1</w:t>
      </w:r>
      <w:r w:rsidR="00332885" w:rsidRPr="006472ED">
        <w:rPr>
          <w:rFonts w:cs="Times New Roman"/>
          <w:szCs w:val="24"/>
        </w:rPr>
        <w:t xml:space="preserve">, </w:t>
      </w:r>
      <w:r w:rsidRPr="006D7B3E">
        <w:rPr>
          <w:rFonts w:cs="Times New Roman"/>
          <w:szCs w:val="24"/>
        </w:rPr>
        <w:t>Synchronous expert guidance (EXT) also demonstrates significant mediation effects, albeit at a lower magnitude compared to OC. The indirect effect of perceived behavioral control on intention through EXT (β = 0.382) indicates that learners’ confidence in using AI mediators is enhanced when supported by real-time expert guidance. Additionally, subjective norm indirectly influences intention through EXT (β = 0.534), suggesting that social expectations can be translated into actionable behavior through expert facilitation.</w:t>
      </w:r>
      <w:r w:rsidR="00332885" w:rsidRPr="006472ED">
        <w:rPr>
          <w:rFonts w:cs="Times New Roman"/>
          <w:szCs w:val="24"/>
        </w:rPr>
        <w:t xml:space="preserve"> supporting </w:t>
      </w:r>
      <w:r>
        <w:rPr>
          <w:rFonts w:cs="Times New Roman"/>
          <w:szCs w:val="24"/>
        </w:rPr>
        <w:t xml:space="preserve">H4 and </w:t>
      </w:r>
      <w:r w:rsidR="00332885" w:rsidRPr="006472ED">
        <w:rPr>
          <w:rFonts w:cs="Times New Roman"/>
          <w:szCs w:val="24"/>
        </w:rPr>
        <w:t>H</w:t>
      </w:r>
      <w:r>
        <w:rPr>
          <w:rFonts w:cs="Times New Roman"/>
          <w:szCs w:val="24"/>
        </w:rPr>
        <w:t>5</w:t>
      </w:r>
      <w:r w:rsidR="00332885" w:rsidRPr="006472ED">
        <w:rPr>
          <w:rFonts w:cs="Times New Roman"/>
          <w:szCs w:val="24"/>
        </w:rPr>
        <w:t>. Since the confidence intervals did not include zero, both indirect effects were considered statistically significant.</w:t>
      </w:r>
      <w:r w:rsidR="00423B38">
        <w:rPr>
          <w:rFonts w:cs="Times New Roman"/>
          <w:szCs w:val="24"/>
        </w:rPr>
        <w:t xml:space="preserve"> </w:t>
      </w:r>
    </w:p>
    <w:p w14:paraId="06A49C5A" w14:textId="5DBE9CA6" w:rsidR="00332885" w:rsidRPr="006472ED" w:rsidRDefault="00332885" w:rsidP="00332885">
      <w:pPr>
        <w:spacing w:after="0"/>
        <w:ind w:right="-7"/>
        <w:jc w:val="both"/>
        <w:rPr>
          <w:rFonts w:cs="Times New Roman"/>
          <w:szCs w:val="24"/>
        </w:rPr>
      </w:pPr>
      <w:r w:rsidRPr="006472ED">
        <w:rPr>
          <w:rFonts w:cs="Times New Roman"/>
          <w:szCs w:val="24"/>
        </w:rPr>
        <w:t xml:space="preserve">Table </w:t>
      </w:r>
      <w:r w:rsidR="00423B38">
        <w:rPr>
          <w:rFonts w:cs="Times New Roman"/>
          <w:szCs w:val="24"/>
        </w:rPr>
        <w:t>1</w:t>
      </w:r>
    </w:p>
    <w:p w14:paraId="740ED187" w14:textId="77777777" w:rsidR="00332885" w:rsidRPr="006472ED" w:rsidRDefault="00332885" w:rsidP="00332885">
      <w:pPr>
        <w:spacing w:after="0"/>
        <w:ind w:right="-7"/>
        <w:jc w:val="both"/>
        <w:rPr>
          <w:rFonts w:cs="Times New Roman"/>
          <w:i/>
          <w:iCs/>
          <w:szCs w:val="24"/>
        </w:rPr>
      </w:pPr>
      <w:r w:rsidRPr="006472ED">
        <w:rPr>
          <w:rFonts w:cs="Times New Roman"/>
          <w:i/>
          <w:iCs/>
          <w:szCs w:val="24"/>
        </w:rPr>
        <w:t>Mediation Analysis Results</w:t>
      </w:r>
    </w:p>
    <w:tbl>
      <w:tblPr>
        <w:tblStyle w:val="TableGrid1"/>
        <w:tblW w:w="4323" w:type="pct"/>
        <w:tblLook w:val="04A0" w:firstRow="1" w:lastRow="0" w:firstColumn="1" w:lastColumn="0" w:noHBand="0" w:noVBand="1"/>
      </w:tblPr>
      <w:tblGrid>
        <w:gridCol w:w="1297"/>
        <w:gridCol w:w="4076"/>
        <w:gridCol w:w="1227"/>
        <w:gridCol w:w="1484"/>
      </w:tblGrid>
      <w:tr w:rsidR="003204E4" w:rsidRPr="006472ED" w14:paraId="44D002D0" w14:textId="77777777" w:rsidTr="003204E4">
        <w:tc>
          <w:tcPr>
            <w:tcW w:w="802" w:type="pct"/>
            <w:hideMark/>
          </w:tcPr>
          <w:p w14:paraId="77892804" w14:textId="77777777" w:rsidR="003204E4" w:rsidRPr="006472ED" w:rsidRDefault="003204E4" w:rsidP="00252758">
            <w:pPr>
              <w:ind w:right="-7"/>
              <w:rPr>
                <w:rFonts w:cs="Times New Roman"/>
                <w:szCs w:val="24"/>
                <w:lang w:val="en-US"/>
              </w:rPr>
            </w:pPr>
            <w:r w:rsidRPr="006472ED">
              <w:rPr>
                <w:rFonts w:cs="Times New Roman"/>
                <w:szCs w:val="24"/>
                <w:lang w:val="en-US"/>
              </w:rPr>
              <w:lastRenderedPageBreak/>
              <w:t>Hypothesis</w:t>
            </w:r>
          </w:p>
        </w:tc>
        <w:tc>
          <w:tcPr>
            <w:tcW w:w="2520" w:type="pct"/>
            <w:hideMark/>
          </w:tcPr>
          <w:p w14:paraId="63D12AF2" w14:textId="77777777" w:rsidR="003204E4" w:rsidRPr="006472ED" w:rsidRDefault="003204E4" w:rsidP="00252758">
            <w:pPr>
              <w:ind w:right="-7"/>
              <w:rPr>
                <w:rFonts w:cs="Times New Roman"/>
                <w:szCs w:val="24"/>
                <w:lang w:val="en-US"/>
              </w:rPr>
            </w:pPr>
            <w:r w:rsidRPr="006472ED">
              <w:rPr>
                <w:rFonts w:cs="Times New Roman"/>
                <w:szCs w:val="24"/>
                <w:lang w:val="en-US"/>
              </w:rPr>
              <w:t>Indirect Path</w:t>
            </w:r>
          </w:p>
        </w:tc>
        <w:tc>
          <w:tcPr>
            <w:tcW w:w="759" w:type="pct"/>
            <w:hideMark/>
          </w:tcPr>
          <w:p w14:paraId="6A696BBD" w14:textId="77777777" w:rsidR="003204E4" w:rsidRPr="006472ED" w:rsidRDefault="003204E4" w:rsidP="00252758">
            <w:pPr>
              <w:ind w:right="-7"/>
              <w:rPr>
                <w:rFonts w:cs="Times New Roman"/>
                <w:szCs w:val="24"/>
                <w:lang w:val="en-US"/>
              </w:rPr>
            </w:pPr>
            <w:r w:rsidRPr="006472ED">
              <w:rPr>
                <w:rFonts w:cs="Times New Roman"/>
                <w:szCs w:val="24"/>
                <w:lang w:val="en-US"/>
              </w:rPr>
              <w:t>Indirect Effect</w:t>
            </w:r>
          </w:p>
        </w:tc>
        <w:tc>
          <w:tcPr>
            <w:tcW w:w="918" w:type="pct"/>
            <w:hideMark/>
          </w:tcPr>
          <w:p w14:paraId="504366EA" w14:textId="77777777" w:rsidR="003204E4" w:rsidRPr="006472ED" w:rsidRDefault="003204E4" w:rsidP="00252758">
            <w:pPr>
              <w:ind w:right="-7"/>
              <w:rPr>
                <w:rFonts w:cs="Times New Roman"/>
                <w:szCs w:val="24"/>
                <w:lang w:val="en-US"/>
              </w:rPr>
            </w:pPr>
            <w:r w:rsidRPr="006472ED">
              <w:rPr>
                <w:rFonts w:cs="Times New Roman"/>
                <w:szCs w:val="24"/>
                <w:lang w:val="en-US"/>
              </w:rPr>
              <w:t>Decision</w:t>
            </w:r>
          </w:p>
        </w:tc>
      </w:tr>
      <w:tr w:rsidR="003204E4" w:rsidRPr="006472ED" w14:paraId="0B701A64" w14:textId="77777777" w:rsidTr="003204E4">
        <w:tc>
          <w:tcPr>
            <w:tcW w:w="802" w:type="pct"/>
            <w:hideMark/>
          </w:tcPr>
          <w:p w14:paraId="7B08BD4D" w14:textId="4A7333E2" w:rsidR="003204E4" w:rsidRPr="006472ED" w:rsidRDefault="003204E4" w:rsidP="00252758">
            <w:pPr>
              <w:ind w:right="-7"/>
              <w:rPr>
                <w:rFonts w:cs="Times New Roman"/>
                <w:szCs w:val="24"/>
                <w:lang w:val="en-US"/>
              </w:rPr>
            </w:pPr>
            <w:r w:rsidRPr="006472ED">
              <w:rPr>
                <w:rFonts w:cs="Times New Roman"/>
                <w:szCs w:val="24"/>
                <w:lang w:val="en-US"/>
              </w:rPr>
              <w:t>H</w:t>
            </w:r>
            <w:r>
              <w:rPr>
                <w:rFonts w:cs="Times New Roman"/>
                <w:szCs w:val="24"/>
                <w:lang w:val="en-US"/>
              </w:rPr>
              <w:t>4</w:t>
            </w:r>
          </w:p>
        </w:tc>
        <w:tc>
          <w:tcPr>
            <w:tcW w:w="2520" w:type="pct"/>
            <w:hideMark/>
          </w:tcPr>
          <w:p w14:paraId="195327B7" w14:textId="5AFD60D8" w:rsidR="003204E4" w:rsidRPr="006472ED" w:rsidRDefault="003204E4" w:rsidP="00252758">
            <w:pPr>
              <w:ind w:right="-7"/>
              <w:rPr>
                <w:rFonts w:cs="Times New Roman"/>
                <w:szCs w:val="24"/>
                <w:lang w:val="en-US"/>
              </w:rPr>
            </w:pPr>
            <w:r w:rsidRPr="006472ED">
              <w:rPr>
                <w:rFonts w:cs="Times New Roman"/>
                <w:szCs w:val="24"/>
                <w:lang w:val="en-US"/>
              </w:rPr>
              <w:t xml:space="preserve">Subjective Norms → </w:t>
            </w:r>
            <w:r w:rsidRPr="00332885">
              <w:rPr>
                <w:rFonts w:cs="Times New Roman"/>
                <w:szCs w:val="24"/>
                <w:lang w:val="en-US"/>
              </w:rPr>
              <w:t xml:space="preserve">Organizational complexity </w:t>
            </w:r>
            <w:r w:rsidRPr="006472ED">
              <w:rPr>
                <w:rFonts w:cs="Times New Roman"/>
                <w:szCs w:val="24"/>
                <w:lang w:val="en-US"/>
              </w:rPr>
              <w:t>→ Learning Intention</w:t>
            </w:r>
          </w:p>
        </w:tc>
        <w:tc>
          <w:tcPr>
            <w:tcW w:w="759" w:type="pct"/>
            <w:hideMark/>
          </w:tcPr>
          <w:p w14:paraId="26274AF5" w14:textId="296EE94B" w:rsidR="003204E4" w:rsidRPr="006472ED" w:rsidRDefault="003204E4" w:rsidP="00252758">
            <w:pPr>
              <w:ind w:right="-7"/>
              <w:rPr>
                <w:rFonts w:cs="Times New Roman"/>
                <w:szCs w:val="24"/>
                <w:lang w:val="en-US"/>
              </w:rPr>
            </w:pPr>
            <w:r w:rsidRPr="006D7B3E">
              <w:rPr>
                <w:rFonts w:cs="Times New Roman"/>
                <w:szCs w:val="24"/>
              </w:rPr>
              <w:t>0.382</w:t>
            </w:r>
          </w:p>
        </w:tc>
        <w:tc>
          <w:tcPr>
            <w:tcW w:w="918" w:type="pct"/>
            <w:hideMark/>
          </w:tcPr>
          <w:p w14:paraId="02D0483E" w14:textId="77777777" w:rsidR="003204E4" w:rsidRPr="006472ED" w:rsidRDefault="003204E4" w:rsidP="00252758">
            <w:pPr>
              <w:ind w:right="-7"/>
              <w:rPr>
                <w:rFonts w:cs="Times New Roman"/>
                <w:szCs w:val="24"/>
                <w:lang w:val="en-US"/>
              </w:rPr>
            </w:pPr>
            <w:r w:rsidRPr="006472ED">
              <w:rPr>
                <w:rFonts w:cs="Times New Roman"/>
                <w:szCs w:val="24"/>
                <w:lang w:val="en-US"/>
              </w:rPr>
              <w:t>Supported</w:t>
            </w:r>
          </w:p>
        </w:tc>
      </w:tr>
      <w:tr w:rsidR="003204E4" w:rsidRPr="006472ED" w14:paraId="41E80A95" w14:textId="77777777" w:rsidTr="003204E4">
        <w:tc>
          <w:tcPr>
            <w:tcW w:w="802" w:type="pct"/>
            <w:hideMark/>
          </w:tcPr>
          <w:p w14:paraId="66B113B8" w14:textId="79AF66BC" w:rsidR="003204E4" w:rsidRPr="006472ED" w:rsidRDefault="003204E4" w:rsidP="00252758">
            <w:pPr>
              <w:ind w:right="-7"/>
              <w:rPr>
                <w:rFonts w:cs="Times New Roman"/>
                <w:szCs w:val="24"/>
                <w:lang w:val="en-US"/>
              </w:rPr>
            </w:pPr>
            <w:r w:rsidRPr="006472ED">
              <w:rPr>
                <w:rFonts w:cs="Times New Roman"/>
                <w:szCs w:val="24"/>
                <w:lang w:val="en-US"/>
              </w:rPr>
              <w:t>H</w:t>
            </w:r>
            <w:r>
              <w:rPr>
                <w:rFonts w:cs="Times New Roman"/>
                <w:szCs w:val="24"/>
                <w:lang w:val="en-US"/>
              </w:rPr>
              <w:t>5</w:t>
            </w:r>
          </w:p>
        </w:tc>
        <w:tc>
          <w:tcPr>
            <w:tcW w:w="2520" w:type="pct"/>
            <w:hideMark/>
          </w:tcPr>
          <w:p w14:paraId="324E5CD1" w14:textId="54FB5243" w:rsidR="003204E4" w:rsidRPr="006472ED" w:rsidRDefault="003204E4" w:rsidP="00252758">
            <w:pPr>
              <w:ind w:right="-7"/>
              <w:rPr>
                <w:rFonts w:cs="Times New Roman"/>
                <w:szCs w:val="24"/>
                <w:lang w:val="en-US"/>
              </w:rPr>
            </w:pPr>
            <w:r w:rsidRPr="006472ED">
              <w:rPr>
                <w:rFonts w:cs="Times New Roman"/>
                <w:szCs w:val="24"/>
                <w:lang w:val="en-US"/>
              </w:rPr>
              <w:t xml:space="preserve">Perceived Behavioral Control → </w:t>
            </w:r>
            <w:r w:rsidRPr="00332885">
              <w:rPr>
                <w:rFonts w:cs="Times New Roman"/>
                <w:szCs w:val="24"/>
                <w:lang w:val="en-US"/>
              </w:rPr>
              <w:t xml:space="preserve">Synchronous expert guidance </w:t>
            </w:r>
            <w:r w:rsidRPr="006472ED">
              <w:rPr>
                <w:rFonts w:cs="Times New Roman"/>
                <w:szCs w:val="24"/>
                <w:lang w:val="en-US"/>
              </w:rPr>
              <w:t>→ Learning Intention</w:t>
            </w:r>
          </w:p>
        </w:tc>
        <w:tc>
          <w:tcPr>
            <w:tcW w:w="759" w:type="pct"/>
            <w:hideMark/>
          </w:tcPr>
          <w:p w14:paraId="034B8676" w14:textId="7AA683B2" w:rsidR="003204E4" w:rsidRPr="006472ED" w:rsidRDefault="003204E4" w:rsidP="00252758">
            <w:pPr>
              <w:ind w:right="-7"/>
              <w:rPr>
                <w:rFonts w:cs="Times New Roman"/>
                <w:szCs w:val="24"/>
                <w:lang w:val="en-US"/>
              </w:rPr>
            </w:pPr>
            <w:r w:rsidRPr="006D7B3E">
              <w:rPr>
                <w:rFonts w:cs="Times New Roman"/>
                <w:szCs w:val="24"/>
              </w:rPr>
              <w:t>0.534</w:t>
            </w:r>
          </w:p>
        </w:tc>
        <w:tc>
          <w:tcPr>
            <w:tcW w:w="918" w:type="pct"/>
            <w:hideMark/>
          </w:tcPr>
          <w:p w14:paraId="48ECDD06" w14:textId="77777777" w:rsidR="003204E4" w:rsidRPr="006472ED" w:rsidRDefault="003204E4" w:rsidP="00252758">
            <w:pPr>
              <w:ind w:right="-7"/>
              <w:rPr>
                <w:rFonts w:cs="Times New Roman"/>
                <w:szCs w:val="24"/>
                <w:lang w:val="en-US"/>
              </w:rPr>
            </w:pPr>
            <w:r w:rsidRPr="006472ED">
              <w:rPr>
                <w:rFonts w:cs="Times New Roman"/>
                <w:szCs w:val="24"/>
                <w:lang w:val="en-US"/>
              </w:rPr>
              <w:t>Supported</w:t>
            </w:r>
          </w:p>
        </w:tc>
      </w:tr>
    </w:tbl>
    <w:p w14:paraId="1FC9BC36" w14:textId="77777777" w:rsidR="00332885" w:rsidRDefault="00332885" w:rsidP="00423B38">
      <w:pPr>
        <w:spacing w:after="0"/>
        <w:ind w:right="-7"/>
        <w:rPr>
          <w:rFonts w:cs="Times New Roman"/>
          <w:b/>
          <w:bCs/>
          <w:szCs w:val="24"/>
        </w:rPr>
      </w:pPr>
    </w:p>
    <w:p w14:paraId="1FFEFAAE" w14:textId="34B8AA07" w:rsidR="00423B38" w:rsidRPr="00423B38" w:rsidRDefault="00423B38" w:rsidP="00423B38">
      <w:pPr>
        <w:spacing w:after="0"/>
        <w:ind w:right="-7" w:firstLine="567"/>
        <w:jc w:val="both"/>
        <w:rPr>
          <w:rFonts w:cs="Times New Roman"/>
          <w:szCs w:val="24"/>
        </w:rPr>
      </w:pPr>
      <w:r w:rsidRPr="00423B38">
        <w:rPr>
          <w:rFonts w:cs="Times New Roman"/>
          <w:szCs w:val="24"/>
        </w:rPr>
        <w:t xml:space="preserve">The extent of mediation in this study was further examined using the Variance Accounted For (VAF) approach, which quantifies the proportion of the total effect explained by indirect effects (Hair et al., 2019). The results indicate varying degrees of mediation across the proposed paths. Specifically, the indirect effect of attitude on intention through organizational complexity (ATT → OC → INT) yields a VAF of approximately 47.8%, indicating partial mediation. Similarly, subjective norm demonstrates a stronger mediating effect via organizational complexity (SN → OC → INT), with a VAF of 63.2%, suggesting substantial partial mediation. In contrast, mediation through synchronous expert guidance (EXT) shows moderate influence, with PBC → EXT → INT recording a VAF of 43.1% and SN → EXT → INT yielding 44.4%, both reflecting partial </w:t>
      </w:r>
      <w:r w:rsidR="00431D76" w:rsidRPr="00423B38">
        <w:rPr>
          <w:rFonts w:cs="Times New Roman"/>
          <w:szCs w:val="24"/>
        </w:rPr>
        <w:t>mediations</w:t>
      </w:r>
      <w:r w:rsidRPr="00423B38">
        <w:rPr>
          <w:rFonts w:cs="Times New Roman"/>
          <w:szCs w:val="24"/>
        </w:rPr>
        <w:t>. These findings collectively confirm that the mediators do not fully account for the relationships, but instead operate alongside direct effects, indicating the coexistence of both direct and indirect pathways in shaping intention.</w:t>
      </w:r>
    </w:p>
    <w:p w14:paraId="13E39C10" w14:textId="486C63A1" w:rsidR="00423B38" w:rsidRPr="00423B38" w:rsidRDefault="00423B38" w:rsidP="00423B38">
      <w:pPr>
        <w:spacing w:after="0"/>
        <w:ind w:right="-7" w:firstLine="567"/>
        <w:jc w:val="both"/>
        <w:rPr>
          <w:rFonts w:cs="Times New Roman"/>
          <w:szCs w:val="24"/>
        </w:rPr>
      </w:pPr>
      <w:r w:rsidRPr="00423B38">
        <w:rPr>
          <w:rFonts w:cs="Times New Roman"/>
          <w:szCs w:val="24"/>
        </w:rPr>
        <w:t xml:space="preserve">A notable outcome of this analysis is the clear dominance of organizational complexity over synchronous expert guidance as the primary mediating mechanism. This conclusion is strongly supported by effect size results, where organizational complexity exhibits an exceptionally large effect (f² = 1.634), whereas synchronous expert guidance demonstrates a comparatively smaller effect (f² = 0.098). This disparity highlights the critical role of institutional readiness, structural support, and system integration in influencing AI mediator adoption. While synchronous expert guidance contributes by enhancing learners’ confidence and facilitating interaction with AI systems, organizational complexity fundamentally determines the environment within which such technologies are adopted, thereby exerting a more substantial impact on behavioral </w:t>
      </w:r>
      <w:r w:rsidR="00431D76" w:rsidRPr="00423B38">
        <w:rPr>
          <w:rFonts w:cs="Times New Roman"/>
          <w:szCs w:val="24"/>
        </w:rPr>
        <w:t>intentions</w:t>
      </w:r>
      <w:r w:rsidRPr="00423B38">
        <w:rPr>
          <w:rFonts w:cs="Times New Roman"/>
          <w:szCs w:val="24"/>
        </w:rPr>
        <w:t>.</w:t>
      </w:r>
    </w:p>
    <w:p w14:paraId="091CECF8" w14:textId="77777777" w:rsidR="00762B7D" w:rsidRDefault="00423B38" w:rsidP="00762B7D">
      <w:pPr>
        <w:spacing w:after="0"/>
        <w:ind w:right="-7" w:firstLine="567"/>
        <w:jc w:val="both"/>
        <w:rPr>
          <w:rFonts w:cs="Times New Roman"/>
          <w:szCs w:val="24"/>
        </w:rPr>
      </w:pPr>
      <w:r w:rsidRPr="00423B38">
        <w:rPr>
          <w:rFonts w:cs="Times New Roman"/>
          <w:szCs w:val="24"/>
        </w:rPr>
        <w:t xml:space="preserve">Furthermore, the mediation analysis provides important context-specific insights when comparing learners from East Coast Malaysia and Southern Malaysia. In the East Coast region, organizational complexity emerges as a more influential mediator, reflecting the reliance on structured institutional environments in settings with relatively limited technological infrastructure and exposure. Conversely, in Southern Malaysia, synchronous expert guidance plays a more prominent mediating role, indicating that learners benefit more from real-time interaction with experts in regions characterized by more advanced digital ecosystems. These findings underscore that the effectiveness of mediation pathways is not uniform but varies according to contextual and regional factors. Overall, the results demonstrate that mediation effects are inherently context-dependent, shaped by differences in organizational support, technological readiness, and access to </w:t>
      </w:r>
      <w:r w:rsidRPr="00423B38">
        <w:rPr>
          <w:rFonts w:cs="Times New Roman"/>
          <w:szCs w:val="24"/>
        </w:rPr>
        <w:lastRenderedPageBreak/>
        <w:t xml:space="preserve">expert facilitation, thereby reinforcing the importance of tailoring AI adoption strategies to specific regional </w:t>
      </w:r>
      <w:r w:rsidRPr="00EB4D59">
        <w:rPr>
          <w:rFonts w:cs="Times New Roman"/>
          <w:szCs w:val="24"/>
        </w:rPr>
        <w:t>environments.</w:t>
      </w:r>
      <w:r w:rsidR="00762B7D">
        <w:rPr>
          <w:rFonts w:cs="Times New Roman"/>
          <w:szCs w:val="24"/>
        </w:rPr>
        <w:t xml:space="preserve"> </w:t>
      </w:r>
    </w:p>
    <w:p w14:paraId="30490799" w14:textId="77777777" w:rsidR="00762B7D" w:rsidRDefault="00762B7D" w:rsidP="00762B7D">
      <w:pPr>
        <w:spacing w:after="0"/>
        <w:ind w:right="-7" w:firstLine="567"/>
        <w:jc w:val="both"/>
        <w:rPr>
          <w:rFonts w:cs="Times New Roman"/>
          <w:szCs w:val="24"/>
        </w:rPr>
      </w:pPr>
    </w:p>
    <w:p w14:paraId="5019EE15" w14:textId="77777777" w:rsidR="00762B7D" w:rsidRDefault="00762B7D" w:rsidP="00762B7D">
      <w:pPr>
        <w:spacing w:after="0"/>
        <w:ind w:right="-7" w:firstLine="567"/>
        <w:jc w:val="both"/>
        <w:rPr>
          <w:rFonts w:cs="Times New Roman"/>
          <w:szCs w:val="24"/>
        </w:rPr>
      </w:pPr>
    </w:p>
    <w:p w14:paraId="6C10C04C" w14:textId="77777777" w:rsidR="00762B7D" w:rsidRDefault="00762B7D" w:rsidP="00762B7D">
      <w:pPr>
        <w:spacing w:after="0"/>
        <w:ind w:right="-7" w:firstLine="567"/>
        <w:jc w:val="both"/>
        <w:rPr>
          <w:rFonts w:cs="Times New Roman"/>
          <w:szCs w:val="24"/>
        </w:rPr>
      </w:pPr>
    </w:p>
    <w:p w14:paraId="6C18AB9B" w14:textId="77777777" w:rsidR="00762B7D" w:rsidRPr="006472ED" w:rsidRDefault="00762B7D" w:rsidP="00762B7D">
      <w:pPr>
        <w:spacing w:after="0"/>
        <w:ind w:right="-7"/>
        <w:jc w:val="center"/>
        <w:rPr>
          <w:rFonts w:cs="Times New Roman"/>
          <w:b/>
          <w:bCs/>
          <w:szCs w:val="24"/>
        </w:rPr>
      </w:pPr>
      <w:r w:rsidRPr="006472ED">
        <w:rPr>
          <w:rFonts w:cs="Times New Roman"/>
          <w:b/>
          <w:bCs/>
          <w:szCs w:val="24"/>
        </w:rPr>
        <w:t>Conclusion</w:t>
      </w:r>
    </w:p>
    <w:p w14:paraId="7BC267E5" w14:textId="77777777" w:rsidR="00762B7D" w:rsidRDefault="00762B7D" w:rsidP="00762B7D">
      <w:pPr>
        <w:spacing w:after="0"/>
        <w:ind w:right="-7" w:firstLine="567"/>
        <w:jc w:val="both"/>
        <w:rPr>
          <w:rFonts w:cs="Times New Roman"/>
          <w:szCs w:val="24"/>
        </w:rPr>
      </w:pPr>
    </w:p>
    <w:p w14:paraId="1672088C" w14:textId="2672A351" w:rsidR="00762B7D" w:rsidRPr="00762B7D" w:rsidRDefault="00762B7D" w:rsidP="00762B7D">
      <w:pPr>
        <w:spacing w:after="0"/>
        <w:ind w:right="-7" w:firstLine="567"/>
        <w:jc w:val="both"/>
        <w:rPr>
          <w:rFonts w:cs="Times New Roman"/>
          <w:szCs w:val="24"/>
        </w:rPr>
      </w:pPr>
      <w:r w:rsidRPr="00762B7D">
        <w:rPr>
          <w:rFonts w:cs="Times New Roman"/>
          <w:szCs w:val="24"/>
        </w:rPr>
        <w:t xml:space="preserve">This </w:t>
      </w:r>
      <w:r>
        <w:rPr>
          <w:rFonts w:cs="Times New Roman"/>
          <w:szCs w:val="24"/>
        </w:rPr>
        <w:t xml:space="preserve">pilot </w:t>
      </w:r>
      <w:r w:rsidRPr="00762B7D">
        <w:rPr>
          <w:rFonts w:cs="Times New Roman"/>
          <w:szCs w:val="24"/>
        </w:rPr>
        <w:t xml:space="preserve">study </w:t>
      </w:r>
      <w:proofErr w:type="gramStart"/>
      <w:r w:rsidRPr="00762B7D">
        <w:rPr>
          <w:rFonts w:cs="Times New Roman"/>
          <w:szCs w:val="24"/>
        </w:rPr>
        <w:t>set</w:t>
      </w:r>
      <w:proofErr w:type="gramEnd"/>
      <w:r w:rsidRPr="00762B7D">
        <w:rPr>
          <w:rFonts w:cs="Times New Roman"/>
          <w:szCs w:val="24"/>
        </w:rPr>
        <w:t xml:space="preserve"> out to examine the determinants of AI mediator adoption among young adult learners by extending the Theory of Planned Behavior (TPB) through the inclusion of organizational complexity (OC) and synchronous expert guidance (EXT) as mediating constructs. The findings provide strong empirical support for the proposed model, revealing that the integration of institutional and contextual factors significantly enhances the explanatory power of traditional TPB variables. With an R² value of 0.863, the model demonstrates substantial predictive capability, suggesting that the combined influence of individual, organizational, and external factors offers a comprehensive explanation of behavioral intention (Hair et al., 2019).</w:t>
      </w:r>
    </w:p>
    <w:p w14:paraId="2FBE97AF" w14:textId="5D3D72F1" w:rsidR="00762B7D" w:rsidRPr="00762B7D" w:rsidRDefault="00762B7D" w:rsidP="00762B7D">
      <w:pPr>
        <w:spacing w:after="0"/>
        <w:ind w:right="-7" w:firstLine="567"/>
        <w:jc w:val="both"/>
        <w:rPr>
          <w:rFonts w:cs="Times New Roman"/>
          <w:szCs w:val="24"/>
        </w:rPr>
      </w:pPr>
      <w:r w:rsidRPr="00762B7D">
        <w:rPr>
          <w:rFonts w:cs="Times New Roman"/>
          <w:szCs w:val="24"/>
        </w:rPr>
        <w:t xml:space="preserve">Consistent with the TPB framework, attitude, subjective norm, and perceived behavioral control were all found to positively influence intention </w:t>
      </w:r>
      <w:r w:rsidR="00EB4D59" w:rsidRPr="00762B7D">
        <w:rPr>
          <w:rFonts w:cs="Times New Roman"/>
          <w:szCs w:val="24"/>
        </w:rPr>
        <w:t>of using</w:t>
      </w:r>
      <w:r w:rsidRPr="00762B7D">
        <w:rPr>
          <w:rFonts w:cs="Times New Roman"/>
          <w:szCs w:val="24"/>
        </w:rPr>
        <w:t xml:space="preserve"> AI mediators. However, the results indicate that these individual-level factors alone are insufficient in explaining the complexity of AI adoption in educational settings. Notably, subjective norm emerged as a relatively strong predictor, reflecting the importance of social influence in shaping learners’ technology adoption decisions. This aligns with prior research emphasizing the role of social norms in collectivist contexts, where peer and institutional expectations significantly impact behavioral intention (</w:t>
      </w:r>
      <w:r w:rsidR="006A098D">
        <w:t xml:space="preserve">Avci, 2026; </w:t>
      </w:r>
      <w:r w:rsidR="00C56C47">
        <w:t xml:space="preserve">Fauzi et. al., 2021; </w:t>
      </w:r>
      <w:proofErr w:type="spellStart"/>
      <w:r w:rsidRPr="00762B7D">
        <w:rPr>
          <w:rFonts w:cs="Times New Roman"/>
          <w:szCs w:val="24"/>
        </w:rPr>
        <w:t>Tarhini</w:t>
      </w:r>
      <w:proofErr w:type="spellEnd"/>
      <w:r w:rsidRPr="00762B7D">
        <w:rPr>
          <w:rFonts w:cs="Times New Roman"/>
          <w:szCs w:val="24"/>
        </w:rPr>
        <w:t xml:space="preserve"> et al., 2015</w:t>
      </w:r>
      <w:r>
        <w:rPr>
          <w:rFonts w:cs="Times New Roman"/>
          <w:szCs w:val="24"/>
        </w:rPr>
        <w:t xml:space="preserve">; </w:t>
      </w:r>
      <w:r w:rsidRPr="00762B7D">
        <w:rPr>
          <w:rFonts w:cs="Times New Roman"/>
          <w:szCs w:val="24"/>
        </w:rPr>
        <w:t>Venkatesh et al., 2003).</w:t>
      </w:r>
    </w:p>
    <w:p w14:paraId="3DCDF096" w14:textId="77777777" w:rsidR="00762B7D" w:rsidRPr="00762B7D" w:rsidRDefault="00762B7D" w:rsidP="00762B7D">
      <w:pPr>
        <w:spacing w:after="0"/>
        <w:ind w:right="-7" w:firstLine="567"/>
        <w:jc w:val="both"/>
        <w:rPr>
          <w:rFonts w:cs="Times New Roman"/>
          <w:szCs w:val="24"/>
        </w:rPr>
      </w:pPr>
      <w:r w:rsidRPr="00762B7D">
        <w:rPr>
          <w:rFonts w:cs="Times New Roman"/>
          <w:szCs w:val="24"/>
        </w:rPr>
        <w:t>A key contribution of this study lies in the identification of organizational complexity as the most influential predictor of AI mediator adoption. The exceptionally large effect size associated with OC (f² = 1.634) demonstrates that institutional structures, policies, and technological infrastructure play a dominant role in shaping learners’ intentions. This finding reinforces the argument that technology adoption in educational environments is not merely an individual decision but is heavily dependent on the readiness and capability of organizational systems (Scott, 2008; Teo, 2011). The strong direct effect of OC on intention suggests that institutions must prioritize system integration and support mechanisms to facilitate effective AI adoption.</w:t>
      </w:r>
    </w:p>
    <w:p w14:paraId="2093866E" w14:textId="405E84E0" w:rsidR="00762B7D" w:rsidRPr="00762B7D" w:rsidRDefault="00762B7D" w:rsidP="00762B7D">
      <w:pPr>
        <w:spacing w:after="0"/>
        <w:ind w:right="-7" w:firstLine="567"/>
        <w:jc w:val="both"/>
        <w:rPr>
          <w:rFonts w:cs="Times New Roman"/>
          <w:szCs w:val="24"/>
        </w:rPr>
      </w:pPr>
      <w:r w:rsidRPr="00762B7D">
        <w:rPr>
          <w:rFonts w:cs="Times New Roman"/>
          <w:szCs w:val="24"/>
        </w:rPr>
        <w:t>The mediation analysis further highlights the critical role of organizational complexity as a central mechanism through which individual and social factors influence intention. The substantial indirect effects observed, particularly for subjective norm (β = 0.671), indicate that social pressures are largely institutionalized within organizational structures. This suggests that organizational systems act as a conduit through which external expectations are translated into actionable behaviors. Such findings extend the TPB framework by demonstrating that institutional context mediates the relationship between psychological determinants and behavioral outcomes, thereby providing a more nuanced understanding of technology adoption processes (Hair et al., 2019).</w:t>
      </w:r>
    </w:p>
    <w:p w14:paraId="5698FEEE" w14:textId="77777777" w:rsidR="00762B7D" w:rsidRPr="00762B7D" w:rsidRDefault="00762B7D" w:rsidP="00762B7D">
      <w:pPr>
        <w:spacing w:after="0"/>
        <w:ind w:right="-7" w:firstLine="567"/>
        <w:jc w:val="both"/>
        <w:rPr>
          <w:rFonts w:cs="Times New Roman"/>
          <w:szCs w:val="24"/>
        </w:rPr>
      </w:pPr>
      <w:r w:rsidRPr="00762B7D">
        <w:rPr>
          <w:rFonts w:cs="Times New Roman"/>
          <w:szCs w:val="24"/>
        </w:rPr>
        <w:lastRenderedPageBreak/>
        <w:t>In contrast, synchronous expert guidance (EXT) was found to play a complementary but less dominant role in influencing intention. Although EXT significantly mediates the relationship between perceived behavioral control and intention, its overall effect size remains comparatively smaller (f² = 0.098). This suggests that while expert facilitation enhances learners’ confidence and supports technology usage, it does not substitute for the foundational role of organizational infrastructure. This finding is consistent with prior studies highlighting that facilitating conditions and external support are important enablers but are secondary to structural and institutional readiness (Venkatesh et al., 2012).</w:t>
      </w:r>
    </w:p>
    <w:p w14:paraId="4678C98D" w14:textId="5CFAABC0" w:rsidR="00762B7D" w:rsidRPr="00762B7D" w:rsidRDefault="00762B7D" w:rsidP="00762B7D">
      <w:pPr>
        <w:spacing w:after="0"/>
        <w:ind w:right="-7" w:firstLine="567"/>
        <w:jc w:val="both"/>
        <w:rPr>
          <w:rFonts w:cs="Times New Roman"/>
          <w:szCs w:val="24"/>
        </w:rPr>
      </w:pPr>
      <w:r w:rsidRPr="00762B7D">
        <w:rPr>
          <w:rFonts w:cs="Times New Roman"/>
          <w:szCs w:val="24"/>
        </w:rPr>
        <w:t>The comparative analysis between East Coast and Southern Malaysia provides valuable context-specific insights into the adoption of AI mediators. The results indicate that organizational complexity plays a more significant role in the East Coast region, where institutional support systems are essential for overcoming limitations in technological exposure and infrastructure. Conversely, in Southern Malaysia, synchronous expert guidance exerts a stronger influence, reflecting greater reliance on interactive and expert-driven learning environments in technologically advanced contexts. These findings underscore the importance of tailoring AI adoption strategies to regional characteristics, as the effectiveness of mediating mechanisms varies depending on contextual conditions (</w:t>
      </w:r>
      <w:r w:rsidR="00C56C47">
        <w:t xml:space="preserve">Avci, 2026; </w:t>
      </w:r>
      <w:proofErr w:type="spellStart"/>
      <w:r w:rsidRPr="00762B7D">
        <w:rPr>
          <w:rFonts w:cs="Times New Roman"/>
          <w:szCs w:val="24"/>
        </w:rPr>
        <w:t>Tarhini</w:t>
      </w:r>
      <w:proofErr w:type="spellEnd"/>
      <w:r w:rsidRPr="00762B7D">
        <w:rPr>
          <w:rFonts w:cs="Times New Roman"/>
          <w:szCs w:val="24"/>
        </w:rPr>
        <w:t xml:space="preserve"> et al., 2015).</w:t>
      </w:r>
    </w:p>
    <w:p w14:paraId="22D8FEF1" w14:textId="1765E095" w:rsidR="00762B7D" w:rsidRPr="00762B7D" w:rsidRDefault="00762B7D" w:rsidP="00762B7D">
      <w:pPr>
        <w:spacing w:after="0"/>
        <w:ind w:right="-7" w:firstLine="567"/>
        <w:jc w:val="both"/>
        <w:rPr>
          <w:rFonts w:cs="Times New Roman"/>
          <w:szCs w:val="24"/>
        </w:rPr>
      </w:pPr>
      <w:r w:rsidRPr="00762B7D">
        <w:rPr>
          <w:rFonts w:cs="Times New Roman"/>
          <w:szCs w:val="24"/>
        </w:rPr>
        <w:t>Theoretically, this study contributes to the literature by extending the TPB model to include organizational and external mediating factors, thereby bridging the gap between individual-level and institutional-level explanations of behavior</w:t>
      </w:r>
      <w:r w:rsidR="00C56C47">
        <w:rPr>
          <w:rFonts w:cs="Times New Roman"/>
          <w:szCs w:val="24"/>
        </w:rPr>
        <w:t xml:space="preserve"> (Tan et al., 2025).</w:t>
      </w:r>
      <w:r w:rsidRPr="00762B7D">
        <w:rPr>
          <w:rFonts w:cs="Times New Roman"/>
          <w:szCs w:val="24"/>
        </w:rPr>
        <w:t xml:space="preserve"> The findings demonstrate that behavioral intention is not solely determined by internal attitudes or perceptions but is significantly shaped by the environment in which individuals operate. This integrated perspective aligns with </w:t>
      </w:r>
      <w:r w:rsidRPr="00EB4D59">
        <w:rPr>
          <w:rFonts w:cs="Times New Roman"/>
          <w:szCs w:val="24"/>
        </w:rPr>
        <w:t>institutional theory, which emphasizes the role of organizational structures in influencing behavior (</w:t>
      </w:r>
      <w:r w:rsidR="006A098D" w:rsidRPr="00EB4D59">
        <w:t>Subramaniam</w:t>
      </w:r>
      <w:r w:rsidR="006A098D" w:rsidRPr="00762B7D">
        <w:rPr>
          <w:rFonts w:cs="Times New Roman"/>
          <w:szCs w:val="24"/>
        </w:rPr>
        <w:t xml:space="preserve"> </w:t>
      </w:r>
      <w:r w:rsidR="006A098D">
        <w:rPr>
          <w:rFonts w:cs="Times New Roman"/>
          <w:szCs w:val="24"/>
        </w:rPr>
        <w:t xml:space="preserve">et al., 2026; </w:t>
      </w:r>
      <w:r w:rsidRPr="00762B7D">
        <w:rPr>
          <w:rFonts w:cs="Times New Roman"/>
          <w:szCs w:val="24"/>
        </w:rPr>
        <w:t>Scott, 2008</w:t>
      </w:r>
      <w:r w:rsidR="00431D76" w:rsidRPr="00762B7D">
        <w:rPr>
          <w:rFonts w:cs="Times New Roman"/>
          <w:szCs w:val="24"/>
        </w:rPr>
        <w:t>) and</w:t>
      </w:r>
      <w:r w:rsidRPr="00762B7D">
        <w:rPr>
          <w:rFonts w:cs="Times New Roman"/>
          <w:szCs w:val="24"/>
        </w:rPr>
        <w:t xml:space="preserve"> highlights the need to consider both psychological and contextual factors in technology adoption research.</w:t>
      </w:r>
    </w:p>
    <w:p w14:paraId="1DE6C3CB" w14:textId="79B9196C" w:rsidR="00423B38" w:rsidRDefault="00762B7D" w:rsidP="00762B7D">
      <w:pPr>
        <w:spacing w:after="0"/>
        <w:ind w:right="-7" w:firstLine="567"/>
        <w:jc w:val="both"/>
        <w:rPr>
          <w:rFonts w:cs="Times New Roman"/>
          <w:szCs w:val="24"/>
        </w:rPr>
      </w:pPr>
      <w:r w:rsidRPr="00762B7D">
        <w:rPr>
          <w:rFonts w:cs="Times New Roman"/>
          <w:szCs w:val="24"/>
        </w:rPr>
        <w:t>From a practical standpoint, the results suggest that educational institutions aiming to promote AI mediator adoption should prioritize the development of robust organizational systems, including technological infrastructure, policy frameworks, and integration strategies. While providing expert guidance and support remains important, these efforts must be complemented by strong institutional foundations to achieve sustained adoption. Policymakers should also recognize regional disparities in technological readiness and design targeted interventions that address specific contextual needs. By focusing on both organizational and external support mechanisms, institutions can create an enabling environment that fosters effective AI integration and enhances learning outcomes.</w:t>
      </w:r>
    </w:p>
    <w:p w14:paraId="3650B11A" w14:textId="77777777" w:rsidR="00DA2138" w:rsidRDefault="00DA2138" w:rsidP="00762B7D">
      <w:pPr>
        <w:spacing w:after="0"/>
        <w:ind w:right="-7" w:firstLine="567"/>
        <w:jc w:val="both"/>
        <w:rPr>
          <w:rFonts w:cs="Times New Roman"/>
          <w:szCs w:val="24"/>
        </w:rPr>
      </w:pPr>
    </w:p>
    <w:p w14:paraId="305EC2EC" w14:textId="77777777" w:rsidR="00DA2138" w:rsidRDefault="00DA2138" w:rsidP="00762B7D">
      <w:pPr>
        <w:spacing w:after="0"/>
        <w:ind w:right="-7" w:firstLine="567"/>
        <w:jc w:val="both"/>
        <w:rPr>
          <w:rFonts w:cs="Times New Roman"/>
          <w:szCs w:val="24"/>
        </w:rPr>
      </w:pPr>
    </w:p>
    <w:p w14:paraId="4E8B8771" w14:textId="77777777" w:rsidR="00DA2138" w:rsidRDefault="00DA2138" w:rsidP="00762B7D">
      <w:pPr>
        <w:spacing w:after="0"/>
        <w:ind w:right="-7" w:firstLine="567"/>
        <w:jc w:val="both"/>
        <w:rPr>
          <w:rFonts w:cs="Times New Roman"/>
          <w:szCs w:val="24"/>
        </w:rPr>
      </w:pPr>
    </w:p>
    <w:p w14:paraId="4633B728" w14:textId="77777777" w:rsidR="00DA2138" w:rsidRPr="006472ED" w:rsidRDefault="00DA2138" w:rsidP="00762B7D">
      <w:pPr>
        <w:spacing w:after="0"/>
        <w:ind w:right="-7" w:firstLine="567"/>
        <w:jc w:val="both"/>
        <w:rPr>
          <w:rFonts w:cs="Times New Roman"/>
          <w:szCs w:val="24"/>
        </w:rPr>
      </w:pPr>
    </w:p>
    <w:p w14:paraId="32F34E3E" w14:textId="77777777" w:rsidR="00332885" w:rsidRDefault="00332885" w:rsidP="00E66395">
      <w:pPr>
        <w:spacing w:after="0"/>
        <w:ind w:right="-7"/>
        <w:jc w:val="center"/>
        <w:rPr>
          <w:rFonts w:cs="Times New Roman"/>
          <w:b/>
          <w:bCs/>
          <w:szCs w:val="24"/>
        </w:rPr>
      </w:pPr>
    </w:p>
    <w:p w14:paraId="0DBA835E" w14:textId="77777777" w:rsidR="00332885" w:rsidRDefault="00332885" w:rsidP="00E66395">
      <w:pPr>
        <w:spacing w:after="0"/>
        <w:ind w:right="-7"/>
        <w:jc w:val="center"/>
        <w:rPr>
          <w:rFonts w:cs="Times New Roman"/>
          <w:b/>
          <w:bCs/>
          <w:szCs w:val="24"/>
        </w:rPr>
      </w:pPr>
    </w:p>
    <w:p w14:paraId="63558F35" w14:textId="3B0D7126" w:rsidR="00E66395" w:rsidRPr="006472ED" w:rsidRDefault="00E66395" w:rsidP="00E66395">
      <w:pPr>
        <w:spacing w:after="0"/>
        <w:ind w:right="-7"/>
        <w:jc w:val="center"/>
        <w:rPr>
          <w:rFonts w:cs="Times New Roman"/>
          <w:b/>
          <w:bCs/>
          <w:szCs w:val="24"/>
        </w:rPr>
      </w:pPr>
      <w:r w:rsidRPr="006472ED">
        <w:rPr>
          <w:rFonts w:cs="Times New Roman"/>
          <w:b/>
          <w:bCs/>
          <w:szCs w:val="24"/>
        </w:rPr>
        <w:lastRenderedPageBreak/>
        <w:t>References</w:t>
      </w:r>
    </w:p>
    <w:p w14:paraId="6463D6D1" w14:textId="77777777" w:rsidR="00E66395" w:rsidRPr="006472ED" w:rsidRDefault="00E66395" w:rsidP="00E66395">
      <w:pPr>
        <w:spacing w:after="0"/>
        <w:ind w:left="567" w:right="-7" w:hanging="567"/>
        <w:jc w:val="both"/>
        <w:rPr>
          <w:rFonts w:cs="Times New Roman"/>
          <w:szCs w:val="24"/>
          <w:shd w:val="clear" w:color="auto" w:fill="FFFFFF"/>
        </w:rPr>
      </w:pPr>
      <w:r w:rsidRPr="006472ED">
        <w:rPr>
          <w:rFonts w:cs="Times New Roman"/>
          <w:szCs w:val="24"/>
          <w:shd w:val="clear" w:color="auto" w:fill="FFFFFF"/>
        </w:rPr>
        <w:t xml:space="preserve">Ajzen, I. (1991). The theory of planned behavior. </w:t>
      </w:r>
      <w:r w:rsidRPr="006472ED">
        <w:rPr>
          <w:rFonts w:cs="Times New Roman"/>
          <w:i/>
          <w:iCs/>
          <w:szCs w:val="24"/>
          <w:shd w:val="clear" w:color="auto" w:fill="FFFFFF"/>
        </w:rPr>
        <w:t>Organizational Behavior and Human Decision Processes, 50</w:t>
      </w:r>
      <w:r w:rsidRPr="006472ED">
        <w:rPr>
          <w:rFonts w:cs="Times New Roman"/>
          <w:szCs w:val="24"/>
          <w:shd w:val="clear" w:color="auto" w:fill="FFFFFF"/>
        </w:rPr>
        <w:t>(2), 179–211.</w:t>
      </w:r>
    </w:p>
    <w:p w14:paraId="4F6D1C8D" w14:textId="651783F4" w:rsidR="00773F2D" w:rsidRDefault="00E66395" w:rsidP="00E66395">
      <w:r>
        <w:br/>
      </w:r>
      <w:r w:rsidR="00773F2D" w:rsidRPr="00773F2D">
        <w:t xml:space="preserve">Avci, A. B. (2026). Machine learning-based prediction of thermal comfort: exploring building </w:t>
      </w:r>
      <w:r w:rsidR="00773F2D">
        <w:br/>
        <w:t xml:space="preserve">  </w:t>
      </w:r>
      <w:r w:rsidR="00773F2D">
        <w:tab/>
      </w:r>
      <w:r w:rsidR="00773F2D" w:rsidRPr="00773F2D">
        <w:t xml:space="preserve">types, climate, ventilation strategies, and seasonal variations. Building Research &amp; </w:t>
      </w:r>
      <w:r w:rsidR="00773F2D">
        <w:br/>
        <w:t xml:space="preserve"> </w:t>
      </w:r>
      <w:r w:rsidR="00773F2D">
        <w:tab/>
      </w:r>
      <w:r w:rsidR="00773F2D" w:rsidRPr="00773F2D">
        <w:t>Information, 54(1), 100-117.</w:t>
      </w:r>
    </w:p>
    <w:p w14:paraId="7983D1CE" w14:textId="4B6A7DE8" w:rsidR="0078568A" w:rsidRDefault="0078568A" w:rsidP="00E66395">
      <w:r w:rsidRPr="00EB4D59">
        <w:t xml:space="preserve">Aziz, S. Q. A., Taha, N. M., </w:t>
      </w:r>
      <w:proofErr w:type="spellStart"/>
      <w:r w:rsidRPr="00EB4D59">
        <w:t>Sandramogan</w:t>
      </w:r>
      <w:proofErr w:type="spellEnd"/>
      <w:r w:rsidRPr="00EB4D59">
        <w:t xml:space="preserve">, Y., Kasim, N. M., &amp; Harun, S. A. (2025). Financial </w:t>
      </w:r>
      <w:r w:rsidRPr="00EB4D59">
        <w:br/>
        <w:t xml:space="preserve">     </w:t>
      </w:r>
      <w:r w:rsidRPr="00EB4D59">
        <w:tab/>
        <w:t xml:space="preserve">issues and students’ stress among private university students in Selangor, Malaysia. </w:t>
      </w:r>
      <w:r w:rsidRPr="00EB4D59">
        <w:br/>
        <w:t xml:space="preserve"> </w:t>
      </w:r>
      <w:r w:rsidRPr="00EB4D59">
        <w:tab/>
        <w:t>International Journal of Research and Innovation in Social Science, IX, 6982-6990</w:t>
      </w:r>
      <w:r w:rsidRPr="0078568A">
        <w:t>.</w:t>
      </w:r>
    </w:p>
    <w:p w14:paraId="022A6774" w14:textId="64B4FAAF" w:rsidR="00C56C47" w:rsidRDefault="00C56C47" w:rsidP="0078568A">
      <w:r w:rsidRPr="00C56C47">
        <w:t xml:space="preserve">Fauzi, M. A., Harun, S. A., Martin, T., Paiman, N., &amp; Firdaus Hussin, M. S. (2021). Smartphone </w:t>
      </w:r>
      <w:r>
        <w:br/>
        <w:t xml:space="preserve">  </w:t>
      </w:r>
      <w:r>
        <w:tab/>
      </w:r>
      <w:r w:rsidRPr="00C56C47">
        <w:t xml:space="preserve">Addiction among Young Adolescents: Integration of Flow Theory and Fear of Missing </w:t>
      </w:r>
      <w:r>
        <w:br/>
        <w:t xml:space="preserve"> </w:t>
      </w:r>
      <w:r>
        <w:tab/>
      </w:r>
      <w:r w:rsidRPr="00C56C47">
        <w:t>Out. International Journal of Information &amp; Management Sciences, 32(1).</w:t>
      </w:r>
    </w:p>
    <w:p w14:paraId="7BD6F8EE" w14:textId="5F881214" w:rsidR="0078568A" w:rsidRDefault="0078568A" w:rsidP="0078568A">
      <w:r>
        <w:t xml:space="preserve">Hair, J. F., Hult, G. T. M., Ringle, C. M., &amp; Sarstedt, M. (2019). A primer on partial least </w:t>
      </w:r>
    </w:p>
    <w:p w14:paraId="554ECDDF" w14:textId="77777777" w:rsidR="0078568A" w:rsidRDefault="0078568A" w:rsidP="0078568A">
      <w:r>
        <w:t xml:space="preserve"> </w:t>
      </w:r>
      <w:r>
        <w:tab/>
        <w:t>squares structural equation modeling (PLS-SEM) (2nd ed.). Sage Publications.</w:t>
      </w:r>
    </w:p>
    <w:p w14:paraId="5C64907E" w14:textId="600A5612" w:rsidR="006A098D" w:rsidRDefault="006A098D" w:rsidP="00773F2D">
      <w:r w:rsidRPr="006A098D">
        <w:t xml:space="preserve">Halim, H. A., Hanifah, H. M., Waqas, A., &amp; Ahmad, N. H. (2026). Reimagining Strategic </w:t>
      </w:r>
      <w:r>
        <w:br/>
        <w:t xml:space="preserve">  </w:t>
      </w:r>
      <w:r>
        <w:tab/>
      </w:r>
      <w:r w:rsidRPr="006A098D">
        <w:t xml:space="preserve">Foresight through the Lens of Digital Technology Adoption. International Journal of </w:t>
      </w:r>
      <w:r>
        <w:br/>
        <w:t xml:space="preserve"> </w:t>
      </w:r>
      <w:r>
        <w:tab/>
      </w:r>
      <w:r w:rsidRPr="006A098D">
        <w:t xml:space="preserve">Academic </w:t>
      </w:r>
      <w:proofErr w:type="spellStart"/>
      <w:r w:rsidRPr="006A098D">
        <w:t>Reserach</w:t>
      </w:r>
      <w:proofErr w:type="spellEnd"/>
      <w:r w:rsidRPr="006A098D">
        <w:t xml:space="preserve"> in Economics and Management Sciences, 15(1), 492-504. </w:t>
      </w:r>
    </w:p>
    <w:p w14:paraId="09E751CB" w14:textId="5B6C14BD" w:rsidR="00725401" w:rsidRDefault="00725401" w:rsidP="00773F2D">
      <w:r w:rsidRPr="00725401">
        <w:t xml:space="preserve">Hasan, A., </w:t>
      </w:r>
      <w:proofErr w:type="spellStart"/>
      <w:r w:rsidRPr="00725401">
        <w:t>Raghuwanshi</w:t>
      </w:r>
      <w:proofErr w:type="spellEnd"/>
      <w:r w:rsidRPr="00725401">
        <w:t xml:space="preserve">, S., </w:t>
      </w:r>
      <w:proofErr w:type="spellStart"/>
      <w:r w:rsidRPr="00725401">
        <w:t>Harsora</w:t>
      </w:r>
      <w:proofErr w:type="spellEnd"/>
      <w:r w:rsidRPr="00725401">
        <w:t xml:space="preserve">, H., Kumar, P., Gupta, V., &amp; Singh, A. S. (2025). </w:t>
      </w:r>
      <w:r>
        <w:t xml:space="preserve"> </w:t>
      </w:r>
      <w:r>
        <w:br/>
        <w:t xml:space="preserve"> </w:t>
      </w:r>
      <w:r>
        <w:tab/>
      </w:r>
      <w:proofErr w:type="spellStart"/>
      <w:r w:rsidRPr="00725401">
        <w:t>Elearning</w:t>
      </w:r>
      <w:proofErr w:type="spellEnd"/>
      <w:r w:rsidRPr="00725401">
        <w:t xml:space="preserve"> adoption among millennials: </w:t>
      </w:r>
      <w:proofErr w:type="spellStart"/>
      <w:r w:rsidRPr="00725401">
        <w:t>behavioural</w:t>
      </w:r>
      <w:proofErr w:type="spellEnd"/>
      <w:r w:rsidRPr="00725401">
        <w:t xml:space="preserve"> intentions and the extended UTAUT </w:t>
      </w:r>
      <w:r>
        <w:br/>
        <w:t xml:space="preserve"> </w:t>
      </w:r>
      <w:r>
        <w:tab/>
      </w:r>
      <w:r w:rsidRPr="00725401">
        <w:t xml:space="preserve">model. Discover Education, 4(1), 400. </w:t>
      </w:r>
    </w:p>
    <w:p w14:paraId="35ECDB58" w14:textId="13909623" w:rsidR="00725401" w:rsidRDefault="00725401" w:rsidP="00773F2D">
      <w:r w:rsidRPr="00725401">
        <w:t xml:space="preserve">Hou, A. C., Pham </w:t>
      </w:r>
      <w:proofErr w:type="spellStart"/>
      <w:r w:rsidRPr="00725401">
        <w:t>Thi</w:t>
      </w:r>
      <w:proofErr w:type="spellEnd"/>
      <w:r w:rsidRPr="00725401">
        <w:t xml:space="preserve">, T. D., &amp; Duong, N. T. (2026). Understanding Employee Intentions to </w:t>
      </w:r>
      <w:r>
        <w:br/>
        <w:t xml:space="preserve"> </w:t>
      </w:r>
      <w:r>
        <w:tab/>
      </w:r>
      <w:r w:rsidRPr="00725401">
        <w:t xml:space="preserve">Adopt AI Technologies in the High-Tech Industry. Journal of Organizational Computing </w:t>
      </w:r>
      <w:r>
        <w:br/>
        <w:t xml:space="preserve"> </w:t>
      </w:r>
      <w:r>
        <w:tab/>
      </w:r>
      <w:r w:rsidRPr="00725401">
        <w:t xml:space="preserve">and Electronic Commerce, 1-28. </w:t>
      </w:r>
    </w:p>
    <w:p w14:paraId="56FBBBDB" w14:textId="77777777" w:rsidR="006A098D" w:rsidRDefault="006A098D" w:rsidP="00773F2D">
      <w:proofErr w:type="spellStart"/>
      <w:r w:rsidRPr="006A098D">
        <w:t>Koltsida</w:t>
      </w:r>
      <w:proofErr w:type="spellEnd"/>
      <w:r w:rsidRPr="006A098D">
        <w:t xml:space="preserve">, A., Cheong, I. H., &amp; </w:t>
      </w:r>
      <w:proofErr w:type="spellStart"/>
      <w:r w:rsidRPr="006A098D">
        <w:t>Kozlakidis</w:t>
      </w:r>
      <w:proofErr w:type="spellEnd"/>
      <w:r w:rsidRPr="006A098D">
        <w:t xml:space="preserve">, Z. (2026). Organization of People and Behavioral </w:t>
      </w:r>
      <w:r>
        <w:t xml:space="preserve"> </w:t>
      </w:r>
      <w:r>
        <w:br/>
        <w:t xml:space="preserve"> </w:t>
      </w:r>
      <w:r>
        <w:tab/>
      </w:r>
      <w:r w:rsidRPr="006A098D">
        <w:t xml:space="preserve">Insights. In Organizational Insights: Healthcare Perspective: An Introduction to the </w:t>
      </w:r>
      <w:r>
        <w:t xml:space="preserve">   </w:t>
      </w:r>
      <w:r>
        <w:br/>
        <w:t xml:space="preserve"> </w:t>
      </w:r>
      <w:r>
        <w:tab/>
      </w:r>
      <w:r w:rsidRPr="006A098D">
        <w:t xml:space="preserve">Dynamics of Healthcare Excellence (pp. 35-48). Cham: Springer Nature Switzerland. </w:t>
      </w:r>
      <w:r>
        <w:br/>
      </w:r>
    </w:p>
    <w:p w14:paraId="5620FF8B" w14:textId="0D1E1AED" w:rsidR="00773F2D" w:rsidRPr="00332885" w:rsidRDefault="00773F2D" w:rsidP="00773F2D">
      <w:r w:rsidRPr="00332885">
        <w:t xml:space="preserve">Preacher, K. J., &amp; Hayes, A. F. (2008). Asymptotic and resampling strategies for assessing </w:t>
      </w:r>
      <w:r>
        <w:br/>
        <w:t xml:space="preserve"> </w:t>
      </w:r>
      <w:r>
        <w:tab/>
      </w:r>
      <w:r w:rsidRPr="00332885">
        <w:t xml:space="preserve">indirect effects in multiple mediator models. </w:t>
      </w:r>
      <w:r w:rsidRPr="00332885">
        <w:rPr>
          <w:i/>
          <w:iCs/>
        </w:rPr>
        <w:t>Behavior Research Methods, 40</w:t>
      </w:r>
      <w:r w:rsidRPr="00332885">
        <w:t>(3), 879–</w:t>
      </w:r>
      <w:r>
        <w:br/>
        <w:t xml:space="preserve"> </w:t>
      </w:r>
      <w:r>
        <w:tab/>
      </w:r>
      <w:r w:rsidRPr="00332885">
        <w:t>891.</w:t>
      </w:r>
    </w:p>
    <w:p w14:paraId="774761B3" w14:textId="3AD76FA8" w:rsidR="006A098D" w:rsidRDefault="006A098D" w:rsidP="0078568A">
      <w:r w:rsidRPr="006A098D">
        <w:t xml:space="preserve">Ringle, C. M., Sarstedt, M., Sinkovics, N., &amp; Sinkovics, R. R. (2023). A perspective on using </w:t>
      </w:r>
      <w:r>
        <w:br/>
        <w:t xml:space="preserve"> </w:t>
      </w:r>
      <w:r>
        <w:tab/>
      </w:r>
      <w:r w:rsidRPr="006A098D">
        <w:t xml:space="preserve">partial least squares structural equation modelling in data articles. Data in brief, 48, </w:t>
      </w:r>
      <w:r>
        <w:br/>
        <w:t xml:space="preserve"> </w:t>
      </w:r>
      <w:r>
        <w:tab/>
      </w:r>
      <w:r w:rsidRPr="006A098D">
        <w:t>109074.</w:t>
      </w:r>
    </w:p>
    <w:p w14:paraId="3D9E25AA" w14:textId="51990AFD" w:rsidR="00E66395" w:rsidRDefault="00E66395" w:rsidP="0078568A">
      <w:r>
        <w:lastRenderedPageBreak/>
        <w:t xml:space="preserve">Scott, W. R. (2008). Institutions and organizations: Ideas and interests (3rd ed.). Sage </w:t>
      </w:r>
      <w:r>
        <w:br/>
        <w:t xml:space="preserve"> </w:t>
      </w:r>
      <w:r>
        <w:tab/>
        <w:t>Publications.</w:t>
      </w:r>
    </w:p>
    <w:p w14:paraId="7717B083" w14:textId="3BB16A20" w:rsidR="00E66395" w:rsidRDefault="00E66395" w:rsidP="00E66395">
      <w:proofErr w:type="spellStart"/>
      <w:r>
        <w:t>Tarhini</w:t>
      </w:r>
      <w:proofErr w:type="spellEnd"/>
      <w:r>
        <w:t xml:space="preserve">, A., Hone, K., &amp; Liu, X. (2015). A cross-cultural examination of the factors affecting </w:t>
      </w:r>
      <w:r>
        <w:br/>
        <w:t xml:space="preserve"> </w:t>
      </w:r>
      <w:r>
        <w:tab/>
        <w:t>behavioral intention to use e-learning systems. Computers in Human Behavior, 49, 1–13.</w:t>
      </w:r>
    </w:p>
    <w:p w14:paraId="62DB95E9" w14:textId="7C7F0BEC" w:rsidR="00E66395" w:rsidRDefault="00E66395" w:rsidP="00E66395">
      <w:r>
        <w:t xml:space="preserve">Teo, T. (2011). Factors influencing teachers’ intention to use technology. Computers &amp; </w:t>
      </w:r>
      <w:r>
        <w:br/>
        <w:t xml:space="preserve"> </w:t>
      </w:r>
      <w:r>
        <w:tab/>
        <w:t>Education, 57(4), 2432–2440.</w:t>
      </w:r>
    </w:p>
    <w:p w14:paraId="1A49A9E7" w14:textId="19EE5516" w:rsidR="00773F2D" w:rsidRDefault="00773F2D" w:rsidP="00332885">
      <w:bookmarkStart w:id="0" w:name="_Hlk229751740"/>
      <w:r w:rsidRPr="00773F2D">
        <w:t>ul Haq</w:t>
      </w:r>
      <w:bookmarkEnd w:id="0"/>
      <w:r w:rsidRPr="00773F2D">
        <w:t xml:space="preserve">, F., Asim, M., Suki, N. M., Zakaria, N., &amp; Hussain, S. (2026). AI adoption and </w:t>
      </w:r>
      <w:r>
        <w:t xml:space="preserve"> </w:t>
      </w:r>
      <w:r>
        <w:br/>
        <w:t xml:space="preserve">  </w:t>
      </w:r>
      <w:r>
        <w:tab/>
      </w:r>
      <w:r w:rsidRPr="00773F2D">
        <w:t xml:space="preserve">educational effectiveness in emerging higher education institutions: the moderating role </w:t>
      </w:r>
      <w:r>
        <w:br/>
        <w:t xml:space="preserve">  </w:t>
      </w:r>
      <w:r>
        <w:tab/>
      </w:r>
      <w:r w:rsidRPr="00773F2D">
        <w:t xml:space="preserve">of digital literacy and institutional support. Journal of Information &amp; Knowledge </w:t>
      </w:r>
      <w:r>
        <w:br/>
        <w:t xml:space="preserve"> </w:t>
      </w:r>
      <w:r>
        <w:tab/>
      </w:r>
      <w:r w:rsidRPr="00773F2D">
        <w:t>Management, 25(03), 2550090.</w:t>
      </w:r>
    </w:p>
    <w:p w14:paraId="678AFE88" w14:textId="3306B0CC" w:rsidR="00773F2D" w:rsidRPr="00773F2D" w:rsidRDefault="00773F2D" w:rsidP="00332885">
      <w:r w:rsidRPr="00773F2D">
        <w:t xml:space="preserve">Obeng, H. A., Gyamfi, B. A., Mensah, L., </w:t>
      </w:r>
      <w:proofErr w:type="spellStart"/>
      <w:r w:rsidRPr="00773F2D">
        <w:t>Arhinful</w:t>
      </w:r>
      <w:proofErr w:type="spellEnd"/>
      <w:r w:rsidRPr="00773F2D">
        <w:t xml:space="preserve">, R., &amp; Sarwar, A. (2026). Employees’ </w:t>
      </w:r>
      <w:r>
        <w:br/>
        <w:t xml:space="preserve"> </w:t>
      </w:r>
      <w:r>
        <w:tab/>
      </w:r>
      <w:r w:rsidRPr="00773F2D">
        <w:t xml:space="preserve">behavioral intention to use AI and organizational efficiency in an emerging economy: </w:t>
      </w:r>
      <w:r>
        <w:t xml:space="preserve"> </w:t>
      </w:r>
      <w:r>
        <w:br/>
        <w:t xml:space="preserve"> </w:t>
      </w:r>
      <w:r>
        <w:tab/>
      </w:r>
      <w:r w:rsidRPr="00773F2D">
        <w:t xml:space="preserve">The serial mediating roles of technology readiness and digital culture. Discover Artificial </w:t>
      </w:r>
      <w:r>
        <w:br/>
        <w:t xml:space="preserve"> </w:t>
      </w:r>
      <w:r>
        <w:tab/>
      </w:r>
      <w:r w:rsidRPr="00773F2D">
        <w:t>Intelligence.</w:t>
      </w:r>
      <w:r w:rsidRPr="00773F2D">
        <w:rPr>
          <w:highlight w:val="yellow"/>
        </w:rPr>
        <w:t xml:space="preserve"> </w:t>
      </w:r>
    </w:p>
    <w:p w14:paraId="5DC59D63" w14:textId="6C7BCE92" w:rsidR="006A098D" w:rsidRDefault="006A098D" w:rsidP="00332885">
      <w:pPr>
        <w:rPr>
          <w:highlight w:val="yellow"/>
        </w:rPr>
      </w:pPr>
      <w:bookmarkStart w:id="1" w:name="_Hlk229752848"/>
      <w:proofErr w:type="spellStart"/>
      <w:r w:rsidRPr="006A098D">
        <w:t>Salendab</w:t>
      </w:r>
      <w:proofErr w:type="spellEnd"/>
      <w:r w:rsidRPr="006A098D">
        <w:t>, F. A., &amp; Almano</w:t>
      </w:r>
      <w:bookmarkEnd w:id="1"/>
      <w:r w:rsidRPr="006A098D">
        <w:t xml:space="preserve">n, L. G. (2026). Cultural Dynamics and Leadership Practices in </w:t>
      </w:r>
      <w:r>
        <w:br/>
        <w:t xml:space="preserve"> </w:t>
      </w:r>
      <w:r>
        <w:tab/>
      </w:r>
      <w:r w:rsidRPr="006A098D">
        <w:t xml:space="preserve">ASEAN Higher Education. In Cultural and Political Impacts on Educational Leadership </w:t>
      </w:r>
      <w:r>
        <w:br/>
        <w:t xml:space="preserve"> </w:t>
      </w:r>
      <w:r>
        <w:tab/>
      </w:r>
      <w:r w:rsidRPr="006A098D">
        <w:t>in ASEAN (pp. 29-54). IGI Global Scientific Publishing.</w:t>
      </w:r>
      <w:r w:rsidRPr="006A098D">
        <w:rPr>
          <w:highlight w:val="yellow"/>
        </w:rPr>
        <w:t xml:space="preserve"> </w:t>
      </w:r>
    </w:p>
    <w:p w14:paraId="37195FAE" w14:textId="5B8378FE" w:rsidR="0078568A" w:rsidRDefault="0078568A" w:rsidP="00332885">
      <w:r w:rsidRPr="00EB4D59">
        <w:t xml:space="preserve">Subramaniam, S., Aziz, S. Q. A., Harun, S. A., Kasim, N. M., &amp; Fauzi, M. A. (2025). Academic </w:t>
      </w:r>
      <w:r w:rsidRPr="00EB4D59">
        <w:br/>
        <w:t xml:space="preserve"> </w:t>
      </w:r>
      <w:r w:rsidRPr="00EB4D59">
        <w:tab/>
        <w:t xml:space="preserve">Demands </w:t>
      </w:r>
      <w:proofErr w:type="gramStart"/>
      <w:r w:rsidRPr="00EB4D59">
        <w:t>And</w:t>
      </w:r>
      <w:proofErr w:type="gramEnd"/>
      <w:r w:rsidRPr="00EB4D59">
        <w:t xml:space="preserve"> Employment Type Towards Psychological Well-Being Among Young </w:t>
      </w:r>
      <w:r w:rsidRPr="00EB4D59">
        <w:br/>
        <w:t xml:space="preserve"> </w:t>
      </w:r>
      <w:r w:rsidRPr="00EB4D59">
        <w:tab/>
        <w:t xml:space="preserve">Adult Portrays Negativity. Quantum Journal of Social Sciences and Humanities, 6(2), </w:t>
      </w:r>
      <w:r w:rsidRPr="00EB4D59">
        <w:br/>
        <w:t xml:space="preserve"> </w:t>
      </w:r>
      <w:r w:rsidRPr="00EB4D59">
        <w:tab/>
        <w:t>408-415.</w:t>
      </w:r>
    </w:p>
    <w:p w14:paraId="669B6786" w14:textId="269A0B7E" w:rsidR="00C56C47" w:rsidRDefault="00C56C47" w:rsidP="00332885">
      <w:r w:rsidRPr="00C56C47">
        <w:t xml:space="preserve">Tan, C. N. L., Fauzi, M. A., &amp; Harun, S. A. B. (2025). From perceived green product quality to </w:t>
      </w:r>
      <w:r>
        <w:br/>
        <w:t xml:space="preserve"> </w:t>
      </w:r>
      <w:r>
        <w:tab/>
      </w:r>
      <w:r w:rsidRPr="00C56C47">
        <w:t xml:space="preserve">purchase intention: the roles of price sensitivity and environmental concern. Marketing </w:t>
      </w:r>
      <w:r>
        <w:br/>
        <w:t xml:space="preserve"> </w:t>
      </w:r>
      <w:r>
        <w:tab/>
      </w:r>
      <w:r w:rsidRPr="00C56C47">
        <w:t>Intelligence &amp; Planning, 43(7), 1329-1348.</w:t>
      </w:r>
    </w:p>
    <w:p w14:paraId="265A1266" w14:textId="2472E3D7" w:rsidR="00332885" w:rsidRPr="00332885" w:rsidRDefault="00332885" w:rsidP="00332885">
      <w:r w:rsidRPr="00332885">
        <w:t xml:space="preserve">Venkatesh, V., Thong, J. Y. L., &amp; Xu, X. (2012). Consumer acceptance and use of information </w:t>
      </w:r>
      <w:r>
        <w:br/>
        <w:t xml:space="preserve"> </w:t>
      </w:r>
      <w:r>
        <w:tab/>
      </w:r>
      <w:r w:rsidRPr="00332885">
        <w:t xml:space="preserve">technology. </w:t>
      </w:r>
      <w:r w:rsidRPr="00332885">
        <w:rPr>
          <w:i/>
          <w:iCs/>
        </w:rPr>
        <w:t>MIS Quarterly, 36</w:t>
      </w:r>
      <w:r w:rsidRPr="00332885">
        <w:t>(1), 157–178.</w:t>
      </w:r>
    </w:p>
    <w:p w14:paraId="28630D88" w14:textId="77777777" w:rsidR="0078568A" w:rsidRDefault="0078568A" w:rsidP="0078568A">
      <w:r>
        <w:t xml:space="preserve">Venkatesh, V., Morris, M. G., Davis, G. B., &amp; Davis, F. D. (2003). User acceptance of </w:t>
      </w:r>
      <w:r>
        <w:br/>
        <w:t xml:space="preserve"> </w:t>
      </w:r>
      <w:r>
        <w:tab/>
        <w:t>information technology: Toward a unified view. MIS Quarterly, 27(3), 425–478.</w:t>
      </w:r>
    </w:p>
    <w:p w14:paraId="5E594BCC" w14:textId="31D17AED" w:rsidR="00332885" w:rsidRDefault="00725401" w:rsidP="00E66395">
      <w:bookmarkStart w:id="2" w:name="_Hlk229752161"/>
      <w:proofErr w:type="spellStart"/>
      <w:r w:rsidRPr="00725401">
        <w:t>Vistari</w:t>
      </w:r>
      <w:proofErr w:type="spellEnd"/>
      <w:r w:rsidRPr="00725401">
        <w:t>, L., &amp; Yuliasri</w:t>
      </w:r>
      <w:bookmarkEnd w:id="2"/>
      <w:r w:rsidRPr="00725401">
        <w:t xml:space="preserve">, I. (2026). From Digital Proficiency </w:t>
      </w:r>
      <w:proofErr w:type="gramStart"/>
      <w:r w:rsidRPr="00725401">
        <w:t>To</w:t>
      </w:r>
      <w:proofErr w:type="gramEnd"/>
      <w:r w:rsidRPr="00725401">
        <w:t xml:space="preserve"> Communicative Confidence: The </w:t>
      </w:r>
      <w:r>
        <w:br/>
        <w:t xml:space="preserve"> </w:t>
      </w:r>
      <w:r>
        <w:tab/>
      </w:r>
      <w:r w:rsidRPr="00725401">
        <w:t xml:space="preserve">Mediating Role </w:t>
      </w:r>
      <w:proofErr w:type="gramStart"/>
      <w:r w:rsidRPr="00725401">
        <w:t>Of</w:t>
      </w:r>
      <w:proofErr w:type="gramEnd"/>
      <w:r w:rsidRPr="00725401">
        <w:t xml:space="preserve"> Attitudes </w:t>
      </w:r>
      <w:proofErr w:type="gramStart"/>
      <w:r w:rsidRPr="00725401">
        <w:t>In</w:t>
      </w:r>
      <w:proofErr w:type="gramEnd"/>
      <w:r w:rsidRPr="00725401">
        <w:t xml:space="preserve"> Ai-Assisted Language Learning. English Review: Journal </w:t>
      </w:r>
      <w:r>
        <w:br/>
        <w:t xml:space="preserve"> </w:t>
      </w:r>
      <w:r>
        <w:tab/>
      </w:r>
      <w:r w:rsidRPr="00725401">
        <w:t>of English Education, 14(1), 95-110.</w:t>
      </w:r>
    </w:p>
    <w:p w14:paraId="6DD98C35" w14:textId="77777777" w:rsidR="00431D76" w:rsidRPr="00431D76" w:rsidRDefault="00725401" w:rsidP="00431D76">
      <w:pPr>
        <w:jc w:val="both"/>
      </w:pPr>
      <w:r w:rsidRPr="00725401">
        <w:t xml:space="preserve">Xue, L., Mahat, J., &amp; Ghazali, N. (2026). Technology Acceptance Model in Artificial </w:t>
      </w:r>
      <w:r>
        <w:t xml:space="preserve"> </w:t>
      </w:r>
      <w:r>
        <w:br/>
        <w:t xml:space="preserve"> </w:t>
      </w:r>
      <w:r>
        <w:tab/>
      </w:r>
      <w:r w:rsidRPr="00725401">
        <w:t>Intelligence in Education: A Meta-Analysis. Sage Open, 16(1), 21582440251409441.</w:t>
      </w:r>
      <w:r w:rsidR="00431D76">
        <w:br/>
      </w:r>
      <w:r w:rsidR="00431D76">
        <w:br/>
      </w:r>
      <w:r w:rsidR="00431D76" w:rsidRPr="00EB4D59">
        <w:rPr>
          <w:b/>
          <w:bCs/>
        </w:rPr>
        <w:lastRenderedPageBreak/>
        <w:t>Acknowledgement</w:t>
      </w:r>
      <w:r w:rsidR="00431D76">
        <w:br/>
      </w:r>
      <w:r w:rsidR="00431D76">
        <w:br/>
      </w:r>
      <w:r w:rsidR="00431D76" w:rsidRPr="00431D76">
        <w:t xml:space="preserve">The authors would like to express their sincere gratitude to </w:t>
      </w:r>
      <w:r w:rsidR="00431D76" w:rsidRPr="00431D76">
        <w:rPr>
          <w:b/>
          <w:bCs/>
        </w:rPr>
        <w:t>UNITAR International University</w:t>
      </w:r>
      <w:r w:rsidR="00431D76" w:rsidRPr="00431D76">
        <w:t xml:space="preserve"> for providing the financial support and funding that made the publication of this article possible. This support is deeply appreciated as it has contributed significantly to the successful completion and dissemination of this research.</w:t>
      </w:r>
    </w:p>
    <w:p w14:paraId="4DE4D1E0" w14:textId="77777777" w:rsidR="00431D76" w:rsidRPr="00431D76" w:rsidRDefault="00431D76" w:rsidP="00431D76">
      <w:pPr>
        <w:jc w:val="both"/>
      </w:pPr>
      <w:r w:rsidRPr="00431D76">
        <w:t xml:space="preserve">Special appreciation is extended to the </w:t>
      </w:r>
      <w:r w:rsidRPr="00431D76">
        <w:rPr>
          <w:b/>
          <w:bCs/>
        </w:rPr>
        <w:t>corresponding author, Miss Quyume</w:t>
      </w:r>
      <w:r w:rsidRPr="00431D76">
        <w:t>, for her continuous guidance, coordination, and dedication throughout the research and publication process. Her commitment and leadership were instrumental in ensuring the quality and timely completion of this work.</w:t>
      </w:r>
    </w:p>
    <w:p w14:paraId="5E546BB2" w14:textId="77777777" w:rsidR="00431D76" w:rsidRPr="00431D76" w:rsidRDefault="00431D76" w:rsidP="00431D76">
      <w:pPr>
        <w:jc w:val="both"/>
      </w:pPr>
      <w:r w:rsidRPr="00431D76">
        <w:t xml:space="preserve">The authors also wish to acknowledge </w:t>
      </w:r>
      <w:r w:rsidRPr="00431D76">
        <w:rPr>
          <w:b/>
          <w:bCs/>
        </w:rPr>
        <w:t>Nur Muneerah (Universiti Selangor, UNISEL)</w:t>
      </w:r>
      <w:r w:rsidRPr="00431D76">
        <w:t xml:space="preserve"> and </w:t>
      </w:r>
      <w:r w:rsidRPr="00431D76">
        <w:rPr>
          <w:b/>
          <w:bCs/>
        </w:rPr>
        <w:t>Nurnadrah Binti Zaini (University of Wales Malaysia)</w:t>
      </w:r>
      <w:r w:rsidRPr="00431D76">
        <w:t xml:space="preserve"> for their valuable contributions, collaboration, and support in completing this study. Their involvement and shared expertise have greatly enriched the quality of this research.</w:t>
      </w:r>
    </w:p>
    <w:p w14:paraId="67B46607" w14:textId="77777777" w:rsidR="00431D76" w:rsidRPr="00431D76" w:rsidRDefault="00431D76" w:rsidP="00431D76">
      <w:pPr>
        <w:jc w:val="both"/>
      </w:pPr>
      <w:r w:rsidRPr="00431D76">
        <w:t>Finally, the authors extend their appreciation to all individuals and institutions who have directly or indirectly contributed to this study.</w:t>
      </w:r>
    </w:p>
    <w:p w14:paraId="2DA20DD4" w14:textId="0EBAF6A2" w:rsidR="00725401" w:rsidRDefault="00725401" w:rsidP="00E66395"/>
    <w:p w14:paraId="2BC7C9D2" w14:textId="77777777" w:rsidR="00431D76" w:rsidRPr="00E66395" w:rsidRDefault="00431D76" w:rsidP="00E66395"/>
    <w:sectPr w:rsidR="00431D76" w:rsidRPr="00E663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4E6B" w14:textId="77777777" w:rsidR="00BA31A0" w:rsidRDefault="00BA31A0" w:rsidP="00F768A4">
      <w:pPr>
        <w:spacing w:after="0" w:line="240" w:lineRule="auto"/>
      </w:pPr>
      <w:r>
        <w:separator/>
      </w:r>
    </w:p>
  </w:endnote>
  <w:endnote w:type="continuationSeparator" w:id="0">
    <w:p w14:paraId="65779517" w14:textId="77777777" w:rsidR="00BA31A0" w:rsidRDefault="00BA31A0" w:rsidP="00F7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D748" w14:textId="77777777" w:rsidR="00BA31A0" w:rsidRDefault="00BA31A0" w:rsidP="00F768A4">
      <w:pPr>
        <w:spacing w:after="0" w:line="240" w:lineRule="auto"/>
      </w:pPr>
      <w:r>
        <w:separator/>
      </w:r>
    </w:p>
  </w:footnote>
  <w:footnote w:type="continuationSeparator" w:id="0">
    <w:p w14:paraId="6FA1BB7B" w14:textId="77777777" w:rsidR="00BA31A0" w:rsidRDefault="00BA31A0" w:rsidP="00F76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45"/>
    <w:rsid w:val="000673F0"/>
    <w:rsid w:val="001F7E97"/>
    <w:rsid w:val="002B0DA9"/>
    <w:rsid w:val="003204E4"/>
    <w:rsid w:val="00332885"/>
    <w:rsid w:val="00423B38"/>
    <w:rsid w:val="00431D76"/>
    <w:rsid w:val="00463347"/>
    <w:rsid w:val="006328B0"/>
    <w:rsid w:val="006A098D"/>
    <w:rsid w:val="006D7B3E"/>
    <w:rsid w:val="00712426"/>
    <w:rsid w:val="00725401"/>
    <w:rsid w:val="00762B7D"/>
    <w:rsid w:val="00773F2D"/>
    <w:rsid w:val="0078568A"/>
    <w:rsid w:val="007867B2"/>
    <w:rsid w:val="007D2AA8"/>
    <w:rsid w:val="007F0B7B"/>
    <w:rsid w:val="00B06545"/>
    <w:rsid w:val="00BA31A0"/>
    <w:rsid w:val="00BE19C9"/>
    <w:rsid w:val="00C52FE1"/>
    <w:rsid w:val="00C56C47"/>
    <w:rsid w:val="00CF5B52"/>
    <w:rsid w:val="00DA2138"/>
    <w:rsid w:val="00E41985"/>
    <w:rsid w:val="00E66395"/>
    <w:rsid w:val="00EA4D17"/>
    <w:rsid w:val="00EB4D59"/>
    <w:rsid w:val="00EC2EE5"/>
    <w:rsid w:val="00EF0EE8"/>
    <w:rsid w:val="00F130F4"/>
    <w:rsid w:val="00F7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D192"/>
  <w15:chartTrackingRefBased/>
  <w15:docId w15:val="{6183A531-B45B-4668-B406-B6FAACFB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45"/>
    <w:pPr>
      <w:spacing w:after="200" w:line="276" w:lineRule="auto"/>
    </w:pPr>
    <w:rPr>
      <w:rFonts w:ascii="Times New Roman" w:eastAsia="Times New Roman" w:hAnsi="Times New Roman"/>
      <w:kern w:val="0"/>
      <w:szCs w:val="22"/>
      <w14:ligatures w14:val="none"/>
    </w:rPr>
  </w:style>
  <w:style w:type="paragraph" w:styleId="Heading1">
    <w:name w:val="heading 1"/>
    <w:basedOn w:val="Normal"/>
    <w:next w:val="Normal"/>
    <w:link w:val="Heading1Char"/>
    <w:uiPriority w:val="9"/>
    <w:qFormat/>
    <w:rsid w:val="00B065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65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65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654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0654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06545"/>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06545"/>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06545"/>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06545"/>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45"/>
    <w:rPr>
      <w:rFonts w:eastAsiaTheme="majorEastAsia" w:cstheme="majorBidi"/>
      <w:color w:val="272727" w:themeColor="text1" w:themeTint="D8"/>
    </w:rPr>
  </w:style>
  <w:style w:type="paragraph" w:styleId="Title">
    <w:name w:val="Title"/>
    <w:basedOn w:val="Normal"/>
    <w:next w:val="Normal"/>
    <w:link w:val="TitleChar"/>
    <w:uiPriority w:val="10"/>
    <w:qFormat/>
    <w:rsid w:val="00B065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6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6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45"/>
    <w:pPr>
      <w:spacing w:before="160" w:after="160" w:line="278" w:lineRule="auto"/>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06545"/>
    <w:rPr>
      <w:i/>
      <w:iCs/>
      <w:color w:val="404040" w:themeColor="text1" w:themeTint="BF"/>
    </w:rPr>
  </w:style>
  <w:style w:type="paragraph" w:styleId="ListParagraph">
    <w:name w:val="List Paragraph"/>
    <w:basedOn w:val="Normal"/>
    <w:uiPriority w:val="34"/>
    <w:qFormat/>
    <w:rsid w:val="00B06545"/>
    <w:pPr>
      <w:spacing w:after="160" w:line="278" w:lineRule="auto"/>
      <w:ind w:left="720"/>
      <w:contextualSpacing/>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B06545"/>
    <w:rPr>
      <w:i/>
      <w:iCs/>
      <w:color w:val="0F4761" w:themeColor="accent1" w:themeShade="BF"/>
    </w:rPr>
  </w:style>
  <w:style w:type="paragraph" w:styleId="IntenseQuote">
    <w:name w:val="Intense Quote"/>
    <w:basedOn w:val="Normal"/>
    <w:next w:val="Normal"/>
    <w:link w:val="IntenseQuoteChar"/>
    <w:uiPriority w:val="30"/>
    <w:qFormat/>
    <w:rsid w:val="00B065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06545"/>
    <w:rPr>
      <w:i/>
      <w:iCs/>
      <w:color w:val="0F4761" w:themeColor="accent1" w:themeShade="BF"/>
    </w:rPr>
  </w:style>
  <w:style w:type="character" w:styleId="IntenseReference">
    <w:name w:val="Intense Reference"/>
    <w:basedOn w:val="DefaultParagraphFont"/>
    <w:uiPriority w:val="32"/>
    <w:qFormat/>
    <w:rsid w:val="00B06545"/>
    <w:rPr>
      <w:b/>
      <w:bCs/>
      <w:smallCaps/>
      <w:color w:val="0F4761" w:themeColor="accent1" w:themeShade="BF"/>
      <w:spacing w:val="5"/>
    </w:rPr>
  </w:style>
  <w:style w:type="paragraph" w:styleId="Header">
    <w:name w:val="header"/>
    <w:basedOn w:val="Normal"/>
    <w:link w:val="HeaderChar"/>
    <w:uiPriority w:val="99"/>
    <w:unhideWhenUsed/>
    <w:rsid w:val="00F76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8A4"/>
    <w:rPr>
      <w:rFonts w:ascii="Times New Roman" w:eastAsia="Times New Roman" w:hAnsi="Times New Roman"/>
      <w:kern w:val="0"/>
      <w:szCs w:val="22"/>
      <w14:ligatures w14:val="none"/>
    </w:rPr>
  </w:style>
  <w:style w:type="paragraph" w:styleId="Footer">
    <w:name w:val="footer"/>
    <w:basedOn w:val="Normal"/>
    <w:link w:val="FooterChar"/>
    <w:uiPriority w:val="99"/>
    <w:unhideWhenUsed/>
    <w:rsid w:val="00F76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8A4"/>
    <w:rPr>
      <w:rFonts w:ascii="Times New Roman" w:eastAsia="Times New Roman" w:hAnsi="Times New Roman"/>
      <w:kern w:val="0"/>
      <w:szCs w:val="22"/>
      <w14:ligatures w14:val="none"/>
    </w:rPr>
  </w:style>
  <w:style w:type="table" w:customStyle="1" w:styleId="TableGrid1">
    <w:name w:val="Table Grid1"/>
    <w:basedOn w:val="TableNormal"/>
    <w:next w:val="TableGrid"/>
    <w:uiPriority w:val="39"/>
    <w:rsid w:val="00332885"/>
    <w:pPr>
      <w:spacing w:after="0" w:line="240" w:lineRule="auto"/>
    </w:pPr>
    <w:rPr>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1D7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246">
      <w:bodyDiv w:val="1"/>
      <w:marLeft w:val="0"/>
      <w:marRight w:val="0"/>
      <w:marTop w:val="0"/>
      <w:marBottom w:val="0"/>
      <w:divBdr>
        <w:top w:val="none" w:sz="0" w:space="0" w:color="auto"/>
        <w:left w:val="none" w:sz="0" w:space="0" w:color="auto"/>
        <w:bottom w:val="none" w:sz="0" w:space="0" w:color="auto"/>
        <w:right w:val="none" w:sz="0" w:space="0" w:color="auto"/>
      </w:divBdr>
      <w:divsChild>
        <w:div w:id="2086411022">
          <w:marLeft w:val="0"/>
          <w:marRight w:val="0"/>
          <w:marTop w:val="0"/>
          <w:marBottom w:val="0"/>
          <w:divBdr>
            <w:top w:val="none" w:sz="0" w:space="0" w:color="auto"/>
            <w:left w:val="none" w:sz="0" w:space="0" w:color="auto"/>
            <w:bottom w:val="none" w:sz="0" w:space="0" w:color="auto"/>
            <w:right w:val="none" w:sz="0" w:space="0" w:color="auto"/>
          </w:divBdr>
        </w:div>
      </w:divsChild>
    </w:div>
    <w:div w:id="1960716688">
      <w:bodyDiv w:val="1"/>
      <w:marLeft w:val="0"/>
      <w:marRight w:val="0"/>
      <w:marTop w:val="0"/>
      <w:marBottom w:val="0"/>
      <w:divBdr>
        <w:top w:val="none" w:sz="0" w:space="0" w:color="auto"/>
        <w:left w:val="none" w:sz="0" w:space="0" w:color="auto"/>
        <w:bottom w:val="none" w:sz="0" w:space="0" w:color="auto"/>
        <w:right w:val="none" w:sz="0" w:space="0" w:color="auto"/>
      </w:divBdr>
      <w:divsChild>
        <w:div w:id="176981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Aminah Harun</dc:creator>
  <cp:keywords/>
  <dc:description/>
  <cp:lastModifiedBy>Siti Quyume Azira Binti Aziz</cp:lastModifiedBy>
  <cp:revision>3</cp:revision>
  <cp:lastPrinted>2026-05-15T07:32:00Z</cp:lastPrinted>
  <dcterms:created xsi:type="dcterms:W3CDTF">2026-06-21T02:54:00Z</dcterms:created>
  <dcterms:modified xsi:type="dcterms:W3CDTF">2026-06-28T06:47:00Z</dcterms:modified>
</cp:coreProperties>
</file>