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EC623" w14:textId="77777777" w:rsidR="00512BFD" w:rsidRPr="000668B3" w:rsidRDefault="00512BFD" w:rsidP="00512BFD">
      <w:pPr>
        <w:spacing w:after="160" w:line="360" w:lineRule="auto"/>
        <w:jc w:val="both"/>
        <w:rPr>
          <w:rFonts w:ascii="Times New Roman" w:eastAsiaTheme="minorHAnsi" w:hAnsi="Times New Roman"/>
          <w:bCs/>
          <w:sz w:val="24"/>
          <w:szCs w:val="24"/>
          <w:lang w:val="en-SG"/>
        </w:rPr>
      </w:pPr>
      <w:bookmarkStart w:id="0" w:name="_Hlk55936316"/>
      <w:r w:rsidRPr="000668B3">
        <w:rPr>
          <w:rFonts w:ascii="Times New Roman" w:eastAsiaTheme="minorHAnsi" w:hAnsi="Times New Roman"/>
          <w:bCs/>
          <w:sz w:val="24"/>
          <w:szCs w:val="24"/>
          <w:lang w:val="en-SG"/>
        </w:rPr>
        <w:t xml:space="preserve">Exploring the Items for </w:t>
      </w:r>
      <w:bookmarkStart w:id="1" w:name="_Hlk45109305"/>
      <w:r w:rsidRPr="000668B3">
        <w:rPr>
          <w:rFonts w:ascii="Times New Roman" w:eastAsiaTheme="minorHAnsi" w:hAnsi="Times New Roman"/>
          <w:bCs/>
          <w:sz w:val="24"/>
          <w:szCs w:val="24"/>
          <w:lang w:val="en-SG"/>
        </w:rPr>
        <w:t xml:space="preserve">Measuring </w:t>
      </w:r>
      <w:bookmarkEnd w:id="1"/>
      <w:r w:rsidR="00F5337B" w:rsidRPr="000668B3">
        <w:rPr>
          <w:rFonts w:ascii="Times New Roman" w:eastAsiaTheme="minorHAnsi" w:hAnsi="Times New Roman"/>
          <w:bCs/>
          <w:sz w:val="24"/>
          <w:szCs w:val="24"/>
          <w:lang w:val="en-SG"/>
        </w:rPr>
        <w:t xml:space="preserve">Flexible Supply Chain Management </w:t>
      </w:r>
      <w:r w:rsidRPr="000668B3">
        <w:rPr>
          <w:rFonts w:ascii="Times New Roman" w:eastAsiaTheme="minorHAnsi" w:hAnsi="Times New Roman"/>
          <w:bCs/>
          <w:sz w:val="24"/>
          <w:szCs w:val="24"/>
          <w:lang w:val="en-SG"/>
        </w:rPr>
        <w:t>in the Organization in the context of Nigeria: An Exploratory Factor Analysis.</w:t>
      </w:r>
    </w:p>
    <w:bookmarkEnd w:id="0"/>
    <w:p w14:paraId="3183CE5C" w14:textId="433A870B" w:rsidR="00512BFD" w:rsidRPr="00F0388F" w:rsidRDefault="00F0388F" w:rsidP="000668B3">
      <w:pPr>
        <w:spacing w:after="160" w:line="240" w:lineRule="auto"/>
        <w:jc w:val="both"/>
        <w:rPr>
          <w:rFonts w:ascii="Times New Roman" w:eastAsiaTheme="minorHAnsi" w:hAnsi="Times New Roman"/>
          <w:bCs/>
          <w:sz w:val="24"/>
          <w:szCs w:val="24"/>
          <w:lang w:val="en-SG"/>
        </w:rPr>
      </w:pPr>
      <w:r>
        <w:rPr>
          <w:rFonts w:ascii="Times New Roman" w:eastAsiaTheme="minorHAnsi" w:hAnsi="Times New Roman"/>
          <w:bCs/>
          <w:sz w:val="24"/>
          <w:szCs w:val="24"/>
          <w:lang w:val="en-SG"/>
        </w:rPr>
        <w:t xml:space="preserve"/>
      </w:r>
      <w:r w:rsidR="000668B3" w:rsidRPr="00F0388F">
        <w:rPr>
          <w:rFonts w:ascii="Times New Roman" w:eastAsiaTheme="minorHAnsi" w:hAnsi="Times New Roman"/>
          <w:bCs/>
          <w:sz w:val="24"/>
          <w:szCs w:val="24"/>
          <w:lang w:val="en-SG"/>
        </w:rPr>
        <w:t xml:space="preserve"/>
      </w:r>
      <w:proofErr w:type="spellStart"/>
      <w:r w:rsidR="000668B3" w:rsidRPr="00F0388F">
        <w:rPr>
          <w:rFonts w:ascii="Times New Roman" w:eastAsiaTheme="minorHAnsi" w:hAnsi="Times New Roman"/>
          <w:bCs/>
          <w:sz w:val="24"/>
          <w:szCs w:val="24"/>
          <w:lang w:val="en-SG"/>
        </w:rPr>
        <w:t/>
      </w:r>
      <w:proofErr w:type="spellEnd"/>
      <w:r w:rsidR="000668B3" w:rsidRPr="00F0388F">
        <w:rPr>
          <w:rFonts w:ascii="Times New Roman" w:eastAsiaTheme="minorHAnsi" w:hAnsi="Times New Roman"/>
          <w:bCs/>
          <w:sz w:val="24"/>
          <w:szCs w:val="24"/>
          <w:lang w:val="en-SG"/>
        </w:rPr>
        <w:t xml:space="preserve"/>
      </w:r>
      <w:proofErr w:type="spellStart"/>
      <w:r w:rsidR="000668B3" w:rsidRPr="00F0388F">
        <w:rPr>
          <w:rFonts w:ascii="Times New Roman" w:eastAsiaTheme="minorHAnsi" w:hAnsi="Times New Roman"/>
          <w:bCs/>
          <w:sz w:val="24"/>
          <w:szCs w:val="24"/>
          <w:lang w:val="en-SG"/>
        </w:rPr>
        <w:t/>
      </w:r>
      <w:proofErr w:type="spellEnd"/>
      <w:r w:rsidR="00512BFD" w:rsidRPr="00F0388F">
        <w:rPr>
          <w:rFonts w:ascii="Times New Roman" w:eastAsiaTheme="minorHAnsi" w:hAnsi="Times New Roman"/>
          <w:bCs/>
          <w:sz w:val="24"/>
          <w:szCs w:val="24"/>
          <w:lang w:val="en-SG"/>
        </w:rPr>
        <w:t xml:space="preserve"/>
      </w:r>
    </w:p>
    <w:p w14:paraId="01DBBC62" w14:textId="42BCCE2E" w:rsidR="000668B3" w:rsidRPr="00F0388F" w:rsidRDefault="000668B3" w:rsidP="000668B3">
      <w:pPr>
        <w:spacing w:after="160" w:line="240" w:lineRule="auto"/>
        <w:jc w:val="both"/>
        <w:rPr>
          <w:rFonts w:ascii="Times New Roman" w:hAnsi="Times New Roman"/>
          <w:sz w:val="24"/>
          <w:szCs w:val="24"/>
        </w:rPr>
      </w:pPr>
      <w:r w:rsidRPr="000668B3">
        <w:rPr>
          <w:rFonts w:ascii="Times New Roman" w:hAnsi="Times New Roman"/>
          <w:sz w:val="24"/>
          <w:szCs w:val="24"/>
        </w:rPr>
        <w:t/>
      </w:r>
      <w:r>
        <w:rPr>
          <w:rFonts w:ascii="Times New Roman" w:hAnsi="Times New Roman"/>
          <w:sz w:val="24"/>
          <w:szCs w:val="24"/>
        </w:rPr>
        <w:t xml:space="preserve"/>
      </w:r>
      <w:r w:rsidRPr="000668B3">
        <w:rPr>
          <w:rFonts w:ascii="Times New Roman" w:hAnsi="Times New Roman"/>
          <w:sz w:val="24"/>
          <w:szCs w:val="24"/>
        </w:rPr>
        <w:t xml:space="preserve"/>
      </w:r>
      <w:hyperlink r:id="rId6" w:history="1">
        <w:r w:rsidRPr="00F0388F">
          <w:rPr>
            <w:rStyle w:val="Hyperlink"/>
            <w:rFonts w:ascii="Times New Roman" w:hAnsi="Times New Roman"/>
            <w:sz w:val="24"/>
            <w:szCs w:val="24"/>
            <w:u w:val="none"/>
          </w:rPr>
          <w:t/>
        </w:r>
      </w:hyperlink>
    </w:p>
    <w:p w14:paraId="4A152CC5" w14:textId="00D2DB50" w:rsidR="000668B3" w:rsidRPr="00F0388F" w:rsidRDefault="00F0388F" w:rsidP="000668B3">
      <w:pPr>
        <w:spacing w:after="160" w:line="240" w:lineRule="auto"/>
        <w:jc w:val="both"/>
        <w:rPr>
          <w:rFonts w:ascii="Times New Roman" w:hAnsi="Times New Roman"/>
          <w:bCs/>
          <w:sz w:val="24"/>
          <w:szCs w:val="24"/>
        </w:rPr>
      </w:pPr>
      <w:r>
        <w:rPr>
          <w:rFonts w:ascii="Times New Roman" w:hAnsi="Times New Roman"/>
          <w:bCs/>
          <w:sz w:val="24"/>
          <w:szCs w:val="24"/>
        </w:rPr>
        <w:t xml:space="preserve"/>
      </w:r>
      <w:proofErr w:type="spellStart"/>
      <w:r w:rsidR="000668B3" w:rsidRPr="00F0388F">
        <w:rPr>
          <w:rFonts w:ascii="Times New Roman" w:hAnsi="Times New Roman"/>
          <w:bCs/>
          <w:sz w:val="24"/>
          <w:szCs w:val="24"/>
        </w:rPr>
        <w:t/>
      </w:r>
      <w:proofErr w:type="spellEnd"/>
      <w:r w:rsidR="000668B3" w:rsidRPr="00F0388F">
        <w:rPr>
          <w:rFonts w:ascii="Times New Roman" w:hAnsi="Times New Roman"/>
          <w:bCs/>
          <w:sz w:val="24"/>
          <w:szCs w:val="24"/>
        </w:rPr>
        <w:t xml:space="preserve"/>
      </w:r>
    </w:p>
    <w:p w14:paraId="3A809DC5" w14:textId="63ADD6D7" w:rsidR="000668B3" w:rsidRPr="000668B3" w:rsidRDefault="000668B3" w:rsidP="000668B3">
      <w:pPr>
        <w:spacing w:after="160" w:line="240" w:lineRule="auto"/>
        <w:jc w:val="both"/>
        <w:rPr>
          <w:rFonts w:ascii="Times New Roman" w:eastAsiaTheme="minorHAnsi" w:hAnsi="Times New Roman"/>
          <w:b/>
          <w:sz w:val="24"/>
          <w:szCs w:val="24"/>
          <w:lang w:val="en-SG"/>
        </w:rPr>
      </w:pPr>
      <w:r w:rsidRPr="000668B3">
        <w:rPr>
          <w:rFonts w:ascii="Times New Roman" w:hAnsi="Times New Roman"/>
          <w:sz w:val="24"/>
          <w:szCs w:val="24"/>
        </w:rPr>
        <w:t/>
      </w:r>
    </w:p>
    <w:p w14:paraId="46FC4E5E" w14:textId="603E9F1D" w:rsidR="006604BB" w:rsidRPr="000668B3" w:rsidRDefault="006604BB" w:rsidP="00512BFD">
      <w:pPr>
        <w:spacing w:after="160" w:line="360" w:lineRule="auto"/>
        <w:jc w:val="both"/>
        <w:rPr>
          <w:rFonts w:ascii="Times New Roman" w:eastAsiaTheme="minorHAnsi" w:hAnsi="Times New Roman"/>
          <w:b/>
          <w:sz w:val="24"/>
          <w:szCs w:val="24"/>
          <w:lang w:val="en-SG"/>
        </w:rPr>
      </w:pPr>
      <w:r w:rsidRPr="000668B3">
        <w:rPr>
          <w:rFonts w:ascii="Times New Roman" w:eastAsia="Times New Roman" w:hAnsi="Times New Roman"/>
          <w:color w:val="323130"/>
          <w:sz w:val="24"/>
          <w:szCs w:val="24"/>
          <w:bdr w:val="none" w:sz="0" w:space="0" w:color="auto" w:frame="1"/>
          <w:lang w:val="en-SG" w:eastAsia="en-SG"/>
        </w:rPr>
        <w:t xml:space="preserve"> </w:t>
      </w:r>
    </w:p>
    <w:p w14:paraId="5857544C" w14:textId="77777777" w:rsidR="00512BFD" w:rsidRPr="00512BFD" w:rsidRDefault="00512BFD" w:rsidP="00512BFD">
      <w:pPr>
        <w:spacing w:after="160" w:line="360" w:lineRule="auto"/>
        <w:jc w:val="both"/>
        <w:rPr>
          <w:rFonts w:ascii="Times New Roman" w:eastAsiaTheme="minorHAnsi" w:hAnsi="Times New Roman"/>
          <w:b/>
          <w:sz w:val="24"/>
          <w:szCs w:val="24"/>
          <w:lang w:val="en-SG"/>
        </w:rPr>
      </w:pPr>
      <w:r w:rsidRPr="00512BFD">
        <w:rPr>
          <w:rFonts w:ascii="Times New Roman" w:eastAsiaTheme="minorHAnsi" w:hAnsi="Times New Roman"/>
          <w:b/>
          <w:sz w:val="24"/>
          <w:szCs w:val="24"/>
          <w:lang w:val="en-SG"/>
        </w:rPr>
        <w:t>ABSTRACT</w:t>
      </w:r>
    </w:p>
    <w:p w14:paraId="2949D3E2" w14:textId="77777777" w:rsidR="00BE19A6" w:rsidRDefault="00BE19A6" w:rsidP="00512BFD">
      <w:pPr>
        <w:spacing w:after="160" w:line="360" w:lineRule="auto"/>
        <w:jc w:val="both"/>
        <w:rPr>
          <w:rFonts w:ascii="Times New Roman" w:eastAsiaTheme="minorHAnsi" w:hAnsi="Times New Roman"/>
          <w:sz w:val="24"/>
          <w:szCs w:val="24"/>
          <w:lang w:val="en-SG"/>
        </w:rPr>
      </w:pPr>
      <w:r w:rsidRPr="00094BF2">
        <w:rPr>
          <w:rFonts w:ascii="Times New Roman" w:eastAsiaTheme="minorHAnsi" w:hAnsi="Times New Roman"/>
          <w:b/>
          <w:sz w:val="24"/>
          <w:szCs w:val="24"/>
          <w:lang w:val="en-SG"/>
        </w:rPr>
        <w:t>Purpose of the study:</w:t>
      </w:r>
      <w:r>
        <w:rPr>
          <w:rFonts w:ascii="Times New Roman" w:eastAsiaTheme="minorHAnsi" w:hAnsi="Times New Roman"/>
          <w:sz w:val="24"/>
          <w:szCs w:val="24"/>
          <w:lang w:val="en-SG"/>
        </w:rPr>
        <w:t xml:space="preserve"> This research </w:t>
      </w:r>
      <w:proofErr w:type="gramStart"/>
      <w:r>
        <w:rPr>
          <w:rFonts w:ascii="Times New Roman" w:eastAsiaTheme="minorHAnsi" w:hAnsi="Times New Roman"/>
          <w:sz w:val="24"/>
          <w:szCs w:val="24"/>
          <w:lang w:val="en-SG"/>
        </w:rPr>
        <w:t>intend</w:t>
      </w:r>
      <w:proofErr w:type="gramEnd"/>
      <w:r w:rsidR="00512BFD" w:rsidRPr="00512BFD">
        <w:rPr>
          <w:rFonts w:ascii="Times New Roman" w:eastAsiaTheme="minorHAnsi" w:hAnsi="Times New Roman"/>
          <w:sz w:val="24"/>
          <w:szCs w:val="24"/>
          <w:lang w:val="en-SG"/>
        </w:rPr>
        <w:t xml:space="preserve"> to perform instrument validation </w:t>
      </w:r>
      <w:r w:rsidR="005B76B2">
        <w:rPr>
          <w:rFonts w:ascii="Times New Roman" w:eastAsiaTheme="minorHAnsi" w:hAnsi="Times New Roman"/>
          <w:sz w:val="24"/>
          <w:szCs w:val="24"/>
          <w:lang w:val="en-SG"/>
        </w:rPr>
        <w:t xml:space="preserve">for the items of </w:t>
      </w:r>
      <w:r w:rsidR="00190B12">
        <w:rPr>
          <w:rFonts w:ascii="Times New Roman" w:eastAsiaTheme="minorHAnsi" w:hAnsi="Times New Roman"/>
          <w:sz w:val="24"/>
          <w:szCs w:val="24"/>
          <w:lang w:val="en-SG"/>
        </w:rPr>
        <w:t>flexible supply chain management</w:t>
      </w:r>
      <w:r w:rsidR="009F5083">
        <w:rPr>
          <w:rFonts w:ascii="Times New Roman" w:eastAsiaTheme="minorHAnsi" w:hAnsi="Times New Roman"/>
          <w:sz w:val="24"/>
          <w:szCs w:val="24"/>
          <w:lang w:val="en-SG"/>
        </w:rPr>
        <w:t xml:space="preserve"> (FSCM)</w:t>
      </w:r>
      <w:r w:rsidR="00190B12">
        <w:rPr>
          <w:rFonts w:ascii="Times New Roman" w:eastAsiaTheme="minorHAnsi" w:hAnsi="Times New Roman"/>
          <w:sz w:val="24"/>
          <w:szCs w:val="24"/>
          <w:lang w:val="en-SG"/>
        </w:rPr>
        <w:t xml:space="preserve"> </w:t>
      </w:r>
      <w:r w:rsidR="00512BFD" w:rsidRPr="00512BFD">
        <w:rPr>
          <w:rFonts w:ascii="Times New Roman" w:eastAsiaTheme="minorHAnsi" w:hAnsi="Times New Roman"/>
          <w:sz w:val="24"/>
          <w:szCs w:val="24"/>
          <w:lang w:val="en-SG"/>
        </w:rPr>
        <w:t>through exploratory factor analysis (EFA).</w:t>
      </w:r>
      <w:r w:rsidR="00512BFD">
        <w:rPr>
          <w:rFonts w:ascii="Times New Roman" w:eastAsiaTheme="minorHAnsi" w:hAnsi="Times New Roman"/>
          <w:sz w:val="24"/>
          <w:szCs w:val="24"/>
          <w:lang w:val="en-SG"/>
        </w:rPr>
        <w:t xml:space="preserve"> </w:t>
      </w:r>
    </w:p>
    <w:p w14:paraId="10524AA3" w14:textId="77777777" w:rsidR="00DF6E2B" w:rsidRDefault="00BE19A6" w:rsidP="00512BFD">
      <w:pPr>
        <w:spacing w:after="160" w:line="360" w:lineRule="auto"/>
        <w:jc w:val="both"/>
        <w:rPr>
          <w:rFonts w:ascii="Times New Roman" w:eastAsiaTheme="minorHAnsi" w:hAnsi="Times New Roman"/>
          <w:sz w:val="24"/>
          <w:szCs w:val="24"/>
          <w:lang w:val="en-SG"/>
        </w:rPr>
      </w:pPr>
      <w:r w:rsidRPr="00094BF2">
        <w:rPr>
          <w:rFonts w:ascii="Times New Roman" w:eastAsiaTheme="minorHAnsi" w:hAnsi="Times New Roman"/>
          <w:b/>
          <w:sz w:val="24"/>
          <w:szCs w:val="24"/>
          <w:lang w:val="en-SG"/>
        </w:rPr>
        <w:t>Methodology:</w:t>
      </w:r>
      <w:r>
        <w:rPr>
          <w:rFonts w:ascii="Times New Roman" w:eastAsiaTheme="minorHAnsi" w:hAnsi="Times New Roman"/>
          <w:sz w:val="24"/>
          <w:szCs w:val="24"/>
          <w:lang w:val="en-SG"/>
        </w:rPr>
        <w:t xml:space="preserve"> </w:t>
      </w:r>
      <w:r w:rsidR="00512BFD" w:rsidRPr="00512BFD">
        <w:rPr>
          <w:rFonts w:ascii="Times New Roman" w:eastAsiaTheme="minorHAnsi" w:hAnsi="Times New Roman"/>
          <w:sz w:val="24"/>
          <w:szCs w:val="24"/>
          <w:lang w:val="en-SG"/>
        </w:rPr>
        <w:t>The data collection instrument utilized is questionnaires which was administrated to employees in the manufacturing companies in Nigeria. 100 questionna</w:t>
      </w:r>
      <w:r w:rsidR="009F5083">
        <w:rPr>
          <w:rFonts w:ascii="Times New Roman" w:eastAsiaTheme="minorHAnsi" w:hAnsi="Times New Roman"/>
          <w:sz w:val="24"/>
          <w:szCs w:val="24"/>
          <w:lang w:val="en-SG"/>
        </w:rPr>
        <w:t xml:space="preserve">ires </w:t>
      </w:r>
      <w:r w:rsidR="00512BFD" w:rsidRPr="00512BFD">
        <w:rPr>
          <w:rFonts w:ascii="Times New Roman" w:eastAsiaTheme="minorHAnsi" w:hAnsi="Times New Roman"/>
          <w:sz w:val="24"/>
          <w:szCs w:val="24"/>
          <w:lang w:val="en-SG"/>
        </w:rPr>
        <w:t>were collected to do</w:t>
      </w:r>
      <w:r w:rsidR="00190B12">
        <w:rPr>
          <w:rFonts w:ascii="Times New Roman" w:eastAsiaTheme="minorHAnsi" w:hAnsi="Times New Roman"/>
          <w:sz w:val="24"/>
          <w:szCs w:val="24"/>
          <w:lang w:val="en-SG"/>
        </w:rPr>
        <w:t xml:space="preserve"> the EFA.</w:t>
      </w:r>
      <w:r w:rsidR="00512BFD" w:rsidRPr="00512BFD">
        <w:rPr>
          <w:rFonts w:ascii="Times New Roman" w:eastAsiaTheme="minorHAnsi" w:hAnsi="Times New Roman"/>
          <w:sz w:val="24"/>
          <w:szCs w:val="24"/>
          <w:lang w:val="en-SG"/>
        </w:rPr>
        <w:t xml:space="preserve"> </w:t>
      </w:r>
    </w:p>
    <w:p w14:paraId="40061845" w14:textId="77777777" w:rsidR="00512BFD" w:rsidRDefault="00DF6E2B" w:rsidP="00512BFD">
      <w:pPr>
        <w:spacing w:after="160" w:line="360" w:lineRule="auto"/>
        <w:jc w:val="both"/>
        <w:rPr>
          <w:rFonts w:ascii="Times New Roman" w:eastAsiaTheme="minorHAnsi" w:hAnsi="Times New Roman"/>
          <w:color w:val="000000"/>
          <w:sz w:val="24"/>
          <w:szCs w:val="24"/>
          <w:lang w:val="en-SG"/>
        </w:rPr>
      </w:pPr>
      <w:r w:rsidRPr="00094BF2">
        <w:rPr>
          <w:rFonts w:ascii="Times New Roman" w:eastAsiaTheme="minorHAnsi" w:hAnsi="Times New Roman"/>
          <w:b/>
          <w:sz w:val="24"/>
          <w:szCs w:val="24"/>
          <w:lang w:val="en-SG"/>
        </w:rPr>
        <w:t>Main finding:</w:t>
      </w:r>
      <w:r>
        <w:rPr>
          <w:rFonts w:ascii="Times New Roman" w:eastAsiaTheme="minorHAnsi" w:hAnsi="Times New Roman"/>
          <w:sz w:val="24"/>
          <w:szCs w:val="24"/>
          <w:lang w:val="en-SG"/>
        </w:rPr>
        <w:t xml:space="preserve"> </w:t>
      </w:r>
      <w:r w:rsidR="00512BFD" w:rsidRPr="00512BFD">
        <w:rPr>
          <w:rFonts w:ascii="Times New Roman" w:eastAsiaTheme="minorHAnsi" w:hAnsi="Times New Roman"/>
          <w:sz w:val="24"/>
          <w:szCs w:val="24"/>
          <w:lang w:val="en-SG"/>
        </w:rPr>
        <w:t>The results reveal that the Bartlett’s Test of Sphericity was le</w:t>
      </w:r>
      <w:r w:rsidR="00190B12">
        <w:rPr>
          <w:rFonts w:ascii="Times New Roman" w:eastAsiaTheme="minorHAnsi" w:hAnsi="Times New Roman"/>
          <w:sz w:val="24"/>
          <w:szCs w:val="24"/>
          <w:lang w:val="en-SG"/>
        </w:rPr>
        <w:t xml:space="preserve">ss that 0.05 (&lt;0.05) </w:t>
      </w:r>
      <w:r w:rsidR="00512BFD" w:rsidRPr="00512BFD">
        <w:rPr>
          <w:rFonts w:ascii="Times New Roman" w:eastAsiaTheme="minorHAnsi" w:hAnsi="Times New Roman"/>
          <w:sz w:val="24"/>
          <w:szCs w:val="24"/>
          <w:lang w:val="en-SG"/>
        </w:rPr>
        <w:t xml:space="preserve">which is Significant (P-value &lt; 0.05). Kaiser-Meyer-Olkin </w:t>
      </w:r>
      <w:r w:rsidR="00AB5324">
        <w:rPr>
          <w:rFonts w:ascii="Times New Roman" w:eastAsiaTheme="minorHAnsi" w:hAnsi="Times New Roman"/>
          <w:sz w:val="24"/>
          <w:szCs w:val="24"/>
          <w:lang w:val="en-SG"/>
        </w:rPr>
        <w:t xml:space="preserve">(KMO), </w:t>
      </w:r>
      <w:r w:rsidR="00512BFD" w:rsidRPr="00512BFD">
        <w:rPr>
          <w:rFonts w:ascii="Times New Roman" w:eastAsiaTheme="minorHAnsi" w:hAnsi="Times New Roman"/>
          <w:sz w:val="24"/>
          <w:szCs w:val="24"/>
          <w:lang w:val="en-SG"/>
        </w:rPr>
        <w:t>Measure of Sampling Adequacy was high</w:t>
      </w:r>
      <w:r w:rsidR="00190B12">
        <w:rPr>
          <w:rFonts w:ascii="Times New Roman" w:eastAsiaTheme="minorHAnsi" w:hAnsi="Times New Roman"/>
          <w:sz w:val="24"/>
          <w:szCs w:val="24"/>
          <w:lang w:val="en-SG"/>
        </w:rPr>
        <w:t xml:space="preserve">er than </w:t>
      </w:r>
      <w:proofErr w:type="gramStart"/>
      <w:r w:rsidR="00190B12">
        <w:rPr>
          <w:rFonts w:ascii="Times New Roman" w:eastAsiaTheme="minorHAnsi" w:hAnsi="Times New Roman"/>
          <w:sz w:val="24"/>
          <w:szCs w:val="24"/>
          <w:lang w:val="en-SG"/>
        </w:rPr>
        <w:t>0.6  (</w:t>
      </w:r>
      <w:proofErr w:type="gramEnd"/>
      <w:r w:rsidR="00190B12">
        <w:rPr>
          <w:rFonts w:ascii="Times New Roman" w:eastAsiaTheme="minorHAnsi" w:hAnsi="Times New Roman"/>
          <w:sz w:val="24"/>
          <w:szCs w:val="24"/>
          <w:lang w:val="en-SG"/>
        </w:rPr>
        <w:t>&gt; 0.6</w:t>
      </w:r>
      <w:proofErr w:type="gramStart"/>
      <w:r w:rsidR="00190B12">
        <w:rPr>
          <w:rFonts w:ascii="Times New Roman" w:eastAsiaTheme="minorHAnsi" w:hAnsi="Times New Roman"/>
          <w:sz w:val="24"/>
          <w:szCs w:val="24"/>
          <w:lang w:val="en-SG"/>
        </w:rPr>
        <w:t xml:space="preserve">) </w:t>
      </w:r>
      <w:r w:rsidR="00512BFD" w:rsidRPr="00512BFD">
        <w:rPr>
          <w:rFonts w:ascii="Times New Roman" w:eastAsiaTheme="minorHAnsi" w:hAnsi="Times New Roman"/>
          <w:sz w:val="24"/>
          <w:szCs w:val="24"/>
          <w:lang w:val="en-SG"/>
        </w:rPr>
        <w:t>,</w:t>
      </w:r>
      <w:proofErr w:type="gramEnd"/>
      <w:r w:rsidR="00512BFD" w:rsidRPr="00512BFD">
        <w:rPr>
          <w:rFonts w:ascii="Times New Roman" w:eastAsiaTheme="minorHAnsi" w:hAnsi="Times New Roman"/>
          <w:sz w:val="24"/>
          <w:szCs w:val="24"/>
          <w:lang w:val="en-SG"/>
        </w:rPr>
        <w:t xml:space="preserve"> and this indicates that the sample is adequate in size. Cronbach’s Alpha test was </w:t>
      </w:r>
      <w:r w:rsidR="00420BF2">
        <w:rPr>
          <w:rFonts w:ascii="Times New Roman" w:eastAsiaTheme="minorHAnsi" w:hAnsi="Times New Roman"/>
          <w:sz w:val="24"/>
          <w:szCs w:val="24"/>
          <w:lang w:val="en-SG"/>
        </w:rPr>
        <w:t xml:space="preserve">higher than 0.7 for the all the </w:t>
      </w:r>
      <w:r w:rsidR="00512BFD" w:rsidRPr="00512BFD">
        <w:rPr>
          <w:rFonts w:ascii="Times New Roman" w:eastAsiaTheme="minorHAnsi" w:hAnsi="Times New Roman"/>
          <w:sz w:val="24"/>
          <w:szCs w:val="24"/>
          <w:lang w:val="en-SG"/>
        </w:rPr>
        <w:t>constructs items, this indicates that these items are all reliable. This study found a valid and reliable instrument for measuring the</w:t>
      </w:r>
      <w:r w:rsidR="0048758E">
        <w:rPr>
          <w:rFonts w:ascii="Times New Roman" w:eastAsiaTheme="minorHAnsi" w:hAnsi="Times New Roman"/>
          <w:sz w:val="24"/>
          <w:szCs w:val="24"/>
          <w:lang w:val="en-SG"/>
        </w:rPr>
        <w:t xml:space="preserve"> components of</w:t>
      </w:r>
      <w:r w:rsidR="00512BFD" w:rsidRPr="00512BFD">
        <w:rPr>
          <w:rFonts w:ascii="Times New Roman" w:eastAsiaTheme="minorHAnsi" w:hAnsi="Times New Roman"/>
          <w:sz w:val="24"/>
          <w:szCs w:val="24"/>
          <w:lang w:val="en-SG"/>
        </w:rPr>
        <w:t xml:space="preserve"> </w:t>
      </w:r>
      <w:r w:rsidR="00190B12">
        <w:rPr>
          <w:rFonts w:ascii="Times New Roman" w:eastAsiaTheme="minorHAnsi" w:hAnsi="Times New Roman"/>
          <w:sz w:val="24"/>
          <w:szCs w:val="24"/>
          <w:lang w:val="en-SG"/>
        </w:rPr>
        <w:t xml:space="preserve">flexible </w:t>
      </w:r>
      <w:r w:rsidR="00512BFD" w:rsidRPr="00512BFD">
        <w:rPr>
          <w:rFonts w:ascii="Times New Roman" w:eastAsiaTheme="minorHAnsi" w:hAnsi="Times New Roman"/>
          <w:color w:val="000000"/>
          <w:sz w:val="24"/>
          <w:szCs w:val="24"/>
          <w:lang w:val="en-SG"/>
        </w:rPr>
        <w:t>s</w:t>
      </w:r>
      <w:r w:rsidR="00190B12">
        <w:rPr>
          <w:rFonts w:ascii="Times New Roman" w:eastAsiaTheme="minorHAnsi" w:hAnsi="Times New Roman"/>
          <w:color w:val="000000"/>
          <w:sz w:val="24"/>
          <w:szCs w:val="24"/>
          <w:lang w:val="en-SG"/>
        </w:rPr>
        <w:t xml:space="preserve">upply chain </w:t>
      </w:r>
      <w:r w:rsidR="0048758E">
        <w:rPr>
          <w:rFonts w:ascii="Times New Roman" w:eastAsiaTheme="minorHAnsi" w:hAnsi="Times New Roman"/>
          <w:color w:val="000000"/>
          <w:sz w:val="24"/>
          <w:szCs w:val="24"/>
          <w:lang w:val="en-SG"/>
        </w:rPr>
        <w:t>management that could boost performance in manufacturing companies in Nigeria context.</w:t>
      </w:r>
    </w:p>
    <w:p w14:paraId="44DDECBA" w14:textId="77777777" w:rsidR="0082752E" w:rsidRPr="00094BF2" w:rsidRDefault="00DF6E2B" w:rsidP="00094BF2">
      <w:pPr>
        <w:spacing w:after="160" w:line="360" w:lineRule="auto"/>
        <w:jc w:val="both"/>
        <w:rPr>
          <w:rFonts w:ascii="Times New Roman" w:hAnsi="Times New Roman"/>
          <w:sz w:val="24"/>
          <w:szCs w:val="24"/>
        </w:rPr>
      </w:pPr>
      <w:r w:rsidRPr="00094BF2">
        <w:rPr>
          <w:rFonts w:ascii="Times New Roman" w:hAnsi="Times New Roman"/>
          <w:b/>
          <w:sz w:val="24"/>
          <w:szCs w:val="24"/>
        </w:rPr>
        <w:t xml:space="preserve">Applications of this study: </w:t>
      </w:r>
      <w:r w:rsidRPr="00094BF2">
        <w:rPr>
          <w:rFonts w:ascii="Times New Roman" w:hAnsi="Times New Roman"/>
          <w:sz w:val="24"/>
          <w:szCs w:val="24"/>
        </w:rPr>
        <w:t>This study was applied t</w:t>
      </w:r>
      <w:r w:rsidR="0082752E" w:rsidRPr="00094BF2">
        <w:rPr>
          <w:rFonts w:ascii="Times New Roman" w:hAnsi="Times New Roman"/>
          <w:sz w:val="24"/>
          <w:szCs w:val="24"/>
        </w:rPr>
        <w:t xml:space="preserve">o </w:t>
      </w:r>
      <w:r w:rsidR="00373790" w:rsidRPr="00094BF2">
        <w:rPr>
          <w:rFonts w:ascii="Times New Roman" w:hAnsi="Times New Roman"/>
          <w:sz w:val="24"/>
          <w:szCs w:val="24"/>
        </w:rPr>
        <w:t>the manufacturing companies</w:t>
      </w:r>
      <w:r w:rsidR="0082752E" w:rsidRPr="00094BF2">
        <w:rPr>
          <w:rFonts w:ascii="Times New Roman" w:hAnsi="Times New Roman"/>
          <w:sz w:val="24"/>
          <w:szCs w:val="24"/>
        </w:rPr>
        <w:t xml:space="preserve"> in Nigeria</w:t>
      </w:r>
      <w:r w:rsidRPr="00094BF2">
        <w:rPr>
          <w:rFonts w:ascii="Times New Roman" w:hAnsi="Times New Roman"/>
          <w:sz w:val="24"/>
          <w:szCs w:val="24"/>
        </w:rPr>
        <w:t xml:space="preserve">. </w:t>
      </w:r>
      <w:r w:rsidR="0082752E" w:rsidRPr="00094BF2">
        <w:rPr>
          <w:rFonts w:ascii="Times New Roman" w:hAnsi="Times New Roman"/>
          <w:sz w:val="24"/>
          <w:szCs w:val="24"/>
        </w:rPr>
        <w:t>The study targeted the employees of the manufacturing companies in Nigeria.</w:t>
      </w:r>
    </w:p>
    <w:p w14:paraId="0BE4027A" w14:textId="14C64ED6" w:rsidR="0048758E" w:rsidRDefault="00DF6E2B" w:rsidP="00512BFD">
      <w:pPr>
        <w:spacing w:after="160" w:line="360" w:lineRule="auto"/>
        <w:jc w:val="both"/>
        <w:rPr>
          <w:rFonts w:ascii="Times New Roman" w:eastAsiaTheme="minorHAnsi" w:hAnsi="Times New Roman"/>
          <w:sz w:val="24"/>
          <w:szCs w:val="24"/>
          <w:lang w:val="en-SG"/>
        </w:rPr>
      </w:pPr>
      <w:r w:rsidRPr="00094BF2">
        <w:rPr>
          <w:rFonts w:ascii="Times New Roman" w:hAnsi="Times New Roman"/>
          <w:b/>
          <w:sz w:val="24"/>
          <w:szCs w:val="24"/>
        </w:rPr>
        <w:t>Nove</w:t>
      </w:r>
      <w:r w:rsidR="00094BF2" w:rsidRPr="00094BF2">
        <w:rPr>
          <w:rFonts w:ascii="Times New Roman" w:hAnsi="Times New Roman"/>
          <w:b/>
          <w:sz w:val="24"/>
          <w:szCs w:val="24"/>
        </w:rPr>
        <w:t>lty/Originality of this study:</w:t>
      </w:r>
      <w:r w:rsidR="00094BF2" w:rsidRPr="00094BF2">
        <w:rPr>
          <w:rFonts w:ascii="Times New Roman" w:hAnsi="Times New Roman"/>
          <w:sz w:val="24"/>
          <w:szCs w:val="24"/>
        </w:rPr>
        <w:t xml:space="preserve"> this </w:t>
      </w:r>
      <w:r w:rsidR="000A755A" w:rsidRPr="00094BF2">
        <w:rPr>
          <w:rFonts w:ascii="Times New Roman" w:hAnsi="Times New Roman"/>
          <w:sz w:val="24"/>
          <w:szCs w:val="24"/>
        </w:rPr>
        <w:t>study</w:t>
      </w:r>
      <w:r w:rsidR="00094BF2" w:rsidRPr="00094BF2">
        <w:rPr>
          <w:rFonts w:ascii="Times New Roman" w:hAnsi="Times New Roman"/>
          <w:sz w:val="24"/>
          <w:szCs w:val="24"/>
        </w:rPr>
        <w:t xml:space="preserve"> adds</w:t>
      </w:r>
      <w:r w:rsidRPr="00094BF2">
        <w:rPr>
          <w:rFonts w:ascii="Times New Roman" w:hAnsi="Times New Roman"/>
          <w:sz w:val="24"/>
          <w:szCs w:val="24"/>
        </w:rPr>
        <w:t xml:space="preserve"> </w:t>
      </w:r>
      <w:r w:rsidR="0082752E" w:rsidRPr="00094BF2">
        <w:rPr>
          <w:rFonts w:ascii="Times New Roman" w:hAnsi="Times New Roman"/>
          <w:sz w:val="24"/>
          <w:szCs w:val="24"/>
        </w:rPr>
        <w:t>to the measurement of the FSCM</w:t>
      </w:r>
      <w:r w:rsidR="00094BF2" w:rsidRPr="00094BF2">
        <w:rPr>
          <w:rFonts w:ascii="Times New Roman" w:hAnsi="Times New Roman"/>
          <w:sz w:val="24"/>
          <w:szCs w:val="24"/>
        </w:rPr>
        <w:t xml:space="preserve">. This study contributes to the field of supply chain by evaluating and testing items that fit for testing the construct of flexible supply chain management. </w:t>
      </w:r>
    </w:p>
    <w:p w14:paraId="16CB18AC" w14:textId="77777777" w:rsidR="000668B3" w:rsidRPr="000668B3" w:rsidRDefault="000668B3" w:rsidP="00512BFD">
      <w:pPr>
        <w:spacing w:after="160" w:line="360" w:lineRule="auto"/>
        <w:jc w:val="both"/>
        <w:rPr>
          <w:rFonts w:ascii="Times New Roman" w:eastAsiaTheme="minorHAnsi" w:hAnsi="Times New Roman"/>
          <w:sz w:val="24"/>
          <w:szCs w:val="24"/>
          <w:lang w:val="en-SG"/>
        </w:rPr>
      </w:pPr>
    </w:p>
    <w:p w14:paraId="453FB3ED" w14:textId="77777777" w:rsidR="0082752E" w:rsidRPr="00373790" w:rsidRDefault="00DF6E2B" w:rsidP="00B00EE0">
      <w:pPr>
        <w:spacing w:line="360" w:lineRule="auto"/>
        <w:jc w:val="both"/>
        <w:rPr>
          <w:rFonts w:ascii="Times New Roman" w:eastAsiaTheme="minorHAnsi" w:hAnsi="Times New Roman"/>
          <w:i/>
          <w:sz w:val="24"/>
          <w:szCs w:val="24"/>
          <w:lang w:val="en-SG"/>
        </w:rPr>
      </w:pPr>
      <w:r w:rsidRPr="00C9356C">
        <w:rPr>
          <w:rFonts w:ascii="Times New Roman" w:hAnsi="Times New Roman"/>
          <w:b/>
          <w:i/>
          <w:sz w:val="24"/>
          <w:szCs w:val="24"/>
        </w:rPr>
        <w:t>Keywords:</w:t>
      </w:r>
      <w:r>
        <w:rPr>
          <w:rFonts w:ascii="Times New Roman" w:hAnsi="Times New Roman"/>
          <w:sz w:val="24"/>
          <w:szCs w:val="24"/>
        </w:rPr>
        <w:t xml:space="preserve"> </w:t>
      </w:r>
      <w:r w:rsidRPr="00373790">
        <w:rPr>
          <w:rFonts w:ascii="Times New Roman" w:hAnsi="Times New Roman"/>
          <w:i/>
          <w:sz w:val="24"/>
          <w:szCs w:val="24"/>
        </w:rPr>
        <w:t>Exploratory Factor Analysis, Supply chain management Practice, Nigeria, Manufacturing Companies</w:t>
      </w:r>
      <w:r w:rsidR="00094BF2" w:rsidRPr="00373790">
        <w:rPr>
          <w:rFonts w:ascii="Times New Roman" w:hAnsi="Times New Roman"/>
          <w:i/>
          <w:sz w:val="24"/>
          <w:szCs w:val="24"/>
        </w:rPr>
        <w:t xml:space="preserve">, </w:t>
      </w:r>
      <w:r w:rsidR="00C9356C" w:rsidRPr="00373790">
        <w:rPr>
          <w:rFonts w:ascii="Times New Roman" w:hAnsi="Times New Roman"/>
          <w:i/>
          <w:sz w:val="24"/>
          <w:szCs w:val="24"/>
        </w:rPr>
        <w:t>employees</w:t>
      </w:r>
      <w:r w:rsidR="00373790" w:rsidRPr="00373790">
        <w:rPr>
          <w:rFonts w:ascii="Times New Roman" w:eastAsiaTheme="minorHAnsi" w:hAnsi="Times New Roman"/>
          <w:i/>
          <w:sz w:val="24"/>
          <w:szCs w:val="24"/>
          <w:lang w:val="en-SG"/>
        </w:rPr>
        <w:t>.</w:t>
      </w:r>
    </w:p>
    <w:p w14:paraId="37E65F02" w14:textId="77777777" w:rsidR="001F0948" w:rsidRDefault="001F0948" w:rsidP="00B00EE0">
      <w:pPr>
        <w:spacing w:line="360" w:lineRule="auto"/>
        <w:jc w:val="both"/>
        <w:rPr>
          <w:rFonts w:ascii="Times New Roman" w:eastAsiaTheme="minorHAnsi" w:hAnsi="Times New Roman"/>
          <w:sz w:val="24"/>
          <w:szCs w:val="24"/>
          <w:lang w:val="en-SG"/>
        </w:rPr>
      </w:pPr>
    </w:p>
    <w:p w14:paraId="1BD7AB11" w14:textId="77777777" w:rsidR="001F0948" w:rsidRPr="00B00EE0" w:rsidRDefault="001F0948" w:rsidP="00B00EE0">
      <w:pPr>
        <w:spacing w:line="360" w:lineRule="auto"/>
        <w:jc w:val="both"/>
        <w:rPr>
          <w:rFonts w:ascii="Times New Roman" w:eastAsiaTheme="minorHAnsi" w:hAnsi="Times New Roman"/>
          <w:sz w:val="24"/>
          <w:szCs w:val="24"/>
          <w:lang w:val="en-SG"/>
        </w:rPr>
      </w:pPr>
    </w:p>
    <w:p w14:paraId="3BCA6EC3" w14:textId="77777777" w:rsidR="00DF609B" w:rsidRPr="00DF609B" w:rsidRDefault="00DF609B" w:rsidP="00DF609B">
      <w:pPr>
        <w:spacing w:after="160" w:line="360" w:lineRule="auto"/>
        <w:jc w:val="both"/>
        <w:rPr>
          <w:rFonts w:ascii="Times New Roman" w:eastAsiaTheme="minorHAnsi" w:hAnsi="Times New Roman" w:cstheme="minorBidi"/>
          <w:b/>
          <w:sz w:val="24"/>
          <w:szCs w:val="24"/>
          <w:lang w:val="en-SG"/>
        </w:rPr>
      </w:pPr>
      <w:r w:rsidRPr="00DF609B">
        <w:rPr>
          <w:rFonts w:ascii="Times New Roman" w:eastAsiaTheme="minorHAnsi" w:hAnsi="Times New Roman" w:cstheme="minorBidi"/>
          <w:b/>
          <w:sz w:val="24"/>
          <w:szCs w:val="24"/>
          <w:lang w:val="en-SG"/>
        </w:rPr>
        <w:t>INTRODUCTION</w:t>
      </w:r>
      <w:r w:rsidR="001F0948">
        <w:rPr>
          <w:rFonts w:ascii="Times New Roman" w:eastAsiaTheme="minorHAnsi" w:hAnsi="Times New Roman" w:cstheme="minorBidi"/>
          <w:b/>
          <w:sz w:val="24"/>
          <w:szCs w:val="24"/>
          <w:lang w:val="en-SG"/>
        </w:rPr>
        <w:t xml:space="preserve"> / BACKGROUND</w:t>
      </w:r>
    </w:p>
    <w:p w14:paraId="60080288" w14:textId="77777777" w:rsidR="00DF609B" w:rsidRPr="00DF609B" w:rsidRDefault="00DF609B" w:rsidP="00DF609B">
      <w:pPr>
        <w:spacing w:after="160" w:line="360" w:lineRule="auto"/>
        <w:jc w:val="both"/>
        <w:rPr>
          <w:rFonts w:ascii="Times New Roman" w:eastAsiaTheme="minorHAnsi" w:hAnsi="Times New Roman"/>
          <w:sz w:val="24"/>
          <w:szCs w:val="24"/>
          <w:lang w:val="en-SG"/>
        </w:rPr>
      </w:pPr>
    </w:p>
    <w:p w14:paraId="55F2B21F" w14:textId="77777777" w:rsidR="00BD48BF" w:rsidRPr="00BD48BF" w:rsidRDefault="00BD48BF" w:rsidP="00BD48BF">
      <w:pPr>
        <w:spacing w:after="160" w:line="360" w:lineRule="auto"/>
        <w:jc w:val="both"/>
        <w:rPr>
          <w:rFonts w:ascii="Times New Roman" w:eastAsiaTheme="minorHAnsi" w:hAnsi="Times New Roman"/>
          <w:b/>
          <w:sz w:val="24"/>
          <w:szCs w:val="24"/>
          <w:lang w:val="en-MY"/>
        </w:rPr>
      </w:pPr>
      <w:r w:rsidRPr="00BD48BF">
        <w:rPr>
          <w:rFonts w:ascii="Times New Roman" w:eastAsiaTheme="minorHAnsi" w:hAnsi="Times New Roman"/>
          <w:b/>
          <w:sz w:val="24"/>
          <w:szCs w:val="24"/>
          <w:lang w:val="en-MY"/>
        </w:rPr>
        <w:t>Introduction</w:t>
      </w:r>
    </w:p>
    <w:p w14:paraId="5AA845F2" w14:textId="77777777" w:rsidR="00BD48BF" w:rsidRPr="00BD48BF" w:rsidRDefault="00BD48BF" w:rsidP="00BD48BF">
      <w:pPr>
        <w:autoSpaceDE w:val="0"/>
        <w:autoSpaceDN w:val="0"/>
        <w:adjustRightInd w:val="0"/>
        <w:spacing w:after="0" w:line="360" w:lineRule="auto"/>
        <w:jc w:val="both"/>
        <w:rPr>
          <w:rFonts w:ascii="Times New Roman" w:eastAsiaTheme="minorHAnsi" w:hAnsi="Times New Roman"/>
          <w:color w:val="000000"/>
          <w:sz w:val="24"/>
          <w:szCs w:val="24"/>
          <w:lang w:val="en-SG"/>
        </w:rPr>
      </w:pPr>
      <w:r w:rsidRPr="00BD48BF">
        <w:rPr>
          <w:rFonts w:ascii="Times New Roman" w:eastAsiaTheme="minorHAnsi" w:hAnsi="Times New Roman"/>
          <w:color w:val="000000"/>
          <w:sz w:val="24"/>
          <w:szCs w:val="24"/>
          <w:lang w:val="en-SG"/>
        </w:rPr>
        <w:t xml:space="preserve">In the past decade, more attention has been paid on Supply Chain Management (SCM) in the organizations.  Partly, this is because of the crucial effect that globalization has on manufacturing locally and internationally. Um (2017) contended that supply chain flexibility is the capability of ease to changes in production stages, raw materials procurements as well </w:t>
      </w:r>
      <w:proofErr w:type="gramStart"/>
      <w:r w:rsidRPr="00BD48BF">
        <w:rPr>
          <w:rFonts w:ascii="Times New Roman" w:eastAsiaTheme="minorHAnsi" w:hAnsi="Times New Roman"/>
          <w:color w:val="000000"/>
          <w:sz w:val="24"/>
          <w:szCs w:val="24"/>
          <w:lang w:val="en-SG"/>
        </w:rPr>
        <w:t>as  transport</w:t>
      </w:r>
      <w:proofErr w:type="gramEnd"/>
      <w:r w:rsidRPr="00BD48BF">
        <w:rPr>
          <w:rFonts w:ascii="Times New Roman" w:eastAsiaTheme="minorHAnsi" w:hAnsi="Times New Roman"/>
          <w:color w:val="000000"/>
          <w:sz w:val="24"/>
          <w:szCs w:val="24"/>
          <w:lang w:val="en-SG"/>
        </w:rPr>
        <w:t xml:space="preserve"> capability. An organization could adjust as well as responding efficiently to change in customer request, market conditions, interruptions, and other  factors that might have effect on the flow of products and services (</w:t>
      </w:r>
      <w:proofErr w:type="spellStart"/>
      <w:r w:rsidRPr="00BD48BF">
        <w:rPr>
          <w:rFonts w:ascii="Times New Roman" w:eastAsiaTheme="minorHAnsi" w:hAnsi="Times New Roman"/>
          <w:color w:val="000000"/>
          <w:sz w:val="24"/>
          <w:szCs w:val="24"/>
          <w:lang w:val="en-SG"/>
        </w:rPr>
        <w:t>Siagian</w:t>
      </w:r>
      <w:proofErr w:type="spellEnd"/>
      <w:r w:rsidRPr="00BD48BF">
        <w:rPr>
          <w:rFonts w:ascii="Times New Roman" w:eastAsiaTheme="minorHAnsi" w:hAnsi="Times New Roman"/>
          <w:color w:val="000000"/>
          <w:sz w:val="24"/>
          <w:szCs w:val="24"/>
          <w:lang w:val="en-SG"/>
        </w:rPr>
        <w:t xml:space="preserve"> et al., 2021).Via expansion of the market place and increased competitions, globalization lead customers to put more demand on manufacturers to improve quality service and flexibility, while maintaining competitive cost (</w:t>
      </w:r>
      <w:proofErr w:type="spellStart"/>
      <w:r w:rsidRPr="00BD48BF">
        <w:rPr>
          <w:rFonts w:ascii="Times New Roman" w:eastAsiaTheme="minorHAnsi" w:hAnsi="Times New Roman"/>
          <w:color w:val="000000"/>
          <w:sz w:val="24"/>
          <w:szCs w:val="24"/>
          <w:lang w:val="en-SG"/>
        </w:rPr>
        <w:t>Laosirihongthong</w:t>
      </w:r>
      <w:proofErr w:type="spellEnd"/>
      <w:r w:rsidRPr="00BD48BF">
        <w:rPr>
          <w:rFonts w:ascii="Times New Roman" w:eastAsiaTheme="minorHAnsi" w:hAnsi="Times New Roman"/>
          <w:color w:val="000000"/>
          <w:sz w:val="24"/>
          <w:szCs w:val="24"/>
          <w:lang w:val="en-SG"/>
        </w:rPr>
        <w:t xml:space="preserve"> and </w:t>
      </w:r>
      <w:proofErr w:type="spellStart"/>
      <w:r w:rsidRPr="00BD48BF">
        <w:rPr>
          <w:rFonts w:ascii="Times New Roman" w:eastAsiaTheme="minorHAnsi" w:hAnsi="Times New Roman"/>
          <w:color w:val="000000"/>
          <w:sz w:val="24"/>
          <w:szCs w:val="24"/>
          <w:lang w:val="en-SG"/>
        </w:rPr>
        <w:t>Dangayach</w:t>
      </w:r>
      <w:proofErr w:type="spellEnd"/>
      <w:r w:rsidRPr="00BD48BF">
        <w:rPr>
          <w:rFonts w:ascii="Times New Roman" w:eastAsiaTheme="minorHAnsi" w:hAnsi="Times New Roman"/>
          <w:color w:val="000000"/>
          <w:sz w:val="24"/>
          <w:szCs w:val="24"/>
          <w:lang w:val="en-SG"/>
        </w:rPr>
        <w:t>, 2005). Therefore, organizations are looking for ways to secure costs, improve quality, technology and consumers added-value as means to grow in competitive environment.</w:t>
      </w:r>
    </w:p>
    <w:p w14:paraId="04904A55" w14:textId="77777777" w:rsidR="00BD48BF" w:rsidRPr="00BD48BF" w:rsidRDefault="00BD48BF" w:rsidP="00BD48BF">
      <w:pPr>
        <w:spacing w:after="160" w:line="360" w:lineRule="auto"/>
        <w:jc w:val="both"/>
        <w:rPr>
          <w:rFonts w:ascii="Times New Roman" w:hAnsi="Times New Roman"/>
          <w:color w:val="000000"/>
          <w:sz w:val="24"/>
          <w:szCs w:val="24"/>
        </w:rPr>
      </w:pPr>
      <w:r w:rsidRPr="00BD48BF">
        <w:rPr>
          <w:rFonts w:ascii="Times New Roman" w:hAnsi="Times New Roman"/>
          <w:color w:val="000000"/>
          <w:sz w:val="24"/>
          <w:szCs w:val="24"/>
        </w:rPr>
        <w:t xml:space="preserve">To be successful, companies ought to decrease costs, advance quality and offer quick responses to consumer need. </w:t>
      </w:r>
    </w:p>
    <w:p w14:paraId="2E804432" w14:textId="77777777" w:rsidR="00BD48BF" w:rsidRPr="00BD48BF" w:rsidRDefault="00BD48BF" w:rsidP="00BD48BF">
      <w:pPr>
        <w:spacing w:after="160" w:line="360" w:lineRule="auto"/>
        <w:jc w:val="both"/>
        <w:rPr>
          <w:rFonts w:ascii="Times New Roman" w:hAnsi="Times New Roman"/>
          <w:color w:val="000000" w:themeColor="text1"/>
          <w:sz w:val="24"/>
          <w:szCs w:val="24"/>
        </w:rPr>
      </w:pPr>
      <w:r w:rsidRPr="00BD48BF">
        <w:rPr>
          <w:rFonts w:ascii="Times New Roman" w:hAnsi="Times New Roman"/>
          <w:color w:val="000000" w:themeColor="text1"/>
          <w:sz w:val="24"/>
          <w:szCs w:val="24"/>
        </w:rPr>
        <w:t xml:space="preserve">For instance, </w:t>
      </w:r>
      <w:r w:rsidRPr="00BD48BF">
        <w:rPr>
          <w:rFonts w:ascii="Times New Roman" w:eastAsiaTheme="minorHAnsi" w:hAnsi="Times New Roman"/>
          <w:color w:val="000000" w:themeColor="text1"/>
          <w:sz w:val="24"/>
          <w:szCs w:val="24"/>
          <w:lang w:val="en-MY"/>
        </w:rPr>
        <w:t>Um and Han (2021) cited the need of flexibility in order to deal with supply chain risk like materials supply interruptions or labour deficiencies. Additionally, Singh (2024) stressed that companies could alleviate the effect of interruptions by applying pro-active flexibilities that involve anticipation of possible risks as well as implementation of adaptable resolutions before time.</w:t>
      </w:r>
    </w:p>
    <w:p w14:paraId="09C4F72D" w14:textId="77777777" w:rsidR="00BD48BF" w:rsidRPr="00BD48BF" w:rsidRDefault="00BD48BF" w:rsidP="00BD48BF">
      <w:pPr>
        <w:spacing w:before="120" w:after="120" w:line="360" w:lineRule="auto"/>
        <w:jc w:val="both"/>
        <w:rPr>
          <w:rFonts w:ascii="Times New Roman" w:eastAsiaTheme="minorHAnsi" w:hAnsi="Times New Roman"/>
          <w:color w:val="000000" w:themeColor="text1"/>
          <w:sz w:val="24"/>
          <w:szCs w:val="24"/>
          <w:lang w:val="en-MY"/>
        </w:rPr>
      </w:pPr>
      <w:r w:rsidRPr="00BD48BF">
        <w:rPr>
          <w:rFonts w:ascii="Times New Roman" w:eastAsiaTheme="minorHAnsi" w:hAnsi="Times New Roman"/>
          <w:color w:val="000000" w:themeColor="text1"/>
          <w:sz w:val="24"/>
          <w:szCs w:val="24"/>
          <w:lang w:val="en-MY"/>
        </w:rPr>
        <w:t xml:space="preserve">Contemporary supply chain management needs huge flexibilities and resilience to steer worldwide difficulty as well as increase in customers demand (Lai, 2024).  It is suggested that Pointers of supply-chain flexibilities comprise lead-time, fill-rate, inventory’s turnover, responses and resilience. </w:t>
      </w:r>
    </w:p>
    <w:p w14:paraId="644B37FC" w14:textId="77777777" w:rsidR="00BD48BF" w:rsidRPr="00BD48BF" w:rsidRDefault="00BD48BF" w:rsidP="00BD48BF">
      <w:pPr>
        <w:spacing w:before="120" w:after="120" w:line="360" w:lineRule="auto"/>
        <w:jc w:val="both"/>
        <w:rPr>
          <w:rFonts w:ascii="Times New Roman" w:eastAsiaTheme="minorHAnsi" w:hAnsi="Times New Roman"/>
          <w:color w:val="000000" w:themeColor="text1"/>
          <w:sz w:val="24"/>
          <w:szCs w:val="24"/>
          <w:lang w:val="en-MY"/>
        </w:rPr>
      </w:pPr>
      <w:r w:rsidRPr="00BD48BF">
        <w:rPr>
          <w:rFonts w:ascii="Times New Roman" w:eastAsiaTheme="minorHAnsi" w:hAnsi="Times New Roman"/>
          <w:color w:val="000000" w:themeColor="text1"/>
          <w:sz w:val="24"/>
          <w:szCs w:val="24"/>
          <w:lang w:val="en-MY"/>
        </w:rPr>
        <w:t xml:space="preserve">Okyere et al. (2015) describe lead-time as the entire time it takes from getting a consumer demand to the time it takes </w:t>
      </w:r>
      <w:proofErr w:type="gramStart"/>
      <w:r w:rsidRPr="00BD48BF">
        <w:rPr>
          <w:rFonts w:ascii="Times New Roman" w:eastAsiaTheme="minorHAnsi" w:hAnsi="Times New Roman"/>
          <w:color w:val="000000" w:themeColor="text1"/>
          <w:sz w:val="24"/>
          <w:szCs w:val="24"/>
          <w:lang w:val="en-MY"/>
        </w:rPr>
        <w:t>deliver  the</w:t>
      </w:r>
      <w:proofErr w:type="gramEnd"/>
      <w:r w:rsidRPr="00BD48BF">
        <w:rPr>
          <w:rFonts w:ascii="Times New Roman" w:eastAsiaTheme="minorHAnsi" w:hAnsi="Times New Roman"/>
          <w:color w:val="000000" w:themeColor="text1"/>
          <w:sz w:val="24"/>
          <w:szCs w:val="24"/>
          <w:lang w:val="en-MY"/>
        </w:rPr>
        <w:t xml:space="preserve"> final goods. Basically, it shows how fast supply chain could respond to consumer request. </w:t>
      </w:r>
    </w:p>
    <w:p w14:paraId="34AFB90E" w14:textId="77777777" w:rsidR="00BD48BF" w:rsidRPr="00BD48BF" w:rsidRDefault="00BD48BF" w:rsidP="00BD48BF">
      <w:pPr>
        <w:spacing w:before="120" w:after="120" w:line="360" w:lineRule="auto"/>
        <w:jc w:val="both"/>
        <w:rPr>
          <w:rFonts w:ascii="Times New Roman" w:eastAsiaTheme="minorHAnsi" w:hAnsi="Times New Roman"/>
          <w:color w:val="000000" w:themeColor="text1"/>
          <w:sz w:val="24"/>
          <w:szCs w:val="24"/>
          <w:lang w:val="en-MY"/>
        </w:rPr>
      </w:pPr>
      <w:r w:rsidRPr="00BD48BF">
        <w:rPr>
          <w:rFonts w:ascii="Times New Roman" w:eastAsiaTheme="minorHAnsi" w:hAnsi="Times New Roman"/>
          <w:color w:val="000000" w:themeColor="text1"/>
          <w:sz w:val="24"/>
          <w:szCs w:val="24"/>
          <w:lang w:val="en-MY"/>
        </w:rPr>
        <w:lastRenderedPageBreak/>
        <w:t>The goal of a flexible supply-chain is to reduce lead time by simplifying operations, improvement of communication with suppliers, and accepting effective production approaches (</w:t>
      </w:r>
      <w:proofErr w:type="spellStart"/>
      <w:r w:rsidRPr="00BD48BF">
        <w:rPr>
          <w:rFonts w:ascii="Times New Roman" w:eastAsiaTheme="minorHAnsi" w:hAnsi="Times New Roman"/>
          <w:color w:val="000000" w:themeColor="text1"/>
          <w:sz w:val="24"/>
          <w:szCs w:val="24"/>
          <w:lang w:val="en-MY"/>
        </w:rPr>
        <w:t>Kimwaki</w:t>
      </w:r>
      <w:proofErr w:type="spellEnd"/>
      <w:r w:rsidRPr="00BD48BF">
        <w:rPr>
          <w:rFonts w:ascii="Times New Roman" w:eastAsiaTheme="minorHAnsi" w:hAnsi="Times New Roman"/>
          <w:color w:val="000000" w:themeColor="text1"/>
          <w:sz w:val="24"/>
          <w:szCs w:val="24"/>
          <w:lang w:val="en-MY"/>
        </w:rPr>
        <w:t xml:space="preserve">, 2024). According to Darko et al. (2018) shorter lead-times improve consumer satisfactions and it permit firms to adapt quicker to changes in demands. </w:t>
      </w:r>
    </w:p>
    <w:p w14:paraId="683A25F0" w14:textId="2F1F43C0" w:rsidR="00BD48BF" w:rsidRDefault="00BD48BF" w:rsidP="00BD48BF">
      <w:pPr>
        <w:spacing w:before="120" w:after="120" w:line="360" w:lineRule="auto"/>
        <w:jc w:val="both"/>
        <w:rPr>
          <w:rFonts w:ascii="Times New Roman" w:eastAsiaTheme="minorHAnsi" w:hAnsi="Times New Roman"/>
          <w:sz w:val="24"/>
          <w:szCs w:val="24"/>
          <w:lang w:val="en-MY"/>
        </w:rPr>
      </w:pPr>
      <w:r w:rsidRPr="00BD48BF">
        <w:rPr>
          <w:rFonts w:ascii="Times New Roman" w:eastAsiaTheme="minorHAnsi" w:hAnsi="Times New Roman"/>
          <w:sz w:val="24"/>
          <w:szCs w:val="24"/>
          <w:lang w:val="en-MY"/>
        </w:rPr>
        <w:t xml:space="preserve">Despite the importance of flexible supply chain management in the manufacturing companies, the search of the previous literature reveal studies in this domain is scanty most particularly in developing countries and Nigeria in particular. </w:t>
      </w:r>
      <w:r w:rsidRPr="00BD48BF">
        <w:rPr>
          <w:rFonts w:ascii="Times New Roman" w:eastAsiaTheme="minorHAnsi" w:hAnsi="Times New Roman"/>
          <w:color w:val="000000"/>
          <w:sz w:val="24"/>
          <w:szCs w:val="24"/>
          <w:lang w:val="en-SG"/>
        </w:rPr>
        <w:t xml:space="preserve">Therefore, </w:t>
      </w:r>
      <w:proofErr w:type="gramStart"/>
      <w:r w:rsidRPr="00BD48BF">
        <w:rPr>
          <w:rFonts w:ascii="Times New Roman" w:eastAsiaTheme="minorHAnsi" w:hAnsi="Times New Roman"/>
          <w:color w:val="000000"/>
          <w:sz w:val="24"/>
          <w:szCs w:val="24"/>
          <w:lang w:val="en-SG"/>
        </w:rPr>
        <w:t xml:space="preserve">the </w:t>
      </w:r>
      <w:r w:rsidRPr="00BD48BF">
        <w:rPr>
          <w:rFonts w:ascii="Times New Roman" w:eastAsiaTheme="minorHAnsi" w:hAnsi="Times New Roman"/>
          <w:sz w:val="24"/>
          <w:szCs w:val="24"/>
          <w:lang w:val="en-SG"/>
        </w:rPr>
        <w:t xml:space="preserve"> main</w:t>
      </w:r>
      <w:proofErr w:type="gramEnd"/>
      <w:r w:rsidRPr="00BD48BF">
        <w:rPr>
          <w:rFonts w:ascii="Times New Roman" w:eastAsiaTheme="minorHAnsi" w:hAnsi="Times New Roman"/>
          <w:sz w:val="24"/>
          <w:szCs w:val="24"/>
          <w:lang w:val="en-SG"/>
        </w:rPr>
        <w:t xml:space="preserve"> objective of this research is to perform instrument validation of the items of flexible supply chain management construct through exploratory factor analysis (EFA).</w:t>
      </w:r>
    </w:p>
    <w:p w14:paraId="5D76EE6C" w14:textId="77777777" w:rsidR="00BD48BF" w:rsidRPr="00BD48BF" w:rsidRDefault="00BD48BF" w:rsidP="00BD48BF">
      <w:pPr>
        <w:spacing w:before="120" w:after="120" w:line="360" w:lineRule="auto"/>
        <w:jc w:val="both"/>
        <w:rPr>
          <w:rFonts w:ascii="Times New Roman" w:eastAsiaTheme="minorHAnsi" w:hAnsi="Times New Roman"/>
          <w:sz w:val="24"/>
          <w:szCs w:val="24"/>
          <w:lang w:val="en-MY"/>
        </w:rPr>
      </w:pPr>
    </w:p>
    <w:p w14:paraId="19CE5968" w14:textId="3EABE246" w:rsidR="00BD48BF" w:rsidRPr="00BD48BF" w:rsidRDefault="00E067DE" w:rsidP="00BD48BF">
      <w:pPr>
        <w:spacing w:after="160" w:line="360" w:lineRule="auto"/>
        <w:jc w:val="both"/>
        <w:rPr>
          <w:rFonts w:ascii="Times New Roman" w:eastAsiaTheme="minorHAnsi" w:hAnsi="Times New Roman"/>
          <w:b/>
          <w:sz w:val="24"/>
          <w:szCs w:val="24"/>
          <w:lang w:val="en-MY"/>
        </w:rPr>
      </w:pPr>
      <w:r w:rsidRPr="00BD48BF">
        <w:rPr>
          <w:rFonts w:ascii="Times New Roman" w:eastAsiaTheme="minorHAnsi" w:hAnsi="Times New Roman"/>
          <w:b/>
          <w:sz w:val="24"/>
          <w:szCs w:val="24"/>
          <w:lang w:val="en-MY"/>
        </w:rPr>
        <w:t>LITERATURE REVIEW</w:t>
      </w:r>
    </w:p>
    <w:p w14:paraId="1C48AFDE" w14:textId="34748031" w:rsidR="00BD48BF" w:rsidRPr="00BD48BF" w:rsidRDefault="00BD48BF" w:rsidP="00BD48BF">
      <w:pPr>
        <w:spacing w:after="160" w:line="360" w:lineRule="auto"/>
        <w:jc w:val="both"/>
        <w:rPr>
          <w:rFonts w:asciiTheme="minorHAnsi" w:eastAsiaTheme="minorHAnsi" w:hAnsiTheme="minorHAnsi" w:cstheme="minorBidi"/>
          <w:sz w:val="24"/>
          <w:szCs w:val="24"/>
        </w:rPr>
      </w:pPr>
      <w:r w:rsidRPr="00BD48BF">
        <w:rPr>
          <w:rFonts w:ascii="Times New Roman" w:eastAsiaTheme="minorHAnsi" w:hAnsi="Times New Roman" w:cstheme="minorBidi"/>
          <w:b/>
          <w:sz w:val="24"/>
          <w:szCs w:val="24"/>
          <w:lang w:val="en-SG"/>
        </w:rPr>
        <w:t xml:space="preserve">Flexible Supply Chain Management: </w:t>
      </w:r>
      <w:r w:rsidRPr="00BD48BF">
        <w:rPr>
          <w:rFonts w:ascii="Times New Roman" w:eastAsiaTheme="majorEastAsia" w:hAnsi="Times New Roman" w:cstheme="minorBidi"/>
          <w:spacing w:val="-10"/>
          <w:kern w:val="28"/>
          <w:sz w:val="24"/>
          <w:szCs w:val="24"/>
          <w:lang w:val="en-MY"/>
        </w:rPr>
        <w:t>Previous literatures suggests that flexible supply chain management is vital for better organization performance. Flexibility</w:t>
      </w:r>
      <w:r w:rsidRPr="00BD48BF">
        <w:rPr>
          <w:rFonts w:ascii="Times New Roman" w:eastAsia="SimSun" w:hAnsi="Times New Roman" w:cstheme="minorBidi"/>
          <w:spacing w:val="-10"/>
          <w:kern w:val="28"/>
          <w:sz w:val="24"/>
          <w:szCs w:val="24"/>
          <w:lang w:val="en-MY"/>
        </w:rPr>
        <w:t xml:space="preserve"> is the capability of an organization to competently and effectively adapt to predicted and unexpected changes (Tummala et al., 2006).</w:t>
      </w:r>
      <w:r w:rsidRPr="00BD48BF">
        <w:rPr>
          <w:rFonts w:asciiTheme="minorHAnsi" w:eastAsiaTheme="minorHAnsi" w:hAnsiTheme="minorHAnsi" w:cstheme="minorBidi"/>
          <w:sz w:val="24"/>
          <w:szCs w:val="24"/>
        </w:rPr>
        <w:t xml:space="preserve">  </w:t>
      </w:r>
      <w:proofErr w:type="spellStart"/>
      <w:r w:rsidRPr="00BD48BF">
        <w:rPr>
          <w:rFonts w:ascii="Times New Roman" w:eastAsiaTheme="minorHAnsi" w:hAnsi="Times New Roman"/>
          <w:color w:val="000000" w:themeColor="text1"/>
          <w:sz w:val="24"/>
          <w:szCs w:val="24"/>
          <w:lang w:val="en-MY"/>
        </w:rPr>
        <w:t>Siagian</w:t>
      </w:r>
      <w:proofErr w:type="spellEnd"/>
      <w:r w:rsidRPr="00BD48BF">
        <w:rPr>
          <w:rFonts w:ascii="Times New Roman" w:eastAsiaTheme="minorHAnsi" w:hAnsi="Times New Roman"/>
          <w:color w:val="000000" w:themeColor="text1"/>
          <w:sz w:val="24"/>
          <w:szCs w:val="24"/>
          <w:lang w:val="en-MY"/>
        </w:rPr>
        <w:t xml:space="preserve"> </w:t>
      </w:r>
      <w:r w:rsidRPr="00BD48BF">
        <w:rPr>
          <w:rFonts w:ascii="Times New Roman" w:eastAsiaTheme="minorHAnsi" w:hAnsi="Times New Roman"/>
          <w:iCs/>
          <w:color w:val="000000" w:themeColor="text1"/>
          <w:sz w:val="24"/>
          <w:szCs w:val="24"/>
          <w:lang w:val="en-MY"/>
        </w:rPr>
        <w:t>et al.</w:t>
      </w:r>
      <w:r w:rsidRPr="00BD48BF">
        <w:rPr>
          <w:rFonts w:ascii="Times New Roman" w:eastAsiaTheme="minorHAnsi" w:hAnsi="Times New Roman"/>
          <w:color w:val="000000" w:themeColor="text1"/>
          <w:sz w:val="24"/>
          <w:szCs w:val="24"/>
          <w:lang w:val="en-MY"/>
        </w:rPr>
        <w:t xml:space="preserve"> (2021) define flexible supply chain as a firm’s capability in adapting and responding efficiently to changes in customer demands, markets situations, interruptions as well as other factors which could affect the flowing of products. </w:t>
      </w:r>
      <w:r w:rsidRPr="00BD48BF">
        <w:rPr>
          <w:rFonts w:asciiTheme="minorHAnsi" w:eastAsiaTheme="minorHAnsi" w:hAnsiTheme="minorHAnsi" w:cstheme="minorBidi"/>
          <w:sz w:val="24"/>
          <w:szCs w:val="24"/>
        </w:rPr>
        <w:t xml:space="preserve"> </w:t>
      </w:r>
      <w:r w:rsidRPr="00BD48BF">
        <w:rPr>
          <w:rFonts w:ascii="Times New Roman" w:eastAsiaTheme="minorHAnsi" w:hAnsi="Times New Roman"/>
          <w:sz w:val="24"/>
          <w:szCs w:val="24"/>
          <w:lang w:val="en-MY"/>
        </w:rPr>
        <w:t xml:space="preserve">Flexible supply chain is a company’s capability to rapidly change and re-configure its supply chain procedures, resources, and approaches in response to external or internal alterations (Huo et al., 2018). Moreover, Um (2017) claimed that supply chain flexibility is the capacity to alter with ease the levels of production, raw materials procurement as well as </w:t>
      </w:r>
      <w:proofErr w:type="gramStart"/>
      <w:r w:rsidRPr="00BD48BF">
        <w:rPr>
          <w:rFonts w:ascii="Times New Roman" w:eastAsiaTheme="minorHAnsi" w:hAnsi="Times New Roman"/>
          <w:sz w:val="24"/>
          <w:szCs w:val="24"/>
          <w:lang w:val="en-MY"/>
        </w:rPr>
        <w:t>transportations</w:t>
      </w:r>
      <w:proofErr w:type="gramEnd"/>
      <w:r w:rsidRPr="00BD48BF">
        <w:rPr>
          <w:rFonts w:ascii="Times New Roman" w:eastAsiaTheme="minorHAnsi" w:hAnsi="Times New Roman"/>
          <w:sz w:val="24"/>
          <w:szCs w:val="24"/>
          <w:lang w:val="en-MY"/>
        </w:rPr>
        <w:t xml:space="preserve"> ability. </w:t>
      </w:r>
    </w:p>
    <w:p w14:paraId="2B8F9D42" w14:textId="77777777" w:rsidR="00BD48BF" w:rsidRPr="00310E4F" w:rsidRDefault="00BD48BF" w:rsidP="00BD48BF">
      <w:pPr>
        <w:spacing w:before="120" w:after="120" w:line="360" w:lineRule="auto"/>
        <w:jc w:val="both"/>
        <w:rPr>
          <w:rFonts w:ascii="Times New Roman" w:eastAsiaTheme="minorHAnsi" w:hAnsi="Times New Roman"/>
          <w:b/>
          <w:sz w:val="24"/>
          <w:szCs w:val="24"/>
          <w:lang w:val="en-MY"/>
        </w:rPr>
      </w:pPr>
      <w:r w:rsidRPr="00310E4F">
        <w:rPr>
          <w:rFonts w:ascii="Times New Roman" w:eastAsiaTheme="minorHAnsi" w:hAnsi="Times New Roman"/>
          <w:b/>
          <w:sz w:val="24"/>
          <w:szCs w:val="24"/>
          <w:lang w:val="en-MY"/>
        </w:rPr>
        <w:t>Importance of Supply Chain Flexibility</w:t>
      </w:r>
    </w:p>
    <w:p w14:paraId="3F90BD00" w14:textId="04D3A0F5" w:rsidR="00BD48BF" w:rsidRPr="004733FD" w:rsidRDefault="00BD48BF" w:rsidP="00BD48BF">
      <w:pPr>
        <w:spacing w:before="120" w:after="120" w:line="360" w:lineRule="auto"/>
        <w:jc w:val="both"/>
        <w:rPr>
          <w:rFonts w:ascii="Times New Roman" w:eastAsiaTheme="minorHAnsi" w:hAnsi="Times New Roman"/>
          <w:sz w:val="24"/>
          <w:szCs w:val="24"/>
          <w:lang w:val="en-MY"/>
        </w:rPr>
      </w:pPr>
      <w:r w:rsidRPr="00310E4F">
        <w:rPr>
          <w:rFonts w:ascii="Times New Roman" w:eastAsiaTheme="minorHAnsi" w:hAnsi="Times New Roman"/>
          <w:sz w:val="24"/>
          <w:szCs w:val="24"/>
          <w:lang w:val="en-MY"/>
        </w:rPr>
        <w:t xml:space="preserve">Settembre-Blundo </w:t>
      </w:r>
      <w:r w:rsidRPr="000B6F31">
        <w:rPr>
          <w:rFonts w:ascii="Times New Roman" w:eastAsiaTheme="minorHAnsi" w:hAnsi="Times New Roman"/>
          <w:iCs/>
          <w:sz w:val="24"/>
          <w:szCs w:val="24"/>
          <w:lang w:val="en-MY"/>
        </w:rPr>
        <w:t>et al.</w:t>
      </w:r>
      <w:r w:rsidRPr="000B6F31">
        <w:rPr>
          <w:rFonts w:ascii="Times New Roman" w:eastAsiaTheme="minorHAnsi" w:hAnsi="Times New Roman"/>
          <w:sz w:val="24"/>
          <w:szCs w:val="24"/>
          <w:lang w:val="en-MY"/>
        </w:rPr>
        <w:t xml:space="preserve"> (2021</w:t>
      </w:r>
      <w:r w:rsidRPr="00310E4F">
        <w:rPr>
          <w:rFonts w:ascii="Times New Roman" w:eastAsiaTheme="minorHAnsi" w:hAnsi="Times New Roman"/>
          <w:sz w:val="24"/>
          <w:szCs w:val="24"/>
          <w:lang w:val="en-MY"/>
        </w:rPr>
        <w:t xml:space="preserve"> </w:t>
      </w:r>
      <w:r w:rsidR="00310E4F" w:rsidRPr="00310E4F">
        <w:rPr>
          <w:rFonts w:ascii="Times New Roman" w:eastAsiaTheme="minorHAnsi" w:hAnsi="Times New Roman"/>
          <w:sz w:val="24"/>
          <w:szCs w:val="24"/>
          <w:lang w:val="en-MY"/>
        </w:rPr>
        <w:t>contended</w:t>
      </w:r>
      <w:r w:rsidRPr="00310E4F">
        <w:rPr>
          <w:rFonts w:ascii="Times New Roman" w:eastAsiaTheme="minorHAnsi" w:hAnsi="Times New Roman"/>
          <w:sz w:val="24"/>
          <w:szCs w:val="24"/>
          <w:lang w:val="en-MY"/>
        </w:rPr>
        <w:t xml:space="preserve"> that flexible systems </w:t>
      </w:r>
      <w:r w:rsidR="00310E4F" w:rsidRPr="00310E4F">
        <w:rPr>
          <w:rFonts w:ascii="Times New Roman" w:eastAsiaTheme="minorHAnsi" w:hAnsi="Times New Roman"/>
          <w:sz w:val="24"/>
          <w:szCs w:val="24"/>
          <w:lang w:val="en-MY"/>
        </w:rPr>
        <w:t>improve a company</w:t>
      </w:r>
      <w:r w:rsidRPr="00310E4F">
        <w:rPr>
          <w:rFonts w:ascii="Times New Roman" w:eastAsiaTheme="minorHAnsi" w:hAnsi="Times New Roman"/>
          <w:sz w:val="24"/>
          <w:szCs w:val="24"/>
          <w:lang w:val="en-MY"/>
        </w:rPr>
        <w:t>’s organic potential</w:t>
      </w:r>
      <w:r w:rsidR="00310E4F" w:rsidRPr="00310E4F">
        <w:rPr>
          <w:rFonts w:ascii="Times New Roman" w:eastAsiaTheme="minorHAnsi" w:hAnsi="Times New Roman"/>
          <w:sz w:val="24"/>
          <w:szCs w:val="24"/>
          <w:lang w:val="en-MY"/>
        </w:rPr>
        <w:t>s</w:t>
      </w:r>
      <w:r w:rsidRPr="00310E4F">
        <w:rPr>
          <w:rFonts w:ascii="Times New Roman" w:eastAsiaTheme="minorHAnsi" w:hAnsi="Times New Roman"/>
          <w:sz w:val="24"/>
          <w:szCs w:val="24"/>
          <w:lang w:val="en-MY"/>
        </w:rPr>
        <w:t xml:space="preserve"> by </w:t>
      </w:r>
      <w:r w:rsidR="00310E4F" w:rsidRPr="00310E4F">
        <w:rPr>
          <w:rFonts w:ascii="Times New Roman" w:eastAsiaTheme="minorHAnsi" w:hAnsi="Times New Roman"/>
          <w:sz w:val="24"/>
          <w:szCs w:val="24"/>
          <w:lang w:val="en-MY"/>
        </w:rPr>
        <w:t>allowing</w:t>
      </w:r>
      <w:r w:rsidRPr="00310E4F">
        <w:rPr>
          <w:rFonts w:ascii="Times New Roman" w:eastAsiaTheme="minorHAnsi" w:hAnsi="Times New Roman"/>
          <w:sz w:val="24"/>
          <w:szCs w:val="24"/>
          <w:lang w:val="en-MY"/>
        </w:rPr>
        <w:t xml:space="preserve"> it to </w:t>
      </w:r>
      <w:r w:rsidR="00310E4F" w:rsidRPr="00310E4F">
        <w:rPr>
          <w:rFonts w:ascii="Times New Roman" w:eastAsiaTheme="minorHAnsi" w:hAnsi="Times New Roman"/>
          <w:sz w:val="24"/>
          <w:szCs w:val="24"/>
          <w:lang w:val="en-MY"/>
        </w:rPr>
        <w:t>challenge as well as</w:t>
      </w:r>
      <w:r w:rsidRPr="00310E4F">
        <w:rPr>
          <w:rFonts w:ascii="Times New Roman" w:eastAsiaTheme="minorHAnsi" w:hAnsi="Times New Roman"/>
          <w:sz w:val="24"/>
          <w:szCs w:val="24"/>
          <w:lang w:val="en-MY"/>
        </w:rPr>
        <w:t xml:space="preserve"> </w:t>
      </w:r>
      <w:r w:rsidR="00310E4F" w:rsidRPr="00310E4F">
        <w:rPr>
          <w:rFonts w:ascii="Times New Roman" w:eastAsiaTheme="minorHAnsi" w:hAnsi="Times New Roman"/>
          <w:sz w:val="24"/>
          <w:szCs w:val="24"/>
          <w:lang w:val="en-MY"/>
        </w:rPr>
        <w:t>react</w:t>
      </w:r>
      <w:r w:rsidRPr="00310E4F">
        <w:rPr>
          <w:rFonts w:ascii="Times New Roman" w:eastAsiaTheme="minorHAnsi" w:hAnsi="Times New Roman"/>
          <w:sz w:val="24"/>
          <w:szCs w:val="24"/>
          <w:lang w:val="en-MY"/>
        </w:rPr>
        <w:t xml:space="preserve"> to </w:t>
      </w:r>
      <w:r w:rsidR="00310E4F" w:rsidRPr="00310E4F">
        <w:rPr>
          <w:rFonts w:ascii="Times New Roman" w:eastAsiaTheme="minorHAnsi" w:hAnsi="Times New Roman"/>
          <w:sz w:val="24"/>
          <w:szCs w:val="24"/>
          <w:lang w:val="en-MY"/>
        </w:rPr>
        <w:t>unanticipated environment and operation issues</w:t>
      </w:r>
      <w:r w:rsidRPr="00310E4F">
        <w:rPr>
          <w:rFonts w:ascii="Times New Roman" w:eastAsiaTheme="minorHAnsi" w:hAnsi="Times New Roman"/>
          <w:sz w:val="24"/>
          <w:szCs w:val="24"/>
          <w:lang w:val="en-MY"/>
        </w:rPr>
        <w:t xml:space="preserve">.  </w:t>
      </w:r>
      <w:r w:rsidRPr="004733FD">
        <w:rPr>
          <w:rFonts w:ascii="Times New Roman" w:eastAsiaTheme="minorHAnsi" w:hAnsi="Times New Roman"/>
          <w:sz w:val="24"/>
          <w:szCs w:val="24"/>
          <w:lang w:val="en-MY"/>
        </w:rPr>
        <w:t xml:space="preserve">This organic </w:t>
      </w:r>
      <w:r w:rsidR="00310E4F" w:rsidRPr="004733FD">
        <w:rPr>
          <w:rFonts w:ascii="Times New Roman" w:eastAsiaTheme="minorHAnsi" w:hAnsi="Times New Roman"/>
          <w:sz w:val="24"/>
          <w:szCs w:val="24"/>
          <w:lang w:val="en-MY"/>
        </w:rPr>
        <w:t>capability</w:t>
      </w:r>
      <w:r w:rsidRPr="004733FD">
        <w:rPr>
          <w:rFonts w:ascii="Times New Roman" w:eastAsiaTheme="minorHAnsi" w:hAnsi="Times New Roman"/>
          <w:sz w:val="24"/>
          <w:szCs w:val="24"/>
          <w:lang w:val="en-MY"/>
        </w:rPr>
        <w:t xml:space="preserve"> is </w:t>
      </w:r>
      <w:r w:rsidR="00310E4F" w:rsidRPr="004733FD">
        <w:rPr>
          <w:rFonts w:ascii="Times New Roman" w:eastAsiaTheme="minorHAnsi" w:hAnsi="Times New Roman"/>
          <w:sz w:val="24"/>
          <w:szCs w:val="24"/>
          <w:lang w:val="en-MY"/>
        </w:rPr>
        <w:t>vital</w:t>
      </w:r>
      <w:r w:rsidRPr="004733FD">
        <w:rPr>
          <w:rFonts w:ascii="Times New Roman" w:eastAsiaTheme="minorHAnsi" w:hAnsi="Times New Roman"/>
          <w:sz w:val="24"/>
          <w:szCs w:val="24"/>
          <w:lang w:val="en-MY"/>
        </w:rPr>
        <w:t xml:space="preserve"> because it </w:t>
      </w:r>
      <w:r w:rsidR="00310E4F" w:rsidRPr="004733FD">
        <w:rPr>
          <w:rFonts w:ascii="Times New Roman" w:eastAsiaTheme="minorHAnsi" w:hAnsi="Times New Roman"/>
          <w:sz w:val="24"/>
          <w:szCs w:val="24"/>
          <w:lang w:val="en-MY"/>
        </w:rPr>
        <w:t>allows</w:t>
      </w:r>
      <w:r w:rsidRPr="004733FD">
        <w:rPr>
          <w:rFonts w:ascii="Times New Roman" w:eastAsiaTheme="minorHAnsi" w:hAnsi="Times New Roman"/>
          <w:sz w:val="24"/>
          <w:szCs w:val="24"/>
          <w:lang w:val="en-MY"/>
        </w:rPr>
        <w:t xml:space="preserve"> </w:t>
      </w:r>
      <w:r w:rsidR="00310E4F" w:rsidRPr="004733FD">
        <w:rPr>
          <w:rFonts w:ascii="Times New Roman" w:eastAsiaTheme="minorHAnsi" w:hAnsi="Times New Roman"/>
          <w:sz w:val="24"/>
          <w:szCs w:val="24"/>
          <w:lang w:val="en-MY"/>
        </w:rPr>
        <w:t>companies to adapt</w:t>
      </w:r>
      <w:r w:rsidRPr="004733FD">
        <w:rPr>
          <w:rFonts w:ascii="Times New Roman" w:eastAsiaTheme="minorHAnsi" w:hAnsi="Times New Roman"/>
          <w:sz w:val="24"/>
          <w:szCs w:val="24"/>
          <w:lang w:val="en-MY"/>
        </w:rPr>
        <w:t xml:space="preserve"> </w:t>
      </w:r>
      <w:r w:rsidR="00310E4F" w:rsidRPr="004733FD">
        <w:rPr>
          <w:rFonts w:ascii="Times New Roman" w:eastAsiaTheme="minorHAnsi" w:hAnsi="Times New Roman"/>
          <w:sz w:val="24"/>
          <w:szCs w:val="24"/>
          <w:lang w:val="en-MY"/>
        </w:rPr>
        <w:t>rapidly</w:t>
      </w:r>
      <w:r w:rsidRPr="004733FD">
        <w:rPr>
          <w:rFonts w:ascii="Times New Roman" w:eastAsiaTheme="minorHAnsi" w:hAnsi="Times New Roman"/>
          <w:sz w:val="24"/>
          <w:szCs w:val="24"/>
          <w:lang w:val="en-MY"/>
        </w:rPr>
        <w:t xml:space="preserve"> to chang</w:t>
      </w:r>
      <w:r w:rsidR="00310E4F" w:rsidRPr="004733FD">
        <w:rPr>
          <w:rFonts w:ascii="Times New Roman" w:eastAsiaTheme="minorHAnsi" w:hAnsi="Times New Roman"/>
          <w:sz w:val="24"/>
          <w:szCs w:val="24"/>
          <w:lang w:val="en-MY"/>
        </w:rPr>
        <w:t>e</w:t>
      </w:r>
      <w:r w:rsidRPr="004733FD">
        <w:rPr>
          <w:rFonts w:ascii="Times New Roman" w:eastAsiaTheme="minorHAnsi" w:hAnsi="Times New Roman"/>
          <w:sz w:val="24"/>
          <w:szCs w:val="24"/>
          <w:lang w:val="en-MY"/>
        </w:rPr>
        <w:t xml:space="preserve"> internal</w:t>
      </w:r>
      <w:r w:rsidR="00310E4F" w:rsidRPr="004733FD">
        <w:rPr>
          <w:rFonts w:ascii="Times New Roman" w:eastAsiaTheme="minorHAnsi" w:hAnsi="Times New Roman"/>
          <w:sz w:val="24"/>
          <w:szCs w:val="24"/>
          <w:lang w:val="en-MY"/>
        </w:rPr>
        <w:t>ly as well as</w:t>
      </w:r>
      <w:r w:rsidRPr="004733FD">
        <w:rPr>
          <w:rFonts w:ascii="Times New Roman" w:eastAsiaTheme="minorHAnsi" w:hAnsi="Times New Roman"/>
          <w:sz w:val="24"/>
          <w:szCs w:val="24"/>
          <w:lang w:val="en-MY"/>
        </w:rPr>
        <w:t xml:space="preserve"> external</w:t>
      </w:r>
      <w:r w:rsidR="00310E4F" w:rsidRPr="004733FD">
        <w:rPr>
          <w:rFonts w:ascii="Times New Roman" w:eastAsiaTheme="minorHAnsi" w:hAnsi="Times New Roman"/>
          <w:sz w:val="24"/>
          <w:szCs w:val="24"/>
          <w:lang w:val="en-MY"/>
        </w:rPr>
        <w:t>ly, this</w:t>
      </w:r>
      <w:r w:rsidRPr="004733FD">
        <w:rPr>
          <w:rFonts w:ascii="Times New Roman" w:eastAsiaTheme="minorHAnsi" w:hAnsi="Times New Roman"/>
          <w:sz w:val="24"/>
          <w:szCs w:val="24"/>
          <w:lang w:val="en-MY"/>
        </w:rPr>
        <w:t xml:space="preserve"> is </w:t>
      </w:r>
      <w:r w:rsidR="00310E4F" w:rsidRPr="004733FD">
        <w:rPr>
          <w:rFonts w:ascii="Times New Roman" w:eastAsiaTheme="minorHAnsi" w:hAnsi="Times New Roman"/>
          <w:sz w:val="24"/>
          <w:szCs w:val="24"/>
          <w:lang w:val="en-MY"/>
        </w:rPr>
        <w:t>vital</w:t>
      </w:r>
      <w:r w:rsidR="0088346C" w:rsidRPr="004733FD">
        <w:rPr>
          <w:rFonts w:ascii="Times New Roman" w:eastAsiaTheme="minorHAnsi" w:hAnsi="Times New Roman"/>
          <w:sz w:val="24"/>
          <w:szCs w:val="24"/>
          <w:lang w:val="en-MY"/>
        </w:rPr>
        <w:t xml:space="preserve"> to maintain</w:t>
      </w:r>
      <w:r w:rsidRPr="004733FD">
        <w:rPr>
          <w:rFonts w:ascii="Times New Roman" w:eastAsiaTheme="minorHAnsi" w:hAnsi="Times New Roman"/>
          <w:sz w:val="24"/>
          <w:szCs w:val="24"/>
          <w:lang w:val="en-MY"/>
        </w:rPr>
        <w:t xml:space="preserve"> a competitive advantage.</w:t>
      </w:r>
    </w:p>
    <w:p w14:paraId="2EAF828A" w14:textId="6FE89034" w:rsidR="00BD48BF" w:rsidRPr="004733FD" w:rsidRDefault="0088346C" w:rsidP="00BD48BF">
      <w:pPr>
        <w:spacing w:before="120" w:after="120" w:line="360" w:lineRule="auto"/>
        <w:jc w:val="both"/>
        <w:rPr>
          <w:rFonts w:ascii="Times New Roman" w:eastAsiaTheme="minorHAnsi" w:hAnsi="Times New Roman"/>
          <w:sz w:val="24"/>
          <w:szCs w:val="24"/>
          <w:lang w:val="en-MY"/>
        </w:rPr>
      </w:pPr>
      <w:r w:rsidRPr="004733FD">
        <w:rPr>
          <w:rFonts w:ascii="Times New Roman" w:eastAsiaTheme="minorHAnsi" w:hAnsi="Times New Roman"/>
          <w:sz w:val="24"/>
          <w:szCs w:val="24"/>
          <w:lang w:val="en-MY"/>
        </w:rPr>
        <w:t xml:space="preserve">Based on </w:t>
      </w:r>
      <w:r w:rsidR="00BD48BF" w:rsidRPr="004733FD">
        <w:rPr>
          <w:rFonts w:ascii="Times New Roman" w:eastAsiaTheme="minorHAnsi" w:hAnsi="Times New Roman"/>
          <w:sz w:val="24"/>
          <w:szCs w:val="24"/>
          <w:lang w:val="en-MY"/>
        </w:rPr>
        <w:t>Sandberg (2021), the interconnectio</w:t>
      </w:r>
      <w:r w:rsidRPr="004733FD">
        <w:rPr>
          <w:rFonts w:ascii="Times New Roman" w:eastAsiaTheme="minorHAnsi" w:hAnsi="Times New Roman"/>
          <w:sz w:val="24"/>
          <w:szCs w:val="24"/>
          <w:lang w:val="en-MY"/>
        </w:rPr>
        <w:t xml:space="preserve">n of production, logistics, as well as </w:t>
      </w:r>
      <w:r w:rsidR="00BD48BF" w:rsidRPr="004733FD">
        <w:rPr>
          <w:rFonts w:ascii="Times New Roman" w:eastAsiaTheme="minorHAnsi" w:hAnsi="Times New Roman"/>
          <w:sz w:val="24"/>
          <w:szCs w:val="24"/>
          <w:lang w:val="en-MY"/>
        </w:rPr>
        <w:t xml:space="preserve">other flexibility </w:t>
      </w:r>
      <w:r w:rsidRPr="004733FD">
        <w:rPr>
          <w:rFonts w:ascii="Times New Roman" w:eastAsiaTheme="minorHAnsi" w:hAnsi="Times New Roman"/>
          <w:sz w:val="24"/>
          <w:szCs w:val="24"/>
          <w:lang w:val="en-MY"/>
        </w:rPr>
        <w:t>features</w:t>
      </w:r>
      <w:r w:rsidR="00BD48BF" w:rsidRPr="004733FD">
        <w:rPr>
          <w:rFonts w:ascii="Times New Roman" w:eastAsiaTheme="minorHAnsi" w:hAnsi="Times New Roman"/>
          <w:sz w:val="24"/>
          <w:szCs w:val="24"/>
          <w:lang w:val="en-MY"/>
        </w:rPr>
        <w:t xml:space="preserve"> is </w:t>
      </w:r>
      <w:r w:rsidRPr="004733FD">
        <w:rPr>
          <w:rFonts w:ascii="Times New Roman" w:eastAsiaTheme="minorHAnsi" w:hAnsi="Times New Roman"/>
          <w:sz w:val="24"/>
          <w:szCs w:val="24"/>
          <w:lang w:val="en-MY"/>
        </w:rPr>
        <w:t>vital, hence combination of production as well as logistic flexibility assist in</w:t>
      </w:r>
      <w:r w:rsidR="00BD48BF" w:rsidRPr="004733FD">
        <w:rPr>
          <w:rFonts w:ascii="Times New Roman" w:eastAsiaTheme="minorHAnsi" w:hAnsi="Times New Roman"/>
          <w:sz w:val="24"/>
          <w:szCs w:val="24"/>
          <w:lang w:val="en-MY"/>
        </w:rPr>
        <w:t xml:space="preserve"> speed</w:t>
      </w:r>
      <w:r w:rsidRPr="004733FD">
        <w:rPr>
          <w:rFonts w:ascii="Times New Roman" w:eastAsiaTheme="minorHAnsi" w:hAnsi="Times New Roman"/>
          <w:sz w:val="24"/>
          <w:szCs w:val="24"/>
          <w:lang w:val="en-MY"/>
        </w:rPr>
        <w:t>ing</w:t>
      </w:r>
      <w:r w:rsidR="00BD48BF" w:rsidRPr="004733FD">
        <w:rPr>
          <w:rFonts w:ascii="Times New Roman" w:eastAsiaTheme="minorHAnsi" w:hAnsi="Times New Roman"/>
          <w:sz w:val="24"/>
          <w:szCs w:val="24"/>
          <w:lang w:val="en-MY"/>
        </w:rPr>
        <w:t xml:space="preserve"> up product</w:t>
      </w:r>
      <w:r w:rsidRPr="004733FD">
        <w:rPr>
          <w:rFonts w:ascii="Times New Roman" w:eastAsiaTheme="minorHAnsi" w:hAnsi="Times New Roman"/>
          <w:sz w:val="24"/>
          <w:szCs w:val="24"/>
          <w:lang w:val="en-MY"/>
        </w:rPr>
        <w:t>s development flexibilities. These flexibilities could provide some</w:t>
      </w:r>
      <w:r w:rsidR="00BD48BF" w:rsidRPr="004733FD">
        <w:rPr>
          <w:rFonts w:ascii="Times New Roman" w:eastAsiaTheme="minorHAnsi" w:hAnsi="Times New Roman"/>
          <w:sz w:val="24"/>
          <w:szCs w:val="24"/>
          <w:lang w:val="en-MY"/>
        </w:rPr>
        <w:t xml:space="preserve"> </w:t>
      </w:r>
      <w:r w:rsidRPr="004733FD">
        <w:rPr>
          <w:rFonts w:ascii="Times New Roman" w:eastAsiaTheme="minorHAnsi" w:hAnsi="Times New Roman"/>
          <w:sz w:val="24"/>
          <w:szCs w:val="24"/>
          <w:lang w:val="en-MY"/>
        </w:rPr>
        <w:t>competitive edge for a</w:t>
      </w:r>
      <w:r w:rsidR="004733FD" w:rsidRPr="004733FD">
        <w:rPr>
          <w:rFonts w:ascii="Times New Roman" w:eastAsiaTheme="minorHAnsi" w:hAnsi="Times New Roman"/>
          <w:sz w:val="24"/>
          <w:szCs w:val="24"/>
          <w:lang w:val="en-MY"/>
        </w:rPr>
        <w:t xml:space="preserve"> manufacturing company. Hence</w:t>
      </w:r>
      <w:r w:rsidR="00BD48BF" w:rsidRPr="004733FD">
        <w:rPr>
          <w:rFonts w:ascii="Times New Roman" w:eastAsiaTheme="minorHAnsi" w:hAnsi="Times New Roman"/>
          <w:sz w:val="24"/>
          <w:szCs w:val="24"/>
          <w:lang w:val="en-MY"/>
        </w:rPr>
        <w:t xml:space="preserve">, </w:t>
      </w:r>
      <w:r w:rsidR="004733FD" w:rsidRPr="004733FD">
        <w:rPr>
          <w:rFonts w:ascii="Times New Roman" w:eastAsiaTheme="minorHAnsi" w:hAnsi="Times New Roman"/>
          <w:sz w:val="24"/>
          <w:szCs w:val="24"/>
          <w:lang w:val="en-MY"/>
        </w:rPr>
        <w:t>companies</w:t>
      </w:r>
      <w:r w:rsidR="00BD48BF" w:rsidRPr="004733FD">
        <w:rPr>
          <w:rFonts w:ascii="Times New Roman" w:eastAsiaTheme="minorHAnsi" w:hAnsi="Times New Roman"/>
          <w:sz w:val="24"/>
          <w:szCs w:val="24"/>
          <w:lang w:val="en-MY"/>
        </w:rPr>
        <w:t xml:space="preserve"> </w:t>
      </w:r>
      <w:r w:rsidR="004733FD" w:rsidRPr="004733FD">
        <w:rPr>
          <w:rFonts w:ascii="Times New Roman" w:eastAsiaTheme="minorHAnsi" w:hAnsi="Times New Roman"/>
          <w:sz w:val="24"/>
          <w:szCs w:val="24"/>
          <w:lang w:val="en-MY"/>
        </w:rPr>
        <w:t>need</w:t>
      </w:r>
      <w:r w:rsidR="00BD48BF" w:rsidRPr="004733FD">
        <w:rPr>
          <w:rFonts w:ascii="Times New Roman" w:eastAsiaTheme="minorHAnsi" w:hAnsi="Times New Roman"/>
          <w:sz w:val="24"/>
          <w:szCs w:val="24"/>
          <w:lang w:val="en-MY"/>
        </w:rPr>
        <w:t xml:space="preserve"> </w:t>
      </w:r>
      <w:r w:rsidR="004733FD" w:rsidRPr="004733FD">
        <w:rPr>
          <w:rFonts w:ascii="Times New Roman" w:eastAsiaTheme="minorHAnsi" w:hAnsi="Times New Roman"/>
          <w:sz w:val="24"/>
          <w:szCs w:val="24"/>
          <w:lang w:val="en-MY"/>
        </w:rPr>
        <w:t>to collaborate</w:t>
      </w:r>
      <w:r w:rsidR="00BD48BF" w:rsidRPr="004733FD">
        <w:rPr>
          <w:rFonts w:ascii="Times New Roman" w:eastAsiaTheme="minorHAnsi" w:hAnsi="Times New Roman"/>
          <w:sz w:val="24"/>
          <w:szCs w:val="24"/>
          <w:lang w:val="en-MY"/>
        </w:rPr>
        <w:t xml:space="preserve"> with </w:t>
      </w:r>
      <w:r w:rsidR="00BD48BF" w:rsidRPr="004733FD">
        <w:rPr>
          <w:rFonts w:ascii="Times New Roman" w:eastAsiaTheme="minorHAnsi" w:hAnsi="Times New Roman"/>
          <w:sz w:val="24"/>
          <w:szCs w:val="24"/>
          <w:lang w:val="en-MY"/>
        </w:rPr>
        <w:lastRenderedPageBreak/>
        <w:t xml:space="preserve">suppliers and </w:t>
      </w:r>
      <w:r w:rsidR="004733FD" w:rsidRPr="004733FD">
        <w:rPr>
          <w:rFonts w:ascii="Times New Roman" w:eastAsiaTheme="minorHAnsi" w:hAnsi="Times New Roman"/>
          <w:sz w:val="24"/>
          <w:szCs w:val="24"/>
          <w:lang w:val="en-MY"/>
        </w:rPr>
        <w:t>adjust</w:t>
      </w:r>
      <w:r w:rsidR="00BD48BF" w:rsidRPr="004733FD">
        <w:rPr>
          <w:rFonts w:ascii="Times New Roman" w:eastAsiaTheme="minorHAnsi" w:hAnsi="Times New Roman"/>
          <w:sz w:val="24"/>
          <w:szCs w:val="24"/>
          <w:lang w:val="en-MY"/>
        </w:rPr>
        <w:t xml:space="preserve"> </w:t>
      </w:r>
      <w:r w:rsidR="004733FD" w:rsidRPr="004733FD">
        <w:rPr>
          <w:rFonts w:ascii="Times New Roman" w:eastAsiaTheme="minorHAnsi" w:hAnsi="Times New Roman"/>
          <w:sz w:val="24"/>
          <w:szCs w:val="24"/>
          <w:lang w:val="en-MY"/>
        </w:rPr>
        <w:t>speedily</w:t>
      </w:r>
      <w:r w:rsidR="00BD48BF" w:rsidRPr="004733FD">
        <w:rPr>
          <w:rFonts w:ascii="Times New Roman" w:eastAsiaTheme="minorHAnsi" w:hAnsi="Times New Roman"/>
          <w:sz w:val="24"/>
          <w:szCs w:val="24"/>
          <w:lang w:val="en-MY"/>
        </w:rPr>
        <w:t xml:space="preserve"> to </w:t>
      </w:r>
      <w:r w:rsidR="004733FD" w:rsidRPr="004733FD">
        <w:rPr>
          <w:rFonts w:ascii="Times New Roman" w:eastAsiaTheme="minorHAnsi" w:hAnsi="Times New Roman"/>
          <w:sz w:val="24"/>
          <w:szCs w:val="24"/>
          <w:lang w:val="en-MY"/>
        </w:rPr>
        <w:t>improve their agility</w:t>
      </w:r>
      <w:r w:rsidR="00BD48BF" w:rsidRPr="004733FD">
        <w:rPr>
          <w:rFonts w:ascii="Times New Roman" w:eastAsiaTheme="minorHAnsi" w:hAnsi="Times New Roman"/>
          <w:sz w:val="24"/>
          <w:szCs w:val="24"/>
          <w:lang w:val="en-MY"/>
        </w:rPr>
        <w:t xml:space="preserve"> and responsiveness (Narayanan </w:t>
      </w:r>
      <w:r w:rsidR="00BD48BF" w:rsidRPr="000B6F31">
        <w:rPr>
          <w:rFonts w:ascii="Times New Roman" w:eastAsiaTheme="minorHAnsi" w:hAnsi="Times New Roman"/>
          <w:iCs/>
          <w:sz w:val="24"/>
          <w:szCs w:val="24"/>
          <w:lang w:val="en-MY"/>
        </w:rPr>
        <w:t>et al.,</w:t>
      </w:r>
      <w:r w:rsidR="00BD48BF" w:rsidRPr="004733FD">
        <w:rPr>
          <w:rFonts w:ascii="Times New Roman" w:eastAsiaTheme="minorHAnsi" w:hAnsi="Times New Roman"/>
          <w:sz w:val="24"/>
          <w:szCs w:val="24"/>
          <w:lang w:val="en-MY"/>
        </w:rPr>
        <w:t xml:space="preserve"> 2015).</w:t>
      </w:r>
    </w:p>
    <w:p w14:paraId="1E2FC44C" w14:textId="3F0F913D" w:rsidR="00BD48BF" w:rsidRPr="004733FD" w:rsidRDefault="004733FD" w:rsidP="00BD48BF">
      <w:pPr>
        <w:spacing w:before="120" w:after="120" w:line="360" w:lineRule="auto"/>
        <w:jc w:val="both"/>
        <w:rPr>
          <w:rFonts w:ascii="Times New Roman" w:eastAsiaTheme="minorHAnsi" w:hAnsi="Times New Roman"/>
          <w:sz w:val="24"/>
          <w:szCs w:val="24"/>
          <w:lang w:val="en-MY"/>
        </w:rPr>
      </w:pPr>
      <w:r w:rsidRPr="004733FD">
        <w:rPr>
          <w:rFonts w:ascii="Times New Roman" w:eastAsiaTheme="minorHAnsi" w:hAnsi="Times New Roman"/>
          <w:sz w:val="24"/>
          <w:szCs w:val="24"/>
          <w:lang w:val="en-MY"/>
        </w:rPr>
        <w:t xml:space="preserve">A flexible supply chain </w:t>
      </w:r>
      <w:proofErr w:type="gramStart"/>
      <w:r w:rsidRPr="004733FD">
        <w:rPr>
          <w:rFonts w:ascii="Times New Roman" w:eastAsiaTheme="minorHAnsi" w:hAnsi="Times New Roman"/>
          <w:sz w:val="24"/>
          <w:szCs w:val="24"/>
          <w:lang w:val="en-MY"/>
        </w:rPr>
        <w:t>enable</w:t>
      </w:r>
      <w:proofErr w:type="gramEnd"/>
      <w:r w:rsidRPr="004733FD">
        <w:rPr>
          <w:rFonts w:ascii="Times New Roman" w:eastAsiaTheme="minorHAnsi" w:hAnsi="Times New Roman"/>
          <w:sz w:val="24"/>
          <w:szCs w:val="24"/>
          <w:lang w:val="en-MY"/>
        </w:rPr>
        <w:t xml:space="preserve"> companies</w:t>
      </w:r>
      <w:r w:rsidR="00BD48BF" w:rsidRPr="004733FD">
        <w:rPr>
          <w:rFonts w:ascii="Times New Roman" w:eastAsiaTheme="minorHAnsi" w:hAnsi="Times New Roman"/>
          <w:sz w:val="24"/>
          <w:szCs w:val="24"/>
          <w:lang w:val="en-MY"/>
        </w:rPr>
        <w:t xml:space="preserve"> to </w:t>
      </w:r>
      <w:r w:rsidRPr="004733FD">
        <w:rPr>
          <w:rFonts w:ascii="Times New Roman" w:eastAsiaTheme="minorHAnsi" w:hAnsi="Times New Roman"/>
          <w:sz w:val="24"/>
          <w:szCs w:val="24"/>
          <w:lang w:val="en-MY"/>
        </w:rPr>
        <w:t>rapidly</w:t>
      </w:r>
      <w:r w:rsidR="00BD48BF" w:rsidRPr="004733FD">
        <w:rPr>
          <w:rFonts w:ascii="Times New Roman" w:eastAsiaTheme="minorHAnsi" w:hAnsi="Times New Roman"/>
          <w:sz w:val="24"/>
          <w:szCs w:val="24"/>
          <w:lang w:val="en-MY"/>
        </w:rPr>
        <w:t xml:space="preserve"> </w:t>
      </w:r>
      <w:r w:rsidRPr="004733FD">
        <w:rPr>
          <w:rFonts w:ascii="Times New Roman" w:eastAsiaTheme="minorHAnsi" w:hAnsi="Times New Roman"/>
          <w:sz w:val="24"/>
          <w:szCs w:val="24"/>
          <w:lang w:val="en-MY"/>
        </w:rPr>
        <w:t>reorganise as well as</w:t>
      </w:r>
      <w:r w:rsidR="00BD48BF" w:rsidRPr="004733FD">
        <w:rPr>
          <w:rFonts w:ascii="Times New Roman" w:eastAsiaTheme="minorHAnsi" w:hAnsi="Times New Roman"/>
          <w:sz w:val="24"/>
          <w:szCs w:val="24"/>
          <w:lang w:val="en-MY"/>
        </w:rPr>
        <w:t xml:space="preserve"> </w:t>
      </w:r>
      <w:r w:rsidRPr="004733FD">
        <w:rPr>
          <w:rFonts w:ascii="Times New Roman" w:eastAsiaTheme="minorHAnsi" w:hAnsi="Times New Roman"/>
          <w:sz w:val="24"/>
          <w:szCs w:val="24"/>
          <w:lang w:val="en-MY"/>
        </w:rPr>
        <w:t>readjust</w:t>
      </w:r>
      <w:r w:rsidR="00BD48BF" w:rsidRPr="004733FD">
        <w:rPr>
          <w:rFonts w:ascii="Times New Roman" w:eastAsiaTheme="minorHAnsi" w:hAnsi="Times New Roman"/>
          <w:sz w:val="24"/>
          <w:szCs w:val="24"/>
          <w:lang w:val="en-MY"/>
        </w:rPr>
        <w:t xml:space="preserve"> resources in </w:t>
      </w:r>
      <w:r w:rsidRPr="004733FD">
        <w:rPr>
          <w:rFonts w:ascii="Times New Roman" w:eastAsiaTheme="minorHAnsi" w:hAnsi="Times New Roman"/>
          <w:sz w:val="24"/>
          <w:szCs w:val="24"/>
          <w:lang w:val="en-MY"/>
        </w:rPr>
        <w:t>response</w:t>
      </w:r>
      <w:r w:rsidR="00BD48BF" w:rsidRPr="004733FD">
        <w:rPr>
          <w:rFonts w:ascii="Times New Roman" w:eastAsiaTheme="minorHAnsi" w:hAnsi="Times New Roman"/>
          <w:sz w:val="24"/>
          <w:szCs w:val="24"/>
          <w:lang w:val="en-MY"/>
        </w:rPr>
        <w:t xml:space="preserve"> to </w:t>
      </w:r>
      <w:r w:rsidRPr="004733FD">
        <w:rPr>
          <w:rFonts w:ascii="Times New Roman" w:eastAsiaTheme="minorHAnsi" w:hAnsi="Times New Roman"/>
          <w:sz w:val="24"/>
          <w:szCs w:val="24"/>
          <w:lang w:val="en-MY"/>
        </w:rPr>
        <w:t>disturbances</w:t>
      </w:r>
      <w:r w:rsidR="00BD48BF" w:rsidRPr="004733FD">
        <w:rPr>
          <w:rFonts w:ascii="Times New Roman" w:eastAsiaTheme="minorHAnsi" w:hAnsi="Times New Roman"/>
          <w:sz w:val="24"/>
          <w:szCs w:val="24"/>
          <w:lang w:val="en-MY"/>
        </w:rPr>
        <w:t xml:space="preserve"> (Enrique </w:t>
      </w:r>
      <w:r w:rsidR="00BD48BF" w:rsidRPr="004733FD">
        <w:rPr>
          <w:rFonts w:ascii="Times New Roman" w:eastAsiaTheme="minorHAnsi" w:hAnsi="Times New Roman"/>
          <w:iCs/>
          <w:sz w:val="24"/>
          <w:szCs w:val="24"/>
          <w:lang w:val="en-MY"/>
        </w:rPr>
        <w:t>et al.,</w:t>
      </w:r>
      <w:r w:rsidR="00BD48BF" w:rsidRPr="004733FD">
        <w:rPr>
          <w:rFonts w:ascii="Times New Roman" w:eastAsiaTheme="minorHAnsi" w:hAnsi="Times New Roman"/>
          <w:sz w:val="24"/>
          <w:szCs w:val="24"/>
          <w:lang w:val="en-MY"/>
        </w:rPr>
        <w:t xml:space="preserve"> 2022).</w:t>
      </w:r>
    </w:p>
    <w:p w14:paraId="298A5B1F" w14:textId="4867660E" w:rsidR="00BD48BF" w:rsidRPr="000019D5" w:rsidRDefault="00BD48BF" w:rsidP="00BD48BF">
      <w:pPr>
        <w:spacing w:before="120" w:after="120" w:line="360" w:lineRule="auto"/>
        <w:jc w:val="both"/>
        <w:rPr>
          <w:rFonts w:ascii="Times New Roman" w:eastAsiaTheme="minorHAnsi" w:hAnsi="Times New Roman"/>
          <w:sz w:val="24"/>
          <w:szCs w:val="24"/>
          <w:lang w:val="en-MY"/>
        </w:rPr>
      </w:pPr>
      <w:r w:rsidRPr="00CA2364">
        <w:rPr>
          <w:rFonts w:ascii="Times New Roman" w:eastAsiaTheme="minorHAnsi" w:hAnsi="Times New Roman"/>
          <w:sz w:val="24"/>
          <w:szCs w:val="24"/>
          <w:lang w:val="en-MY"/>
        </w:rPr>
        <w:t xml:space="preserve">Flexibility in </w:t>
      </w:r>
      <w:r w:rsidR="00CF2004" w:rsidRPr="00CA2364">
        <w:rPr>
          <w:rFonts w:ascii="Times New Roman" w:eastAsiaTheme="minorHAnsi" w:hAnsi="Times New Roman"/>
          <w:sz w:val="24"/>
          <w:szCs w:val="24"/>
          <w:lang w:val="en-MY"/>
        </w:rPr>
        <w:t>numerous</w:t>
      </w:r>
      <w:r w:rsidRPr="00CA2364">
        <w:rPr>
          <w:rFonts w:ascii="Times New Roman" w:eastAsiaTheme="minorHAnsi" w:hAnsi="Times New Roman"/>
          <w:sz w:val="24"/>
          <w:szCs w:val="24"/>
          <w:lang w:val="en-MY"/>
        </w:rPr>
        <w:t xml:space="preserve"> </w:t>
      </w:r>
      <w:r w:rsidR="00CF2004" w:rsidRPr="00CA2364">
        <w:rPr>
          <w:rFonts w:ascii="Times New Roman" w:eastAsiaTheme="minorHAnsi" w:hAnsi="Times New Roman"/>
          <w:sz w:val="24"/>
          <w:szCs w:val="24"/>
          <w:lang w:val="en-MY"/>
        </w:rPr>
        <w:t>features, like</w:t>
      </w:r>
      <w:r w:rsidRPr="00CA2364">
        <w:rPr>
          <w:rFonts w:ascii="Times New Roman" w:eastAsiaTheme="minorHAnsi" w:hAnsi="Times New Roman"/>
          <w:sz w:val="24"/>
          <w:szCs w:val="24"/>
          <w:lang w:val="en-MY"/>
        </w:rPr>
        <w:t xml:space="preserve"> distribution</w:t>
      </w:r>
      <w:r w:rsidR="00CF2004" w:rsidRPr="00CA2364">
        <w:rPr>
          <w:rFonts w:ascii="Times New Roman" w:eastAsiaTheme="minorHAnsi" w:hAnsi="Times New Roman"/>
          <w:sz w:val="24"/>
          <w:szCs w:val="24"/>
          <w:lang w:val="en-MY"/>
        </w:rPr>
        <w:t>s</w:t>
      </w:r>
      <w:r w:rsidRPr="00CA2364">
        <w:rPr>
          <w:rFonts w:ascii="Times New Roman" w:eastAsiaTheme="minorHAnsi" w:hAnsi="Times New Roman"/>
          <w:sz w:val="24"/>
          <w:szCs w:val="24"/>
          <w:lang w:val="en-MY"/>
        </w:rPr>
        <w:t>, production</w:t>
      </w:r>
      <w:r w:rsidR="00CF2004" w:rsidRPr="00CA2364">
        <w:rPr>
          <w:rFonts w:ascii="Times New Roman" w:eastAsiaTheme="minorHAnsi" w:hAnsi="Times New Roman"/>
          <w:sz w:val="24"/>
          <w:szCs w:val="24"/>
          <w:lang w:val="en-MY"/>
        </w:rPr>
        <w:t>s</w:t>
      </w:r>
      <w:r w:rsidRPr="00CA2364">
        <w:rPr>
          <w:rFonts w:ascii="Times New Roman" w:eastAsiaTheme="minorHAnsi" w:hAnsi="Times New Roman"/>
          <w:sz w:val="24"/>
          <w:szCs w:val="24"/>
          <w:lang w:val="en-MY"/>
        </w:rPr>
        <w:t xml:space="preserve"> facilities, supply bases, and work</w:t>
      </w:r>
      <w:r w:rsidR="00CF2004" w:rsidRPr="00CA2364">
        <w:rPr>
          <w:rFonts w:ascii="Times New Roman" w:eastAsiaTheme="minorHAnsi" w:hAnsi="Times New Roman"/>
          <w:sz w:val="24"/>
          <w:szCs w:val="24"/>
          <w:lang w:val="en-MY"/>
        </w:rPr>
        <w:t xml:space="preserve"> </w:t>
      </w:r>
      <w:r w:rsidRPr="00CA2364">
        <w:rPr>
          <w:rFonts w:ascii="Times New Roman" w:eastAsiaTheme="minorHAnsi" w:hAnsi="Times New Roman"/>
          <w:sz w:val="24"/>
          <w:szCs w:val="24"/>
          <w:lang w:val="en-MY"/>
        </w:rPr>
        <w:t xml:space="preserve">force skills, </w:t>
      </w:r>
      <w:r w:rsidR="00CA2364" w:rsidRPr="00CA2364">
        <w:rPr>
          <w:rFonts w:ascii="Times New Roman" w:eastAsiaTheme="minorHAnsi" w:hAnsi="Times New Roman"/>
          <w:sz w:val="24"/>
          <w:szCs w:val="24"/>
          <w:lang w:val="en-MY"/>
        </w:rPr>
        <w:t>meaningfully</w:t>
      </w:r>
      <w:r w:rsidRPr="00CA2364">
        <w:rPr>
          <w:rFonts w:ascii="Times New Roman" w:eastAsiaTheme="minorHAnsi" w:hAnsi="Times New Roman"/>
          <w:sz w:val="24"/>
          <w:szCs w:val="24"/>
          <w:lang w:val="en-MY"/>
        </w:rPr>
        <w:t xml:space="preserve"> </w:t>
      </w:r>
      <w:r w:rsidR="00CA2364" w:rsidRPr="00CA2364">
        <w:rPr>
          <w:rFonts w:ascii="Times New Roman" w:eastAsiaTheme="minorHAnsi" w:hAnsi="Times New Roman"/>
          <w:sz w:val="24"/>
          <w:szCs w:val="24"/>
          <w:lang w:val="en-MY"/>
        </w:rPr>
        <w:t>adds</w:t>
      </w:r>
      <w:r w:rsidRPr="00CA2364">
        <w:rPr>
          <w:rFonts w:ascii="Times New Roman" w:eastAsiaTheme="minorHAnsi" w:hAnsi="Times New Roman"/>
          <w:sz w:val="24"/>
          <w:szCs w:val="24"/>
          <w:lang w:val="en-MY"/>
        </w:rPr>
        <w:t xml:space="preserve"> to the </w:t>
      </w:r>
      <w:r w:rsidR="00CA2364" w:rsidRPr="00CA2364">
        <w:rPr>
          <w:rFonts w:ascii="Times New Roman" w:eastAsiaTheme="minorHAnsi" w:hAnsi="Times New Roman"/>
          <w:sz w:val="24"/>
          <w:szCs w:val="24"/>
          <w:lang w:val="en-MY"/>
        </w:rPr>
        <w:t>whole</w:t>
      </w:r>
      <w:r w:rsidRPr="00CA2364">
        <w:rPr>
          <w:rFonts w:ascii="Times New Roman" w:eastAsiaTheme="minorHAnsi" w:hAnsi="Times New Roman"/>
          <w:sz w:val="24"/>
          <w:szCs w:val="24"/>
          <w:lang w:val="en-MY"/>
        </w:rPr>
        <w:t xml:space="preserve"> </w:t>
      </w:r>
      <w:r w:rsidR="00CA2364" w:rsidRPr="00CA2364">
        <w:rPr>
          <w:rFonts w:ascii="Times New Roman" w:eastAsiaTheme="minorHAnsi" w:hAnsi="Times New Roman"/>
          <w:sz w:val="24"/>
          <w:szCs w:val="24"/>
          <w:lang w:val="en-MY"/>
        </w:rPr>
        <w:t>flexibility</w:t>
      </w:r>
      <w:r w:rsidRPr="00CA2364">
        <w:rPr>
          <w:rFonts w:ascii="Times New Roman" w:eastAsiaTheme="minorHAnsi" w:hAnsi="Times New Roman"/>
          <w:sz w:val="24"/>
          <w:szCs w:val="24"/>
          <w:lang w:val="en-MY"/>
        </w:rPr>
        <w:t xml:space="preserve"> of supply chains (</w:t>
      </w:r>
      <w:proofErr w:type="spellStart"/>
      <w:r w:rsidRPr="00CA2364">
        <w:rPr>
          <w:rFonts w:ascii="Times New Roman" w:eastAsiaTheme="minorHAnsi" w:hAnsi="Times New Roman"/>
          <w:sz w:val="24"/>
          <w:szCs w:val="24"/>
          <w:lang w:val="en-MY"/>
        </w:rPr>
        <w:t>Piprani</w:t>
      </w:r>
      <w:proofErr w:type="spellEnd"/>
      <w:r w:rsidRPr="00CA2364">
        <w:rPr>
          <w:rFonts w:ascii="Times New Roman" w:eastAsiaTheme="minorHAnsi" w:hAnsi="Times New Roman"/>
          <w:sz w:val="24"/>
          <w:szCs w:val="24"/>
          <w:lang w:val="en-MY"/>
        </w:rPr>
        <w:t xml:space="preserve"> </w:t>
      </w:r>
      <w:r w:rsidRPr="00CA2364">
        <w:rPr>
          <w:rFonts w:ascii="Times New Roman" w:eastAsiaTheme="minorHAnsi" w:hAnsi="Times New Roman"/>
          <w:iCs/>
          <w:sz w:val="24"/>
          <w:szCs w:val="24"/>
          <w:lang w:val="en-MY"/>
        </w:rPr>
        <w:t>et al.,</w:t>
      </w:r>
      <w:r w:rsidR="00CA2364" w:rsidRPr="00CA2364">
        <w:rPr>
          <w:rFonts w:ascii="Times New Roman" w:eastAsiaTheme="minorHAnsi" w:hAnsi="Times New Roman"/>
          <w:sz w:val="24"/>
          <w:szCs w:val="24"/>
          <w:lang w:val="en-MY"/>
        </w:rPr>
        <w:t xml:space="preserve"> 2022). This flexibility </w:t>
      </w:r>
      <w:proofErr w:type="gramStart"/>
      <w:r w:rsidR="00CA2364" w:rsidRPr="00CA2364">
        <w:rPr>
          <w:rFonts w:ascii="Times New Roman" w:eastAsiaTheme="minorHAnsi" w:hAnsi="Times New Roman"/>
          <w:sz w:val="24"/>
          <w:szCs w:val="24"/>
          <w:lang w:val="en-MY"/>
        </w:rPr>
        <w:t>enable</w:t>
      </w:r>
      <w:proofErr w:type="gramEnd"/>
      <w:r w:rsidR="00CA2364" w:rsidRPr="00CA2364">
        <w:rPr>
          <w:rFonts w:ascii="Times New Roman" w:eastAsiaTheme="minorHAnsi" w:hAnsi="Times New Roman"/>
          <w:sz w:val="24"/>
          <w:szCs w:val="24"/>
          <w:lang w:val="en-MY"/>
        </w:rPr>
        <w:t xml:space="preserve"> companies to provide</w:t>
      </w:r>
      <w:r w:rsidRPr="00CA2364">
        <w:rPr>
          <w:rFonts w:ascii="Times New Roman" w:eastAsiaTheme="minorHAnsi" w:hAnsi="Times New Roman"/>
          <w:sz w:val="24"/>
          <w:szCs w:val="24"/>
          <w:lang w:val="en-MY"/>
        </w:rPr>
        <w:t xml:space="preserve"> quickly</w:t>
      </w:r>
      <w:r w:rsidR="00CA2364" w:rsidRPr="00CA2364">
        <w:rPr>
          <w:rFonts w:ascii="Times New Roman" w:eastAsiaTheme="minorHAnsi" w:hAnsi="Times New Roman"/>
          <w:sz w:val="24"/>
          <w:szCs w:val="24"/>
          <w:lang w:val="en-MY"/>
        </w:rPr>
        <w:t xml:space="preserve"> response</w:t>
      </w:r>
      <w:r w:rsidRPr="00CA2364">
        <w:rPr>
          <w:rFonts w:ascii="Times New Roman" w:eastAsiaTheme="minorHAnsi" w:hAnsi="Times New Roman"/>
          <w:sz w:val="24"/>
          <w:szCs w:val="24"/>
          <w:lang w:val="en-MY"/>
        </w:rPr>
        <w:t xml:space="preserve"> effectively during </w:t>
      </w:r>
      <w:r w:rsidR="00CA2364" w:rsidRPr="00CA2364">
        <w:rPr>
          <w:rFonts w:ascii="Times New Roman" w:eastAsiaTheme="minorHAnsi" w:hAnsi="Times New Roman"/>
          <w:sz w:val="24"/>
          <w:szCs w:val="24"/>
          <w:lang w:val="en-MY"/>
        </w:rPr>
        <w:t>stormy</w:t>
      </w:r>
      <w:r w:rsidRPr="00CA2364">
        <w:rPr>
          <w:rFonts w:ascii="Times New Roman" w:eastAsiaTheme="minorHAnsi" w:hAnsi="Times New Roman"/>
          <w:sz w:val="24"/>
          <w:szCs w:val="24"/>
          <w:lang w:val="en-MY"/>
        </w:rPr>
        <w:t xml:space="preserve"> times, </w:t>
      </w:r>
      <w:r w:rsidR="00CA2364" w:rsidRPr="00CA2364">
        <w:rPr>
          <w:rFonts w:ascii="Times New Roman" w:eastAsiaTheme="minorHAnsi" w:hAnsi="Times New Roman"/>
          <w:sz w:val="24"/>
          <w:szCs w:val="24"/>
          <w:lang w:val="en-MY"/>
        </w:rPr>
        <w:t>enabling</w:t>
      </w:r>
      <w:r w:rsidRPr="00CA2364">
        <w:rPr>
          <w:rFonts w:ascii="Times New Roman" w:eastAsiaTheme="minorHAnsi" w:hAnsi="Times New Roman"/>
          <w:sz w:val="24"/>
          <w:szCs w:val="24"/>
          <w:lang w:val="en-MY"/>
        </w:rPr>
        <w:t xml:space="preserve"> resource</w:t>
      </w:r>
      <w:r w:rsidR="00CA2364" w:rsidRPr="00CA2364">
        <w:rPr>
          <w:rFonts w:ascii="Times New Roman" w:eastAsiaTheme="minorHAnsi" w:hAnsi="Times New Roman"/>
          <w:sz w:val="24"/>
          <w:szCs w:val="24"/>
          <w:lang w:val="en-MY"/>
        </w:rPr>
        <w:t>s</w:t>
      </w:r>
      <w:r w:rsidRPr="00CA2364">
        <w:rPr>
          <w:rFonts w:ascii="Times New Roman" w:eastAsiaTheme="minorHAnsi" w:hAnsi="Times New Roman"/>
          <w:sz w:val="24"/>
          <w:szCs w:val="24"/>
          <w:lang w:val="en-MY"/>
        </w:rPr>
        <w:t xml:space="preserve"> reconfiguration and </w:t>
      </w:r>
      <w:r w:rsidR="00CA2364" w:rsidRPr="00CA2364">
        <w:rPr>
          <w:rFonts w:ascii="Times New Roman" w:eastAsiaTheme="minorHAnsi" w:hAnsi="Times New Roman"/>
          <w:sz w:val="24"/>
          <w:szCs w:val="24"/>
          <w:lang w:val="en-MY"/>
        </w:rPr>
        <w:t>increasing</w:t>
      </w:r>
      <w:r w:rsidRPr="00CA2364">
        <w:rPr>
          <w:rFonts w:ascii="Times New Roman" w:eastAsiaTheme="minorHAnsi" w:hAnsi="Times New Roman"/>
          <w:sz w:val="24"/>
          <w:szCs w:val="24"/>
          <w:lang w:val="en-MY"/>
        </w:rPr>
        <w:t xml:space="preserve"> their </w:t>
      </w:r>
      <w:r w:rsidR="00CA2364" w:rsidRPr="00CA2364">
        <w:rPr>
          <w:rFonts w:ascii="Times New Roman" w:eastAsiaTheme="minorHAnsi" w:hAnsi="Times New Roman"/>
          <w:sz w:val="24"/>
          <w:szCs w:val="24"/>
          <w:lang w:val="en-MY"/>
        </w:rPr>
        <w:t>capacity</w:t>
      </w:r>
      <w:r w:rsidRPr="00CA2364">
        <w:rPr>
          <w:rFonts w:ascii="Times New Roman" w:eastAsiaTheme="minorHAnsi" w:hAnsi="Times New Roman"/>
          <w:sz w:val="24"/>
          <w:szCs w:val="24"/>
          <w:lang w:val="en-MY"/>
        </w:rPr>
        <w:t xml:space="preserve"> to </w:t>
      </w:r>
      <w:r w:rsidR="00CA2364" w:rsidRPr="00CA2364">
        <w:rPr>
          <w:rFonts w:ascii="Times New Roman" w:eastAsiaTheme="minorHAnsi" w:hAnsi="Times New Roman"/>
          <w:sz w:val="24"/>
          <w:szCs w:val="24"/>
          <w:lang w:val="en-MY"/>
        </w:rPr>
        <w:t>adjust</w:t>
      </w:r>
      <w:r w:rsidRPr="00CA2364">
        <w:rPr>
          <w:rFonts w:ascii="Times New Roman" w:eastAsiaTheme="minorHAnsi" w:hAnsi="Times New Roman"/>
          <w:sz w:val="24"/>
          <w:szCs w:val="24"/>
          <w:lang w:val="en-MY"/>
        </w:rPr>
        <w:t xml:space="preserve"> to </w:t>
      </w:r>
      <w:r w:rsidR="00CA2364" w:rsidRPr="00CA2364">
        <w:rPr>
          <w:rFonts w:ascii="Times New Roman" w:eastAsiaTheme="minorHAnsi" w:hAnsi="Times New Roman"/>
          <w:sz w:val="24"/>
          <w:szCs w:val="24"/>
          <w:lang w:val="en-MY"/>
        </w:rPr>
        <w:t xml:space="preserve">unexpected issues </w:t>
      </w:r>
      <w:r w:rsidRPr="00CA2364">
        <w:rPr>
          <w:rFonts w:ascii="Times New Roman" w:eastAsiaTheme="minorHAnsi" w:hAnsi="Times New Roman"/>
          <w:sz w:val="24"/>
          <w:szCs w:val="24"/>
          <w:lang w:val="en-MY"/>
        </w:rPr>
        <w:t xml:space="preserve">(Agrawal </w:t>
      </w:r>
      <w:r w:rsidRPr="00CA2364">
        <w:rPr>
          <w:rFonts w:ascii="Times New Roman" w:eastAsiaTheme="minorHAnsi" w:hAnsi="Times New Roman"/>
          <w:iCs/>
          <w:sz w:val="24"/>
          <w:szCs w:val="24"/>
          <w:lang w:val="en-MY"/>
        </w:rPr>
        <w:t>et al.,</w:t>
      </w:r>
      <w:r w:rsidRPr="00CA2364">
        <w:rPr>
          <w:rFonts w:ascii="Times New Roman" w:eastAsiaTheme="minorHAnsi" w:hAnsi="Times New Roman"/>
          <w:sz w:val="24"/>
          <w:szCs w:val="24"/>
          <w:lang w:val="en-MY"/>
        </w:rPr>
        <w:t xml:space="preserve"> 2023). </w:t>
      </w:r>
      <w:r w:rsidR="000019D5" w:rsidRPr="000019D5">
        <w:rPr>
          <w:rFonts w:ascii="Times New Roman" w:eastAsiaTheme="minorHAnsi" w:hAnsi="Times New Roman"/>
          <w:sz w:val="24"/>
          <w:szCs w:val="24"/>
          <w:lang w:val="en-MY"/>
        </w:rPr>
        <w:t>Then</w:t>
      </w:r>
      <w:r w:rsidR="00CA2364" w:rsidRPr="000019D5">
        <w:rPr>
          <w:rFonts w:ascii="Times New Roman" w:eastAsiaTheme="minorHAnsi" w:hAnsi="Times New Roman"/>
          <w:sz w:val="24"/>
          <w:szCs w:val="24"/>
          <w:lang w:val="en-MY"/>
        </w:rPr>
        <w:t>,</w:t>
      </w:r>
      <w:r w:rsidRPr="000019D5">
        <w:rPr>
          <w:rFonts w:ascii="Times New Roman" w:eastAsiaTheme="minorHAnsi" w:hAnsi="Times New Roman"/>
          <w:sz w:val="24"/>
          <w:szCs w:val="24"/>
          <w:lang w:val="en-MY"/>
        </w:rPr>
        <w:t xml:space="preserve"> integration</w:t>
      </w:r>
      <w:r w:rsidR="00CA2364" w:rsidRPr="000019D5">
        <w:rPr>
          <w:rFonts w:ascii="Times New Roman" w:eastAsiaTheme="minorHAnsi" w:hAnsi="Times New Roman"/>
          <w:sz w:val="24"/>
          <w:szCs w:val="24"/>
          <w:lang w:val="en-MY"/>
        </w:rPr>
        <w:t>s of flexibilities in the</w:t>
      </w:r>
      <w:r w:rsidRPr="000019D5">
        <w:rPr>
          <w:rFonts w:ascii="Times New Roman" w:eastAsiaTheme="minorHAnsi" w:hAnsi="Times New Roman"/>
          <w:sz w:val="24"/>
          <w:szCs w:val="24"/>
          <w:lang w:val="en-MY"/>
        </w:rPr>
        <w:t xml:space="preserve"> supply chains </w:t>
      </w:r>
      <w:r w:rsidR="00CA2364" w:rsidRPr="000019D5">
        <w:rPr>
          <w:rFonts w:ascii="Times New Roman" w:eastAsiaTheme="minorHAnsi" w:hAnsi="Times New Roman"/>
          <w:sz w:val="24"/>
          <w:szCs w:val="24"/>
          <w:lang w:val="en-MY"/>
        </w:rPr>
        <w:t>strengthens</w:t>
      </w:r>
      <w:r w:rsidRPr="000019D5">
        <w:rPr>
          <w:rFonts w:ascii="Times New Roman" w:eastAsiaTheme="minorHAnsi" w:hAnsi="Times New Roman"/>
          <w:sz w:val="24"/>
          <w:szCs w:val="24"/>
          <w:lang w:val="en-MY"/>
        </w:rPr>
        <w:t xml:space="preserve"> resilience, </w:t>
      </w:r>
      <w:r w:rsidR="00CA2364" w:rsidRPr="000019D5">
        <w:rPr>
          <w:rFonts w:ascii="Times New Roman" w:eastAsiaTheme="minorHAnsi" w:hAnsi="Times New Roman"/>
          <w:sz w:val="24"/>
          <w:szCs w:val="24"/>
          <w:lang w:val="en-MY"/>
        </w:rPr>
        <w:t>allowing companies</w:t>
      </w:r>
      <w:r w:rsidRPr="000019D5">
        <w:rPr>
          <w:rFonts w:ascii="Times New Roman" w:eastAsiaTheme="minorHAnsi" w:hAnsi="Times New Roman"/>
          <w:sz w:val="24"/>
          <w:szCs w:val="24"/>
          <w:lang w:val="en-MY"/>
        </w:rPr>
        <w:t xml:space="preserve"> to </w:t>
      </w:r>
      <w:r w:rsidR="00CA2364" w:rsidRPr="000019D5">
        <w:rPr>
          <w:rFonts w:ascii="Times New Roman" w:eastAsiaTheme="minorHAnsi" w:hAnsi="Times New Roman"/>
          <w:sz w:val="24"/>
          <w:szCs w:val="24"/>
          <w:lang w:val="en-MY"/>
        </w:rPr>
        <w:t>uphold</w:t>
      </w:r>
      <w:r w:rsidRPr="000019D5">
        <w:rPr>
          <w:rFonts w:ascii="Times New Roman" w:eastAsiaTheme="minorHAnsi" w:hAnsi="Times New Roman"/>
          <w:sz w:val="24"/>
          <w:szCs w:val="24"/>
          <w:lang w:val="en-MY"/>
        </w:rPr>
        <w:t xml:space="preserve"> </w:t>
      </w:r>
      <w:r w:rsidR="00CA2364" w:rsidRPr="000019D5">
        <w:rPr>
          <w:rFonts w:ascii="Times New Roman" w:eastAsiaTheme="minorHAnsi" w:hAnsi="Times New Roman"/>
          <w:sz w:val="24"/>
          <w:szCs w:val="24"/>
          <w:lang w:val="en-MY"/>
        </w:rPr>
        <w:t>the continuation of their operation</w:t>
      </w:r>
      <w:r w:rsidRPr="000019D5">
        <w:rPr>
          <w:rFonts w:ascii="Times New Roman" w:eastAsiaTheme="minorHAnsi" w:hAnsi="Times New Roman"/>
          <w:sz w:val="24"/>
          <w:szCs w:val="24"/>
          <w:lang w:val="en-MY"/>
        </w:rPr>
        <w:t xml:space="preserve"> and </w:t>
      </w:r>
      <w:r w:rsidR="000019D5" w:rsidRPr="000019D5">
        <w:rPr>
          <w:rFonts w:ascii="Times New Roman" w:eastAsiaTheme="minorHAnsi" w:hAnsi="Times New Roman"/>
          <w:sz w:val="24"/>
          <w:szCs w:val="24"/>
          <w:lang w:val="en-MY"/>
        </w:rPr>
        <w:t>keenness</w:t>
      </w:r>
      <w:r w:rsidRPr="000019D5">
        <w:rPr>
          <w:rFonts w:ascii="Times New Roman" w:eastAsiaTheme="minorHAnsi" w:hAnsi="Times New Roman"/>
          <w:sz w:val="24"/>
          <w:szCs w:val="24"/>
          <w:lang w:val="en-MY"/>
        </w:rPr>
        <w:t xml:space="preserve"> in dynamic</w:t>
      </w:r>
      <w:r w:rsidR="000019D5" w:rsidRPr="000019D5">
        <w:rPr>
          <w:rFonts w:ascii="Times New Roman" w:eastAsiaTheme="minorHAnsi" w:hAnsi="Times New Roman"/>
          <w:sz w:val="24"/>
          <w:szCs w:val="24"/>
          <w:lang w:val="en-MY"/>
        </w:rPr>
        <w:t>s environment</w:t>
      </w:r>
      <w:r w:rsidRPr="000019D5">
        <w:rPr>
          <w:rFonts w:ascii="Times New Roman" w:eastAsiaTheme="minorHAnsi" w:hAnsi="Times New Roman"/>
          <w:sz w:val="24"/>
          <w:szCs w:val="24"/>
          <w:lang w:val="en-MY"/>
        </w:rPr>
        <w:t xml:space="preserve"> (</w:t>
      </w:r>
      <w:proofErr w:type="spellStart"/>
      <w:r w:rsidRPr="000019D5">
        <w:rPr>
          <w:rFonts w:ascii="Times New Roman" w:eastAsiaTheme="minorHAnsi" w:hAnsi="Times New Roman"/>
          <w:sz w:val="24"/>
          <w:szCs w:val="24"/>
          <w:lang w:val="en-MY"/>
        </w:rPr>
        <w:t>Chunsheng</w:t>
      </w:r>
      <w:proofErr w:type="spellEnd"/>
      <w:r w:rsidRPr="000019D5">
        <w:rPr>
          <w:rFonts w:ascii="Times New Roman" w:eastAsiaTheme="minorHAnsi" w:hAnsi="Times New Roman"/>
          <w:sz w:val="24"/>
          <w:szCs w:val="24"/>
          <w:lang w:val="en-MY"/>
        </w:rPr>
        <w:t xml:space="preserve"> </w:t>
      </w:r>
      <w:r w:rsidRPr="000019D5">
        <w:rPr>
          <w:rFonts w:ascii="Times New Roman" w:eastAsiaTheme="minorHAnsi" w:hAnsi="Times New Roman"/>
          <w:iCs/>
          <w:sz w:val="24"/>
          <w:szCs w:val="24"/>
          <w:lang w:val="en-MY"/>
        </w:rPr>
        <w:t>et al.,</w:t>
      </w:r>
      <w:r w:rsidRPr="000019D5">
        <w:rPr>
          <w:rFonts w:ascii="Times New Roman" w:eastAsiaTheme="minorHAnsi" w:hAnsi="Times New Roman"/>
          <w:sz w:val="24"/>
          <w:szCs w:val="24"/>
          <w:lang w:val="en-MY"/>
        </w:rPr>
        <w:t xml:space="preserve"> 2020).</w:t>
      </w:r>
    </w:p>
    <w:p w14:paraId="7DB4FDDC" w14:textId="77777777" w:rsidR="001C151D" w:rsidRPr="00DF609B" w:rsidRDefault="001C151D" w:rsidP="00DF609B">
      <w:pPr>
        <w:autoSpaceDE w:val="0"/>
        <w:autoSpaceDN w:val="0"/>
        <w:adjustRightInd w:val="0"/>
        <w:spacing w:after="0" w:line="360" w:lineRule="auto"/>
        <w:jc w:val="both"/>
        <w:rPr>
          <w:rFonts w:ascii="Times New Roman" w:eastAsiaTheme="minorHAnsi" w:hAnsi="Times New Roman"/>
          <w:bCs/>
          <w:sz w:val="24"/>
          <w:szCs w:val="24"/>
          <w:lang w:val="en-SG"/>
        </w:rPr>
      </w:pPr>
    </w:p>
    <w:p w14:paraId="237BE46C" w14:textId="0CC10735" w:rsidR="00DF609B" w:rsidRPr="00DF609B" w:rsidRDefault="00E067DE" w:rsidP="00DF609B">
      <w:pPr>
        <w:autoSpaceDE w:val="0"/>
        <w:autoSpaceDN w:val="0"/>
        <w:adjustRightInd w:val="0"/>
        <w:spacing w:after="0" w:line="360" w:lineRule="auto"/>
        <w:jc w:val="both"/>
        <w:rPr>
          <w:rFonts w:ascii="Times New Roman" w:eastAsiaTheme="minorHAnsi" w:hAnsi="Times New Roman" w:cstheme="minorBidi"/>
          <w:b/>
          <w:color w:val="000000"/>
          <w:sz w:val="24"/>
          <w:szCs w:val="24"/>
          <w:lang w:val="en-SG"/>
        </w:rPr>
      </w:pPr>
      <w:r w:rsidRPr="00DF609B">
        <w:rPr>
          <w:rFonts w:ascii="Times New Roman" w:eastAsiaTheme="minorHAnsi" w:hAnsi="Times New Roman" w:cstheme="minorBidi"/>
          <w:b/>
          <w:color w:val="000000"/>
          <w:sz w:val="24"/>
          <w:szCs w:val="24"/>
          <w:lang w:val="en-SG"/>
        </w:rPr>
        <w:t>METHODOLOGY</w:t>
      </w:r>
    </w:p>
    <w:p w14:paraId="62F6D4AE" w14:textId="77777777" w:rsidR="00DF609B" w:rsidRPr="00DF609B" w:rsidRDefault="00DF609B" w:rsidP="00DF609B">
      <w:pPr>
        <w:spacing w:after="0" w:line="360" w:lineRule="auto"/>
        <w:ind w:firstLine="720"/>
        <w:jc w:val="both"/>
        <w:rPr>
          <w:rFonts w:ascii="Times New Roman" w:eastAsia="Times New Roman" w:hAnsi="Times New Roman"/>
          <w:bCs/>
          <w:color w:val="000000"/>
          <w:sz w:val="24"/>
          <w:szCs w:val="24"/>
        </w:rPr>
      </w:pPr>
    </w:p>
    <w:p w14:paraId="324A020F" w14:textId="77777777" w:rsidR="00DF609B" w:rsidRPr="006C7EEF" w:rsidRDefault="006C7EEF" w:rsidP="006C7EEF">
      <w:pPr>
        <w:autoSpaceDE w:val="0"/>
        <w:autoSpaceDN w:val="0"/>
        <w:adjustRightInd w:val="0"/>
        <w:spacing w:after="0" w:line="360" w:lineRule="auto"/>
        <w:jc w:val="both"/>
        <w:rPr>
          <w:rFonts w:ascii="Times New Roman" w:hAnsi="Times New Roman"/>
          <w:sz w:val="24"/>
          <w:szCs w:val="24"/>
        </w:rPr>
      </w:pPr>
      <w:r>
        <w:rPr>
          <w:rFonts w:ascii="Times New Roman" w:eastAsia="Times New Roman" w:hAnsi="Times New Roman"/>
          <w:bCs/>
          <w:color w:val="000000"/>
          <w:sz w:val="24"/>
          <w:szCs w:val="24"/>
        </w:rPr>
        <w:t>This study used the quantitative method through survey.</w:t>
      </w:r>
      <w:r w:rsidRPr="006C7EEF">
        <w:rPr>
          <w:rFonts w:ascii="Times New Roman" w:hAnsi="Times New Roman"/>
          <w:sz w:val="24"/>
          <w:szCs w:val="24"/>
        </w:rPr>
        <w:t xml:space="preserve"> </w:t>
      </w:r>
      <w:r w:rsidRPr="004A2D2F">
        <w:rPr>
          <w:rFonts w:ascii="Times New Roman" w:hAnsi="Times New Roman"/>
          <w:sz w:val="24"/>
          <w:szCs w:val="24"/>
        </w:rPr>
        <w:t>Flexible supply chain management has been measured in previous studies (</w:t>
      </w:r>
      <w:proofErr w:type="spellStart"/>
      <w:r w:rsidRPr="004A2D2F">
        <w:rPr>
          <w:rFonts w:ascii="Times New Roman" w:hAnsi="Times New Roman"/>
          <w:sz w:val="24"/>
          <w:szCs w:val="24"/>
        </w:rPr>
        <w:t>Fantazy</w:t>
      </w:r>
      <w:proofErr w:type="spellEnd"/>
      <w:r w:rsidRPr="004A2D2F">
        <w:rPr>
          <w:rFonts w:ascii="Times New Roman" w:hAnsi="Times New Roman"/>
          <w:sz w:val="24"/>
          <w:szCs w:val="24"/>
        </w:rPr>
        <w:t xml:space="preserve"> 2007) and </w:t>
      </w:r>
      <w:proofErr w:type="spellStart"/>
      <w:r w:rsidRPr="004A2D2F">
        <w:rPr>
          <w:rFonts w:ascii="Times New Roman" w:hAnsi="Times New Roman"/>
          <w:sz w:val="24"/>
          <w:szCs w:val="24"/>
        </w:rPr>
        <w:t>Fantazy</w:t>
      </w:r>
      <w:proofErr w:type="spellEnd"/>
      <w:r w:rsidRPr="004A2D2F">
        <w:rPr>
          <w:rFonts w:ascii="Times New Roman" w:hAnsi="Times New Roman"/>
          <w:sz w:val="24"/>
          <w:szCs w:val="24"/>
        </w:rPr>
        <w:t xml:space="preserve"> et al.,2009). In line with the above literature, the same items </w:t>
      </w:r>
      <w:proofErr w:type="gramStart"/>
      <w:r w:rsidRPr="004A2D2F">
        <w:rPr>
          <w:rFonts w:ascii="Times New Roman" w:hAnsi="Times New Roman"/>
          <w:sz w:val="24"/>
          <w:szCs w:val="24"/>
        </w:rPr>
        <w:t>was</w:t>
      </w:r>
      <w:proofErr w:type="gramEnd"/>
      <w:r w:rsidRPr="004A2D2F">
        <w:rPr>
          <w:rFonts w:ascii="Times New Roman" w:hAnsi="Times New Roman"/>
          <w:sz w:val="24"/>
          <w:szCs w:val="24"/>
        </w:rPr>
        <w:t xml:space="preserve"> adapted to measure flexible supply chain management in this study. </w:t>
      </w:r>
      <w:r>
        <w:rPr>
          <w:rFonts w:ascii="Times New Roman" w:hAnsi="Times New Roman"/>
          <w:sz w:val="24"/>
          <w:szCs w:val="24"/>
        </w:rPr>
        <w:t xml:space="preserve"> </w:t>
      </w:r>
      <w:r w:rsidR="00DF609B" w:rsidRPr="00DF609B">
        <w:rPr>
          <w:rFonts w:ascii="Times New Roman" w:eastAsia="Times New Roman" w:hAnsi="Times New Roman"/>
          <w:bCs/>
          <w:color w:val="000000"/>
          <w:sz w:val="24"/>
          <w:szCs w:val="24"/>
        </w:rPr>
        <w:t>The data for this study was gathered by using a self-administered (face-to-face) method which is in line with many researchers (Davis, 1989; Wang et al., 2003; Pikkarainen et al.; 2004), who used questionnaire survey to collect the data, and face-to-face self-administered method (</w:t>
      </w:r>
      <w:proofErr w:type="spellStart"/>
      <w:r w:rsidR="00DF609B" w:rsidRPr="00DF609B">
        <w:rPr>
          <w:rFonts w:ascii="Times New Roman" w:eastAsia="Times New Roman" w:hAnsi="Times New Roman"/>
          <w:bCs/>
          <w:color w:val="000000"/>
          <w:sz w:val="24"/>
          <w:szCs w:val="24"/>
        </w:rPr>
        <w:t>Alsajjan</w:t>
      </w:r>
      <w:proofErr w:type="spellEnd"/>
      <w:r w:rsidR="00DF609B" w:rsidRPr="00DF609B">
        <w:rPr>
          <w:rFonts w:ascii="Times New Roman" w:eastAsia="Times New Roman" w:hAnsi="Times New Roman"/>
          <w:bCs/>
          <w:color w:val="000000"/>
          <w:sz w:val="24"/>
          <w:szCs w:val="24"/>
        </w:rPr>
        <w:t xml:space="preserve"> and Dennis 2010; Abbasi et al., 2011</w:t>
      </w:r>
      <w:r w:rsidR="008A6BE7">
        <w:rPr>
          <w:rFonts w:ascii="Times New Roman" w:eastAsia="Times New Roman" w:hAnsi="Times New Roman"/>
          <w:bCs/>
          <w:color w:val="000000"/>
          <w:sz w:val="24"/>
          <w:szCs w:val="24"/>
        </w:rPr>
        <w:t>).</w:t>
      </w:r>
      <w:r w:rsidR="008D37D7">
        <w:rPr>
          <w:rFonts w:ascii="Times New Roman" w:eastAsia="Times New Roman" w:hAnsi="Times New Roman"/>
          <w:bCs/>
          <w:color w:val="000000"/>
          <w:sz w:val="24"/>
          <w:szCs w:val="24"/>
        </w:rPr>
        <w:t xml:space="preserve"> </w:t>
      </w:r>
      <w:r w:rsidR="00DF609B" w:rsidRPr="00DF609B">
        <w:rPr>
          <w:rFonts w:ascii="Times New Roman" w:eastAsia="Times New Roman" w:hAnsi="Times New Roman"/>
          <w:bCs/>
          <w:color w:val="000000"/>
          <w:sz w:val="24"/>
          <w:szCs w:val="24"/>
        </w:rPr>
        <w:t xml:space="preserve">Moreover, as stated by Awang et al., (2016) that 10 points of Likert scale are more effective than 5 points of Likert scale in operating of the measurement model (Awang et al., 2016). Hence, this </w:t>
      </w:r>
      <w:r w:rsidR="00F57E73" w:rsidRPr="00DF609B">
        <w:rPr>
          <w:rFonts w:ascii="Times New Roman" w:eastAsia="Times New Roman" w:hAnsi="Times New Roman"/>
          <w:bCs/>
          <w:color w:val="000000"/>
          <w:sz w:val="24"/>
          <w:szCs w:val="24"/>
        </w:rPr>
        <w:t>study applied</w:t>
      </w:r>
      <w:r w:rsidR="00DF609B" w:rsidRPr="00DF609B">
        <w:rPr>
          <w:rFonts w:ascii="Times New Roman" w:eastAsia="Times New Roman" w:hAnsi="Times New Roman"/>
          <w:bCs/>
          <w:color w:val="000000"/>
          <w:sz w:val="24"/>
          <w:szCs w:val="24"/>
        </w:rPr>
        <w:t xml:space="preserve"> the interval scale of 10, where the respondents select a statement amongst several statements from 1-10 which is considered to reflect the perceived quality of the subject. Where number 1 stands for strongly disagree, while, number 10 stands for strongly agree.</w:t>
      </w:r>
      <w:r>
        <w:rPr>
          <w:rFonts w:ascii="Times New Roman" w:hAnsi="Times New Roman"/>
          <w:sz w:val="24"/>
          <w:szCs w:val="24"/>
        </w:rPr>
        <w:t xml:space="preserve"> </w:t>
      </w:r>
      <w:r w:rsidR="00DF609B" w:rsidRPr="00DF609B">
        <w:rPr>
          <w:rFonts w:ascii="Times New Roman" w:eastAsia="Times New Roman" w:hAnsi="Times New Roman"/>
          <w:bCs/>
          <w:color w:val="000000"/>
          <w:sz w:val="24"/>
          <w:szCs w:val="24"/>
        </w:rPr>
        <w:t xml:space="preserve">The population of this study comprised the employees in manufacturing firms in Nigeria. The target respondents for this study are the manufacturing </w:t>
      </w:r>
      <w:proofErr w:type="gramStart"/>
      <w:r w:rsidR="00DF609B" w:rsidRPr="00DF609B">
        <w:rPr>
          <w:rFonts w:ascii="Times New Roman" w:eastAsia="Times New Roman" w:hAnsi="Times New Roman"/>
          <w:bCs/>
          <w:color w:val="000000"/>
          <w:sz w:val="24"/>
          <w:szCs w:val="24"/>
        </w:rPr>
        <w:t>companies</w:t>
      </w:r>
      <w:proofErr w:type="gramEnd"/>
      <w:r w:rsidR="00DF609B" w:rsidRPr="00DF609B">
        <w:rPr>
          <w:rFonts w:ascii="Times New Roman" w:eastAsia="Times New Roman" w:hAnsi="Times New Roman"/>
          <w:bCs/>
          <w:color w:val="000000"/>
          <w:sz w:val="24"/>
          <w:szCs w:val="24"/>
        </w:rPr>
        <w:t xml:space="preserve"> employees since this study is focused on supply chain management and these employees were be suitable respondents for this study. Basically, 100 questionnaires were distributed to the participants. The data was analyzed using Exploratory Factor Analysis </w:t>
      </w:r>
      <w:r w:rsidR="00DF609B" w:rsidRPr="00DF609B">
        <w:rPr>
          <w:rFonts w:ascii="Times New Roman" w:eastAsia="Times New Roman" w:hAnsi="Times New Roman"/>
          <w:bCs/>
          <w:sz w:val="24"/>
          <w:szCs w:val="24"/>
        </w:rPr>
        <w:t xml:space="preserve">in order to explore and assess the dimensionality of items measuring every construct in the research. </w:t>
      </w:r>
    </w:p>
    <w:p w14:paraId="5C3DD409" w14:textId="77777777" w:rsidR="00DF609B" w:rsidRPr="00DF609B" w:rsidRDefault="00DF609B" w:rsidP="00DF609B">
      <w:pPr>
        <w:spacing w:after="160" w:line="259" w:lineRule="auto"/>
        <w:jc w:val="both"/>
        <w:rPr>
          <w:rFonts w:asciiTheme="minorHAnsi" w:eastAsiaTheme="minorHAnsi" w:hAnsiTheme="minorHAnsi" w:cstheme="minorBidi"/>
          <w:lang w:val="en-SG"/>
        </w:rPr>
      </w:pPr>
    </w:p>
    <w:p w14:paraId="4AFC4E43" w14:textId="77777777" w:rsidR="00DF609B" w:rsidRPr="00DF609B" w:rsidRDefault="00DF609B" w:rsidP="00DF609B">
      <w:pPr>
        <w:spacing w:after="160" w:line="259" w:lineRule="auto"/>
        <w:jc w:val="both"/>
        <w:rPr>
          <w:rFonts w:asciiTheme="minorHAnsi" w:eastAsiaTheme="minorHAnsi" w:hAnsiTheme="minorHAnsi" w:cstheme="minorBidi"/>
          <w:lang w:val="en-SG"/>
        </w:rPr>
      </w:pPr>
      <w:r w:rsidRPr="00DF609B">
        <w:rPr>
          <w:rFonts w:asciiTheme="minorHAnsi" w:eastAsiaTheme="minorHAnsi" w:hAnsiTheme="minorHAnsi" w:cstheme="minorBidi"/>
          <w:lang w:val="en-SG"/>
        </w:rPr>
        <w:lastRenderedPageBreak/>
        <w:t xml:space="preserve"> </w:t>
      </w:r>
    </w:p>
    <w:p w14:paraId="4C5336E2" w14:textId="77777777" w:rsidR="00DF609B" w:rsidRPr="00DF609B" w:rsidRDefault="00DF609B" w:rsidP="00DF609B">
      <w:pPr>
        <w:spacing w:after="160" w:line="259" w:lineRule="auto"/>
        <w:jc w:val="both"/>
        <w:rPr>
          <w:rFonts w:ascii="Times New Roman" w:eastAsiaTheme="minorHAnsi" w:hAnsi="Times New Roman" w:cstheme="minorBidi"/>
          <w:b/>
          <w:sz w:val="24"/>
          <w:szCs w:val="24"/>
          <w:lang w:val="en-SG"/>
        </w:rPr>
      </w:pPr>
      <w:r w:rsidRPr="00DF609B">
        <w:rPr>
          <w:rFonts w:ascii="Times New Roman" w:eastAsiaTheme="minorHAnsi" w:hAnsi="Times New Roman" w:cstheme="minorBidi"/>
          <w:b/>
          <w:sz w:val="24"/>
          <w:szCs w:val="24"/>
          <w:lang w:val="en-SG"/>
        </w:rPr>
        <w:t>RESULTS AND DISCUSSION</w:t>
      </w:r>
    </w:p>
    <w:p w14:paraId="2F6D4E13" w14:textId="77777777" w:rsidR="00DF609B" w:rsidRPr="00DF609B" w:rsidRDefault="00DF609B" w:rsidP="00DF609B">
      <w:pPr>
        <w:spacing w:after="160" w:line="259" w:lineRule="auto"/>
        <w:jc w:val="both"/>
        <w:rPr>
          <w:rFonts w:asciiTheme="minorHAnsi" w:eastAsiaTheme="minorHAnsi" w:hAnsiTheme="minorHAnsi" w:cstheme="minorBidi"/>
          <w:lang w:val="en-SG"/>
        </w:rPr>
      </w:pPr>
    </w:p>
    <w:p w14:paraId="0F58FDCE" w14:textId="77777777" w:rsidR="00DF609B" w:rsidRPr="00DF609B" w:rsidRDefault="00DF609B" w:rsidP="00DF609B">
      <w:pPr>
        <w:spacing w:after="160" w:line="360" w:lineRule="auto"/>
        <w:jc w:val="both"/>
        <w:rPr>
          <w:rFonts w:ascii="Times New Roman" w:eastAsiaTheme="minorHAnsi" w:hAnsi="Times New Roman"/>
          <w:sz w:val="24"/>
          <w:szCs w:val="24"/>
          <w:lang w:val="en-SG"/>
        </w:rPr>
      </w:pPr>
      <w:r w:rsidRPr="00DF609B">
        <w:rPr>
          <w:rFonts w:ascii="Times New Roman" w:eastAsiaTheme="minorHAnsi" w:hAnsi="Times New Roman"/>
          <w:sz w:val="24"/>
          <w:szCs w:val="24"/>
          <w:lang w:val="en-SG"/>
        </w:rPr>
        <w:t>As mentioned above, Exploratory Factor Analysis (EFA) was used in this study to explore and evaluate the dimensionality of items that measure each construct in the study. Several scholars, for example Awang (2010, 2012</w:t>
      </w:r>
      <w:proofErr w:type="gramStart"/>
      <w:r w:rsidRPr="00DF609B">
        <w:rPr>
          <w:rFonts w:ascii="Times New Roman" w:eastAsiaTheme="minorHAnsi" w:hAnsi="Times New Roman"/>
          <w:sz w:val="24"/>
          <w:szCs w:val="24"/>
          <w:lang w:val="en-SG"/>
        </w:rPr>
        <w:t>),  Hoque</w:t>
      </w:r>
      <w:proofErr w:type="gramEnd"/>
      <w:r w:rsidRPr="00DF609B">
        <w:rPr>
          <w:rFonts w:ascii="Times New Roman" w:eastAsiaTheme="minorHAnsi" w:hAnsi="Times New Roman"/>
          <w:sz w:val="24"/>
          <w:szCs w:val="24"/>
          <w:lang w:val="en-SG"/>
        </w:rPr>
        <w:t xml:space="preserve"> et al. (2017, 2018), Noor et al. (2015), and Yahaya et al. (2018) stressed that the scholar needs to use Exploratory Factor Analysis (EFA) method for each construct to determine if the dimensionality of items have changed from previous study where the dimensions were developed. The dimensionality of items might change when the existing research is different from previous research in terms of difference in industry, the difference in culture and socio-economic status between the two population, and also the lapse in time (duration) between the existing research and the previous studies. In other words, the dimensions obtained by previous studies might not hold specifically when the present research is conducted in different environment and different industry (Awang, 2010, 2012).  </w:t>
      </w:r>
    </w:p>
    <w:p w14:paraId="640D8593" w14:textId="77777777" w:rsidR="00DF609B" w:rsidRPr="00DF609B" w:rsidRDefault="00DF609B" w:rsidP="00DF609B">
      <w:pPr>
        <w:spacing w:after="160" w:line="360" w:lineRule="auto"/>
        <w:jc w:val="both"/>
        <w:rPr>
          <w:rFonts w:asciiTheme="minorHAnsi" w:eastAsiaTheme="minorHAnsi" w:hAnsiTheme="minorHAnsi" w:cstheme="minorBidi"/>
          <w:lang w:val="en-SG"/>
        </w:rPr>
      </w:pPr>
    </w:p>
    <w:p w14:paraId="75CA4C04" w14:textId="77777777" w:rsidR="00DF609B" w:rsidRPr="00DF609B" w:rsidRDefault="00DF609B" w:rsidP="00DF609B">
      <w:pPr>
        <w:spacing w:line="360" w:lineRule="auto"/>
        <w:jc w:val="both"/>
        <w:rPr>
          <w:rFonts w:ascii="Times New Roman" w:hAnsi="Times New Roman"/>
          <w:b/>
          <w:sz w:val="24"/>
          <w:szCs w:val="24"/>
        </w:rPr>
      </w:pPr>
      <w:bookmarkStart w:id="2" w:name="_Hlk31836712"/>
      <w:r w:rsidRPr="00DF609B">
        <w:rPr>
          <w:rFonts w:ascii="Times New Roman" w:hAnsi="Times New Roman"/>
          <w:b/>
          <w:sz w:val="24"/>
          <w:szCs w:val="24"/>
        </w:rPr>
        <w:t>The Exploratory Factor Analysis (EFA) for Flexible Supply Chain Management</w:t>
      </w:r>
    </w:p>
    <w:p w14:paraId="6CD319B4" w14:textId="77777777" w:rsidR="00DF609B" w:rsidRPr="00DF609B" w:rsidRDefault="00DF609B" w:rsidP="00DF609B">
      <w:pPr>
        <w:spacing w:line="360" w:lineRule="auto"/>
        <w:jc w:val="both"/>
        <w:rPr>
          <w:rFonts w:ascii="Times New Roman" w:hAnsi="Times New Roman"/>
          <w:sz w:val="24"/>
          <w:szCs w:val="24"/>
        </w:rPr>
      </w:pPr>
      <w:r w:rsidRPr="00DF609B">
        <w:rPr>
          <w:rFonts w:ascii="Times New Roman" w:hAnsi="Times New Roman"/>
          <w:sz w:val="24"/>
          <w:szCs w:val="24"/>
        </w:rPr>
        <w:t xml:space="preserve">This construct has 24 items in the questionnaire. The EFA results in Table 1 show the descriptive statistics for every item measuring </w:t>
      </w:r>
      <w:bookmarkStart w:id="3" w:name="_Hlk31773792"/>
      <w:bookmarkStart w:id="4" w:name="_Hlk31755048"/>
      <w:r w:rsidRPr="00DF609B">
        <w:rPr>
          <w:rFonts w:ascii="Times New Roman" w:hAnsi="Times New Roman"/>
          <w:sz w:val="24"/>
          <w:szCs w:val="24"/>
        </w:rPr>
        <w:t>Flexible Supply Chain Management</w:t>
      </w:r>
      <w:bookmarkEnd w:id="3"/>
      <w:r w:rsidRPr="00DF609B">
        <w:rPr>
          <w:rFonts w:ascii="Times New Roman" w:hAnsi="Times New Roman"/>
          <w:sz w:val="24"/>
          <w:szCs w:val="24"/>
        </w:rPr>
        <w:t xml:space="preserve">. </w:t>
      </w:r>
      <w:bookmarkEnd w:id="4"/>
      <w:r w:rsidRPr="00DF609B">
        <w:rPr>
          <w:rFonts w:ascii="Times New Roman" w:hAnsi="Times New Roman"/>
          <w:sz w:val="24"/>
          <w:szCs w:val="24"/>
        </w:rPr>
        <w:t>This construct was measured using 24 items in the questionnaire with the interval scale from 1 (strongly disagree) to 10 (strongly agree) with the given item statement (Awang et al., 2016; Hoque et al., 2018). The item statement, the mean and standard deviation of the score for every item is presented in Table 1.</w:t>
      </w:r>
    </w:p>
    <w:bookmarkEnd w:id="2"/>
    <w:p w14:paraId="798E1017" w14:textId="77777777" w:rsidR="00DF609B" w:rsidRPr="00DF609B" w:rsidRDefault="00DF609B" w:rsidP="00DF609B">
      <w:pPr>
        <w:jc w:val="both"/>
        <w:rPr>
          <w:b/>
          <w:bCs/>
          <w:sz w:val="24"/>
          <w:szCs w:val="24"/>
        </w:rPr>
      </w:pPr>
    </w:p>
    <w:p w14:paraId="5A0C2C61" w14:textId="77777777" w:rsidR="00DF609B" w:rsidRPr="00DF609B" w:rsidRDefault="00DF609B" w:rsidP="00DF609B">
      <w:pPr>
        <w:jc w:val="both"/>
        <w:rPr>
          <w:b/>
          <w:bCs/>
          <w:sz w:val="24"/>
          <w:szCs w:val="24"/>
        </w:rPr>
      </w:pPr>
      <w:r w:rsidRPr="00DF609B">
        <w:rPr>
          <w:b/>
          <w:bCs/>
          <w:sz w:val="24"/>
          <w:szCs w:val="24"/>
        </w:rPr>
        <w:t xml:space="preserve">Table 1: CONSTRUCT: </w:t>
      </w:r>
      <w:r w:rsidRPr="00DF609B">
        <w:rPr>
          <w:rFonts w:ascii="Times New Roman" w:hAnsi="Times New Roman"/>
          <w:b/>
          <w:sz w:val="24"/>
          <w:szCs w:val="24"/>
        </w:rPr>
        <w:t>Flexible Supply Chain Management</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5021"/>
        <w:gridCol w:w="1260"/>
        <w:gridCol w:w="1620"/>
      </w:tblGrid>
      <w:tr w:rsidR="00DF609B" w:rsidRPr="00DF609B" w14:paraId="182C1275" w14:textId="77777777" w:rsidTr="00C448BC">
        <w:trPr>
          <w:cantSplit/>
        </w:trPr>
        <w:tc>
          <w:tcPr>
            <w:tcW w:w="734" w:type="dxa"/>
            <w:shd w:val="clear" w:color="auto" w:fill="FFFFFF"/>
            <w:vAlign w:val="bottom"/>
          </w:tcPr>
          <w:p w14:paraId="200F5FFB" w14:textId="77777777" w:rsidR="00DF609B" w:rsidRPr="00DF609B" w:rsidRDefault="00DF609B" w:rsidP="00DF609B">
            <w:pPr>
              <w:autoSpaceDE w:val="0"/>
              <w:autoSpaceDN w:val="0"/>
              <w:adjustRightInd w:val="0"/>
              <w:spacing w:after="0" w:line="240" w:lineRule="auto"/>
              <w:jc w:val="both"/>
              <w:rPr>
                <w:rFonts w:ascii="Times New Roman" w:hAnsi="Times New Roman"/>
              </w:rPr>
            </w:pPr>
            <w:r w:rsidRPr="00DF609B">
              <w:rPr>
                <w:rFonts w:ascii="Times New Roman" w:hAnsi="Times New Roman"/>
              </w:rPr>
              <w:t>Label</w:t>
            </w:r>
          </w:p>
        </w:tc>
        <w:tc>
          <w:tcPr>
            <w:tcW w:w="5021" w:type="dxa"/>
            <w:shd w:val="clear" w:color="auto" w:fill="FFFFFF"/>
            <w:vAlign w:val="bottom"/>
          </w:tcPr>
          <w:p w14:paraId="08E1D26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Item Statement</w:t>
            </w:r>
          </w:p>
        </w:tc>
        <w:tc>
          <w:tcPr>
            <w:tcW w:w="1260" w:type="dxa"/>
            <w:shd w:val="clear" w:color="auto" w:fill="FFFFFF"/>
            <w:vAlign w:val="bottom"/>
          </w:tcPr>
          <w:p w14:paraId="5A50EE4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Mean</w:t>
            </w:r>
          </w:p>
        </w:tc>
        <w:tc>
          <w:tcPr>
            <w:tcW w:w="1620" w:type="dxa"/>
            <w:shd w:val="clear" w:color="auto" w:fill="FFFFFF"/>
            <w:vAlign w:val="bottom"/>
          </w:tcPr>
          <w:p w14:paraId="6DD1796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Std. Deviation</w:t>
            </w:r>
          </w:p>
        </w:tc>
      </w:tr>
      <w:tr w:rsidR="00DF609B" w:rsidRPr="00DF609B" w14:paraId="606AE24C" w14:textId="77777777" w:rsidTr="00C448BC">
        <w:trPr>
          <w:cantSplit/>
        </w:trPr>
        <w:tc>
          <w:tcPr>
            <w:tcW w:w="734" w:type="dxa"/>
            <w:shd w:val="clear" w:color="auto" w:fill="E0E0E0"/>
          </w:tcPr>
          <w:p w14:paraId="6DCCCD7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FS11</w:t>
            </w:r>
          </w:p>
        </w:tc>
        <w:tc>
          <w:tcPr>
            <w:tcW w:w="5021" w:type="dxa"/>
            <w:shd w:val="clear" w:color="auto" w:fill="FFFFFF"/>
          </w:tcPr>
          <w:p w14:paraId="64F372E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6A8CAB2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7.99</w:t>
            </w:r>
          </w:p>
        </w:tc>
        <w:tc>
          <w:tcPr>
            <w:tcW w:w="1620" w:type="dxa"/>
            <w:shd w:val="clear" w:color="auto" w:fill="FFFFFF"/>
          </w:tcPr>
          <w:p w14:paraId="318F458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1.535</w:t>
            </w:r>
          </w:p>
        </w:tc>
      </w:tr>
      <w:tr w:rsidR="00DF609B" w:rsidRPr="00DF609B" w14:paraId="47F2AB83" w14:textId="77777777" w:rsidTr="00C448BC">
        <w:trPr>
          <w:cantSplit/>
        </w:trPr>
        <w:tc>
          <w:tcPr>
            <w:tcW w:w="734" w:type="dxa"/>
            <w:shd w:val="clear" w:color="auto" w:fill="E0E0E0"/>
          </w:tcPr>
          <w:p w14:paraId="7F78556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FS12</w:t>
            </w:r>
          </w:p>
        </w:tc>
        <w:tc>
          <w:tcPr>
            <w:tcW w:w="5021" w:type="dxa"/>
            <w:shd w:val="clear" w:color="auto" w:fill="FFFFFF"/>
          </w:tcPr>
          <w:p w14:paraId="46720BF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2040F23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7.80</w:t>
            </w:r>
          </w:p>
        </w:tc>
        <w:tc>
          <w:tcPr>
            <w:tcW w:w="1620" w:type="dxa"/>
            <w:shd w:val="clear" w:color="auto" w:fill="FFFFFF"/>
          </w:tcPr>
          <w:p w14:paraId="7698333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1.857</w:t>
            </w:r>
          </w:p>
        </w:tc>
      </w:tr>
      <w:tr w:rsidR="00DF609B" w:rsidRPr="00DF609B" w14:paraId="5C804348" w14:textId="77777777" w:rsidTr="00C448BC">
        <w:trPr>
          <w:cantSplit/>
        </w:trPr>
        <w:tc>
          <w:tcPr>
            <w:tcW w:w="734" w:type="dxa"/>
            <w:shd w:val="clear" w:color="auto" w:fill="E0E0E0"/>
          </w:tcPr>
          <w:p w14:paraId="43AAA04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FS13</w:t>
            </w:r>
          </w:p>
        </w:tc>
        <w:tc>
          <w:tcPr>
            <w:tcW w:w="5021" w:type="dxa"/>
            <w:shd w:val="clear" w:color="auto" w:fill="FFFFFF"/>
          </w:tcPr>
          <w:p w14:paraId="03D3758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625146B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7.61</w:t>
            </w:r>
          </w:p>
        </w:tc>
        <w:tc>
          <w:tcPr>
            <w:tcW w:w="1620" w:type="dxa"/>
            <w:shd w:val="clear" w:color="auto" w:fill="FFFFFF"/>
          </w:tcPr>
          <w:p w14:paraId="63129F9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1.846</w:t>
            </w:r>
          </w:p>
        </w:tc>
      </w:tr>
      <w:tr w:rsidR="00DF609B" w:rsidRPr="00DF609B" w14:paraId="644F5978" w14:textId="77777777" w:rsidTr="00C448BC">
        <w:trPr>
          <w:cantSplit/>
        </w:trPr>
        <w:tc>
          <w:tcPr>
            <w:tcW w:w="734" w:type="dxa"/>
            <w:shd w:val="clear" w:color="auto" w:fill="E0E0E0"/>
          </w:tcPr>
          <w:p w14:paraId="3FA2178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FS14</w:t>
            </w:r>
          </w:p>
        </w:tc>
        <w:tc>
          <w:tcPr>
            <w:tcW w:w="5021" w:type="dxa"/>
            <w:shd w:val="clear" w:color="auto" w:fill="FFFFFF"/>
          </w:tcPr>
          <w:p w14:paraId="486E090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405D7A6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7.71</w:t>
            </w:r>
          </w:p>
        </w:tc>
        <w:tc>
          <w:tcPr>
            <w:tcW w:w="1620" w:type="dxa"/>
            <w:shd w:val="clear" w:color="auto" w:fill="FFFFFF"/>
          </w:tcPr>
          <w:p w14:paraId="5D2EB7D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1.807</w:t>
            </w:r>
          </w:p>
        </w:tc>
      </w:tr>
      <w:tr w:rsidR="00DF609B" w:rsidRPr="00DF609B" w14:paraId="1A919C52" w14:textId="77777777" w:rsidTr="00C448BC">
        <w:trPr>
          <w:cantSplit/>
        </w:trPr>
        <w:tc>
          <w:tcPr>
            <w:tcW w:w="734" w:type="dxa"/>
            <w:shd w:val="clear" w:color="auto" w:fill="E0E0E0"/>
          </w:tcPr>
          <w:p w14:paraId="53282A6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FS15</w:t>
            </w:r>
          </w:p>
        </w:tc>
        <w:tc>
          <w:tcPr>
            <w:tcW w:w="5021" w:type="dxa"/>
            <w:shd w:val="clear" w:color="auto" w:fill="FFFFFF"/>
          </w:tcPr>
          <w:p w14:paraId="46F0B5F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1B82D10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8.49</w:t>
            </w:r>
          </w:p>
        </w:tc>
        <w:tc>
          <w:tcPr>
            <w:tcW w:w="1620" w:type="dxa"/>
            <w:shd w:val="clear" w:color="auto" w:fill="FFFFFF"/>
          </w:tcPr>
          <w:p w14:paraId="0499C7C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1.427</w:t>
            </w:r>
          </w:p>
        </w:tc>
      </w:tr>
      <w:tr w:rsidR="00DF609B" w:rsidRPr="00DF609B" w14:paraId="7EF1F4DF" w14:textId="77777777" w:rsidTr="00C448BC">
        <w:trPr>
          <w:cantSplit/>
        </w:trPr>
        <w:tc>
          <w:tcPr>
            <w:tcW w:w="734" w:type="dxa"/>
            <w:shd w:val="clear" w:color="auto" w:fill="E0E0E0"/>
          </w:tcPr>
          <w:p w14:paraId="5F26C1C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FS16</w:t>
            </w:r>
          </w:p>
        </w:tc>
        <w:tc>
          <w:tcPr>
            <w:tcW w:w="5021" w:type="dxa"/>
            <w:shd w:val="clear" w:color="auto" w:fill="FFFFFF"/>
          </w:tcPr>
          <w:p w14:paraId="6CE45D1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0FD3E98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8.01</w:t>
            </w:r>
          </w:p>
        </w:tc>
        <w:tc>
          <w:tcPr>
            <w:tcW w:w="1620" w:type="dxa"/>
            <w:shd w:val="clear" w:color="auto" w:fill="FFFFFF"/>
          </w:tcPr>
          <w:p w14:paraId="4FB21C3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1.622</w:t>
            </w:r>
          </w:p>
        </w:tc>
      </w:tr>
      <w:tr w:rsidR="00DF609B" w:rsidRPr="00DF609B" w14:paraId="4679DA9E" w14:textId="77777777" w:rsidTr="00C448BC">
        <w:trPr>
          <w:cantSplit/>
        </w:trPr>
        <w:tc>
          <w:tcPr>
            <w:tcW w:w="734" w:type="dxa"/>
            <w:shd w:val="clear" w:color="auto" w:fill="E0E0E0"/>
          </w:tcPr>
          <w:p w14:paraId="234C0F5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FS17</w:t>
            </w:r>
          </w:p>
        </w:tc>
        <w:tc>
          <w:tcPr>
            <w:tcW w:w="5021" w:type="dxa"/>
            <w:shd w:val="clear" w:color="auto" w:fill="FFFFFF"/>
          </w:tcPr>
          <w:p w14:paraId="37F6427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7D60CDB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8.35</w:t>
            </w:r>
          </w:p>
        </w:tc>
        <w:tc>
          <w:tcPr>
            <w:tcW w:w="1620" w:type="dxa"/>
            <w:shd w:val="clear" w:color="auto" w:fill="FFFFFF"/>
          </w:tcPr>
          <w:p w14:paraId="05C089F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1.270</w:t>
            </w:r>
          </w:p>
        </w:tc>
      </w:tr>
      <w:tr w:rsidR="00DF609B" w:rsidRPr="00DF609B" w14:paraId="0B622C31" w14:textId="77777777" w:rsidTr="00C448BC">
        <w:trPr>
          <w:cantSplit/>
        </w:trPr>
        <w:tc>
          <w:tcPr>
            <w:tcW w:w="734" w:type="dxa"/>
            <w:shd w:val="clear" w:color="auto" w:fill="E0E0E0"/>
          </w:tcPr>
          <w:p w14:paraId="4BC4ABF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lastRenderedPageBreak/>
              <w:t>FS18</w:t>
            </w:r>
          </w:p>
        </w:tc>
        <w:tc>
          <w:tcPr>
            <w:tcW w:w="5021" w:type="dxa"/>
            <w:shd w:val="clear" w:color="auto" w:fill="FFFFFF"/>
          </w:tcPr>
          <w:p w14:paraId="530661B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36DFD01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8.27</w:t>
            </w:r>
          </w:p>
        </w:tc>
        <w:tc>
          <w:tcPr>
            <w:tcW w:w="1620" w:type="dxa"/>
            <w:shd w:val="clear" w:color="auto" w:fill="FFFFFF"/>
          </w:tcPr>
          <w:p w14:paraId="43400DE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1.315</w:t>
            </w:r>
          </w:p>
        </w:tc>
      </w:tr>
      <w:tr w:rsidR="00DF609B" w:rsidRPr="00DF609B" w14:paraId="288F9F51" w14:textId="77777777" w:rsidTr="00C448BC">
        <w:trPr>
          <w:cantSplit/>
        </w:trPr>
        <w:tc>
          <w:tcPr>
            <w:tcW w:w="734" w:type="dxa"/>
            <w:shd w:val="clear" w:color="auto" w:fill="E0E0E0"/>
          </w:tcPr>
          <w:p w14:paraId="5045FC0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FS21</w:t>
            </w:r>
          </w:p>
        </w:tc>
        <w:tc>
          <w:tcPr>
            <w:tcW w:w="5021" w:type="dxa"/>
            <w:shd w:val="clear" w:color="auto" w:fill="FFFFFF"/>
          </w:tcPr>
          <w:p w14:paraId="27E2D3D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43E6A30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8.18</w:t>
            </w:r>
          </w:p>
        </w:tc>
        <w:tc>
          <w:tcPr>
            <w:tcW w:w="1620" w:type="dxa"/>
            <w:shd w:val="clear" w:color="auto" w:fill="FFFFFF"/>
          </w:tcPr>
          <w:p w14:paraId="0208D99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1.264</w:t>
            </w:r>
          </w:p>
        </w:tc>
      </w:tr>
      <w:tr w:rsidR="00DF609B" w:rsidRPr="00DF609B" w14:paraId="7AA96947" w14:textId="77777777" w:rsidTr="00C448BC">
        <w:trPr>
          <w:cantSplit/>
        </w:trPr>
        <w:tc>
          <w:tcPr>
            <w:tcW w:w="734" w:type="dxa"/>
            <w:shd w:val="clear" w:color="auto" w:fill="E0E0E0"/>
          </w:tcPr>
          <w:p w14:paraId="28DFA1C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FS22</w:t>
            </w:r>
          </w:p>
        </w:tc>
        <w:tc>
          <w:tcPr>
            <w:tcW w:w="5021" w:type="dxa"/>
            <w:shd w:val="clear" w:color="auto" w:fill="FFFFFF"/>
          </w:tcPr>
          <w:p w14:paraId="264DEE0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16B0D51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8.35</w:t>
            </w:r>
          </w:p>
        </w:tc>
        <w:tc>
          <w:tcPr>
            <w:tcW w:w="1620" w:type="dxa"/>
            <w:shd w:val="clear" w:color="auto" w:fill="FFFFFF"/>
          </w:tcPr>
          <w:p w14:paraId="18EA96D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1.055</w:t>
            </w:r>
          </w:p>
        </w:tc>
      </w:tr>
      <w:tr w:rsidR="00DF609B" w:rsidRPr="00DF609B" w14:paraId="5301B4BA" w14:textId="77777777" w:rsidTr="00C448BC">
        <w:trPr>
          <w:cantSplit/>
        </w:trPr>
        <w:tc>
          <w:tcPr>
            <w:tcW w:w="734" w:type="dxa"/>
            <w:shd w:val="clear" w:color="auto" w:fill="E0E0E0"/>
          </w:tcPr>
          <w:p w14:paraId="5038CB5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FS23</w:t>
            </w:r>
          </w:p>
        </w:tc>
        <w:tc>
          <w:tcPr>
            <w:tcW w:w="5021" w:type="dxa"/>
            <w:shd w:val="clear" w:color="auto" w:fill="FFFFFF"/>
          </w:tcPr>
          <w:p w14:paraId="2DDCCC7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0A9C327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8.19</w:t>
            </w:r>
          </w:p>
        </w:tc>
        <w:tc>
          <w:tcPr>
            <w:tcW w:w="1620" w:type="dxa"/>
            <w:shd w:val="clear" w:color="auto" w:fill="FFFFFF"/>
          </w:tcPr>
          <w:p w14:paraId="2547EAA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1.149</w:t>
            </w:r>
          </w:p>
        </w:tc>
      </w:tr>
      <w:tr w:rsidR="00DF609B" w:rsidRPr="00DF609B" w14:paraId="42BC6F85" w14:textId="77777777" w:rsidTr="00C448BC">
        <w:trPr>
          <w:cantSplit/>
        </w:trPr>
        <w:tc>
          <w:tcPr>
            <w:tcW w:w="734" w:type="dxa"/>
            <w:shd w:val="clear" w:color="auto" w:fill="E0E0E0"/>
          </w:tcPr>
          <w:p w14:paraId="037F15E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FS24</w:t>
            </w:r>
          </w:p>
        </w:tc>
        <w:tc>
          <w:tcPr>
            <w:tcW w:w="5021" w:type="dxa"/>
            <w:shd w:val="clear" w:color="auto" w:fill="FFFFFF"/>
          </w:tcPr>
          <w:p w14:paraId="3D78A3C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582ECC3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8.68</w:t>
            </w:r>
          </w:p>
        </w:tc>
        <w:tc>
          <w:tcPr>
            <w:tcW w:w="1620" w:type="dxa"/>
            <w:shd w:val="clear" w:color="auto" w:fill="FFFFFF"/>
          </w:tcPr>
          <w:p w14:paraId="165E826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0.922</w:t>
            </w:r>
          </w:p>
        </w:tc>
      </w:tr>
      <w:tr w:rsidR="00DF609B" w:rsidRPr="00DF609B" w14:paraId="0E0D2968" w14:textId="77777777" w:rsidTr="00C448BC">
        <w:trPr>
          <w:cantSplit/>
        </w:trPr>
        <w:tc>
          <w:tcPr>
            <w:tcW w:w="734" w:type="dxa"/>
            <w:shd w:val="clear" w:color="auto" w:fill="E0E0E0"/>
          </w:tcPr>
          <w:p w14:paraId="520F289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FS25</w:t>
            </w:r>
          </w:p>
        </w:tc>
        <w:tc>
          <w:tcPr>
            <w:tcW w:w="5021" w:type="dxa"/>
            <w:shd w:val="clear" w:color="auto" w:fill="FFFFFF"/>
          </w:tcPr>
          <w:p w14:paraId="2A94280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10D171B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8.51</w:t>
            </w:r>
          </w:p>
        </w:tc>
        <w:tc>
          <w:tcPr>
            <w:tcW w:w="1620" w:type="dxa"/>
            <w:shd w:val="clear" w:color="auto" w:fill="FFFFFF"/>
          </w:tcPr>
          <w:p w14:paraId="4E0417A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1.079</w:t>
            </w:r>
          </w:p>
        </w:tc>
      </w:tr>
      <w:tr w:rsidR="00DF609B" w:rsidRPr="00DF609B" w14:paraId="3B065BC5" w14:textId="77777777" w:rsidTr="00C448BC">
        <w:trPr>
          <w:cantSplit/>
        </w:trPr>
        <w:tc>
          <w:tcPr>
            <w:tcW w:w="734" w:type="dxa"/>
            <w:shd w:val="clear" w:color="auto" w:fill="E0E0E0"/>
          </w:tcPr>
          <w:p w14:paraId="29FA414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FS26</w:t>
            </w:r>
          </w:p>
        </w:tc>
        <w:tc>
          <w:tcPr>
            <w:tcW w:w="5021" w:type="dxa"/>
            <w:shd w:val="clear" w:color="auto" w:fill="FFFFFF"/>
          </w:tcPr>
          <w:p w14:paraId="00A78AC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3684A8E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8.40</w:t>
            </w:r>
          </w:p>
        </w:tc>
        <w:tc>
          <w:tcPr>
            <w:tcW w:w="1620" w:type="dxa"/>
            <w:shd w:val="clear" w:color="auto" w:fill="FFFFFF"/>
          </w:tcPr>
          <w:p w14:paraId="1A51466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1.074</w:t>
            </w:r>
          </w:p>
        </w:tc>
      </w:tr>
      <w:tr w:rsidR="00DF609B" w:rsidRPr="00DF609B" w14:paraId="7246F857" w14:textId="77777777" w:rsidTr="00C448BC">
        <w:trPr>
          <w:cantSplit/>
        </w:trPr>
        <w:tc>
          <w:tcPr>
            <w:tcW w:w="734" w:type="dxa"/>
            <w:shd w:val="clear" w:color="auto" w:fill="E0E0E0"/>
          </w:tcPr>
          <w:p w14:paraId="7DFB6E8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FS27</w:t>
            </w:r>
          </w:p>
        </w:tc>
        <w:tc>
          <w:tcPr>
            <w:tcW w:w="5021" w:type="dxa"/>
            <w:shd w:val="clear" w:color="auto" w:fill="FFFFFF"/>
          </w:tcPr>
          <w:p w14:paraId="31CD1D3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24E5D85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8.35</w:t>
            </w:r>
          </w:p>
        </w:tc>
        <w:tc>
          <w:tcPr>
            <w:tcW w:w="1620" w:type="dxa"/>
            <w:shd w:val="clear" w:color="auto" w:fill="FFFFFF"/>
          </w:tcPr>
          <w:p w14:paraId="20A8440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1.154</w:t>
            </w:r>
          </w:p>
        </w:tc>
      </w:tr>
      <w:tr w:rsidR="00DF609B" w:rsidRPr="00DF609B" w14:paraId="77A65625" w14:textId="77777777" w:rsidTr="00C448BC">
        <w:trPr>
          <w:cantSplit/>
        </w:trPr>
        <w:tc>
          <w:tcPr>
            <w:tcW w:w="734" w:type="dxa"/>
            <w:shd w:val="clear" w:color="auto" w:fill="E0E0E0"/>
          </w:tcPr>
          <w:p w14:paraId="27B2111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FS28</w:t>
            </w:r>
          </w:p>
        </w:tc>
        <w:tc>
          <w:tcPr>
            <w:tcW w:w="5021" w:type="dxa"/>
            <w:shd w:val="clear" w:color="auto" w:fill="FFFFFF"/>
          </w:tcPr>
          <w:p w14:paraId="7546D0B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38C1ADC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8.32</w:t>
            </w:r>
          </w:p>
        </w:tc>
        <w:tc>
          <w:tcPr>
            <w:tcW w:w="1620" w:type="dxa"/>
            <w:shd w:val="clear" w:color="auto" w:fill="FFFFFF"/>
          </w:tcPr>
          <w:p w14:paraId="7934BF9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1.250</w:t>
            </w:r>
          </w:p>
        </w:tc>
      </w:tr>
      <w:tr w:rsidR="00DF609B" w:rsidRPr="00DF609B" w14:paraId="04911FFD" w14:textId="77777777" w:rsidTr="00C448BC">
        <w:trPr>
          <w:cantSplit/>
        </w:trPr>
        <w:tc>
          <w:tcPr>
            <w:tcW w:w="734" w:type="dxa"/>
            <w:shd w:val="clear" w:color="auto" w:fill="E0E0E0"/>
          </w:tcPr>
          <w:p w14:paraId="4343D17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FS31</w:t>
            </w:r>
          </w:p>
        </w:tc>
        <w:tc>
          <w:tcPr>
            <w:tcW w:w="5021" w:type="dxa"/>
            <w:shd w:val="clear" w:color="auto" w:fill="FFFFFF"/>
          </w:tcPr>
          <w:p w14:paraId="1BC6833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29A594E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8.27</w:t>
            </w:r>
          </w:p>
        </w:tc>
        <w:tc>
          <w:tcPr>
            <w:tcW w:w="1620" w:type="dxa"/>
            <w:shd w:val="clear" w:color="auto" w:fill="FFFFFF"/>
          </w:tcPr>
          <w:p w14:paraId="504F12C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1.309</w:t>
            </w:r>
          </w:p>
        </w:tc>
      </w:tr>
      <w:tr w:rsidR="00DF609B" w:rsidRPr="00DF609B" w14:paraId="1270B97D" w14:textId="77777777" w:rsidTr="00C448BC">
        <w:trPr>
          <w:cantSplit/>
        </w:trPr>
        <w:tc>
          <w:tcPr>
            <w:tcW w:w="734" w:type="dxa"/>
            <w:shd w:val="clear" w:color="auto" w:fill="E0E0E0"/>
          </w:tcPr>
          <w:p w14:paraId="4E84D46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FS32</w:t>
            </w:r>
          </w:p>
        </w:tc>
        <w:tc>
          <w:tcPr>
            <w:tcW w:w="5021" w:type="dxa"/>
            <w:shd w:val="clear" w:color="auto" w:fill="FFFFFF"/>
          </w:tcPr>
          <w:p w14:paraId="58D51C5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02ACA31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7.95</w:t>
            </w:r>
          </w:p>
        </w:tc>
        <w:tc>
          <w:tcPr>
            <w:tcW w:w="1620" w:type="dxa"/>
            <w:shd w:val="clear" w:color="auto" w:fill="FFFFFF"/>
          </w:tcPr>
          <w:p w14:paraId="33F9D51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1.399</w:t>
            </w:r>
          </w:p>
        </w:tc>
      </w:tr>
      <w:tr w:rsidR="00DF609B" w:rsidRPr="00DF609B" w14:paraId="6D3E273B" w14:textId="77777777" w:rsidTr="00C448BC">
        <w:trPr>
          <w:cantSplit/>
        </w:trPr>
        <w:tc>
          <w:tcPr>
            <w:tcW w:w="734" w:type="dxa"/>
            <w:shd w:val="clear" w:color="auto" w:fill="E0E0E0"/>
          </w:tcPr>
          <w:p w14:paraId="0988AAA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FS33</w:t>
            </w:r>
          </w:p>
        </w:tc>
        <w:tc>
          <w:tcPr>
            <w:tcW w:w="5021" w:type="dxa"/>
            <w:shd w:val="clear" w:color="auto" w:fill="FFFFFF"/>
          </w:tcPr>
          <w:p w14:paraId="5B06C17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2D3A0B4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8.47</w:t>
            </w:r>
          </w:p>
        </w:tc>
        <w:tc>
          <w:tcPr>
            <w:tcW w:w="1620" w:type="dxa"/>
            <w:shd w:val="clear" w:color="auto" w:fill="FFFFFF"/>
          </w:tcPr>
          <w:p w14:paraId="26CEF94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1.085</w:t>
            </w:r>
          </w:p>
        </w:tc>
      </w:tr>
      <w:tr w:rsidR="00DF609B" w:rsidRPr="00DF609B" w14:paraId="1271C51F" w14:textId="77777777" w:rsidTr="00C448BC">
        <w:trPr>
          <w:cantSplit/>
        </w:trPr>
        <w:tc>
          <w:tcPr>
            <w:tcW w:w="734" w:type="dxa"/>
            <w:shd w:val="clear" w:color="auto" w:fill="E0E0E0"/>
          </w:tcPr>
          <w:p w14:paraId="0473E7B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FS34</w:t>
            </w:r>
          </w:p>
        </w:tc>
        <w:tc>
          <w:tcPr>
            <w:tcW w:w="5021" w:type="dxa"/>
            <w:shd w:val="clear" w:color="auto" w:fill="FFFFFF"/>
          </w:tcPr>
          <w:p w14:paraId="6D8E075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7CBB771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8.64</w:t>
            </w:r>
          </w:p>
        </w:tc>
        <w:tc>
          <w:tcPr>
            <w:tcW w:w="1620" w:type="dxa"/>
            <w:shd w:val="clear" w:color="auto" w:fill="FFFFFF"/>
          </w:tcPr>
          <w:p w14:paraId="3ED5282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1.189</w:t>
            </w:r>
          </w:p>
        </w:tc>
      </w:tr>
      <w:tr w:rsidR="00DF609B" w:rsidRPr="00DF609B" w14:paraId="13E96AD0" w14:textId="77777777" w:rsidTr="00C448BC">
        <w:trPr>
          <w:cantSplit/>
        </w:trPr>
        <w:tc>
          <w:tcPr>
            <w:tcW w:w="734" w:type="dxa"/>
            <w:shd w:val="clear" w:color="auto" w:fill="E0E0E0"/>
          </w:tcPr>
          <w:p w14:paraId="31A3FA2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FS35</w:t>
            </w:r>
          </w:p>
        </w:tc>
        <w:tc>
          <w:tcPr>
            <w:tcW w:w="5021" w:type="dxa"/>
            <w:shd w:val="clear" w:color="auto" w:fill="FFFFFF"/>
          </w:tcPr>
          <w:p w14:paraId="7AC04D0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3E57315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7.70</w:t>
            </w:r>
          </w:p>
        </w:tc>
        <w:tc>
          <w:tcPr>
            <w:tcW w:w="1620" w:type="dxa"/>
            <w:shd w:val="clear" w:color="auto" w:fill="FFFFFF"/>
          </w:tcPr>
          <w:p w14:paraId="320C10B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1.532</w:t>
            </w:r>
          </w:p>
        </w:tc>
      </w:tr>
      <w:tr w:rsidR="00DF609B" w:rsidRPr="00DF609B" w14:paraId="58D69A13" w14:textId="77777777" w:rsidTr="00C448BC">
        <w:trPr>
          <w:cantSplit/>
        </w:trPr>
        <w:tc>
          <w:tcPr>
            <w:tcW w:w="734" w:type="dxa"/>
            <w:shd w:val="clear" w:color="auto" w:fill="E0E0E0"/>
          </w:tcPr>
          <w:p w14:paraId="7CB3617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FS36</w:t>
            </w:r>
          </w:p>
        </w:tc>
        <w:tc>
          <w:tcPr>
            <w:tcW w:w="5021" w:type="dxa"/>
            <w:shd w:val="clear" w:color="auto" w:fill="FFFFFF"/>
          </w:tcPr>
          <w:p w14:paraId="08AFCD8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5B6C9B1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8.09</w:t>
            </w:r>
          </w:p>
        </w:tc>
        <w:tc>
          <w:tcPr>
            <w:tcW w:w="1620" w:type="dxa"/>
            <w:shd w:val="clear" w:color="auto" w:fill="FFFFFF"/>
          </w:tcPr>
          <w:p w14:paraId="7085D20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1.338</w:t>
            </w:r>
          </w:p>
        </w:tc>
      </w:tr>
      <w:tr w:rsidR="00DF609B" w:rsidRPr="00DF609B" w14:paraId="1E0848C8" w14:textId="77777777" w:rsidTr="00C448BC">
        <w:trPr>
          <w:cantSplit/>
        </w:trPr>
        <w:tc>
          <w:tcPr>
            <w:tcW w:w="734" w:type="dxa"/>
            <w:shd w:val="clear" w:color="auto" w:fill="E0E0E0"/>
          </w:tcPr>
          <w:p w14:paraId="3BE1B4C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FS37</w:t>
            </w:r>
          </w:p>
        </w:tc>
        <w:tc>
          <w:tcPr>
            <w:tcW w:w="5021" w:type="dxa"/>
            <w:shd w:val="clear" w:color="auto" w:fill="FFFFFF"/>
          </w:tcPr>
          <w:p w14:paraId="5CE1030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3F3DB0A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8.01</w:t>
            </w:r>
          </w:p>
        </w:tc>
        <w:tc>
          <w:tcPr>
            <w:tcW w:w="1620" w:type="dxa"/>
            <w:shd w:val="clear" w:color="auto" w:fill="FFFFFF"/>
          </w:tcPr>
          <w:p w14:paraId="3CAEEEB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1.120</w:t>
            </w:r>
          </w:p>
        </w:tc>
      </w:tr>
      <w:tr w:rsidR="00DF609B" w:rsidRPr="00DF609B" w14:paraId="4F838343" w14:textId="77777777" w:rsidTr="00C448BC">
        <w:trPr>
          <w:cantSplit/>
        </w:trPr>
        <w:tc>
          <w:tcPr>
            <w:tcW w:w="734" w:type="dxa"/>
            <w:shd w:val="clear" w:color="auto" w:fill="E0E0E0"/>
          </w:tcPr>
          <w:p w14:paraId="3EDCEEE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FS38</w:t>
            </w:r>
          </w:p>
        </w:tc>
        <w:tc>
          <w:tcPr>
            <w:tcW w:w="5021" w:type="dxa"/>
            <w:shd w:val="clear" w:color="auto" w:fill="FFFFFF"/>
          </w:tcPr>
          <w:p w14:paraId="3CC51FD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260" w:type="dxa"/>
            <w:shd w:val="clear" w:color="auto" w:fill="FFFFFF"/>
          </w:tcPr>
          <w:p w14:paraId="7163E08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7.87</w:t>
            </w:r>
          </w:p>
        </w:tc>
        <w:tc>
          <w:tcPr>
            <w:tcW w:w="1620" w:type="dxa"/>
            <w:shd w:val="clear" w:color="auto" w:fill="FFFFFF"/>
          </w:tcPr>
          <w:p w14:paraId="1FA9C8A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1.406</w:t>
            </w:r>
          </w:p>
        </w:tc>
      </w:tr>
    </w:tbl>
    <w:p w14:paraId="034F7DF5"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1B9FC09A"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5AAC87F2"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27E84201"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bookmarkStart w:id="5" w:name="_Hlk31837125"/>
      <w:r w:rsidRPr="00DF609B">
        <w:rPr>
          <w:rFonts w:ascii="Times New Roman" w:hAnsi="Times New Roman"/>
          <w:sz w:val="24"/>
          <w:szCs w:val="24"/>
        </w:rPr>
        <w:t xml:space="preserve">The Exploratory Factor Analysis (EFA) employing the extraction method of Principal Component with Varimax (Variation Maximization) Rotation was performed on these 24 items measuring the Flexible Supply Chain Management construct. The results in Table 2 indicate that the Bartletts’ Test </w:t>
      </w:r>
      <w:proofErr w:type="gramStart"/>
      <w:r w:rsidRPr="00DF609B">
        <w:rPr>
          <w:rFonts w:ascii="Times New Roman" w:hAnsi="Times New Roman"/>
          <w:sz w:val="24"/>
          <w:szCs w:val="24"/>
        </w:rPr>
        <w:t>of  Sphericity</w:t>
      </w:r>
      <w:proofErr w:type="gramEnd"/>
      <w:r w:rsidRPr="00DF609B">
        <w:rPr>
          <w:rFonts w:ascii="Times New Roman" w:hAnsi="Times New Roman"/>
          <w:sz w:val="24"/>
          <w:szCs w:val="24"/>
        </w:rPr>
        <w:t xml:space="preserve"> is significant (P-Value &lt; 0.05). Furthermore, the measure of sampling adequacy by Kaiser-Meyer-Olkin (KMO) is excellent since it exceeded the required value of 0.6 (Awang, 2010, 2012; Hoque et al., 2015; and Noor et al., 2015). These two results (Bartlett’s Test is significant and KMO &gt; 0.6) indicate that the data is adequate to proceed further with the data reduction procedure in EFA (Awang, 2010, 2012; Noor et al., 2015; Hoque and Awang, </w:t>
      </w:r>
      <w:proofErr w:type="gramStart"/>
      <w:r w:rsidRPr="00DF609B">
        <w:rPr>
          <w:rFonts w:ascii="Times New Roman" w:hAnsi="Times New Roman"/>
          <w:sz w:val="24"/>
          <w:szCs w:val="24"/>
        </w:rPr>
        <w:t>2016;  Hoque</w:t>
      </w:r>
      <w:proofErr w:type="gramEnd"/>
      <w:r w:rsidRPr="00DF609B">
        <w:rPr>
          <w:rFonts w:ascii="Times New Roman" w:hAnsi="Times New Roman"/>
          <w:sz w:val="24"/>
          <w:szCs w:val="24"/>
        </w:rPr>
        <w:t xml:space="preserve"> et al., 2017, 2018; and Yahaya et al., 2018). </w:t>
      </w:r>
    </w:p>
    <w:bookmarkEnd w:id="5"/>
    <w:p w14:paraId="1438FA35"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68E36E8F"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781563B3"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r w:rsidRPr="00DF609B">
        <w:rPr>
          <w:rFonts w:ascii="Times New Roman" w:hAnsi="Times New Roman"/>
          <w:sz w:val="24"/>
          <w:szCs w:val="24"/>
        </w:rPr>
        <w:t>Table 2: The KMO and Bartlett’s Test Score</w:t>
      </w:r>
    </w:p>
    <w:tbl>
      <w:tblPr>
        <w:tblW w:w="71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80"/>
        <w:gridCol w:w="3275"/>
        <w:gridCol w:w="1440"/>
      </w:tblGrid>
      <w:tr w:rsidR="00DF609B" w:rsidRPr="00DF609B" w14:paraId="50037F26" w14:textId="77777777" w:rsidTr="00C448BC">
        <w:trPr>
          <w:cantSplit/>
        </w:trPr>
        <w:tc>
          <w:tcPr>
            <w:tcW w:w="7195" w:type="dxa"/>
            <w:gridSpan w:val="3"/>
            <w:shd w:val="clear" w:color="auto" w:fill="FFFFFF"/>
            <w:vAlign w:val="center"/>
          </w:tcPr>
          <w:p w14:paraId="679EBE9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b/>
                <w:bCs/>
              </w:rPr>
              <w:t>KMO and Bartlett's Test</w:t>
            </w:r>
          </w:p>
        </w:tc>
      </w:tr>
      <w:tr w:rsidR="00DF609B" w:rsidRPr="00DF609B" w14:paraId="05D2BFAD" w14:textId="77777777" w:rsidTr="00C448BC">
        <w:trPr>
          <w:cantSplit/>
        </w:trPr>
        <w:tc>
          <w:tcPr>
            <w:tcW w:w="5755" w:type="dxa"/>
            <w:gridSpan w:val="2"/>
            <w:shd w:val="clear" w:color="auto" w:fill="E0E0E0"/>
          </w:tcPr>
          <w:p w14:paraId="3131C72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Kaiser-Meyer-Olkin Measure of Sampling Adequacy.</w:t>
            </w:r>
          </w:p>
        </w:tc>
        <w:tc>
          <w:tcPr>
            <w:tcW w:w="1440" w:type="dxa"/>
            <w:shd w:val="clear" w:color="auto" w:fill="FFFFFF"/>
          </w:tcPr>
          <w:p w14:paraId="5DB1B75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.858</w:t>
            </w:r>
          </w:p>
        </w:tc>
      </w:tr>
      <w:tr w:rsidR="00DF609B" w:rsidRPr="00DF609B" w14:paraId="46CDA455" w14:textId="77777777" w:rsidTr="00C448BC">
        <w:trPr>
          <w:cantSplit/>
        </w:trPr>
        <w:tc>
          <w:tcPr>
            <w:tcW w:w="2480" w:type="dxa"/>
            <w:vMerge w:val="restart"/>
            <w:shd w:val="clear" w:color="auto" w:fill="E0E0E0"/>
          </w:tcPr>
          <w:p w14:paraId="010FFF2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Bartlett's Test of Sphericity</w:t>
            </w:r>
          </w:p>
        </w:tc>
        <w:tc>
          <w:tcPr>
            <w:tcW w:w="3275" w:type="dxa"/>
            <w:shd w:val="clear" w:color="auto" w:fill="E0E0E0"/>
          </w:tcPr>
          <w:p w14:paraId="5DBB601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Approx. Chi-Square</w:t>
            </w:r>
          </w:p>
        </w:tc>
        <w:tc>
          <w:tcPr>
            <w:tcW w:w="1440" w:type="dxa"/>
            <w:shd w:val="clear" w:color="auto" w:fill="FFFFFF"/>
          </w:tcPr>
          <w:p w14:paraId="7861462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2914.248</w:t>
            </w:r>
          </w:p>
        </w:tc>
      </w:tr>
      <w:tr w:rsidR="00DF609B" w:rsidRPr="00DF609B" w14:paraId="63C6442E" w14:textId="77777777" w:rsidTr="00C448BC">
        <w:trPr>
          <w:cantSplit/>
        </w:trPr>
        <w:tc>
          <w:tcPr>
            <w:tcW w:w="2480" w:type="dxa"/>
            <w:vMerge/>
            <w:shd w:val="clear" w:color="auto" w:fill="E0E0E0"/>
          </w:tcPr>
          <w:p w14:paraId="5A261A15" w14:textId="77777777" w:rsidR="00DF609B" w:rsidRPr="00DF609B" w:rsidRDefault="00DF609B" w:rsidP="00DF609B">
            <w:pPr>
              <w:autoSpaceDE w:val="0"/>
              <w:autoSpaceDN w:val="0"/>
              <w:adjustRightInd w:val="0"/>
              <w:spacing w:after="0" w:line="240" w:lineRule="auto"/>
              <w:jc w:val="both"/>
              <w:rPr>
                <w:rFonts w:ascii="Arial" w:hAnsi="Arial" w:cs="Arial"/>
              </w:rPr>
            </w:pPr>
          </w:p>
        </w:tc>
        <w:tc>
          <w:tcPr>
            <w:tcW w:w="3275" w:type="dxa"/>
            <w:shd w:val="clear" w:color="auto" w:fill="E0E0E0"/>
          </w:tcPr>
          <w:p w14:paraId="02C3833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roofErr w:type="spellStart"/>
            <w:r w:rsidRPr="00DF609B">
              <w:rPr>
                <w:rFonts w:ascii="Arial" w:hAnsi="Arial" w:cs="Arial"/>
              </w:rPr>
              <w:t>df</w:t>
            </w:r>
            <w:proofErr w:type="spellEnd"/>
          </w:p>
        </w:tc>
        <w:tc>
          <w:tcPr>
            <w:tcW w:w="1440" w:type="dxa"/>
            <w:shd w:val="clear" w:color="auto" w:fill="FFFFFF"/>
          </w:tcPr>
          <w:p w14:paraId="218E1B9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276</w:t>
            </w:r>
          </w:p>
        </w:tc>
      </w:tr>
      <w:tr w:rsidR="00DF609B" w:rsidRPr="00DF609B" w14:paraId="372CAFD2" w14:textId="77777777" w:rsidTr="00C448BC">
        <w:trPr>
          <w:cantSplit/>
        </w:trPr>
        <w:tc>
          <w:tcPr>
            <w:tcW w:w="2480" w:type="dxa"/>
            <w:vMerge/>
            <w:shd w:val="clear" w:color="auto" w:fill="E0E0E0"/>
          </w:tcPr>
          <w:p w14:paraId="48328A01" w14:textId="77777777" w:rsidR="00DF609B" w:rsidRPr="00DF609B" w:rsidRDefault="00DF609B" w:rsidP="00DF609B">
            <w:pPr>
              <w:autoSpaceDE w:val="0"/>
              <w:autoSpaceDN w:val="0"/>
              <w:adjustRightInd w:val="0"/>
              <w:spacing w:after="0" w:line="240" w:lineRule="auto"/>
              <w:jc w:val="both"/>
              <w:rPr>
                <w:rFonts w:ascii="Arial" w:hAnsi="Arial" w:cs="Arial"/>
              </w:rPr>
            </w:pPr>
          </w:p>
        </w:tc>
        <w:tc>
          <w:tcPr>
            <w:tcW w:w="3275" w:type="dxa"/>
            <w:shd w:val="clear" w:color="auto" w:fill="E0E0E0"/>
          </w:tcPr>
          <w:p w14:paraId="55E5146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Sig.</w:t>
            </w:r>
          </w:p>
        </w:tc>
        <w:tc>
          <w:tcPr>
            <w:tcW w:w="1440" w:type="dxa"/>
            <w:shd w:val="clear" w:color="auto" w:fill="FFFFFF"/>
          </w:tcPr>
          <w:p w14:paraId="504D0E5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.000</w:t>
            </w:r>
          </w:p>
        </w:tc>
      </w:tr>
    </w:tbl>
    <w:p w14:paraId="4861E14E"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6E0D5B41" w14:textId="77777777" w:rsidR="00DF609B" w:rsidRPr="00DF609B" w:rsidRDefault="00DF609B" w:rsidP="00DF609B">
      <w:pPr>
        <w:autoSpaceDE w:val="0"/>
        <w:autoSpaceDN w:val="0"/>
        <w:adjustRightInd w:val="0"/>
        <w:spacing w:after="0" w:line="360" w:lineRule="auto"/>
        <w:jc w:val="both"/>
        <w:rPr>
          <w:rFonts w:ascii="Times New Roman" w:hAnsi="Times New Roman"/>
          <w:b/>
          <w:sz w:val="24"/>
          <w:szCs w:val="24"/>
        </w:rPr>
      </w:pPr>
      <w:bookmarkStart w:id="6" w:name="_Hlk31837726"/>
      <w:bookmarkStart w:id="7" w:name="_Hlk31755447"/>
    </w:p>
    <w:p w14:paraId="1172B85D" w14:textId="77777777" w:rsidR="00DF609B" w:rsidRPr="00DF609B" w:rsidRDefault="00DF609B" w:rsidP="00DF609B">
      <w:pPr>
        <w:autoSpaceDE w:val="0"/>
        <w:autoSpaceDN w:val="0"/>
        <w:adjustRightInd w:val="0"/>
        <w:spacing w:after="0" w:line="360" w:lineRule="auto"/>
        <w:jc w:val="both"/>
        <w:rPr>
          <w:rFonts w:ascii="Times New Roman" w:hAnsi="Times New Roman"/>
          <w:b/>
          <w:sz w:val="24"/>
          <w:szCs w:val="24"/>
        </w:rPr>
      </w:pPr>
    </w:p>
    <w:p w14:paraId="7917830D" w14:textId="77777777" w:rsidR="00DF609B" w:rsidRPr="00DF609B" w:rsidRDefault="00DF609B" w:rsidP="00DF609B">
      <w:pPr>
        <w:autoSpaceDE w:val="0"/>
        <w:autoSpaceDN w:val="0"/>
        <w:adjustRightInd w:val="0"/>
        <w:spacing w:after="0" w:line="360" w:lineRule="auto"/>
        <w:jc w:val="both"/>
        <w:rPr>
          <w:rFonts w:ascii="Times New Roman" w:hAnsi="Times New Roman"/>
          <w:b/>
          <w:sz w:val="24"/>
          <w:szCs w:val="24"/>
        </w:rPr>
      </w:pPr>
      <w:r w:rsidRPr="00DF609B">
        <w:rPr>
          <w:rFonts w:ascii="Times New Roman" w:hAnsi="Times New Roman"/>
          <w:b/>
          <w:sz w:val="24"/>
          <w:szCs w:val="24"/>
        </w:rPr>
        <w:t xml:space="preserve">The Dimensions or Components and Total Variance Explained </w:t>
      </w:r>
    </w:p>
    <w:p w14:paraId="160B7D91"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 xml:space="preserve"> </w:t>
      </w:r>
    </w:p>
    <w:p w14:paraId="51DCD042"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 xml:space="preserve">The results in Table 3 show that there are three dimensions or components that emerged from the EFA procedure based on the computed Eigenvalue greater than 1.0. The eigenvalues ranged between 2.325and 9.588 The variance explained for component 1 is 39.949% component 2 is 15.433% and component 3 is 9.689% The total variance explained for measuring this construct is 65.070%.  The total variance explained is acceptable since it </w:t>
      </w:r>
      <w:proofErr w:type="gramStart"/>
      <w:r w:rsidRPr="00DF609B">
        <w:rPr>
          <w:rFonts w:ascii="Times New Roman" w:hAnsi="Times New Roman"/>
          <w:sz w:val="24"/>
          <w:szCs w:val="24"/>
        </w:rPr>
        <w:t>exceed</w:t>
      </w:r>
      <w:proofErr w:type="gramEnd"/>
      <w:r w:rsidRPr="00DF609B">
        <w:rPr>
          <w:rFonts w:ascii="Times New Roman" w:hAnsi="Times New Roman"/>
          <w:sz w:val="24"/>
          <w:szCs w:val="24"/>
        </w:rPr>
        <w:t xml:space="preserve"> the minimum 60% (Awang, 2010, 2012; Noor et al., 2015; Hoque and Awang, 2016; Hoque et al., 2017, 2018; and Yahaya et al., 2018).  </w:t>
      </w:r>
    </w:p>
    <w:bookmarkEnd w:id="6"/>
    <w:p w14:paraId="1F2E50BD"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4EDC378E"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714C14B4" w14:textId="77777777" w:rsidR="00DF609B" w:rsidRPr="00DF609B" w:rsidRDefault="00DF609B" w:rsidP="00DF609B">
      <w:pPr>
        <w:jc w:val="both"/>
        <w:rPr>
          <w:rFonts w:ascii="Times New Roman" w:hAnsi="Times New Roman"/>
          <w:b/>
          <w:sz w:val="24"/>
          <w:szCs w:val="24"/>
        </w:rPr>
      </w:pPr>
      <w:bookmarkStart w:id="8" w:name="_Hlk31838563"/>
      <w:r w:rsidRPr="00DF609B">
        <w:rPr>
          <w:rFonts w:ascii="Times New Roman" w:hAnsi="Times New Roman"/>
          <w:b/>
          <w:sz w:val="24"/>
          <w:szCs w:val="24"/>
        </w:rPr>
        <w:t>Table 3:  Total Variance Explained</w:t>
      </w:r>
      <w:bookmarkStart w:id="9" w:name="_Hlk31839295"/>
      <w:bookmarkEnd w:id="7"/>
      <w:bookmarkEnd w:id="8"/>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4"/>
        <w:gridCol w:w="1023"/>
        <w:gridCol w:w="1438"/>
        <w:gridCol w:w="1454"/>
        <w:gridCol w:w="1163"/>
        <w:gridCol w:w="1438"/>
        <w:gridCol w:w="1454"/>
      </w:tblGrid>
      <w:tr w:rsidR="00DF609B" w:rsidRPr="00DF609B" w14:paraId="7391BCCA" w14:textId="77777777" w:rsidTr="00C448BC">
        <w:trPr>
          <w:cantSplit/>
        </w:trPr>
        <w:tc>
          <w:tcPr>
            <w:tcW w:w="9254" w:type="dxa"/>
            <w:gridSpan w:val="7"/>
            <w:shd w:val="clear" w:color="auto" w:fill="FFFFFF"/>
            <w:vAlign w:val="center"/>
          </w:tcPr>
          <w:p w14:paraId="0EC3409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b/>
                <w:bCs/>
              </w:rPr>
              <w:t>Total Variance Explained</w:t>
            </w:r>
          </w:p>
        </w:tc>
      </w:tr>
      <w:tr w:rsidR="00DF609B" w:rsidRPr="00DF609B" w14:paraId="11CFBA49" w14:textId="77777777" w:rsidTr="00C448BC">
        <w:trPr>
          <w:cantSplit/>
        </w:trPr>
        <w:tc>
          <w:tcPr>
            <w:tcW w:w="1284" w:type="dxa"/>
            <w:vMerge w:val="restart"/>
            <w:shd w:val="clear" w:color="auto" w:fill="FFFFFF"/>
            <w:vAlign w:val="bottom"/>
          </w:tcPr>
          <w:p w14:paraId="39048CB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Component</w:t>
            </w:r>
          </w:p>
        </w:tc>
        <w:tc>
          <w:tcPr>
            <w:tcW w:w="3915" w:type="dxa"/>
            <w:gridSpan w:val="3"/>
            <w:shd w:val="clear" w:color="auto" w:fill="FFFFFF"/>
            <w:vAlign w:val="bottom"/>
          </w:tcPr>
          <w:p w14:paraId="7E9721B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Initial Eigenvalues</w:t>
            </w:r>
          </w:p>
        </w:tc>
        <w:tc>
          <w:tcPr>
            <w:tcW w:w="4055" w:type="dxa"/>
            <w:gridSpan w:val="3"/>
            <w:shd w:val="clear" w:color="auto" w:fill="FFFFFF"/>
            <w:vAlign w:val="bottom"/>
          </w:tcPr>
          <w:p w14:paraId="06F5768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Extraction Sums of Squared Loadings</w:t>
            </w:r>
          </w:p>
        </w:tc>
      </w:tr>
      <w:tr w:rsidR="00DF609B" w:rsidRPr="00DF609B" w14:paraId="374F8838" w14:textId="77777777" w:rsidTr="00C448BC">
        <w:trPr>
          <w:cantSplit/>
        </w:trPr>
        <w:tc>
          <w:tcPr>
            <w:tcW w:w="1284" w:type="dxa"/>
            <w:vMerge/>
            <w:shd w:val="clear" w:color="auto" w:fill="FFFFFF"/>
            <w:vAlign w:val="bottom"/>
          </w:tcPr>
          <w:p w14:paraId="692A3552" w14:textId="77777777" w:rsidR="00DF609B" w:rsidRPr="00DF609B" w:rsidRDefault="00DF609B" w:rsidP="00DF609B">
            <w:pPr>
              <w:autoSpaceDE w:val="0"/>
              <w:autoSpaceDN w:val="0"/>
              <w:adjustRightInd w:val="0"/>
              <w:spacing w:after="0" w:line="240" w:lineRule="auto"/>
              <w:jc w:val="both"/>
              <w:rPr>
                <w:rFonts w:ascii="Arial" w:hAnsi="Arial" w:cs="Arial"/>
              </w:rPr>
            </w:pPr>
          </w:p>
        </w:tc>
        <w:tc>
          <w:tcPr>
            <w:tcW w:w="1023" w:type="dxa"/>
            <w:shd w:val="clear" w:color="auto" w:fill="FFFFFF"/>
            <w:vAlign w:val="bottom"/>
          </w:tcPr>
          <w:p w14:paraId="134C6A7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Total</w:t>
            </w:r>
          </w:p>
        </w:tc>
        <w:tc>
          <w:tcPr>
            <w:tcW w:w="1438" w:type="dxa"/>
            <w:shd w:val="clear" w:color="auto" w:fill="FFFFFF"/>
            <w:vAlign w:val="bottom"/>
          </w:tcPr>
          <w:p w14:paraId="759D7C1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 of Variance</w:t>
            </w:r>
          </w:p>
        </w:tc>
        <w:tc>
          <w:tcPr>
            <w:tcW w:w="1454" w:type="dxa"/>
            <w:shd w:val="clear" w:color="auto" w:fill="FFFFFF"/>
            <w:vAlign w:val="bottom"/>
          </w:tcPr>
          <w:p w14:paraId="35ADAFC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Cumulative %</w:t>
            </w:r>
          </w:p>
        </w:tc>
        <w:tc>
          <w:tcPr>
            <w:tcW w:w="1163" w:type="dxa"/>
            <w:shd w:val="clear" w:color="auto" w:fill="FFFFFF"/>
            <w:vAlign w:val="bottom"/>
          </w:tcPr>
          <w:p w14:paraId="633C6AA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Total</w:t>
            </w:r>
          </w:p>
        </w:tc>
        <w:tc>
          <w:tcPr>
            <w:tcW w:w="1438" w:type="dxa"/>
            <w:shd w:val="clear" w:color="auto" w:fill="FFFFFF"/>
            <w:vAlign w:val="bottom"/>
          </w:tcPr>
          <w:p w14:paraId="1FD3BBC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 of Variance</w:t>
            </w:r>
          </w:p>
        </w:tc>
        <w:tc>
          <w:tcPr>
            <w:tcW w:w="1454" w:type="dxa"/>
            <w:shd w:val="clear" w:color="auto" w:fill="FFFFFF"/>
            <w:vAlign w:val="bottom"/>
          </w:tcPr>
          <w:p w14:paraId="18D826A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Cumulative %</w:t>
            </w:r>
          </w:p>
        </w:tc>
      </w:tr>
      <w:tr w:rsidR="00DF609B" w:rsidRPr="00DF609B" w14:paraId="6EBA3561" w14:textId="77777777" w:rsidTr="00C448BC">
        <w:trPr>
          <w:cantSplit/>
        </w:trPr>
        <w:tc>
          <w:tcPr>
            <w:tcW w:w="1284" w:type="dxa"/>
            <w:shd w:val="clear" w:color="auto" w:fill="E0E0E0"/>
          </w:tcPr>
          <w:p w14:paraId="0129A4F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w:t>
            </w:r>
          </w:p>
        </w:tc>
        <w:tc>
          <w:tcPr>
            <w:tcW w:w="1023" w:type="dxa"/>
            <w:shd w:val="clear" w:color="auto" w:fill="FFFFFF"/>
          </w:tcPr>
          <w:p w14:paraId="35AB2CD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9.588</w:t>
            </w:r>
          </w:p>
        </w:tc>
        <w:tc>
          <w:tcPr>
            <w:tcW w:w="1438" w:type="dxa"/>
            <w:shd w:val="clear" w:color="auto" w:fill="FFFFFF"/>
          </w:tcPr>
          <w:p w14:paraId="02E31C8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39.949</w:t>
            </w:r>
          </w:p>
        </w:tc>
        <w:tc>
          <w:tcPr>
            <w:tcW w:w="1454" w:type="dxa"/>
            <w:shd w:val="clear" w:color="auto" w:fill="FFFFFF"/>
          </w:tcPr>
          <w:p w14:paraId="5DCA3AB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39.949</w:t>
            </w:r>
          </w:p>
        </w:tc>
        <w:tc>
          <w:tcPr>
            <w:tcW w:w="1163" w:type="dxa"/>
            <w:shd w:val="clear" w:color="auto" w:fill="FFFFFF"/>
          </w:tcPr>
          <w:p w14:paraId="323C3A6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9.588</w:t>
            </w:r>
          </w:p>
        </w:tc>
        <w:tc>
          <w:tcPr>
            <w:tcW w:w="1438" w:type="dxa"/>
            <w:shd w:val="clear" w:color="auto" w:fill="FFFFFF"/>
          </w:tcPr>
          <w:p w14:paraId="4B98844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39.949</w:t>
            </w:r>
          </w:p>
        </w:tc>
        <w:tc>
          <w:tcPr>
            <w:tcW w:w="1454" w:type="dxa"/>
            <w:shd w:val="clear" w:color="auto" w:fill="FFFFFF"/>
          </w:tcPr>
          <w:p w14:paraId="3517D7A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39.949</w:t>
            </w:r>
          </w:p>
        </w:tc>
      </w:tr>
      <w:tr w:rsidR="00DF609B" w:rsidRPr="00DF609B" w14:paraId="4500BAB7" w14:textId="77777777" w:rsidTr="00C448BC">
        <w:trPr>
          <w:cantSplit/>
        </w:trPr>
        <w:tc>
          <w:tcPr>
            <w:tcW w:w="1284" w:type="dxa"/>
            <w:shd w:val="clear" w:color="auto" w:fill="E0E0E0"/>
          </w:tcPr>
          <w:p w14:paraId="789EBE2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2</w:t>
            </w:r>
          </w:p>
        </w:tc>
        <w:tc>
          <w:tcPr>
            <w:tcW w:w="1023" w:type="dxa"/>
            <w:shd w:val="clear" w:color="auto" w:fill="FFFFFF"/>
          </w:tcPr>
          <w:p w14:paraId="7CF1B80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3.704</w:t>
            </w:r>
          </w:p>
        </w:tc>
        <w:tc>
          <w:tcPr>
            <w:tcW w:w="1438" w:type="dxa"/>
            <w:shd w:val="clear" w:color="auto" w:fill="FFFFFF"/>
          </w:tcPr>
          <w:p w14:paraId="602CF67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15.433</w:t>
            </w:r>
          </w:p>
        </w:tc>
        <w:tc>
          <w:tcPr>
            <w:tcW w:w="1454" w:type="dxa"/>
            <w:shd w:val="clear" w:color="auto" w:fill="FFFFFF"/>
          </w:tcPr>
          <w:p w14:paraId="37F8606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55.382</w:t>
            </w:r>
          </w:p>
        </w:tc>
        <w:tc>
          <w:tcPr>
            <w:tcW w:w="1163" w:type="dxa"/>
            <w:shd w:val="clear" w:color="auto" w:fill="FFFFFF"/>
          </w:tcPr>
          <w:p w14:paraId="4E96AD6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3.704</w:t>
            </w:r>
          </w:p>
        </w:tc>
        <w:tc>
          <w:tcPr>
            <w:tcW w:w="1438" w:type="dxa"/>
            <w:shd w:val="clear" w:color="auto" w:fill="FFFFFF"/>
          </w:tcPr>
          <w:p w14:paraId="0587106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15.433</w:t>
            </w:r>
          </w:p>
        </w:tc>
        <w:tc>
          <w:tcPr>
            <w:tcW w:w="1454" w:type="dxa"/>
            <w:shd w:val="clear" w:color="auto" w:fill="FFFFFF"/>
          </w:tcPr>
          <w:p w14:paraId="298DEE6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55.382</w:t>
            </w:r>
          </w:p>
        </w:tc>
      </w:tr>
      <w:tr w:rsidR="00DF609B" w:rsidRPr="00DF609B" w14:paraId="6B9DD868" w14:textId="77777777" w:rsidTr="00C448BC">
        <w:trPr>
          <w:cantSplit/>
        </w:trPr>
        <w:tc>
          <w:tcPr>
            <w:tcW w:w="1284" w:type="dxa"/>
            <w:shd w:val="clear" w:color="auto" w:fill="E0E0E0"/>
          </w:tcPr>
          <w:p w14:paraId="4807E6A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w:t>
            </w:r>
          </w:p>
        </w:tc>
        <w:tc>
          <w:tcPr>
            <w:tcW w:w="1023" w:type="dxa"/>
            <w:shd w:val="clear" w:color="auto" w:fill="FFFFFF"/>
          </w:tcPr>
          <w:p w14:paraId="72279AC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2.325</w:t>
            </w:r>
          </w:p>
        </w:tc>
        <w:tc>
          <w:tcPr>
            <w:tcW w:w="1438" w:type="dxa"/>
            <w:shd w:val="clear" w:color="auto" w:fill="FFFFFF"/>
          </w:tcPr>
          <w:p w14:paraId="7468F05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9.689</w:t>
            </w:r>
          </w:p>
        </w:tc>
        <w:tc>
          <w:tcPr>
            <w:tcW w:w="1454" w:type="dxa"/>
            <w:shd w:val="clear" w:color="auto" w:fill="FFFFFF"/>
          </w:tcPr>
          <w:p w14:paraId="78DA5BE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65.070</w:t>
            </w:r>
          </w:p>
        </w:tc>
        <w:tc>
          <w:tcPr>
            <w:tcW w:w="1163" w:type="dxa"/>
            <w:shd w:val="clear" w:color="auto" w:fill="FFFFFF"/>
          </w:tcPr>
          <w:p w14:paraId="6C05973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9.689</w:t>
            </w:r>
          </w:p>
        </w:tc>
        <w:tc>
          <w:tcPr>
            <w:tcW w:w="1438" w:type="dxa"/>
            <w:shd w:val="clear" w:color="auto" w:fill="FFFFFF"/>
          </w:tcPr>
          <w:p w14:paraId="2D863BF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9.689</w:t>
            </w:r>
          </w:p>
        </w:tc>
        <w:tc>
          <w:tcPr>
            <w:tcW w:w="1454" w:type="dxa"/>
            <w:shd w:val="clear" w:color="auto" w:fill="FFFFFF"/>
          </w:tcPr>
          <w:p w14:paraId="11B86F9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65.070</w:t>
            </w:r>
          </w:p>
        </w:tc>
      </w:tr>
      <w:tr w:rsidR="00DF609B" w:rsidRPr="00DF609B" w14:paraId="60BA9E12" w14:textId="77777777" w:rsidTr="00C448BC">
        <w:trPr>
          <w:cantSplit/>
        </w:trPr>
        <w:tc>
          <w:tcPr>
            <w:tcW w:w="9254" w:type="dxa"/>
            <w:gridSpan w:val="7"/>
            <w:shd w:val="clear" w:color="auto" w:fill="FFFFFF"/>
          </w:tcPr>
          <w:p w14:paraId="218404D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Extraction Method: Principal Component Analysis.</w:t>
            </w:r>
          </w:p>
        </w:tc>
      </w:tr>
    </w:tbl>
    <w:p w14:paraId="724EFCF1"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p>
    <w:p w14:paraId="5B4A92AD"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p>
    <w:p w14:paraId="56E9CAB1"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 xml:space="preserve">The scree plot in Figure 1 indicates three dimensions or components that emerged from EFA </w:t>
      </w:r>
    </w:p>
    <w:p w14:paraId="6211CBF4"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 xml:space="preserve">procedure for this latent construct. In other words, the EFA procedure has grouped 24 items into 3 dimensions or components. Each dimension or component has its own set </w:t>
      </w:r>
      <w:r w:rsidR="0092079C" w:rsidRPr="00DF609B">
        <w:rPr>
          <w:rFonts w:ascii="Times New Roman" w:hAnsi="Times New Roman"/>
          <w:sz w:val="24"/>
          <w:szCs w:val="24"/>
        </w:rPr>
        <w:t xml:space="preserve">of </w:t>
      </w:r>
      <w:r w:rsidR="0092079C">
        <w:rPr>
          <w:rFonts w:ascii="Times New Roman" w:hAnsi="Times New Roman"/>
          <w:sz w:val="24"/>
          <w:szCs w:val="24"/>
        </w:rPr>
        <w:t>measuring</w:t>
      </w:r>
      <w:r w:rsidRPr="00DF609B">
        <w:rPr>
          <w:rFonts w:ascii="Times New Roman" w:hAnsi="Times New Roman"/>
          <w:sz w:val="24"/>
          <w:szCs w:val="24"/>
        </w:rPr>
        <w:t xml:space="preserve"> items. The rotated component matrix will determin</w:t>
      </w:r>
      <w:r w:rsidR="0092079C">
        <w:rPr>
          <w:rFonts w:ascii="Times New Roman" w:hAnsi="Times New Roman"/>
          <w:sz w:val="24"/>
          <w:szCs w:val="24"/>
        </w:rPr>
        <w:t xml:space="preserve">e exactly which items belong to </w:t>
      </w:r>
      <w:r w:rsidRPr="00DF609B">
        <w:rPr>
          <w:rFonts w:ascii="Times New Roman" w:hAnsi="Times New Roman"/>
          <w:sz w:val="24"/>
          <w:szCs w:val="24"/>
        </w:rPr>
        <w:t>which component (Awang, 2010, 2012).</w:t>
      </w:r>
    </w:p>
    <w:p w14:paraId="5FCA3FCF" w14:textId="77777777" w:rsidR="00DF609B" w:rsidRDefault="00DF609B" w:rsidP="00DF609B">
      <w:pPr>
        <w:autoSpaceDE w:val="0"/>
        <w:autoSpaceDN w:val="0"/>
        <w:adjustRightInd w:val="0"/>
        <w:spacing w:after="0" w:line="360" w:lineRule="auto"/>
        <w:jc w:val="both"/>
        <w:rPr>
          <w:rFonts w:ascii="Times New Roman" w:hAnsi="Times New Roman"/>
          <w:sz w:val="24"/>
          <w:szCs w:val="24"/>
        </w:rPr>
      </w:pPr>
    </w:p>
    <w:p w14:paraId="6CFEBED0"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03EB30DF"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70BE7F80"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572E3CF2"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23E4FC0A"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22A5C33B"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4C3F7FBB"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3B1405D8"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0A31124E"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1797DDDB"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3826D1C8"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444ABA7A"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01E0A57A"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2238F3EB" w14:textId="77777777" w:rsidR="001725DF" w:rsidRDefault="001725DF" w:rsidP="00DF609B">
      <w:pPr>
        <w:autoSpaceDE w:val="0"/>
        <w:autoSpaceDN w:val="0"/>
        <w:adjustRightInd w:val="0"/>
        <w:spacing w:after="0" w:line="360" w:lineRule="auto"/>
        <w:jc w:val="both"/>
        <w:rPr>
          <w:rFonts w:ascii="Times New Roman" w:hAnsi="Times New Roman"/>
          <w:sz w:val="24"/>
          <w:szCs w:val="24"/>
        </w:rPr>
      </w:pPr>
    </w:p>
    <w:p w14:paraId="7DF2337F" w14:textId="77777777" w:rsidR="001725DF" w:rsidRPr="00DF609B" w:rsidRDefault="001725DF" w:rsidP="00DF609B">
      <w:pPr>
        <w:autoSpaceDE w:val="0"/>
        <w:autoSpaceDN w:val="0"/>
        <w:adjustRightInd w:val="0"/>
        <w:spacing w:after="0" w:line="360" w:lineRule="auto"/>
        <w:jc w:val="both"/>
        <w:rPr>
          <w:rFonts w:ascii="Times New Roman" w:hAnsi="Times New Roman"/>
          <w:sz w:val="24"/>
          <w:szCs w:val="24"/>
        </w:rPr>
      </w:pPr>
    </w:p>
    <w:bookmarkEnd w:id="9"/>
    <w:p w14:paraId="4FAE77A9"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73317737"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r w:rsidRPr="00DF609B">
        <w:rPr>
          <w:rFonts w:ascii="Times New Roman" w:hAnsi="Times New Roman"/>
          <w:noProof/>
          <w:sz w:val="24"/>
          <w:szCs w:val="24"/>
          <w:lang w:val="en-MY" w:eastAsia="en-MY"/>
        </w:rPr>
        <w:drawing>
          <wp:inline distT="0" distB="0" distL="0" distR="0" wp14:anchorId="7BA271D9" wp14:editId="21F679C2">
            <wp:extent cx="5943600" cy="350075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00755"/>
                    </a:xfrm>
                    <a:prstGeom prst="rect">
                      <a:avLst/>
                    </a:prstGeom>
                    <a:noFill/>
                    <a:ln>
                      <a:solidFill>
                        <a:sysClr val="windowText" lastClr="000000"/>
                      </a:solidFill>
                    </a:ln>
                  </pic:spPr>
                </pic:pic>
              </a:graphicData>
            </a:graphic>
          </wp:inline>
        </w:drawing>
      </w:r>
    </w:p>
    <w:p w14:paraId="4BB77D9A" w14:textId="77777777" w:rsidR="00DF609B" w:rsidRPr="00DF609B" w:rsidRDefault="00DF609B" w:rsidP="00DF609B">
      <w:pPr>
        <w:autoSpaceDE w:val="0"/>
        <w:autoSpaceDN w:val="0"/>
        <w:adjustRightInd w:val="0"/>
        <w:spacing w:after="0" w:line="240" w:lineRule="auto"/>
        <w:jc w:val="both"/>
        <w:rPr>
          <w:rFonts w:ascii="Times New Roman" w:hAnsi="Times New Roman"/>
          <w:b/>
          <w:sz w:val="24"/>
          <w:szCs w:val="24"/>
        </w:rPr>
      </w:pPr>
      <w:bookmarkStart w:id="10" w:name="_Hlk31840259"/>
      <w:r w:rsidRPr="00DF609B">
        <w:rPr>
          <w:rFonts w:ascii="Times New Roman" w:hAnsi="Times New Roman"/>
          <w:b/>
          <w:sz w:val="24"/>
          <w:szCs w:val="24"/>
        </w:rPr>
        <w:t>Figure 1: The Scree Plot shows three components emerged from the EFA procedure</w:t>
      </w:r>
      <w:bookmarkEnd w:id="10"/>
    </w:p>
    <w:p w14:paraId="595A6A44"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7CAB8D10"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5C4FA143" w14:textId="77777777" w:rsidR="00DF609B" w:rsidRPr="00DF609B" w:rsidRDefault="00DF609B" w:rsidP="00DF609B">
      <w:pPr>
        <w:autoSpaceDE w:val="0"/>
        <w:autoSpaceDN w:val="0"/>
        <w:adjustRightInd w:val="0"/>
        <w:spacing w:after="0" w:line="400" w:lineRule="atLeast"/>
        <w:jc w:val="both"/>
        <w:rPr>
          <w:rFonts w:ascii="Times New Roman" w:hAnsi="Times New Roman"/>
          <w:sz w:val="24"/>
          <w:szCs w:val="24"/>
        </w:rPr>
      </w:pPr>
    </w:p>
    <w:p w14:paraId="75EA6A51"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 xml:space="preserve">The following table, Table 4 present the three dimensions or components emerged and their respective items resulted from the EFA procedure. The factor loading for every item should be </w:t>
      </w:r>
    </w:p>
    <w:p w14:paraId="3CFDA39B"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greater than 0.6 in order to be retained (Awang, 2012; and Yahaya et al., 2018). Thus, a few items from each component need to be deleted since they failed to achieve the minimum requirement for factor loading of 0.6 (Awang, 2010, 2012, 2014, &amp; 2015, Noor et al., 2015; Hoque and Awang, 2016; Hoque et al., 2017, 2018; and Yahaya et al., 2018). The deleted items (due to low factor loading &lt; 0.6) and the retained items are shown in Table 4.</w:t>
      </w:r>
    </w:p>
    <w:p w14:paraId="697A46A6"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12F54A3D"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672DCA45" w14:textId="77777777" w:rsidR="00DF609B" w:rsidRPr="00DF609B" w:rsidRDefault="00DF609B" w:rsidP="00DF609B">
      <w:pPr>
        <w:autoSpaceDE w:val="0"/>
        <w:autoSpaceDN w:val="0"/>
        <w:adjustRightInd w:val="0"/>
        <w:spacing w:after="0" w:line="240" w:lineRule="auto"/>
        <w:jc w:val="both"/>
        <w:rPr>
          <w:rFonts w:ascii="Times New Roman" w:hAnsi="Times New Roman"/>
          <w:b/>
          <w:sz w:val="24"/>
          <w:szCs w:val="24"/>
        </w:rPr>
      </w:pPr>
      <w:r w:rsidRPr="00DF609B">
        <w:rPr>
          <w:rFonts w:ascii="Times New Roman" w:hAnsi="Times New Roman"/>
          <w:b/>
          <w:sz w:val="24"/>
          <w:szCs w:val="24"/>
        </w:rPr>
        <w:t>Table 4:  The components and their respective items</w:t>
      </w:r>
    </w:p>
    <w:tbl>
      <w:tblPr>
        <w:tblW w:w="3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1025"/>
        <w:gridCol w:w="1025"/>
        <w:gridCol w:w="1025"/>
      </w:tblGrid>
      <w:tr w:rsidR="00DF609B" w:rsidRPr="00DF609B" w14:paraId="6B757894" w14:textId="77777777" w:rsidTr="00C448BC">
        <w:trPr>
          <w:cantSplit/>
        </w:trPr>
        <w:tc>
          <w:tcPr>
            <w:tcW w:w="3806" w:type="dxa"/>
            <w:gridSpan w:val="4"/>
            <w:shd w:val="clear" w:color="auto" w:fill="FFFFFF"/>
            <w:vAlign w:val="center"/>
          </w:tcPr>
          <w:p w14:paraId="62B5972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b/>
                <w:bCs/>
              </w:rPr>
              <w:t>Rotated Component Matrix</w:t>
            </w:r>
          </w:p>
        </w:tc>
      </w:tr>
      <w:tr w:rsidR="00DF609B" w:rsidRPr="00DF609B" w14:paraId="4F8249E1" w14:textId="77777777" w:rsidTr="00C448BC">
        <w:trPr>
          <w:cantSplit/>
        </w:trPr>
        <w:tc>
          <w:tcPr>
            <w:tcW w:w="734" w:type="dxa"/>
            <w:vMerge w:val="restart"/>
            <w:shd w:val="clear" w:color="auto" w:fill="FFFFFF"/>
            <w:vAlign w:val="bottom"/>
          </w:tcPr>
          <w:p w14:paraId="149FC0CD" w14:textId="77777777" w:rsidR="00DF609B" w:rsidRPr="00DF609B" w:rsidRDefault="00DF609B" w:rsidP="00DF609B">
            <w:pPr>
              <w:autoSpaceDE w:val="0"/>
              <w:autoSpaceDN w:val="0"/>
              <w:adjustRightInd w:val="0"/>
              <w:spacing w:after="0" w:line="240" w:lineRule="auto"/>
              <w:jc w:val="both"/>
              <w:rPr>
                <w:rFonts w:ascii="Times New Roman" w:hAnsi="Times New Roman"/>
              </w:rPr>
            </w:pPr>
            <w:r w:rsidRPr="00DF609B">
              <w:rPr>
                <w:rFonts w:ascii="Times New Roman" w:hAnsi="Times New Roman"/>
              </w:rPr>
              <w:t>Label</w:t>
            </w:r>
          </w:p>
        </w:tc>
        <w:tc>
          <w:tcPr>
            <w:tcW w:w="3072" w:type="dxa"/>
            <w:gridSpan w:val="3"/>
            <w:shd w:val="clear" w:color="auto" w:fill="FFFFFF"/>
            <w:vAlign w:val="bottom"/>
          </w:tcPr>
          <w:p w14:paraId="4FB435D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Component</w:t>
            </w:r>
          </w:p>
        </w:tc>
      </w:tr>
      <w:tr w:rsidR="00DF609B" w:rsidRPr="00DF609B" w14:paraId="4815B73C" w14:textId="77777777" w:rsidTr="00C448BC">
        <w:trPr>
          <w:cantSplit/>
        </w:trPr>
        <w:tc>
          <w:tcPr>
            <w:tcW w:w="734" w:type="dxa"/>
            <w:vMerge/>
            <w:shd w:val="clear" w:color="auto" w:fill="FFFFFF"/>
            <w:vAlign w:val="bottom"/>
          </w:tcPr>
          <w:p w14:paraId="54590F3C" w14:textId="77777777" w:rsidR="00DF609B" w:rsidRPr="00DF609B" w:rsidRDefault="00DF609B" w:rsidP="00DF609B">
            <w:pPr>
              <w:autoSpaceDE w:val="0"/>
              <w:autoSpaceDN w:val="0"/>
              <w:adjustRightInd w:val="0"/>
              <w:spacing w:after="0" w:line="240" w:lineRule="auto"/>
              <w:jc w:val="both"/>
              <w:rPr>
                <w:rFonts w:ascii="Arial" w:hAnsi="Arial" w:cs="Arial"/>
              </w:rPr>
            </w:pPr>
          </w:p>
        </w:tc>
        <w:tc>
          <w:tcPr>
            <w:tcW w:w="1024" w:type="dxa"/>
            <w:shd w:val="clear" w:color="auto" w:fill="FFFFFF"/>
            <w:vAlign w:val="bottom"/>
          </w:tcPr>
          <w:p w14:paraId="77AA4A1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1</w:t>
            </w:r>
          </w:p>
        </w:tc>
        <w:tc>
          <w:tcPr>
            <w:tcW w:w="1024" w:type="dxa"/>
            <w:shd w:val="clear" w:color="auto" w:fill="FFFFFF"/>
            <w:vAlign w:val="bottom"/>
          </w:tcPr>
          <w:p w14:paraId="5AEA01C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2</w:t>
            </w:r>
          </w:p>
        </w:tc>
        <w:tc>
          <w:tcPr>
            <w:tcW w:w="1024" w:type="dxa"/>
            <w:shd w:val="clear" w:color="auto" w:fill="FFFFFF"/>
            <w:vAlign w:val="bottom"/>
          </w:tcPr>
          <w:p w14:paraId="5E5398B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3</w:t>
            </w:r>
          </w:p>
        </w:tc>
      </w:tr>
      <w:tr w:rsidR="00DF609B" w:rsidRPr="00DF609B" w14:paraId="5F52B481" w14:textId="77777777" w:rsidTr="00C448BC">
        <w:trPr>
          <w:cantSplit/>
        </w:trPr>
        <w:tc>
          <w:tcPr>
            <w:tcW w:w="734" w:type="dxa"/>
            <w:shd w:val="clear" w:color="auto" w:fill="E0E0E0"/>
          </w:tcPr>
          <w:p w14:paraId="0423591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FS11</w:t>
            </w:r>
          </w:p>
        </w:tc>
        <w:tc>
          <w:tcPr>
            <w:tcW w:w="1024" w:type="dxa"/>
            <w:shd w:val="clear" w:color="auto" w:fill="FFFFFF"/>
          </w:tcPr>
          <w:p w14:paraId="5B1D3DC3"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0BD75874"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5F69223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.681</w:t>
            </w:r>
          </w:p>
        </w:tc>
      </w:tr>
      <w:tr w:rsidR="00DF609B" w:rsidRPr="00DF609B" w14:paraId="0DFB7F52" w14:textId="77777777" w:rsidTr="00C448BC">
        <w:trPr>
          <w:cantSplit/>
        </w:trPr>
        <w:tc>
          <w:tcPr>
            <w:tcW w:w="734" w:type="dxa"/>
            <w:shd w:val="clear" w:color="auto" w:fill="E0E0E0"/>
          </w:tcPr>
          <w:p w14:paraId="02E3A3DD"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FS12</w:t>
            </w:r>
          </w:p>
        </w:tc>
        <w:tc>
          <w:tcPr>
            <w:tcW w:w="1024" w:type="dxa"/>
            <w:shd w:val="clear" w:color="auto" w:fill="FFFFFF"/>
          </w:tcPr>
          <w:p w14:paraId="72121772"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3B1A592B"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7CDB8EA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.880</w:t>
            </w:r>
          </w:p>
        </w:tc>
      </w:tr>
      <w:tr w:rsidR="00DF609B" w:rsidRPr="00DF609B" w14:paraId="47A8EF02" w14:textId="77777777" w:rsidTr="00C448BC">
        <w:trPr>
          <w:cantSplit/>
        </w:trPr>
        <w:tc>
          <w:tcPr>
            <w:tcW w:w="734" w:type="dxa"/>
            <w:shd w:val="clear" w:color="auto" w:fill="E0E0E0"/>
          </w:tcPr>
          <w:p w14:paraId="0450358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FS13</w:t>
            </w:r>
          </w:p>
        </w:tc>
        <w:tc>
          <w:tcPr>
            <w:tcW w:w="1024" w:type="dxa"/>
            <w:shd w:val="clear" w:color="auto" w:fill="FFFFFF"/>
          </w:tcPr>
          <w:p w14:paraId="1422FDA6"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1D698F37"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75A7F68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.765</w:t>
            </w:r>
          </w:p>
        </w:tc>
      </w:tr>
      <w:tr w:rsidR="00DF609B" w:rsidRPr="00DF609B" w14:paraId="64CA2443" w14:textId="77777777" w:rsidTr="00C448BC">
        <w:trPr>
          <w:cantSplit/>
        </w:trPr>
        <w:tc>
          <w:tcPr>
            <w:tcW w:w="734" w:type="dxa"/>
            <w:shd w:val="clear" w:color="auto" w:fill="E0E0E0"/>
          </w:tcPr>
          <w:p w14:paraId="36E5FD7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FS14</w:t>
            </w:r>
          </w:p>
        </w:tc>
        <w:tc>
          <w:tcPr>
            <w:tcW w:w="1024" w:type="dxa"/>
            <w:shd w:val="clear" w:color="auto" w:fill="FFFFFF"/>
          </w:tcPr>
          <w:p w14:paraId="30397AA0"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28220F0A"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3DA7ADF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.777</w:t>
            </w:r>
          </w:p>
        </w:tc>
      </w:tr>
      <w:tr w:rsidR="00DF609B" w:rsidRPr="00DF609B" w14:paraId="0037D134" w14:textId="77777777" w:rsidTr="00C448BC">
        <w:trPr>
          <w:cantSplit/>
        </w:trPr>
        <w:tc>
          <w:tcPr>
            <w:tcW w:w="734" w:type="dxa"/>
            <w:shd w:val="clear" w:color="auto" w:fill="E0E0E0"/>
          </w:tcPr>
          <w:p w14:paraId="39DE136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FS15</w:t>
            </w:r>
          </w:p>
        </w:tc>
        <w:tc>
          <w:tcPr>
            <w:tcW w:w="1024" w:type="dxa"/>
            <w:shd w:val="clear" w:color="auto" w:fill="FFFFFF"/>
          </w:tcPr>
          <w:p w14:paraId="179A3F71"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1380854E"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4486BE1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.724</w:t>
            </w:r>
          </w:p>
        </w:tc>
      </w:tr>
      <w:tr w:rsidR="00DF609B" w:rsidRPr="00DF609B" w14:paraId="52D02EDE" w14:textId="77777777" w:rsidTr="00C448BC">
        <w:trPr>
          <w:cantSplit/>
        </w:trPr>
        <w:tc>
          <w:tcPr>
            <w:tcW w:w="734" w:type="dxa"/>
            <w:shd w:val="clear" w:color="auto" w:fill="E0E0E0"/>
          </w:tcPr>
          <w:p w14:paraId="78615EA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FS16</w:t>
            </w:r>
          </w:p>
        </w:tc>
        <w:tc>
          <w:tcPr>
            <w:tcW w:w="1024" w:type="dxa"/>
            <w:shd w:val="clear" w:color="auto" w:fill="FFFFFF"/>
          </w:tcPr>
          <w:p w14:paraId="4A781CCF"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7CF5FCA6"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03EA692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.669</w:t>
            </w:r>
          </w:p>
        </w:tc>
      </w:tr>
      <w:tr w:rsidR="00DF609B" w:rsidRPr="00DF609B" w14:paraId="6B91FFCE" w14:textId="77777777" w:rsidTr="00C448BC">
        <w:trPr>
          <w:cantSplit/>
        </w:trPr>
        <w:tc>
          <w:tcPr>
            <w:tcW w:w="734" w:type="dxa"/>
            <w:shd w:val="clear" w:color="auto" w:fill="E0E0E0"/>
          </w:tcPr>
          <w:p w14:paraId="17A2DB9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FS17</w:t>
            </w:r>
          </w:p>
        </w:tc>
        <w:tc>
          <w:tcPr>
            <w:tcW w:w="1024" w:type="dxa"/>
            <w:shd w:val="clear" w:color="auto" w:fill="FFFFFF"/>
          </w:tcPr>
          <w:p w14:paraId="5DCFA4CB"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01F1F7A3"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3AB5CD4E"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7C6234E5" w14:textId="77777777" w:rsidTr="00C448BC">
        <w:trPr>
          <w:cantSplit/>
        </w:trPr>
        <w:tc>
          <w:tcPr>
            <w:tcW w:w="734" w:type="dxa"/>
            <w:shd w:val="clear" w:color="auto" w:fill="E0E0E0"/>
          </w:tcPr>
          <w:p w14:paraId="5B0F63D7"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FS18</w:t>
            </w:r>
          </w:p>
        </w:tc>
        <w:tc>
          <w:tcPr>
            <w:tcW w:w="1024" w:type="dxa"/>
            <w:shd w:val="clear" w:color="auto" w:fill="FFFFFF"/>
          </w:tcPr>
          <w:p w14:paraId="78761F6B"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66A056C9"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302E543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.761</w:t>
            </w:r>
          </w:p>
        </w:tc>
      </w:tr>
      <w:tr w:rsidR="00DF609B" w:rsidRPr="00DF609B" w14:paraId="3847B07B" w14:textId="77777777" w:rsidTr="00C448BC">
        <w:trPr>
          <w:cantSplit/>
        </w:trPr>
        <w:tc>
          <w:tcPr>
            <w:tcW w:w="734" w:type="dxa"/>
            <w:shd w:val="clear" w:color="auto" w:fill="E0E0E0"/>
          </w:tcPr>
          <w:p w14:paraId="5E9430BF"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FS21</w:t>
            </w:r>
          </w:p>
        </w:tc>
        <w:tc>
          <w:tcPr>
            <w:tcW w:w="1024" w:type="dxa"/>
            <w:shd w:val="clear" w:color="auto" w:fill="FFFFFF"/>
          </w:tcPr>
          <w:p w14:paraId="761EFD7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.742</w:t>
            </w:r>
          </w:p>
        </w:tc>
        <w:tc>
          <w:tcPr>
            <w:tcW w:w="1024" w:type="dxa"/>
            <w:shd w:val="clear" w:color="auto" w:fill="FFFFFF"/>
          </w:tcPr>
          <w:p w14:paraId="1DEE44D4"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58D32BE4"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1968BF51" w14:textId="77777777" w:rsidTr="00C448BC">
        <w:trPr>
          <w:cantSplit/>
        </w:trPr>
        <w:tc>
          <w:tcPr>
            <w:tcW w:w="734" w:type="dxa"/>
            <w:shd w:val="clear" w:color="auto" w:fill="E0E0E0"/>
          </w:tcPr>
          <w:p w14:paraId="314A32A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FS22</w:t>
            </w:r>
          </w:p>
        </w:tc>
        <w:tc>
          <w:tcPr>
            <w:tcW w:w="1024" w:type="dxa"/>
            <w:shd w:val="clear" w:color="auto" w:fill="FFFFFF"/>
          </w:tcPr>
          <w:p w14:paraId="0687087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.840</w:t>
            </w:r>
          </w:p>
        </w:tc>
        <w:tc>
          <w:tcPr>
            <w:tcW w:w="1024" w:type="dxa"/>
            <w:shd w:val="clear" w:color="auto" w:fill="FFFFFF"/>
          </w:tcPr>
          <w:p w14:paraId="055B989E"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25FA9667"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0C3AF0C5" w14:textId="77777777" w:rsidTr="00C448BC">
        <w:trPr>
          <w:cantSplit/>
        </w:trPr>
        <w:tc>
          <w:tcPr>
            <w:tcW w:w="734" w:type="dxa"/>
            <w:shd w:val="clear" w:color="auto" w:fill="E0E0E0"/>
          </w:tcPr>
          <w:p w14:paraId="62804E5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FS23</w:t>
            </w:r>
          </w:p>
        </w:tc>
        <w:tc>
          <w:tcPr>
            <w:tcW w:w="1024" w:type="dxa"/>
            <w:shd w:val="clear" w:color="auto" w:fill="FFFFFF"/>
          </w:tcPr>
          <w:p w14:paraId="6F4AE14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.718</w:t>
            </w:r>
          </w:p>
        </w:tc>
        <w:tc>
          <w:tcPr>
            <w:tcW w:w="1024" w:type="dxa"/>
            <w:shd w:val="clear" w:color="auto" w:fill="FFFFFF"/>
          </w:tcPr>
          <w:p w14:paraId="26B17A66"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01B15C9F"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70978D14" w14:textId="77777777" w:rsidTr="00C448BC">
        <w:trPr>
          <w:cantSplit/>
        </w:trPr>
        <w:tc>
          <w:tcPr>
            <w:tcW w:w="734" w:type="dxa"/>
            <w:shd w:val="clear" w:color="auto" w:fill="E0E0E0"/>
          </w:tcPr>
          <w:p w14:paraId="4C33611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FS24</w:t>
            </w:r>
          </w:p>
        </w:tc>
        <w:tc>
          <w:tcPr>
            <w:tcW w:w="1024" w:type="dxa"/>
            <w:shd w:val="clear" w:color="auto" w:fill="FFFFFF"/>
          </w:tcPr>
          <w:p w14:paraId="6A21015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.750</w:t>
            </w:r>
          </w:p>
        </w:tc>
        <w:tc>
          <w:tcPr>
            <w:tcW w:w="1024" w:type="dxa"/>
            <w:shd w:val="clear" w:color="auto" w:fill="FFFFFF"/>
          </w:tcPr>
          <w:p w14:paraId="0F3E6963"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685DC691"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7C87AF94" w14:textId="77777777" w:rsidTr="00C448BC">
        <w:trPr>
          <w:cantSplit/>
        </w:trPr>
        <w:tc>
          <w:tcPr>
            <w:tcW w:w="734" w:type="dxa"/>
            <w:shd w:val="clear" w:color="auto" w:fill="E0E0E0"/>
          </w:tcPr>
          <w:p w14:paraId="010C216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FS25</w:t>
            </w:r>
          </w:p>
        </w:tc>
        <w:tc>
          <w:tcPr>
            <w:tcW w:w="1024" w:type="dxa"/>
            <w:shd w:val="clear" w:color="auto" w:fill="FFFFFF"/>
          </w:tcPr>
          <w:p w14:paraId="4969CD2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.719</w:t>
            </w:r>
          </w:p>
        </w:tc>
        <w:tc>
          <w:tcPr>
            <w:tcW w:w="1024" w:type="dxa"/>
            <w:shd w:val="clear" w:color="auto" w:fill="FFFFFF"/>
          </w:tcPr>
          <w:p w14:paraId="7AF0F4A3"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08E60CDA"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7AC27261" w14:textId="77777777" w:rsidTr="00C448BC">
        <w:trPr>
          <w:cantSplit/>
        </w:trPr>
        <w:tc>
          <w:tcPr>
            <w:tcW w:w="734" w:type="dxa"/>
            <w:shd w:val="clear" w:color="auto" w:fill="E0E0E0"/>
          </w:tcPr>
          <w:p w14:paraId="7C67BD4B"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FS26</w:t>
            </w:r>
          </w:p>
        </w:tc>
        <w:tc>
          <w:tcPr>
            <w:tcW w:w="1024" w:type="dxa"/>
            <w:shd w:val="clear" w:color="auto" w:fill="FFFFFF"/>
          </w:tcPr>
          <w:p w14:paraId="32D5E24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.776</w:t>
            </w:r>
          </w:p>
        </w:tc>
        <w:tc>
          <w:tcPr>
            <w:tcW w:w="1024" w:type="dxa"/>
            <w:shd w:val="clear" w:color="auto" w:fill="FFFFFF"/>
          </w:tcPr>
          <w:p w14:paraId="5255A2C4"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3A521A29"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62BA22FE" w14:textId="77777777" w:rsidTr="00C448BC">
        <w:trPr>
          <w:cantSplit/>
        </w:trPr>
        <w:tc>
          <w:tcPr>
            <w:tcW w:w="734" w:type="dxa"/>
            <w:shd w:val="clear" w:color="auto" w:fill="E0E0E0"/>
          </w:tcPr>
          <w:p w14:paraId="10AAEB2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FS27</w:t>
            </w:r>
          </w:p>
        </w:tc>
        <w:tc>
          <w:tcPr>
            <w:tcW w:w="1024" w:type="dxa"/>
            <w:shd w:val="clear" w:color="auto" w:fill="FFFFFF"/>
          </w:tcPr>
          <w:p w14:paraId="080AF615"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024" w:type="dxa"/>
            <w:shd w:val="clear" w:color="auto" w:fill="FFFFFF"/>
          </w:tcPr>
          <w:p w14:paraId="278F33BC"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3BC07E4D"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796FA214" w14:textId="77777777" w:rsidTr="00C448BC">
        <w:trPr>
          <w:cantSplit/>
        </w:trPr>
        <w:tc>
          <w:tcPr>
            <w:tcW w:w="734" w:type="dxa"/>
            <w:shd w:val="clear" w:color="auto" w:fill="E0E0E0"/>
          </w:tcPr>
          <w:p w14:paraId="19DD4E0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FS28</w:t>
            </w:r>
          </w:p>
        </w:tc>
        <w:tc>
          <w:tcPr>
            <w:tcW w:w="1024" w:type="dxa"/>
            <w:shd w:val="clear" w:color="auto" w:fill="FFFFFF"/>
          </w:tcPr>
          <w:p w14:paraId="5A064D2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024" w:type="dxa"/>
            <w:shd w:val="clear" w:color="auto" w:fill="FFFFFF"/>
          </w:tcPr>
          <w:p w14:paraId="3ECA0A36"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67F692EE"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2B8C9DBD" w14:textId="77777777" w:rsidTr="00C448BC">
        <w:trPr>
          <w:cantSplit/>
        </w:trPr>
        <w:tc>
          <w:tcPr>
            <w:tcW w:w="734" w:type="dxa"/>
            <w:shd w:val="clear" w:color="auto" w:fill="E0E0E0"/>
          </w:tcPr>
          <w:p w14:paraId="4AA9CF8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FS31</w:t>
            </w:r>
          </w:p>
        </w:tc>
        <w:tc>
          <w:tcPr>
            <w:tcW w:w="1024" w:type="dxa"/>
            <w:shd w:val="clear" w:color="auto" w:fill="FFFFFF"/>
          </w:tcPr>
          <w:p w14:paraId="6F8A539D"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28B6A061"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.825</w:t>
            </w:r>
          </w:p>
        </w:tc>
        <w:tc>
          <w:tcPr>
            <w:tcW w:w="1024" w:type="dxa"/>
            <w:shd w:val="clear" w:color="auto" w:fill="FFFFFF"/>
          </w:tcPr>
          <w:p w14:paraId="013363E9"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2F25B720" w14:textId="77777777" w:rsidTr="00C448BC">
        <w:trPr>
          <w:cantSplit/>
        </w:trPr>
        <w:tc>
          <w:tcPr>
            <w:tcW w:w="734" w:type="dxa"/>
            <w:shd w:val="clear" w:color="auto" w:fill="E0E0E0"/>
          </w:tcPr>
          <w:p w14:paraId="4C8C2910"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FS32</w:t>
            </w:r>
          </w:p>
        </w:tc>
        <w:tc>
          <w:tcPr>
            <w:tcW w:w="1024" w:type="dxa"/>
            <w:shd w:val="clear" w:color="auto" w:fill="FFFFFF"/>
          </w:tcPr>
          <w:p w14:paraId="38102224"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5DFAA0A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.750</w:t>
            </w:r>
          </w:p>
        </w:tc>
        <w:tc>
          <w:tcPr>
            <w:tcW w:w="1024" w:type="dxa"/>
            <w:shd w:val="clear" w:color="auto" w:fill="FFFFFF"/>
          </w:tcPr>
          <w:p w14:paraId="72F153B8"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3080B0A2" w14:textId="77777777" w:rsidTr="00C448BC">
        <w:trPr>
          <w:cantSplit/>
        </w:trPr>
        <w:tc>
          <w:tcPr>
            <w:tcW w:w="734" w:type="dxa"/>
            <w:shd w:val="clear" w:color="auto" w:fill="E0E0E0"/>
          </w:tcPr>
          <w:p w14:paraId="54EF151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FS33</w:t>
            </w:r>
          </w:p>
        </w:tc>
        <w:tc>
          <w:tcPr>
            <w:tcW w:w="1024" w:type="dxa"/>
            <w:shd w:val="clear" w:color="auto" w:fill="FFFFFF"/>
          </w:tcPr>
          <w:p w14:paraId="73085A8F"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228705EE"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.696</w:t>
            </w:r>
          </w:p>
        </w:tc>
        <w:tc>
          <w:tcPr>
            <w:tcW w:w="1024" w:type="dxa"/>
            <w:shd w:val="clear" w:color="auto" w:fill="FFFFFF"/>
          </w:tcPr>
          <w:p w14:paraId="30FB372E"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10182EAD" w14:textId="77777777" w:rsidTr="00C448BC">
        <w:trPr>
          <w:cantSplit/>
        </w:trPr>
        <w:tc>
          <w:tcPr>
            <w:tcW w:w="734" w:type="dxa"/>
            <w:shd w:val="clear" w:color="auto" w:fill="E0E0E0"/>
          </w:tcPr>
          <w:p w14:paraId="5405174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FS34</w:t>
            </w:r>
          </w:p>
        </w:tc>
        <w:tc>
          <w:tcPr>
            <w:tcW w:w="1024" w:type="dxa"/>
            <w:shd w:val="clear" w:color="auto" w:fill="FFFFFF"/>
          </w:tcPr>
          <w:p w14:paraId="625B1C97"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5C64BB39"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.806</w:t>
            </w:r>
          </w:p>
        </w:tc>
        <w:tc>
          <w:tcPr>
            <w:tcW w:w="1024" w:type="dxa"/>
            <w:shd w:val="clear" w:color="auto" w:fill="FFFFFF"/>
          </w:tcPr>
          <w:p w14:paraId="1F6F68E7"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2F69DCF0" w14:textId="77777777" w:rsidTr="00C448BC">
        <w:trPr>
          <w:cantSplit/>
        </w:trPr>
        <w:tc>
          <w:tcPr>
            <w:tcW w:w="734" w:type="dxa"/>
            <w:shd w:val="clear" w:color="auto" w:fill="E0E0E0"/>
          </w:tcPr>
          <w:p w14:paraId="0AC364A3"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FS35</w:t>
            </w:r>
          </w:p>
        </w:tc>
        <w:tc>
          <w:tcPr>
            <w:tcW w:w="1024" w:type="dxa"/>
            <w:shd w:val="clear" w:color="auto" w:fill="FFFFFF"/>
          </w:tcPr>
          <w:p w14:paraId="04F88720"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4D649C28"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.638</w:t>
            </w:r>
          </w:p>
        </w:tc>
        <w:tc>
          <w:tcPr>
            <w:tcW w:w="1024" w:type="dxa"/>
            <w:shd w:val="clear" w:color="auto" w:fill="FFFFFF"/>
          </w:tcPr>
          <w:p w14:paraId="27C799F4"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1A8F5229" w14:textId="77777777" w:rsidTr="00C448BC">
        <w:trPr>
          <w:cantSplit/>
        </w:trPr>
        <w:tc>
          <w:tcPr>
            <w:tcW w:w="734" w:type="dxa"/>
            <w:shd w:val="clear" w:color="auto" w:fill="E0E0E0"/>
          </w:tcPr>
          <w:p w14:paraId="0B4DBEF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FS36</w:t>
            </w:r>
          </w:p>
        </w:tc>
        <w:tc>
          <w:tcPr>
            <w:tcW w:w="1024" w:type="dxa"/>
            <w:shd w:val="clear" w:color="auto" w:fill="FFFFFF"/>
          </w:tcPr>
          <w:p w14:paraId="40A443DA"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78CBE386"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.856</w:t>
            </w:r>
          </w:p>
        </w:tc>
        <w:tc>
          <w:tcPr>
            <w:tcW w:w="1024" w:type="dxa"/>
            <w:shd w:val="clear" w:color="auto" w:fill="FFFFFF"/>
          </w:tcPr>
          <w:p w14:paraId="40E48A02"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03FC1345" w14:textId="77777777" w:rsidTr="00C448BC">
        <w:trPr>
          <w:cantSplit/>
        </w:trPr>
        <w:tc>
          <w:tcPr>
            <w:tcW w:w="734" w:type="dxa"/>
            <w:shd w:val="clear" w:color="auto" w:fill="E0E0E0"/>
          </w:tcPr>
          <w:p w14:paraId="074FA3C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FS37</w:t>
            </w:r>
          </w:p>
        </w:tc>
        <w:tc>
          <w:tcPr>
            <w:tcW w:w="1024" w:type="dxa"/>
            <w:shd w:val="clear" w:color="auto" w:fill="FFFFFF"/>
          </w:tcPr>
          <w:p w14:paraId="154B85BB"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0D560864"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.817</w:t>
            </w:r>
          </w:p>
        </w:tc>
        <w:tc>
          <w:tcPr>
            <w:tcW w:w="1024" w:type="dxa"/>
            <w:shd w:val="clear" w:color="auto" w:fill="FFFFFF"/>
          </w:tcPr>
          <w:p w14:paraId="388C934F"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1A0E323F" w14:textId="77777777" w:rsidTr="00C448BC">
        <w:trPr>
          <w:cantSplit/>
        </w:trPr>
        <w:tc>
          <w:tcPr>
            <w:tcW w:w="734" w:type="dxa"/>
            <w:shd w:val="clear" w:color="auto" w:fill="E0E0E0"/>
          </w:tcPr>
          <w:p w14:paraId="787C022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FS38</w:t>
            </w:r>
          </w:p>
        </w:tc>
        <w:tc>
          <w:tcPr>
            <w:tcW w:w="1024" w:type="dxa"/>
            <w:shd w:val="clear" w:color="auto" w:fill="FFFFFF"/>
          </w:tcPr>
          <w:p w14:paraId="486C5675"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c>
          <w:tcPr>
            <w:tcW w:w="1024" w:type="dxa"/>
            <w:shd w:val="clear" w:color="auto" w:fill="FFFFFF"/>
          </w:tcPr>
          <w:p w14:paraId="7F3DA5B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p>
        </w:tc>
        <w:tc>
          <w:tcPr>
            <w:tcW w:w="1024" w:type="dxa"/>
            <w:shd w:val="clear" w:color="auto" w:fill="FFFFFF"/>
          </w:tcPr>
          <w:p w14:paraId="7B0C1853" w14:textId="77777777" w:rsidR="00DF609B" w:rsidRPr="00DF609B" w:rsidRDefault="00DF609B" w:rsidP="00DF609B">
            <w:pPr>
              <w:autoSpaceDE w:val="0"/>
              <w:autoSpaceDN w:val="0"/>
              <w:adjustRightInd w:val="0"/>
              <w:spacing w:after="0" w:line="240" w:lineRule="auto"/>
              <w:jc w:val="both"/>
              <w:rPr>
                <w:rFonts w:ascii="Times New Roman" w:hAnsi="Times New Roman"/>
              </w:rPr>
            </w:pPr>
          </w:p>
        </w:tc>
      </w:tr>
      <w:tr w:rsidR="00DF609B" w:rsidRPr="00DF609B" w14:paraId="109BE209" w14:textId="77777777" w:rsidTr="00C448BC">
        <w:trPr>
          <w:cantSplit/>
        </w:trPr>
        <w:tc>
          <w:tcPr>
            <w:tcW w:w="3806" w:type="dxa"/>
            <w:gridSpan w:val="4"/>
            <w:shd w:val="clear" w:color="auto" w:fill="FFFFFF"/>
          </w:tcPr>
          <w:p w14:paraId="2DAA6BBC"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Extraction Method: Principal Component Analysis.</w:t>
            </w:r>
          </w:p>
          <w:p w14:paraId="7DF3E4C2"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Rotation Method: Varimax with Kaiser Normalization.</w:t>
            </w:r>
          </w:p>
        </w:tc>
      </w:tr>
      <w:tr w:rsidR="00DF609B" w:rsidRPr="00DF609B" w14:paraId="46525C24" w14:textId="77777777" w:rsidTr="00C448BC">
        <w:trPr>
          <w:cantSplit/>
        </w:trPr>
        <w:tc>
          <w:tcPr>
            <w:tcW w:w="3806" w:type="dxa"/>
            <w:gridSpan w:val="4"/>
            <w:shd w:val="clear" w:color="auto" w:fill="FFFFFF"/>
          </w:tcPr>
          <w:p w14:paraId="473B3AFA" w14:textId="77777777" w:rsidR="00DF609B" w:rsidRPr="00DF609B" w:rsidRDefault="00DF609B" w:rsidP="00DF609B">
            <w:pPr>
              <w:autoSpaceDE w:val="0"/>
              <w:autoSpaceDN w:val="0"/>
              <w:adjustRightInd w:val="0"/>
              <w:spacing w:after="0" w:line="320" w:lineRule="atLeast"/>
              <w:ind w:left="60" w:right="60"/>
              <w:jc w:val="both"/>
              <w:rPr>
                <w:rFonts w:ascii="Arial" w:hAnsi="Arial" w:cs="Arial"/>
              </w:rPr>
            </w:pPr>
            <w:r w:rsidRPr="00DF609B">
              <w:rPr>
                <w:rFonts w:ascii="Arial" w:hAnsi="Arial" w:cs="Arial"/>
              </w:rPr>
              <w:t>a. Rotation converged in 6 iterations.</w:t>
            </w:r>
          </w:p>
        </w:tc>
      </w:tr>
    </w:tbl>
    <w:p w14:paraId="60A5AA51"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4E83CC14"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3138EF43"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703FA891" w14:textId="77777777" w:rsidR="00DF609B" w:rsidRPr="00DF609B" w:rsidRDefault="00DF609B" w:rsidP="00DF609B">
      <w:pPr>
        <w:autoSpaceDE w:val="0"/>
        <w:autoSpaceDN w:val="0"/>
        <w:adjustRightInd w:val="0"/>
        <w:spacing w:after="0" w:line="360" w:lineRule="auto"/>
        <w:jc w:val="both"/>
        <w:rPr>
          <w:rFonts w:ascii="Times New Roman" w:hAnsi="Times New Roman"/>
          <w:b/>
          <w:sz w:val="24"/>
          <w:szCs w:val="24"/>
        </w:rPr>
      </w:pPr>
      <w:bookmarkStart w:id="11" w:name="_Hlk31840611"/>
      <w:r w:rsidRPr="00DF609B">
        <w:rPr>
          <w:rFonts w:ascii="Times New Roman" w:hAnsi="Times New Roman"/>
          <w:b/>
          <w:sz w:val="24"/>
          <w:szCs w:val="24"/>
        </w:rPr>
        <w:t>The Internal Reliability for the Instrument Measuring Flexible Supply Chain Management</w:t>
      </w:r>
    </w:p>
    <w:p w14:paraId="5532AA9A"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p>
    <w:p w14:paraId="13C7AD64"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 xml:space="preserve">Finally, the study needs to compute the value of Cronbach’s Alpha which reflect the Internal </w:t>
      </w:r>
    </w:p>
    <w:p w14:paraId="6E5387D4"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t xml:space="preserve">Reliability for the retained items in measuring this latent construct. The internal reliability or </w:t>
      </w:r>
    </w:p>
    <w:p w14:paraId="158EBA31" w14:textId="77777777" w:rsidR="00DF609B" w:rsidRPr="00DF609B" w:rsidRDefault="00DF609B" w:rsidP="00DF609B">
      <w:pPr>
        <w:autoSpaceDE w:val="0"/>
        <w:autoSpaceDN w:val="0"/>
        <w:adjustRightInd w:val="0"/>
        <w:spacing w:after="0" w:line="360" w:lineRule="auto"/>
        <w:jc w:val="both"/>
        <w:rPr>
          <w:rFonts w:ascii="Times New Roman" w:hAnsi="Times New Roman"/>
          <w:sz w:val="24"/>
          <w:szCs w:val="24"/>
        </w:rPr>
      </w:pPr>
      <w:r w:rsidRPr="00DF609B">
        <w:rPr>
          <w:rFonts w:ascii="Times New Roman" w:hAnsi="Times New Roman"/>
          <w:sz w:val="24"/>
          <w:szCs w:val="24"/>
        </w:rPr>
        <w:lastRenderedPageBreak/>
        <w:t xml:space="preserve">internal consistency indicates how strong the respective items are holding together in </w:t>
      </w:r>
      <w:proofErr w:type="gramStart"/>
      <w:r w:rsidRPr="00DF609B">
        <w:rPr>
          <w:rFonts w:ascii="Times New Roman" w:hAnsi="Times New Roman"/>
          <w:sz w:val="24"/>
          <w:szCs w:val="24"/>
        </w:rPr>
        <w:t>measuring  the</w:t>
      </w:r>
      <w:proofErr w:type="gramEnd"/>
      <w:r w:rsidRPr="00DF609B">
        <w:rPr>
          <w:rFonts w:ascii="Times New Roman" w:hAnsi="Times New Roman"/>
          <w:sz w:val="24"/>
          <w:szCs w:val="24"/>
        </w:rPr>
        <w:t xml:space="preserve"> respective construct. The value of Cronbach’s Alpha should be greater than 0.7 for the items to achieve the Internal Reliability (Awang, 2012). Table 5 present the Cronbach Alpha for each component.  The Cronbach Alpha for each component is greater than 0.7 as shown in the table 5, which means that these items are reliable.</w:t>
      </w:r>
    </w:p>
    <w:bookmarkEnd w:id="11"/>
    <w:p w14:paraId="7947CE35"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52BEB998" w14:textId="77777777" w:rsidR="00DF609B" w:rsidRPr="00DF609B" w:rsidRDefault="00DF609B" w:rsidP="00DF609B">
      <w:pPr>
        <w:autoSpaceDE w:val="0"/>
        <w:autoSpaceDN w:val="0"/>
        <w:adjustRightInd w:val="0"/>
        <w:spacing w:after="0" w:line="240" w:lineRule="auto"/>
        <w:jc w:val="both"/>
        <w:rPr>
          <w:rFonts w:ascii="Times New Roman" w:hAnsi="Times New Roman"/>
          <w:sz w:val="24"/>
          <w:szCs w:val="24"/>
        </w:rPr>
      </w:pPr>
    </w:p>
    <w:p w14:paraId="79E2DD3F" w14:textId="77777777" w:rsidR="00DF609B" w:rsidRPr="00DF609B" w:rsidRDefault="00DF609B" w:rsidP="00DF609B">
      <w:pPr>
        <w:autoSpaceDE w:val="0"/>
        <w:autoSpaceDN w:val="0"/>
        <w:adjustRightInd w:val="0"/>
        <w:spacing w:after="0" w:line="240" w:lineRule="auto"/>
        <w:jc w:val="both"/>
        <w:rPr>
          <w:rFonts w:ascii="Times New Roman" w:hAnsi="Times New Roman"/>
          <w:b/>
          <w:sz w:val="24"/>
          <w:szCs w:val="24"/>
        </w:rPr>
      </w:pPr>
      <w:bookmarkStart w:id="12" w:name="_Hlk31840696"/>
      <w:r w:rsidRPr="00DF609B">
        <w:rPr>
          <w:rFonts w:ascii="Times New Roman" w:hAnsi="Times New Roman"/>
          <w:b/>
          <w:sz w:val="24"/>
          <w:szCs w:val="24"/>
        </w:rPr>
        <w:t>Table 5:  The Internal Reliability for the Flexible</w:t>
      </w:r>
      <w:r w:rsidRPr="00DF609B">
        <w:rPr>
          <w:b/>
        </w:rPr>
        <w:t xml:space="preserve"> Supply Chain Management</w:t>
      </w:r>
      <w:r w:rsidRPr="00DF609B">
        <w:rPr>
          <w:rFonts w:ascii="Times New Roman" w:hAnsi="Times New Roman"/>
          <w:b/>
          <w:sz w:val="24"/>
          <w:szCs w:val="24"/>
        </w:rPr>
        <w:t xml:space="preserve"> Construct</w:t>
      </w:r>
    </w:p>
    <w:tbl>
      <w:tblPr>
        <w:tblStyle w:val="TableGrid"/>
        <w:tblW w:w="0" w:type="auto"/>
        <w:tblLook w:val="04A0" w:firstRow="1" w:lastRow="0" w:firstColumn="1" w:lastColumn="0" w:noHBand="0" w:noVBand="1"/>
      </w:tblPr>
      <w:tblGrid>
        <w:gridCol w:w="2250"/>
        <w:gridCol w:w="1800"/>
        <w:gridCol w:w="1980"/>
        <w:gridCol w:w="1980"/>
      </w:tblGrid>
      <w:tr w:rsidR="00DF609B" w:rsidRPr="00DF609B" w14:paraId="43B2DC51" w14:textId="77777777" w:rsidTr="00C448BC">
        <w:tc>
          <w:tcPr>
            <w:tcW w:w="2250" w:type="dxa"/>
          </w:tcPr>
          <w:bookmarkEnd w:id="12"/>
          <w:p w14:paraId="0F4EC2B6" w14:textId="77777777" w:rsidR="00DF609B" w:rsidRPr="00DF609B" w:rsidRDefault="00DF609B" w:rsidP="00DF609B">
            <w:pPr>
              <w:autoSpaceDE w:val="0"/>
              <w:autoSpaceDN w:val="0"/>
              <w:adjustRightInd w:val="0"/>
              <w:spacing w:line="360" w:lineRule="auto"/>
              <w:jc w:val="both"/>
              <w:rPr>
                <w:rFonts w:ascii="Arial" w:hAnsi="Arial" w:cs="Arial"/>
                <w:b/>
                <w:bCs/>
              </w:rPr>
            </w:pPr>
            <w:r w:rsidRPr="00DF609B">
              <w:rPr>
                <w:rFonts w:ascii="Arial" w:hAnsi="Arial" w:cs="Arial"/>
                <w:b/>
                <w:bCs/>
              </w:rPr>
              <w:t>Name of construct</w:t>
            </w:r>
          </w:p>
        </w:tc>
        <w:tc>
          <w:tcPr>
            <w:tcW w:w="1800" w:type="dxa"/>
          </w:tcPr>
          <w:p w14:paraId="5B90674E" w14:textId="77777777" w:rsidR="00DF609B" w:rsidRPr="00DF609B" w:rsidRDefault="00DF609B" w:rsidP="00DF609B">
            <w:pPr>
              <w:autoSpaceDE w:val="0"/>
              <w:autoSpaceDN w:val="0"/>
              <w:adjustRightInd w:val="0"/>
              <w:spacing w:line="360" w:lineRule="auto"/>
              <w:jc w:val="both"/>
              <w:rPr>
                <w:rFonts w:ascii="Arial" w:hAnsi="Arial" w:cs="Arial"/>
                <w:b/>
                <w:bCs/>
              </w:rPr>
            </w:pPr>
            <w:r w:rsidRPr="00DF609B">
              <w:rPr>
                <w:rFonts w:ascii="Arial" w:hAnsi="Arial" w:cs="Arial"/>
                <w:b/>
                <w:bCs/>
              </w:rPr>
              <w:t>Component</w:t>
            </w:r>
          </w:p>
        </w:tc>
        <w:tc>
          <w:tcPr>
            <w:tcW w:w="1980" w:type="dxa"/>
          </w:tcPr>
          <w:p w14:paraId="4DD7F519" w14:textId="77777777" w:rsidR="00DF609B" w:rsidRPr="00DF609B" w:rsidRDefault="00DF609B" w:rsidP="00DF609B">
            <w:pPr>
              <w:autoSpaceDE w:val="0"/>
              <w:autoSpaceDN w:val="0"/>
              <w:adjustRightInd w:val="0"/>
              <w:spacing w:line="360" w:lineRule="auto"/>
              <w:jc w:val="both"/>
              <w:rPr>
                <w:rFonts w:ascii="Arial" w:hAnsi="Arial" w:cs="Arial"/>
                <w:b/>
                <w:bCs/>
              </w:rPr>
            </w:pPr>
            <w:r w:rsidRPr="00DF609B">
              <w:rPr>
                <w:rFonts w:ascii="Arial" w:hAnsi="Arial" w:cs="Arial"/>
                <w:b/>
                <w:bCs/>
              </w:rPr>
              <w:t>Number of Items</w:t>
            </w:r>
          </w:p>
        </w:tc>
        <w:tc>
          <w:tcPr>
            <w:tcW w:w="1980" w:type="dxa"/>
          </w:tcPr>
          <w:p w14:paraId="70E2B125" w14:textId="77777777" w:rsidR="00DF609B" w:rsidRPr="00DF609B" w:rsidRDefault="00DF609B" w:rsidP="00DF609B">
            <w:pPr>
              <w:autoSpaceDE w:val="0"/>
              <w:autoSpaceDN w:val="0"/>
              <w:adjustRightInd w:val="0"/>
              <w:spacing w:line="360" w:lineRule="auto"/>
              <w:jc w:val="both"/>
              <w:rPr>
                <w:rFonts w:ascii="Arial" w:hAnsi="Arial" w:cs="Arial"/>
                <w:b/>
                <w:bCs/>
              </w:rPr>
            </w:pPr>
            <w:r w:rsidRPr="00DF609B">
              <w:rPr>
                <w:rFonts w:ascii="Arial" w:hAnsi="Arial" w:cs="Arial"/>
                <w:b/>
                <w:bCs/>
              </w:rPr>
              <w:t>Cronbach Alpha</w:t>
            </w:r>
          </w:p>
        </w:tc>
      </w:tr>
      <w:tr w:rsidR="00DF609B" w:rsidRPr="00DF609B" w14:paraId="61C3600B" w14:textId="77777777" w:rsidTr="00C448BC">
        <w:tc>
          <w:tcPr>
            <w:tcW w:w="2250" w:type="dxa"/>
            <w:vMerge w:val="restart"/>
          </w:tcPr>
          <w:p w14:paraId="3FBADD47"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b/>
              </w:rPr>
              <w:t>Flexible Supply Chain Management</w:t>
            </w:r>
          </w:p>
        </w:tc>
        <w:tc>
          <w:tcPr>
            <w:tcW w:w="1800" w:type="dxa"/>
          </w:tcPr>
          <w:p w14:paraId="7EC7BC10"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FS1</w:t>
            </w:r>
          </w:p>
        </w:tc>
        <w:tc>
          <w:tcPr>
            <w:tcW w:w="1980" w:type="dxa"/>
          </w:tcPr>
          <w:p w14:paraId="4F86B8C2"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7</w:t>
            </w:r>
          </w:p>
        </w:tc>
        <w:tc>
          <w:tcPr>
            <w:tcW w:w="1980" w:type="dxa"/>
          </w:tcPr>
          <w:p w14:paraId="7E6AC98F"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0.885</w:t>
            </w:r>
          </w:p>
        </w:tc>
      </w:tr>
      <w:tr w:rsidR="00DF609B" w:rsidRPr="00DF609B" w14:paraId="75838EF7" w14:textId="77777777" w:rsidTr="00C448BC">
        <w:tc>
          <w:tcPr>
            <w:tcW w:w="2250" w:type="dxa"/>
            <w:vMerge/>
          </w:tcPr>
          <w:p w14:paraId="1F4871D2" w14:textId="77777777" w:rsidR="00DF609B" w:rsidRPr="00DF609B" w:rsidRDefault="00DF609B" w:rsidP="00DF609B">
            <w:pPr>
              <w:autoSpaceDE w:val="0"/>
              <w:autoSpaceDN w:val="0"/>
              <w:adjustRightInd w:val="0"/>
              <w:spacing w:line="360" w:lineRule="auto"/>
              <w:jc w:val="both"/>
              <w:rPr>
                <w:rFonts w:ascii="Arial" w:hAnsi="Arial" w:cs="Arial"/>
              </w:rPr>
            </w:pPr>
          </w:p>
        </w:tc>
        <w:tc>
          <w:tcPr>
            <w:tcW w:w="1800" w:type="dxa"/>
          </w:tcPr>
          <w:p w14:paraId="39434760"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FS2</w:t>
            </w:r>
          </w:p>
        </w:tc>
        <w:tc>
          <w:tcPr>
            <w:tcW w:w="1980" w:type="dxa"/>
          </w:tcPr>
          <w:p w14:paraId="65160FA8"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6</w:t>
            </w:r>
          </w:p>
        </w:tc>
        <w:tc>
          <w:tcPr>
            <w:tcW w:w="1980" w:type="dxa"/>
          </w:tcPr>
          <w:p w14:paraId="1A637B72"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0.900</w:t>
            </w:r>
          </w:p>
        </w:tc>
      </w:tr>
      <w:tr w:rsidR="00DF609B" w:rsidRPr="00DF609B" w14:paraId="36B682AC" w14:textId="77777777" w:rsidTr="00C448BC">
        <w:tc>
          <w:tcPr>
            <w:tcW w:w="2250" w:type="dxa"/>
            <w:vMerge/>
          </w:tcPr>
          <w:p w14:paraId="53108FAB" w14:textId="77777777" w:rsidR="00DF609B" w:rsidRPr="00DF609B" w:rsidRDefault="00DF609B" w:rsidP="00DF609B">
            <w:pPr>
              <w:autoSpaceDE w:val="0"/>
              <w:autoSpaceDN w:val="0"/>
              <w:adjustRightInd w:val="0"/>
              <w:spacing w:line="360" w:lineRule="auto"/>
              <w:jc w:val="both"/>
              <w:rPr>
                <w:rFonts w:ascii="Arial" w:hAnsi="Arial" w:cs="Arial"/>
              </w:rPr>
            </w:pPr>
          </w:p>
        </w:tc>
        <w:tc>
          <w:tcPr>
            <w:tcW w:w="1800" w:type="dxa"/>
          </w:tcPr>
          <w:p w14:paraId="3D64695D"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FS3</w:t>
            </w:r>
          </w:p>
        </w:tc>
        <w:tc>
          <w:tcPr>
            <w:tcW w:w="1980" w:type="dxa"/>
          </w:tcPr>
          <w:p w14:paraId="502AF13F"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7</w:t>
            </w:r>
          </w:p>
        </w:tc>
        <w:tc>
          <w:tcPr>
            <w:tcW w:w="1980" w:type="dxa"/>
          </w:tcPr>
          <w:p w14:paraId="1A75DD46" w14:textId="77777777" w:rsidR="00DF609B" w:rsidRPr="00DF609B" w:rsidRDefault="00DF609B" w:rsidP="00DF609B">
            <w:pPr>
              <w:autoSpaceDE w:val="0"/>
              <w:autoSpaceDN w:val="0"/>
              <w:adjustRightInd w:val="0"/>
              <w:spacing w:line="360" w:lineRule="auto"/>
              <w:jc w:val="both"/>
              <w:rPr>
                <w:rFonts w:ascii="Arial" w:hAnsi="Arial" w:cs="Arial"/>
              </w:rPr>
            </w:pPr>
            <w:r w:rsidRPr="00DF609B">
              <w:rPr>
                <w:rFonts w:ascii="Arial" w:hAnsi="Arial" w:cs="Arial"/>
              </w:rPr>
              <w:t>0.899</w:t>
            </w:r>
          </w:p>
        </w:tc>
      </w:tr>
    </w:tbl>
    <w:p w14:paraId="12BFDBD3" w14:textId="77777777" w:rsidR="00DF609B" w:rsidRDefault="00DF609B"/>
    <w:p w14:paraId="6560F13C" w14:textId="77777777" w:rsidR="00D34FF3" w:rsidRDefault="00D34FF3" w:rsidP="00D34FF3"/>
    <w:p w14:paraId="531384DB" w14:textId="77777777" w:rsidR="00D34FF3" w:rsidRPr="00D34FF3" w:rsidRDefault="001725DF" w:rsidP="00D34FF3">
      <w:pPr>
        <w:autoSpaceDE w:val="0"/>
        <w:autoSpaceDN w:val="0"/>
        <w:adjustRightInd w:val="0"/>
        <w:spacing w:after="0" w:line="400" w:lineRule="atLeast"/>
        <w:jc w:val="both"/>
        <w:rPr>
          <w:rFonts w:ascii="Times New Roman" w:eastAsiaTheme="minorHAnsi" w:hAnsi="Times New Roman"/>
          <w:b/>
          <w:sz w:val="24"/>
          <w:szCs w:val="24"/>
          <w:lang w:val="en-SG"/>
        </w:rPr>
      </w:pPr>
      <w:r w:rsidRPr="00D34FF3">
        <w:rPr>
          <w:rFonts w:ascii="Times New Roman" w:eastAsiaTheme="minorHAnsi" w:hAnsi="Times New Roman"/>
          <w:b/>
          <w:sz w:val="24"/>
          <w:szCs w:val="24"/>
          <w:lang w:val="en-SG"/>
        </w:rPr>
        <w:t>CONCLUSION</w:t>
      </w:r>
    </w:p>
    <w:p w14:paraId="2EDC9B47" w14:textId="77777777" w:rsidR="00D34FF3" w:rsidRPr="00D34FF3" w:rsidRDefault="00D34FF3" w:rsidP="00D34FF3">
      <w:pPr>
        <w:autoSpaceDE w:val="0"/>
        <w:autoSpaceDN w:val="0"/>
        <w:adjustRightInd w:val="0"/>
        <w:spacing w:after="0" w:line="400" w:lineRule="atLeast"/>
        <w:jc w:val="both"/>
        <w:rPr>
          <w:rFonts w:ascii="Times New Roman" w:eastAsiaTheme="minorHAnsi" w:hAnsi="Times New Roman"/>
          <w:sz w:val="24"/>
          <w:szCs w:val="24"/>
          <w:lang w:val="en-SG"/>
        </w:rPr>
      </w:pPr>
    </w:p>
    <w:p w14:paraId="603DC4D6" w14:textId="2AB42502" w:rsidR="006E4237" w:rsidRPr="0092079C" w:rsidRDefault="0048758E" w:rsidP="00D34FF3">
      <w:pPr>
        <w:spacing w:after="160" w:line="360" w:lineRule="auto"/>
        <w:jc w:val="both"/>
        <w:rPr>
          <w:rFonts w:ascii="Times New Roman" w:eastAsiaTheme="minorHAnsi" w:hAnsi="Times New Roman"/>
          <w:sz w:val="24"/>
          <w:szCs w:val="24"/>
          <w:lang w:val="en-SG"/>
        </w:rPr>
      </w:pPr>
      <w:r>
        <w:rPr>
          <w:rFonts w:ascii="Times New Roman" w:eastAsiaTheme="minorHAnsi" w:hAnsi="Times New Roman"/>
          <w:sz w:val="24"/>
          <w:szCs w:val="24"/>
          <w:lang w:val="en-SG"/>
        </w:rPr>
        <w:t>The findings</w:t>
      </w:r>
      <w:r w:rsidRPr="00512BFD">
        <w:rPr>
          <w:rFonts w:ascii="Times New Roman" w:eastAsiaTheme="minorHAnsi" w:hAnsi="Times New Roman"/>
          <w:sz w:val="24"/>
          <w:szCs w:val="24"/>
          <w:lang w:val="en-SG"/>
        </w:rPr>
        <w:t xml:space="preserve"> reveal that the Bartlett’s Test of Sphericity was le</w:t>
      </w:r>
      <w:r>
        <w:rPr>
          <w:rFonts w:ascii="Times New Roman" w:eastAsiaTheme="minorHAnsi" w:hAnsi="Times New Roman"/>
          <w:sz w:val="24"/>
          <w:szCs w:val="24"/>
          <w:lang w:val="en-SG"/>
        </w:rPr>
        <w:t xml:space="preserve">ss that 0.05 (&lt;0.05) </w:t>
      </w:r>
      <w:r w:rsidRPr="00512BFD">
        <w:rPr>
          <w:rFonts w:ascii="Times New Roman" w:eastAsiaTheme="minorHAnsi" w:hAnsi="Times New Roman"/>
          <w:sz w:val="24"/>
          <w:szCs w:val="24"/>
          <w:lang w:val="en-SG"/>
        </w:rPr>
        <w:t>which is Significant (P-value &lt; 0.05). Kaiser-Meyer-</w:t>
      </w:r>
      <w:r w:rsidR="005F7FB0" w:rsidRPr="00512BFD">
        <w:rPr>
          <w:rFonts w:ascii="Times New Roman" w:eastAsiaTheme="minorHAnsi" w:hAnsi="Times New Roman"/>
          <w:sz w:val="24"/>
          <w:szCs w:val="24"/>
          <w:lang w:val="en-SG"/>
        </w:rPr>
        <w:t xml:space="preserve">Olkin </w:t>
      </w:r>
      <w:r w:rsidR="005F7FB0">
        <w:rPr>
          <w:rFonts w:ascii="Times New Roman" w:eastAsiaTheme="minorHAnsi" w:hAnsi="Times New Roman"/>
          <w:sz w:val="24"/>
          <w:szCs w:val="24"/>
          <w:lang w:val="en-SG"/>
        </w:rPr>
        <w:t>(</w:t>
      </w:r>
      <w:r w:rsidR="00DF1DB4">
        <w:rPr>
          <w:rFonts w:ascii="Times New Roman" w:eastAsiaTheme="minorHAnsi" w:hAnsi="Times New Roman"/>
          <w:sz w:val="24"/>
          <w:szCs w:val="24"/>
          <w:lang w:val="en-SG"/>
        </w:rPr>
        <w:t xml:space="preserve">KMO) </w:t>
      </w:r>
      <w:r w:rsidRPr="00512BFD">
        <w:rPr>
          <w:rFonts w:ascii="Times New Roman" w:eastAsiaTheme="minorHAnsi" w:hAnsi="Times New Roman"/>
          <w:sz w:val="24"/>
          <w:szCs w:val="24"/>
          <w:lang w:val="en-SG"/>
        </w:rPr>
        <w:t>Measure of Sampling Adequacy was high</w:t>
      </w:r>
      <w:r w:rsidR="00E067DE">
        <w:rPr>
          <w:rFonts w:ascii="Times New Roman" w:eastAsiaTheme="minorHAnsi" w:hAnsi="Times New Roman"/>
          <w:sz w:val="24"/>
          <w:szCs w:val="24"/>
          <w:lang w:val="en-SG"/>
        </w:rPr>
        <w:t xml:space="preserve">er than </w:t>
      </w:r>
      <w:proofErr w:type="gramStart"/>
      <w:r w:rsidR="00E067DE">
        <w:rPr>
          <w:rFonts w:ascii="Times New Roman" w:eastAsiaTheme="minorHAnsi" w:hAnsi="Times New Roman"/>
          <w:sz w:val="24"/>
          <w:szCs w:val="24"/>
          <w:lang w:val="en-SG"/>
        </w:rPr>
        <w:t>0.6  (</w:t>
      </w:r>
      <w:proofErr w:type="gramEnd"/>
      <w:r w:rsidR="00E067DE">
        <w:rPr>
          <w:rFonts w:ascii="Times New Roman" w:eastAsiaTheme="minorHAnsi" w:hAnsi="Times New Roman"/>
          <w:sz w:val="24"/>
          <w:szCs w:val="24"/>
          <w:lang w:val="en-SG"/>
        </w:rPr>
        <w:t xml:space="preserve">&gt; 0.6), </w:t>
      </w:r>
      <w:r w:rsidRPr="00512BFD">
        <w:rPr>
          <w:rFonts w:ascii="Times New Roman" w:eastAsiaTheme="minorHAnsi" w:hAnsi="Times New Roman"/>
          <w:sz w:val="24"/>
          <w:szCs w:val="24"/>
          <w:lang w:val="en-SG"/>
        </w:rPr>
        <w:t xml:space="preserve">and this indicates that the sample is adequate in size. Cronbach’s Alpha test was </w:t>
      </w:r>
      <w:r>
        <w:rPr>
          <w:rFonts w:ascii="Times New Roman" w:eastAsiaTheme="minorHAnsi" w:hAnsi="Times New Roman"/>
          <w:sz w:val="24"/>
          <w:szCs w:val="24"/>
          <w:lang w:val="en-SG"/>
        </w:rPr>
        <w:t xml:space="preserve">higher than 0.7 for the all the </w:t>
      </w:r>
      <w:r w:rsidRPr="00512BFD">
        <w:rPr>
          <w:rFonts w:ascii="Times New Roman" w:eastAsiaTheme="minorHAnsi" w:hAnsi="Times New Roman"/>
          <w:sz w:val="24"/>
          <w:szCs w:val="24"/>
          <w:lang w:val="en-SG"/>
        </w:rPr>
        <w:t xml:space="preserve">constructs items, this indicates that these items are all reliable. </w:t>
      </w:r>
      <w:r w:rsidR="00D34FF3" w:rsidRPr="00D34FF3">
        <w:rPr>
          <w:rFonts w:ascii="Times New Roman" w:eastAsiaTheme="minorHAnsi" w:hAnsi="Times New Roman"/>
          <w:sz w:val="24"/>
          <w:szCs w:val="24"/>
          <w:lang w:val="en-SG"/>
        </w:rPr>
        <w:t xml:space="preserve">This research found a valid and reliable instrument to measure </w:t>
      </w:r>
      <w:r w:rsidR="007E69CB" w:rsidRPr="00D34FF3">
        <w:rPr>
          <w:rFonts w:ascii="Times New Roman" w:eastAsiaTheme="minorHAnsi" w:hAnsi="Times New Roman"/>
          <w:sz w:val="24"/>
          <w:szCs w:val="24"/>
          <w:lang w:val="en-SG"/>
        </w:rPr>
        <w:t>the</w:t>
      </w:r>
      <w:r w:rsidR="007E69CB">
        <w:rPr>
          <w:rFonts w:ascii="Times New Roman" w:eastAsiaTheme="minorHAnsi" w:hAnsi="Times New Roman"/>
          <w:sz w:val="24"/>
          <w:szCs w:val="24"/>
          <w:lang w:val="en-SG"/>
        </w:rPr>
        <w:t xml:space="preserve"> flexible </w:t>
      </w:r>
      <w:r w:rsidR="007E69CB" w:rsidRPr="00D34FF3">
        <w:rPr>
          <w:rFonts w:ascii="Times New Roman" w:eastAsiaTheme="minorHAnsi" w:hAnsi="Times New Roman" w:cstheme="minorBidi"/>
          <w:sz w:val="24"/>
          <w:szCs w:val="24"/>
          <w:lang w:val="en-SG"/>
        </w:rPr>
        <w:t>supply</w:t>
      </w:r>
      <w:r w:rsidR="00D34FF3" w:rsidRPr="00D34FF3">
        <w:rPr>
          <w:rFonts w:ascii="Times New Roman" w:eastAsiaTheme="minorHAnsi" w:hAnsi="Times New Roman" w:cstheme="minorBidi"/>
          <w:sz w:val="24"/>
          <w:szCs w:val="24"/>
          <w:lang w:val="en-SG"/>
        </w:rPr>
        <w:t xml:space="preserve"> chain management </w:t>
      </w:r>
      <w:r w:rsidR="00D34FF3" w:rsidRPr="00D34FF3">
        <w:rPr>
          <w:rFonts w:ascii="Times New Roman" w:eastAsiaTheme="minorHAnsi" w:hAnsi="Times New Roman"/>
          <w:sz w:val="24"/>
          <w:szCs w:val="24"/>
          <w:lang w:val="en-SG"/>
        </w:rPr>
        <w:t xml:space="preserve">components that could enhance performance in </w:t>
      </w:r>
      <w:r>
        <w:rPr>
          <w:rFonts w:ascii="Times New Roman" w:eastAsiaTheme="minorHAnsi" w:hAnsi="Times New Roman"/>
          <w:sz w:val="24"/>
          <w:szCs w:val="24"/>
          <w:lang w:val="en-SG"/>
        </w:rPr>
        <w:t>the manufacturing o</w:t>
      </w:r>
      <w:r w:rsidR="0092079C">
        <w:rPr>
          <w:rFonts w:ascii="Times New Roman" w:eastAsiaTheme="minorHAnsi" w:hAnsi="Times New Roman"/>
          <w:sz w:val="24"/>
          <w:szCs w:val="24"/>
          <w:lang w:val="en-SG"/>
        </w:rPr>
        <w:t xml:space="preserve">rganizations in Nigeria context. </w:t>
      </w:r>
      <w:r w:rsidR="006E4237" w:rsidRPr="0092079C">
        <w:rPr>
          <w:rFonts w:ascii="Times New Roman" w:hAnsi="Times New Roman"/>
          <w:sz w:val="24"/>
          <w:szCs w:val="24"/>
        </w:rPr>
        <w:t>This study contributes t</w:t>
      </w:r>
      <w:r w:rsidR="005F7FB0" w:rsidRPr="0092079C">
        <w:rPr>
          <w:rFonts w:ascii="Times New Roman" w:hAnsi="Times New Roman"/>
          <w:sz w:val="24"/>
          <w:szCs w:val="24"/>
        </w:rPr>
        <w:t xml:space="preserve">o the field of supply </w:t>
      </w:r>
      <w:r w:rsidR="00295972" w:rsidRPr="0092079C">
        <w:rPr>
          <w:rFonts w:ascii="Times New Roman" w:hAnsi="Times New Roman"/>
          <w:sz w:val="24"/>
          <w:szCs w:val="24"/>
        </w:rPr>
        <w:t>chain by</w:t>
      </w:r>
      <w:r w:rsidR="006E4237" w:rsidRPr="0092079C">
        <w:rPr>
          <w:rFonts w:ascii="Times New Roman" w:hAnsi="Times New Roman"/>
          <w:sz w:val="24"/>
          <w:szCs w:val="24"/>
        </w:rPr>
        <w:t xml:space="preserve"> evaluating and testing items that fit for test</w:t>
      </w:r>
      <w:r w:rsidR="005F7FB0" w:rsidRPr="0092079C">
        <w:rPr>
          <w:rFonts w:ascii="Times New Roman" w:hAnsi="Times New Roman"/>
          <w:sz w:val="24"/>
          <w:szCs w:val="24"/>
        </w:rPr>
        <w:t>ing the construct of flexible supply chain management. T</w:t>
      </w:r>
      <w:r w:rsidR="006E4237" w:rsidRPr="0092079C">
        <w:rPr>
          <w:rFonts w:ascii="Times New Roman" w:hAnsi="Times New Roman"/>
          <w:sz w:val="24"/>
          <w:szCs w:val="24"/>
        </w:rPr>
        <w:t xml:space="preserve">his instrument is a methodological contribution for the </w:t>
      </w:r>
      <w:r w:rsidR="00295972" w:rsidRPr="0092079C">
        <w:rPr>
          <w:rFonts w:ascii="Times New Roman" w:hAnsi="Times New Roman"/>
          <w:sz w:val="24"/>
          <w:szCs w:val="24"/>
        </w:rPr>
        <w:t xml:space="preserve">field. </w:t>
      </w:r>
    </w:p>
    <w:p w14:paraId="3CB541F9" w14:textId="77777777" w:rsidR="006E4237" w:rsidRPr="00D34FF3" w:rsidRDefault="006E4237" w:rsidP="00D34FF3">
      <w:pPr>
        <w:spacing w:after="160" w:line="360" w:lineRule="auto"/>
        <w:jc w:val="both"/>
        <w:rPr>
          <w:rFonts w:ascii="Times New Roman" w:eastAsiaTheme="minorHAnsi" w:hAnsi="Times New Roman"/>
          <w:sz w:val="24"/>
          <w:szCs w:val="24"/>
          <w:lang w:val="en-SG"/>
        </w:rPr>
      </w:pPr>
    </w:p>
    <w:p w14:paraId="10B0CD72" w14:textId="77777777" w:rsidR="00DF609B" w:rsidRDefault="00DF609B" w:rsidP="00D34FF3">
      <w:pPr>
        <w:ind w:firstLine="720"/>
      </w:pPr>
    </w:p>
    <w:p w14:paraId="6DCF8561" w14:textId="77777777" w:rsidR="00512BFD" w:rsidRDefault="00512BFD" w:rsidP="000B6F31"/>
    <w:p w14:paraId="4D3CC995" w14:textId="77777777" w:rsidR="009B45BE" w:rsidRDefault="009B45BE" w:rsidP="00D34FF3">
      <w:pPr>
        <w:ind w:firstLine="720"/>
      </w:pPr>
    </w:p>
    <w:p w14:paraId="300E2FF9" w14:textId="77777777" w:rsidR="009B45BE" w:rsidRPr="009B45BE" w:rsidRDefault="001725DF" w:rsidP="009B45BE">
      <w:pPr>
        <w:autoSpaceDE w:val="0"/>
        <w:autoSpaceDN w:val="0"/>
        <w:adjustRightInd w:val="0"/>
        <w:spacing w:after="0" w:line="360" w:lineRule="auto"/>
        <w:jc w:val="both"/>
        <w:rPr>
          <w:rFonts w:ascii="Times New Roman" w:eastAsiaTheme="minorHAnsi" w:hAnsi="Times New Roman" w:cstheme="minorBidi"/>
          <w:b/>
          <w:bCs/>
          <w:sz w:val="24"/>
          <w:szCs w:val="24"/>
          <w:lang w:val="en-SG"/>
        </w:rPr>
      </w:pPr>
      <w:r w:rsidRPr="009B45BE">
        <w:rPr>
          <w:rFonts w:ascii="Times New Roman" w:eastAsiaTheme="minorHAnsi" w:hAnsi="Times New Roman" w:cstheme="minorBidi"/>
          <w:b/>
          <w:bCs/>
          <w:sz w:val="24"/>
          <w:szCs w:val="24"/>
          <w:lang w:val="en-SG"/>
        </w:rPr>
        <w:t>REFERENCES</w:t>
      </w:r>
    </w:p>
    <w:p w14:paraId="2B532AF1" w14:textId="77777777" w:rsidR="009B45BE" w:rsidRPr="009B45BE" w:rsidRDefault="009B45BE" w:rsidP="009B45BE">
      <w:pPr>
        <w:spacing w:after="0" w:line="360" w:lineRule="auto"/>
        <w:jc w:val="both"/>
        <w:rPr>
          <w:rFonts w:ascii="Times New Roman" w:eastAsia="Times New Roman" w:hAnsi="Times New Roman" w:cstheme="minorBidi"/>
          <w:sz w:val="24"/>
          <w:szCs w:val="24"/>
          <w:lang w:val="en-SG"/>
        </w:rPr>
      </w:pPr>
    </w:p>
    <w:p w14:paraId="37EEC0ED" w14:textId="77777777" w:rsidR="008A4995" w:rsidRDefault="008A4995" w:rsidP="008A4995">
      <w:pPr>
        <w:pStyle w:val="References"/>
        <w:spacing w:after="240"/>
        <w:ind w:left="567" w:hanging="567"/>
        <w:rPr>
          <w:lang w:val="en-ID"/>
        </w:rPr>
      </w:pPr>
      <w:r w:rsidRPr="00D34926">
        <w:rPr>
          <w:lang w:val="en-ID"/>
        </w:rPr>
        <w:lastRenderedPageBreak/>
        <w:t xml:space="preserve">Awang, Z., </w:t>
      </w:r>
      <w:proofErr w:type="spellStart"/>
      <w:r w:rsidRPr="00D34926">
        <w:rPr>
          <w:lang w:val="en-ID"/>
        </w:rPr>
        <w:t>Afthanorhan</w:t>
      </w:r>
      <w:proofErr w:type="spellEnd"/>
      <w:r w:rsidRPr="00D34926">
        <w:rPr>
          <w:lang w:val="en-ID"/>
        </w:rPr>
        <w:t xml:space="preserve">, A., &amp; Mamat, M. (2016). The Likert scale analysis using parametric based Structural Equation </w:t>
      </w:r>
      <w:proofErr w:type="spellStart"/>
      <w:r w:rsidRPr="00D34926">
        <w:rPr>
          <w:lang w:val="en-ID"/>
        </w:rPr>
        <w:t>Modeling</w:t>
      </w:r>
      <w:proofErr w:type="spellEnd"/>
      <w:r w:rsidRPr="00D34926">
        <w:rPr>
          <w:lang w:val="en-ID"/>
        </w:rPr>
        <w:t xml:space="preserve"> (SEM). Computational Methods in Social Sciences, 4(1), 13. </w:t>
      </w:r>
    </w:p>
    <w:p w14:paraId="5D6C0F53" w14:textId="77777777" w:rsidR="008A4995" w:rsidRDefault="008A4995" w:rsidP="008A4995">
      <w:pPr>
        <w:pStyle w:val="References"/>
        <w:spacing w:after="240"/>
        <w:ind w:left="567" w:hanging="567"/>
        <w:rPr>
          <w:lang w:val="en-ID"/>
        </w:rPr>
      </w:pPr>
      <w:r w:rsidRPr="00581670">
        <w:rPr>
          <w:lang w:val="en-ID"/>
        </w:rPr>
        <w:t xml:space="preserve">Awang, Z. (2010). </w:t>
      </w:r>
      <w:r w:rsidRPr="00986CDF">
        <w:rPr>
          <w:i/>
          <w:iCs/>
          <w:lang w:val="en-ID"/>
        </w:rPr>
        <w:t>Research Methodology for Business and Social Sciences</w:t>
      </w:r>
      <w:r w:rsidRPr="00581670">
        <w:rPr>
          <w:lang w:val="en-ID"/>
        </w:rPr>
        <w:t>. Universiti</w:t>
      </w:r>
      <w:r>
        <w:rPr>
          <w:lang w:val="en-ID"/>
        </w:rPr>
        <w:t xml:space="preserve"> </w:t>
      </w:r>
      <w:proofErr w:type="spellStart"/>
      <w:r w:rsidRPr="00581670">
        <w:rPr>
          <w:lang w:val="en-ID"/>
        </w:rPr>
        <w:t>Teknologi</w:t>
      </w:r>
      <w:proofErr w:type="spellEnd"/>
      <w:r w:rsidRPr="00581670">
        <w:rPr>
          <w:lang w:val="en-ID"/>
        </w:rPr>
        <w:t xml:space="preserve"> MARA. Malaysia </w:t>
      </w:r>
    </w:p>
    <w:p w14:paraId="1594CB15" w14:textId="77777777" w:rsidR="008A4995" w:rsidRDefault="008A4995" w:rsidP="008A4995">
      <w:pPr>
        <w:pStyle w:val="References"/>
        <w:spacing w:after="240"/>
        <w:ind w:left="567" w:hanging="567"/>
        <w:rPr>
          <w:lang w:val="en-ID"/>
        </w:rPr>
      </w:pPr>
      <w:r w:rsidRPr="00581670">
        <w:rPr>
          <w:lang w:val="en-ID"/>
        </w:rPr>
        <w:t xml:space="preserve">Awang, Z. (2012). </w:t>
      </w:r>
      <w:r w:rsidRPr="00986CDF">
        <w:rPr>
          <w:i/>
          <w:iCs/>
          <w:lang w:val="en-ID"/>
        </w:rPr>
        <w:t>Research methodology and data analysis</w:t>
      </w:r>
      <w:r w:rsidRPr="00581670">
        <w:rPr>
          <w:lang w:val="en-ID"/>
        </w:rPr>
        <w:t xml:space="preserve">: </w:t>
      </w:r>
      <w:proofErr w:type="spellStart"/>
      <w:r w:rsidRPr="00581670">
        <w:rPr>
          <w:lang w:val="en-ID"/>
        </w:rPr>
        <w:t>Penerbit</w:t>
      </w:r>
      <w:proofErr w:type="spellEnd"/>
      <w:r w:rsidRPr="00581670">
        <w:rPr>
          <w:lang w:val="en-ID"/>
        </w:rPr>
        <w:t xml:space="preserve"> Universiti </w:t>
      </w:r>
      <w:proofErr w:type="spellStart"/>
      <w:r w:rsidRPr="00581670">
        <w:rPr>
          <w:lang w:val="en-ID"/>
        </w:rPr>
        <w:t>Teknologi</w:t>
      </w:r>
      <w:proofErr w:type="spellEnd"/>
      <w:r>
        <w:rPr>
          <w:lang w:val="en-ID"/>
        </w:rPr>
        <w:t xml:space="preserve">, </w:t>
      </w:r>
      <w:r w:rsidRPr="00581670">
        <w:rPr>
          <w:lang w:val="en-ID"/>
        </w:rPr>
        <w:t>MARA Press.</w:t>
      </w:r>
    </w:p>
    <w:p w14:paraId="28876167" w14:textId="77777777" w:rsidR="008A4995" w:rsidRPr="008A4995" w:rsidRDefault="008A4995" w:rsidP="008A4995">
      <w:pPr>
        <w:pStyle w:val="References"/>
        <w:spacing w:after="240"/>
        <w:ind w:left="567" w:hanging="567"/>
        <w:rPr>
          <w:lang w:val="en-ID"/>
        </w:rPr>
      </w:pPr>
      <w:proofErr w:type="spellStart"/>
      <w:r w:rsidRPr="008A4995">
        <w:rPr>
          <w:lang w:val="en-ID"/>
        </w:rPr>
        <w:t>Bahkia</w:t>
      </w:r>
      <w:proofErr w:type="spellEnd"/>
      <w:r w:rsidRPr="008A4995">
        <w:rPr>
          <w:lang w:val="en-ID"/>
        </w:rPr>
        <w:t xml:space="preserve">, A. S., Awang, Z., </w:t>
      </w:r>
      <w:proofErr w:type="spellStart"/>
      <w:r w:rsidRPr="008A4995">
        <w:rPr>
          <w:lang w:val="en-ID"/>
        </w:rPr>
        <w:t>Afthanorhan</w:t>
      </w:r>
      <w:proofErr w:type="spellEnd"/>
      <w:r w:rsidRPr="008A4995">
        <w:rPr>
          <w:lang w:val="en-ID"/>
        </w:rPr>
        <w:t>, A., Ghazali, P. L., &amp; Foziah, H. (2019). Exploratory factor analysis on occupational stress in the context of Malaysian sewerage operations. Paper presented at the AIP Conference Proceedings.</w:t>
      </w:r>
    </w:p>
    <w:p w14:paraId="7B113D64" w14:textId="6CB0649D" w:rsidR="008A4995" w:rsidRDefault="008A4995" w:rsidP="008A4995">
      <w:pPr>
        <w:pStyle w:val="References"/>
        <w:spacing w:after="240"/>
        <w:ind w:left="567" w:hanging="567"/>
        <w:rPr>
          <w:lang w:val="en-ID"/>
        </w:rPr>
      </w:pPr>
      <w:proofErr w:type="spellStart"/>
      <w:r w:rsidRPr="008A4995">
        <w:rPr>
          <w:lang w:val="en-ID"/>
        </w:rPr>
        <w:t>Bahkia</w:t>
      </w:r>
      <w:proofErr w:type="spellEnd"/>
      <w:r w:rsidRPr="008A4995">
        <w:rPr>
          <w:lang w:val="en-ID"/>
        </w:rPr>
        <w:t xml:space="preserve">, A. S., Awang, Z., Rahlin, N. A., Zulkifli, A. R. (2020). The Importance of Supportive Leadership in the Sewerage Operation Industry: A case of </w:t>
      </w:r>
      <w:proofErr w:type="spellStart"/>
      <w:r w:rsidRPr="008A4995">
        <w:rPr>
          <w:lang w:val="en-ID"/>
        </w:rPr>
        <w:t>Indahwater</w:t>
      </w:r>
      <w:proofErr w:type="spellEnd"/>
      <w:r w:rsidRPr="008A4995">
        <w:rPr>
          <w:lang w:val="en-ID"/>
        </w:rPr>
        <w:t xml:space="preserve"> </w:t>
      </w:r>
      <w:proofErr w:type="spellStart"/>
      <w:r w:rsidRPr="008A4995">
        <w:rPr>
          <w:lang w:val="en-ID"/>
        </w:rPr>
        <w:t>Konsortium</w:t>
      </w:r>
      <w:proofErr w:type="spellEnd"/>
      <w:r w:rsidRPr="008A4995">
        <w:rPr>
          <w:lang w:val="en-ID"/>
        </w:rPr>
        <w:t xml:space="preserve"> Private IWK). Humanities &amp; Social Science Reviews, 8(3), 2020, 149-162. https://doi.org/10.18510/hssr.2020.8317.</w:t>
      </w:r>
    </w:p>
    <w:p w14:paraId="25A90CAB" w14:textId="52B6FF78" w:rsidR="008A4995" w:rsidRDefault="008A4995" w:rsidP="008A4995">
      <w:pPr>
        <w:pStyle w:val="References"/>
        <w:spacing w:after="240"/>
        <w:ind w:left="567" w:hanging="567"/>
        <w:rPr>
          <w:lang w:val="en-ID"/>
        </w:rPr>
      </w:pPr>
      <w:proofErr w:type="spellStart"/>
      <w:r w:rsidRPr="008A4995">
        <w:rPr>
          <w:lang w:val="en-ID"/>
        </w:rPr>
        <w:t>Chunsheng</w:t>
      </w:r>
      <w:proofErr w:type="spellEnd"/>
      <w:r w:rsidRPr="008A4995">
        <w:rPr>
          <w:lang w:val="en-ID"/>
        </w:rPr>
        <w:t xml:space="preserve">, L., Wong, C. W., Yang, C. C., Shang, K. C., &amp; </w:t>
      </w:r>
      <w:proofErr w:type="spellStart"/>
      <w:r w:rsidRPr="008A4995">
        <w:rPr>
          <w:lang w:val="en-ID"/>
        </w:rPr>
        <w:t>Lirn</w:t>
      </w:r>
      <w:proofErr w:type="spellEnd"/>
      <w:r w:rsidRPr="008A4995">
        <w:rPr>
          <w:lang w:val="en-ID"/>
        </w:rPr>
        <w:t>, T. C. (2020). Value of supply chain resilience: roles of culture, flexibility, and integration. International Journal of Physical Distribution &amp; Logistics Management, 50(1), 80-100. https://doi.org/10.1108/IJPDLM-02-2019-0041</w:t>
      </w:r>
    </w:p>
    <w:p w14:paraId="0A5C39C0" w14:textId="7432153A" w:rsidR="008A4995" w:rsidRDefault="008A4995" w:rsidP="008A4995">
      <w:pPr>
        <w:pStyle w:val="References"/>
        <w:spacing w:after="240"/>
        <w:ind w:left="567" w:hanging="567"/>
        <w:rPr>
          <w:lang w:val="en-ID"/>
        </w:rPr>
      </w:pPr>
      <w:r w:rsidRPr="008A4995">
        <w:rPr>
          <w:lang w:val="en-ID"/>
        </w:rPr>
        <w:t xml:space="preserve">Darko, S., </w:t>
      </w:r>
      <w:proofErr w:type="spellStart"/>
      <w:r w:rsidRPr="008A4995">
        <w:rPr>
          <w:lang w:val="en-ID"/>
        </w:rPr>
        <w:t>Terkper</w:t>
      </w:r>
      <w:proofErr w:type="spellEnd"/>
      <w:r w:rsidRPr="008A4995">
        <w:rPr>
          <w:lang w:val="en-ID"/>
        </w:rPr>
        <w:t xml:space="preserve">, V. D., </w:t>
      </w:r>
      <w:proofErr w:type="spellStart"/>
      <w:r w:rsidRPr="008A4995">
        <w:rPr>
          <w:lang w:val="en-ID"/>
        </w:rPr>
        <w:t>Novixoxo</w:t>
      </w:r>
      <w:proofErr w:type="spellEnd"/>
      <w:r w:rsidRPr="008A4995">
        <w:rPr>
          <w:lang w:val="en-ID"/>
        </w:rPr>
        <w:t>, J. D., &amp; Anning, L. (2018). Assessing the effect of lead time management on customer satisfaction. International Journal of Developing and Emerging Economies, 6(1), 1-22.</w:t>
      </w:r>
    </w:p>
    <w:p w14:paraId="78C80ACD" w14:textId="77777777" w:rsidR="008A4995" w:rsidRDefault="008A4995" w:rsidP="008A4995">
      <w:pPr>
        <w:spacing w:before="120" w:after="120" w:line="240" w:lineRule="auto"/>
        <w:ind w:left="720" w:right="144" w:hanging="720"/>
        <w:rPr>
          <w:rFonts w:ascii="Times New Roman" w:eastAsiaTheme="minorHAnsi" w:hAnsi="Times New Roman"/>
          <w:sz w:val="24"/>
          <w:szCs w:val="24"/>
          <w:lang w:val="en-MY"/>
        </w:rPr>
      </w:pPr>
      <w:r w:rsidRPr="000B6F31">
        <w:rPr>
          <w:rFonts w:ascii="Times New Roman" w:eastAsiaTheme="minorHAnsi" w:hAnsi="Times New Roman"/>
          <w:sz w:val="24"/>
          <w:szCs w:val="24"/>
          <w:lang w:val="en-MY"/>
        </w:rPr>
        <w:t>Enrique, D. V., Lerman, L. V., de Sousa, P. R., Benitez, G. B., Santos, F. M. B. C., &amp; Frank, A. G. (2022). Being digital and flexible to navigate the storm: How digital transformation enhances supply chain flexibility in turbulent environments. </w:t>
      </w:r>
      <w:r w:rsidRPr="000B6F31">
        <w:rPr>
          <w:rFonts w:ascii="Times New Roman" w:eastAsiaTheme="minorHAnsi" w:hAnsi="Times New Roman"/>
          <w:i/>
          <w:iCs/>
          <w:sz w:val="24"/>
          <w:szCs w:val="24"/>
          <w:lang w:val="en-MY"/>
        </w:rPr>
        <w:t>International Journal of Production Economics</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250</w:t>
      </w:r>
      <w:r w:rsidRPr="000B6F31">
        <w:rPr>
          <w:rFonts w:ascii="Times New Roman" w:eastAsiaTheme="minorHAnsi" w:hAnsi="Times New Roman"/>
          <w:sz w:val="24"/>
          <w:szCs w:val="24"/>
          <w:lang w:val="en-MY"/>
        </w:rPr>
        <w:t xml:space="preserve">, 108668. </w:t>
      </w:r>
      <w:hyperlink r:id="rId8" w:history="1">
        <w:r w:rsidRPr="000B6F31">
          <w:rPr>
            <w:rFonts w:ascii="Times New Roman" w:eastAsiaTheme="minorHAnsi" w:hAnsi="Times New Roman"/>
            <w:color w:val="0563C1" w:themeColor="hyperlink"/>
            <w:sz w:val="24"/>
            <w:szCs w:val="24"/>
            <w:u w:val="single"/>
            <w:lang w:val="en-MY"/>
          </w:rPr>
          <w:t>https://doi.org/10.1016/j.ijpe.2022.108668</w:t>
        </w:r>
      </w:hyperlink>
      <w:r w:rsidRPr="000B6F31">
        <w:rPr>
          <w:rFonts w:ascii="Times New Roman" w:eastAsiaTheme="minorHAnsi" w:hAnsi="Times New Roman"/>
          <w:sz w:val="24"/>
          <w:szCs w:val="24"/>
          <w:lang w:val="en-MY"/>
        </w:rPr>
        <w:t xml:space="preserve"> </w:t>
      </w:r>
    </w:p>
    <w:p w14:paraId="31E2378B" w14:textId="0B711C2E" w:rsidR="001249E2" w:rsidRDefault="001249E2" w:rsidP="008A4995">
      <w:pPr>
        <w:spacing w:before="120" w:after="120" w:line="240" w:lineRule="auto"/>
        <w:ind w:left="720" w:right="144" w:hanging="720"/>
        <w:rPr>
          <w:rFonts w:ascii="Times New Roman" w:eastAsiaTheme="minorHAnsi" w:hAnsi="Times New Roman"/>
          <w:sz w:val="24"/>
          <w:szCs w:val="24"/>
          <w:lang w:val="en-MY"/>
        </w:rPr>
      </w:pPr>
      <w:r w:rsidRPr="001249E2">
        <w:rPr>
          <w:rFonts w:ascii="Times New Roman" w:eastAsiaTheme="minorHAnsi" w:hAnsi="Times New Roman"/>
          <w:sz w:val="24"/>
          <w:szCs w:val="24"/>
          <w:lang w:val="en-MY"/>
        </w:rPr>
        <w:t xml:space="preserve">Fitriana, N., </w:t>
      </w:r>
      <w:proofErr w:type="spellStart"/>
      <w:r w:rsidRPr="001249E2">
        <w:rPr>
          <w:rFonts w:ascii="Times New Roman" w:eastAsiaTheme="minorHAnsi" w:hAnsi="Times New Roman"/>
          <w:sz w:val="24"/>
          <w:szCs w:val="24"/>
          <w:lang w:val="en-MY"/>
        </w:rPr>
        <w:t>Hutagalung</w:t>
      </w:r>
      <w:proofErr w:type="spellEnd"/>
      <w:r w:rsidRPr="001249E2">
        <w:rPr>
          <w:rFonts w:ascii="Times New Roman" w:eastAsiaTheme="minorHAnsi" w:hAnsi="Times New Roman"/>
          <w:sz w:val="24"/>
          <w:szCs w:val="24"/>
          <w:lang w:val="en-MY"/>
        </w:rPr>
        <w:t xml:space="preserve"> FD., Awang Z., Zaid, SM. (2022). Happiness at work: A cross-cultural validation of happiness at work scale. </w:t>
      </w:r>
      <w:proofErr w:type="spellStart"/>
      <w:r w:rsidRPr="001249E2">
        <w:rPr>
          <w:rFonts w:ascii="Times New Roman" w:eastAsiaTheme="minorHAnsi" w:hAnsi="Times New Roman"/>
          <w:sz w:val="24"/>
          <w:szCs w:val="24"/>
          <w:lang w:val="en-MY"/>
        </w:rPr>
        <w:t>PLoS</w:t>
      </w:r>
      <w:proofErr w:type="spellEnd"/>
      <w:r w:rsidRPr="001249E2">
        <w:rPr>
          <w:rFonts w:ascii="Times New Roman" w:eastAsiaTheme="minorHAnsi" w:hAnsi="Times New Roman"/>
          <w:sz w:val="24"/>
          <w:szCs w:val="24"/>
          <w:lang w:val="en-MY"/>
        </w:rPr>
        <w:t xml:space="preserve"> ONE 17(1): e0261617. https://doi.org/10.1371/journal. pone.026161.</w:t>
      </w:r>
    </w:p>
    <w:p w14:paraId="78068D53" w14:textId="77777777" w:rsidR="008A4995" w:rsidRPr="00581670" w:rsidRDefault="008A4995" w:rsidP="008A4995">
      <w:pPr>
        <w:pStyle w:val="References"/>
        <w:spacing w:after="240"/>
        <w:ind w:left="567" w:hanging="567"/>
        <w:rPr>
          <w:lang w:val="en-ID"/>
        </w:rPr>
      </w:pPr>
      <w:r w:rsidRPr="00581670">
        <w:rPr>
          <w:lang w:val="en-ID"/>
        </w:rPr>
        <w:t xml:space="preserve">Hoque, A.S.M.M, Awang, Z., </w:t>
      </w:r>
      <w:proofErr w:type="spellStart"/>
      <w:r w:rsidRPr="00581670">
        <w:rPr>
          <w:lang w:val="en-ID"/>
        </w:rPr>
        <w:t>Jusoff</w:t>
      </w:r>
      <w:proofErr w:type="spellEnd"/>
      <w:r w:rsidRPr="00581670">
        <w:rPr>
          <w:lang w:val="en-ID"/>
        </w:rPr>
        <w:t xml:space="preserve">, K., Salleh, F., and Muda, H (2017). Social Business Efficiency: Instrument Development and Validation Procedure using Structural Equation Modelling. </w:t>
      </w:r>
      <w:r w:rsidRPr="00A102D8">
        <w:rPr>
          <w:i/>
          <w:iCs/>
          <w:lang w:val="en-ID"/>
        </w:rPr>
        <w:t>International Business Management</w:t>
      </w:r>
      <w:r w:rsidRPr="00581670">
        <w:rPr>
          <w:lang w:val="en-ID"/>
        </w:rPr>
        <w:t xml:space="preserve">, 11(1), 222-231. </w:t>
      </w:r>
    </w:p>
    <w:p w14:paraId="2E68A16A" w14:textId="77777777" w:rsidR="008A4995" w:rsidRDefault="008A4995" w:rsidP="008A4995">
      <w:pPr>
        <w:pStyle w:val="References"/>
        <w:spacing w:after="240"/>
        <w:ind w:left="567" w:hanging="567"/>
        <w:rPr>
          <w:lang w:val="en-ID"/>
        </w:rPr>
      </w:pPr>
      <w:r w:rsidRPr="00581670">
        <w:rPr>
          <w:lang w:val="en-ID"/>
        </w:rPr>
        <w:t xml:space="preserve">Hoque, A. S. M. M., Siddiqui, B. A., Awang, Z. B., &amp; Baharu, S. M. A. T. (2018). </w:t>
      </w:r>
      <w:proofErr w:type="spellStart"/>
      <w:r w:rsidRPr="00581670">
        <w:rPr>
          <w:lang w:val="en-ID"/>
        </w:rPr>
        <w:t>Explortory</w:t>
      </w:r>
      <w:proofErr w:type="spellEnd"/>
      <w:r w:rsidRPr="00581670">
        <w:rPr>
          <w:lang w:val="en-ID"/>
        </w:rPr>
        <w:t xml:space="preserve"> Factor Analysis of Entrepreneurial Orientation in the Context of Bangladesh Small and Medium Entreprises (SMES). </w:t>
      </w:r>
      <w:r w:rsidRPr="00A102D8">
        <w:rPr>
          <w:i/>
          <w:iCs/>
          <w:lang w:val="en-ID"/>
        </w:rPr>
        <w:t>European Journal of Management and Marketing Studies</w:t>
      </w:r>
      <w:r w:rsidRPr="00581670">
        <w:rPr>
          <w:lang w:val="en-ID"/>
        </w:rPr>
        <w:t>.</w:t>
      </w:r>
    </w:p>
    <w:p w14:paraId="325A67A7" w14:textId="7AD6D2B3" w:rsidR="008A4995" w:rsidRPr="00581670" w:rsidRDefault="008A4995" w:rsidP="008A4995">
      <w:pPr>
        <w:pStyle w:val="References"/>
        <w:spacing w:after="240"/>
        <w:ind w:left="567" w:hanging="567"/>
        <w:rPr>
          <w:lang w:val="en-ID"/>
        </w:rPr>
      </w:pPr>
      <w:r w:rsidRPr="008A4995">
        <w:rPr>
          <w:lang w:val="en-ID"/>
        </w:rPr>
        <w:t>Huo, B., Gu, M., &amp; Wang, Z. (2018). Supply chain flexibility concepts, dimensions and outcomes: an organisational capability perspective. International Journal of Production Research, 56(17), 5883-5903. https://doi.org/10.1080/00207543.2018.1456694</w:t>
      </w:r>
    </w:p>
    <w:p w14:paraId="1FBE627F" w14:textId="528C44FE" w:rsidR="008A4995" w:rsidRDefault="008A4995" w:rsidP="008A4995">
      <w:pPr>
        <w:spacing w:before="120" w:after="120" w:line="240" w:lineRule="auto"/>
        <w:ind w:left="720" w:right="144" w:hanging="720"/>
        <w:rPr>
          <w:rFonts w:ascii="Times New Roman" w:eastAsiaTheme="minorHAnsi" w:hAnsi="Times New Roman"/>
          <w:sz w:val="24"/>
          <w:szCs w:val="24"/>
          <w:lang w:val="en-MY"/>
        </w:rPr>
      </w:pPr>
      <w:r w:rsidRPr="008A4995">
        <w:rPr>
          <w:rFonts w:ascii="Times New Roman" w:eastAsiaTheme="minorHAnsi" w:hAnsi="Times New Roman"/>
          <w:sz w:val="24"/>
          <w:szCs w:val="24"/>
          <w:lang w:val="en-MY"/>
        </w:rPr>
        <w:t xml:space="preserve">Kimwaki, B. M. (2024). Supply Chain Performance in the Manufacturing Sector: The Role of Lead-Time Management Strategies. Journal Integration of Social Studies and </w:t>
      </w:r>
      <w:r w:rsidRPr="008A4995">
        <w:rPr>
          <w:rFonts w:ascii="Times New Roman" w:eastAsiaTheme="minorHAnsi" w:hAnsi="Times New Roman"/>
          <w:sz w:val="24"/>
          <w:szCs w:val="24"/>
          <w:lang w:val="en-MY"/>
        </w:rPr>
        <w:lastRenderedPageBreak/>
        <w:t xml:space="preserve">Business Development, 2(1), 1-12. </w:t>
      </w:r>
      <w:hyperlink r:id="rId9" w:history="1">
        <w:r w:rsidRPr="00763E37">
          <w:rPr>
            <w:rStyle w:val="Hyperlink"/>
            <w:rFonts w:ascii="Times New Roman" w:eastAsiaTheme="minorHAnsi" w:hAnsi="Times New Roman"/>
            <w:sz w:val="24"/>
            <w:szCs w:val="24"/>
            <w:lang w:val="en-MY"/>
          </w:rPr>
          <w:t>https://jurnal.integrasisainsmedia.co.id/index.php/JISSBD/article/download/142/139</w:t>
        </w:r>
      </w:hyperlink>
    </w:p>
    <w:p w14:paraId="3E8FE2B1" w14:textId="77777777" w:rsidR="001249E2" w:rsidRPr="000B6F31" w:rsidRDefault="001249E2" w:rsidP="001249E2">
      <w:pPr>
        <w:spacing w:after="160" w:line="360" w:lineRule="auto"/>
        <w:jc w:val="both"/>
        <w:rPr>
          <w:rFonts w:ascii="Times New Roman" w:eastAsia="Times New Roman" w:hAnsi="Times New Roman"/>
          <w:sz w:val="24"/>
          <w:szCs w:val="24"/>
          <w:lang w:val="en-SG"/>
        </w:rPr>
      </w:pPr>
      <w:proofErr w:type="spellStart"/>
      <w:r w:rsidRPr="000B6F31">
        <w:rPr>
          <w:rFonts w:ascii="Times New Roman" w:eastAsiaTheme="minorHAnsi" w:hAnsi="Times New Roman"/>
          <w:sz w:val="24"/>
          <w:szCs w:val="24"/>
          <w:lang w:val="en-SG"/>
        </w:rPr>
        <w:t>Laosirihongthong</w:t>
      </w:r>
      <w:proofErr w:type="spellEnd"/>
      <w:r w:rsidRPr="000B6F31">
        <w:rPr>
          <w:rFonts w:ascii="Times New Roman" w:eastAsiaTheme="minorHAnsi" w:hAnsi="Times New Roman"/>
          <w:sz w:val="24"/>
          <w:szCs w:val="24"/>
          <w:lang w:val="en-SG"/>
        </w:rPr>
        <w:t xml:space="preserve"> and </w:t>
      </w:r>
      <w:proofErr w:type="spellStart"/>
      <w:r w:rsidRPr="000B6F31">
        <w:rPr>
          <w:rFonts w:ascii="Times New Roman" w:eastAsiaTheme="minorHAnsi" w:hAnsi="Times New Roman"/>
          <w:sz w:val="24"/>
          <w:szCs w:val="24"/>
          <w:lang w:val="en-SG"/>
        </w:rPr>
        <w:t>Dangayach</w:t>
      </w:r>
      <w:proofErr w:type="spellEnd"/>
      <w:r w:rsidRPr="000B6F31">
        <w:rPr>
          <w:rFonts w:ascii="Times New Roman" w:eastAsiaTheme="minorHAnsi" w:hAnsi="Times New Roman"/>
          <w:sz w:val="24"/>
          <w:szCs w:val="24"/>
          <w:lang w:val="en-SG"/>
        </w:rPr>
        <w:t xml:space="preserve">, (2005) </w:t>
      </w:r>
      <w:proofErr w:type="gramStart"/>
      <w:r w:rsidRPr="000B6F31">
        <w:rPr>
          <w:rFonts w:ascii="Times New Roman" w:eastAsia="Times New Roman" w:hAnsi="Times New Roman"/>
          <w:sz w:val="24"/>
          <w:szCs w:val="24"/>
          <w:lang w:val="en-SG"/>
        </w:rPr>
        <w:t>A  Comparative</w:t>
      </w:r>
      <w:proofErr w:type="gramEnd"/>
      <w:r w:rsidRPr="000B6F31">
        <w:rPr>
          <w:rFonts w:ascii="Times New Roman" w:eastAsia="Times New Roman" w:hAnsi="Times New Roman"/>
          <w:sz w:val="24"/>
          <w:szCs w:val="24"/>
          <w:lang w:val="en-SG"/>
        </w:rPr>
        <w:t xml:space="preserve">  </w:t>
      </w:r>
      <w:proofErr w:type="gramStart"/>
      <w:r w:rsidRPr="000B6F31">
        <w:rPr>
          <w:rFonts w:ascii="Times New Roman" w:eastAsia="Times New Roman" w:hAnsi="Times New Roman"/>
          <w:sz w:val="24"/>
          <w:szCs w:val="24"/>
          <w:lang w:val="en-SG"/>
        </w:rPr>
        <w:t>Study  of</w:t>
      </w:r>
      <w:proofErr w:type="gramEnd"/>
      <w:r w:rsidRPr="000B6F31">
        <w:rPr>
          <w:rFonts w:ascii="Times New Roman" w:eastAsia="Times New Roman" w:hAnsi="Times New Roman"/>
          <w:sz w:val="24"/>
          <w:szCs w:val="24"/>
          <w:lang w:val="en-SG"/>
        </w:rPr>
        <w:t xml:space="preserve"> Implementation of </w:t>
      </w:r>
    </w:p>
    <w:p w14:paraId="30F8678F" w14:textId="77777777" w:rsidR="001249E2" w:rsidRDefault="001249E2" w:rsidP="001249E2">
      <w:pPr>
        <w:spacing w:after="160" w:line="360" w:lineRule="auto"/>
        <w:ind w:left="720"/>
        <w:jc w:val="both"/>
        <w:rPr>
          <w:rFonts w:ascii="Times New Roman" w:eastAsia="Times New Roman" w:hAnsi="Times New Roman"/>
          <w:sz w:val="24"/>
          <w:szCs w:val="24"/>
          <w:lang w:val="en-SG"/>
        </w:rPr>
      </w:pPr>
      <w:r w:rsidRPr="000B6F31">
        <w:rPr>
          <w:rFonts w:ascii="Times New Roman" w:eastAsia="Times New Roman" w:hAnsi="Times New Roman"/>
          <w:sz w:val="24"/>
          <w:szCs w:val="24"/>
          <w:lang w:val="en-SG"/>
        </w:rPr>
        <w:t xml:space="preserve">Manufacturing </w:t>
      </w:r>
      <w:proofErr w:type="gramStart"/>
      <w:r w:rsidRPr="000B6F31">
        <w:rPr>
          <w:rFonts w:ascii="Times New Roman" w:eastAsia="Times New Roman" w:hAnsi="Times New Roman"/>
          <w:sz w:val="24"/>
          <w:szCs w:val="24"/>
          <w:lang w:val="en-SG"/>
        </w:rPr>
        <w:t>Strategies  in</w:t>
      </w:r>
      <w:proofErr w:type="gramEnd"/>
      <w:r w:rsidRPr="000B6F31">
        <w:rPr>
          <w:rFonts w:ascii="Times New Roman" w:eastAsia="Times New Roman" w:hAnsi="Times New Roman"/>
          <w:sz w:val="24"/>
          <w:szCs w:val="24"/>
          <w:lang w:val="en-SG"/>
        </w:rPr>
        <w:t xml:space="preserve"> Thai and Indian </w:t>
      </w:r>
      <w:proofErr w:type="gramStart"/>
      <w:r w:rsidRPr="000B6F31">
        <w:rPr>
          <w:rFonts w:ascii="Times New Roman" w:eastAsia="Times New Roman" w:hAnsi="Times New Roman"/>
          <w:sz w:val="24"/>
          <w:szCs w:val="24"/>
          <w:lang w:val="en-SG"/>
        </w:rPr>
        <w:t>Automotive  Manufacturing</w:t>
      </w:r>
      <w:proofErr w:type="gramEnd"/>
      <w:r w:rsidRPr="000B6F31">
        <w:rPr>
          <w:rFonts w:ascii="Times New Roman" w:eastAsia="Times New Roman" w:hAnsi="Times New Roman"/>
          <w:sz w:val="24"/>
          <w:szCs w:val="24"/>
          <w:lang w:val="en-SG"/>
        </w:rPr>
        <w:t xml:space="preserve">  </w:t>
      </w:r>
      <w:proofErr w:type="gramStart"/>
      <w:r w:rsidRPr="000B6F31">
        <w:rPr>
          <w:rFonts w:ascii="Times New Roman" w:eastAsia="Times New Roman" w:hAnsi="Times New Roman"/>
          <w:sz w:val="24"/>
          <w:szCs w:val="24"/>
          <w:lang w:val="en-SG"/>
        </w:rPr>
        <w:t>Companies  Journal</w:t>
      </w:r>
      <w:proofErr w:type="gramEnd"/>
      <w:r w:rsidRPr="000B6F31">
        <w:rPr>
          <w:rFonts w:ascii="Times New Roman" w:eastAsia="Times New Roman" w:hAnsi="Times New Roman"/>
          <w:sz w:val="24"/>
          <w:szCs w:val="24"/>
          <w:lang w:val="en-SG"/>
        </w:rPr>
        <w:t xml:space="preserve">  of </w:t>
      </w:r>
      <w:proofErr w:type="gramStart"/>
      <w:r w:rsidRPr="000B6F31">
        <w:rPr>
          <w:rFonts w:ascii="Times New Roman" w:eastAsia="Times New Roman" w:hAnsi="Times New Roman"/>
          <w:sz w:val="24"/>
          <w:szCs w:val="24"/>
          <w:lang w:val="en-SG"/>
        </w:rPr>
        <w:t>Mam(</w:t>
      </w:r>
      <w:proofErr w:type="spellStart"/>
      <w:proofErr w:type="gramEnd"/>
      <w:r w:rsidRPr="000B6F31">
        <w:rPr>
          <w:rFonts w:ascii="Times New Roman" w:eastAsia="Times New Roman" w:hAnsi="Times New Roman"/>
          <w:sz w:val="24"/>
          <w:szCs w:val="24"/>
          <w:lang w:val="en-SG"/>
        </w:rPr>
        <w:t>tdcturing</w:t>
      </w:r>
      <w:proofErr w:type="spellEnd"/>
      <w:r w:rsidRPr="000B6F31">
        <w:rPr>
          <w:rFonts w:ascii="Times New Roman" w:eastAsia="Times New Roman" w:hAnsi="Times New Roman"/>
          <w:sz w:val="24"/>
          <w:szCs w:val="24"/>
          <w:lang w:val="en-SG"/>
        </w:rPr>
        <w:t xml:space="preserve"> Systems Vol.  24/ /No. 2   </w:t>
      </w:r>
    </w:p>
    <w:p w14:paraId="5AB5D650" w14:textId="77777777" w:rsidR="001249E2" w:rsidRDefault="001249E2" w:rsidP="001249E2">
      <w:pPr>
        <w:pStyle w:val="References"/>
        <w:spacing w:after="240"/>
        <w:ind w:left="567" w:hanging="567"/>
        <w:jc w:val="left"/>
        <w:rPr>
          <w:lang w:val="en-ID"/>
        </w:rPr>
      </w:pPr>
      <w:r w:rsidRPr="004C0DBE">
        <w:rPr>
          <w:lang w:val="en-ID"/>
        </w:rPr>
        <w:t xml:space="preserve">Muda, H., Baba, Z. S., Awang, Z., Badrul, N. S., Loganathan, N., &amp; Ali, M. H. (2020). Expert review and pretesting of </w:t>
      </w:r>
      <w:proofErr w:type="spellStart"/>
      <w:r w:rsidRPr="004C0DBE">
        <w:rPr>
          <w:lang w:val="en-ID"/>
        </w:rPr>
        <w:t>behavioral</w:t>
      </w:r>
      <w:proofErr w:type="spellEnd"/>
      <w:r w:rsidRPr="004C0DBE">
        <w:rPr>
          <w:lang w:val="en-ID"/>
        </w:rPr>
        <w:t xml:space="preserve"> supervision in higher education. Journal of Applied Research in Higher Education.</w:t>
      </w:r>
    </w:p>
    <w:p w14:paraId="0CEBA756" w14:textId="77777777" w:rsidR="001249E2" w:rsidRDefault="001249E2" w:rsidP="001249E2">
      <w:pPr>
        <w:pStyle w:val="References"/>
        <w:spacing w:after="240"/>
        <w:ind w:left="567" w:hanging="567"/>
        <w:jc w:val="left"/>
        <w:rPr>
          <w:lang w:val="en-ID"/>
        </w:rPr>
      </w:pPr>
      <w:r w:rsidRPr="004C0DBE">
        <w:rPr>
          <w:lang w:val="en-ID"/>
        </w:rPr>
        <w:t xml:space="preserve">Muda, H., Loganathan, N., Awang, Z., Jusoh, H., &amp; Baba, Z.S. (2018). Application of Theory, Methodology and Analysis in Conducting Research. A Practical Guide to Quantitative Research and Thesis Writing, </w:t>
      </w:r>
      <w:proofErr w:type="spellStart"/>
      <w:r w:rsidRPr="004C0DBE">
        <w:rPr>
          <w:lang w:val="en-ID"/>
        </w:rPr>
        <w:t>UniSZA</w:t>
      </w:r>
      <w:proofErr w:type="spellEnd"/>
      <w:r w:rsidRPr="004C0DBE">
        <w:rPr>
          <w:lang w:val="en-ID"/>
        </w:rPr>
        <w:t xml:space="preserve"> Publisher, ISBN: 978-967-2231-11-0</w:t>
      </w:r>
    </w:p>
    <w:p w14:paraId="5CD5ADFE" w14:textId="037E5B2B" w:rsidR="001249E2" w:rsidRDefault="001249E2" w:rsidP="001249E2">
      <w:pPr>
        <w:pStyle w:val="References"/>
        <w:spacing w:after="240"/>
        <w:ind w:left="567" w:hanging="567"/>
        <w:jc w:val="left"/>
        <w:rPr>
          <w:lang w:val="en-ID"/>
        </w:rPr>
      </w:pPr>
      <w:r w:rsidRPr="001249E2">
        <w:rPr>
          <w:lang w:val="en-ID"/>
        </w:rPr>
        <w:t>Narayanan, S., Narasimhan, R., &amp; Schoenherr, T. (2015). Assessing the contingent effects of collaboration on agility performance in buyer–supplier relationships. Journal of Operations Management, 33, 140-154. https://doi.org/10.1016/j.jom.2014.11.004</w:t>
      </w:r>
    </w:p>
    <w:p w14:paraId="3E515697" w14:textId="77777777" w:rsidR="001249E2" w:rsidRDefault="001249E2" w:rsidP="001249E2">
      <w:pPr>
        <w:pStyle w:val="References"/>
        <w:spacing w:after="240"/>
        <w:ind w:left="567" w:hanging="567"/>
        <w:rPr>
          <w:lang w:val="en-ID"/>
        </w:rPr>
      </w:pPr>
      <w:r w:rsidRPr="00581670">
        <w:rPr>
          <w:lang w:val="en-ID"/>
        </w:rPr>
        <w:t>Noor, N. M., Aziz, A. A., Mostapa, M. R., &amp; Awang, Z. (2015). Validation of the Malay</w:t>
      </w:r>
      <w:r>
        <w:rPr>
          <w:lang w:val="en-ID"/>
        </w:rPr>
        <w:t xml:space="preserve"> </w:t>
      </w:r>
      <w:r w:rsidRPr="00581670">
        <w:rPr>
          <w:lang w:val="en-ID"/>
        </w:rPr>
        <w:t xml:space="preserve">version of the Inventory of Functional Status after Childbirth questionnaire. </w:t>
      </w:r>
      <w:r w:rsidRPr="000C0A0E">
        <w:rPr>
          <w:i/>
          <w:iCs/>
          <w:lang w:val="en-ID"/>
        </w:rPr>
        <w:t>BioMed research international</w:t>
      </w:r>
      <w:r w:rsidRPr="00581670">
        <w:rPr>
          <w:lang w:val="en-ID"/>
        </w:rPr>
        <w:t>, 2015.</w:t>
      </w:r>
    </w:p>
    <w:p w14:paraId="2804A435" w14:textId="77777777" w:rsidR="00E067DE" w:rsidRPr="000B6F31" w:rsidRDefault="00E067DE" w:rsidP="00E067DE">
      <w:pPr>
        <w:spacing w:before="120" w:after="120" w:line="240" w:lineRule="auto"/>
        <w:ind w:left="720" w:right="144" w:hanging="720"/>
        <w:rPr>
          <w:rFonts w:ascii="Times New Roman" w:eastAsiaTheme="minorHAnsi" w:hAnsi="Times New Roman"/>
          <w:sz w:val="24"/>
          <w:szCs w:val="24"/>
          <w:lang w:val="en-MY"/>
        </w:rPr>
      </w:pPr>
      <w:r w:rsidRPr="000B6F31">
        <w:rPr>
          <w:rFonts w:ascii="Times New Roman" w:eastAsiaTheme="minorHAnsi" w:hAnsi="Times New Roman"/>
          <w:sz w:val="24"/>
          <w:szCs w:val="24"/>
          <w:lang w:val="en-MY"/>
        </w:rPr>
        <w:t>Okyere, S., Annan, J., &amp; Anning, K. S. (2015). Evaluating the effect of lead time on quality service delivery in the banking industry in Kumasi Metropolis of Ghana. </w:t>
      </w:r>
      <w:r w:rsidRPr="000B6F31">
        <w:rPr>
          <w:rFonts w:ascii="Times New Roman" w:eastAsiaTheme="minorHAnsi" w:hAnsi="Times New Roman"/>
          <w:i/>
          <w:iCs/>
          <w:sz w:val="24"/>
          <w:szCs w:val="24"/>
          <w:lang w:val="en-MY"/>
        </w:rPr>
        <w:t>Journal of Arts and Humanities</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4</w:t>
      </w:r>
      <w:r w:rsidRPr="000B6F31">
        <w:rPr>
          <w:rFonts w:ascii="Times New Roman" w:eastAsiaTheme="minorHAnsi" w:hAnsi="Times New Roman"/>
          <w:sz w:val="24"/>
          <w:szCs w:val="24"/>
          <w:lang w:val="en-MY"/>
        </w:rPr>
        <w:t xml:space="preserve">(7), 29-44. </w:t>
      </w:r>
      <w:hyperlink r:id="rId10" w:history="1">
        <w:r w:rsidRPr="000B6F31">
          <w:rPr>
            <w:rFonts w:ascii="Times New Roman" w:eastAsiaTheme="minorHAnsi" w:hAnsi="Times New Roman"/>
            <w:color w:val="0563C1" w:themeColor="hyperlink"/>
            <w:sz w:val="24"/>
            <w:szCs w:val="24"/>
            <w:u w:val="single"/>
            <w:lang w:val="en-MY"/>
          </w:rPr>
          <w:t>https://doi.org/10.18533/journal.v4i7.760</w:t>
        </w:r>
      </w:hyperlink>
      <w:r w:rsidRPr="000B6F31">
        <w:rPr>
          <w:rFonts w:ascii="Times New Roman" w:eastAsiaTheme="minorHAnsi" w:hAnsi="Times New Roman"/>
          <w:sz w:val="24"/>
          <w:szCs w:val="24"/>
          <w:lang w:val="en-MY"/>
        </w:rPr>
        <w:t xml:space="preserve"> </w:t>
      </w:r>
    </w:p>
    <w:p w14:paraId="4BF097E8" w14:textId="3B7F480D" w:rsidR="00E067DE" w:rsidRDefault="00E067DE" w:rsidP="001249E2">
      <w:pPr>
        <w:pStyle w:val="References"/>
        <w:spacing w:after="240"/>
        <w:ind w:left="567" w:hanging="567"/>
        <w:rPr>
          <w:lang w:val="en-ID"/>
        </w:rPr>
      </w:pPr>
      <w:r w:rsidRPr="00E067DE">
        <w:rPr>
          <w:lang w:val="en-ID"/>
        </w:rPr>
        <w:t>Piprani, A. Z., Jaafar, N. I., Ali, S. M., Mubarik, M. S., &amp; Shahbaz, M. (2022). Multi-dimensional supply chain flexibility and supply chain resilience: the role of supply chain risks exposure. Operations Management Research, 15(1), 307-325. https://doi.org/10.1007/s12063-021-00232-w</w:t>
      </w:r>
    </w:p>
    <w:p w14:paraId="51F5608A" w14:textId="77777777" w:rsidR="00E067DE" w:rsidRPr="000B6F31" w:rsidRDefault="00E067DE" w:rsidP="00E067DE">
      <w:pPr>
        <w:spacing w:before="120" w:after="120" w:line="240" w:lineRule="auto"/>
        <w:ind w:left="720" w:right="144" w:hanging="720"/>
        <w:rPr>
          <w:rFonts w:ascii="Times New Roman" w:eastAsiaTheme="minorHAnsi" w:hAnsi="Times New Roman"/>
          <w:sz w:val="24"/>
          <w:szCs w:val="24"/>
          <w:lang w:val="en-MY"/>
        </w:rPr>
      </w:pPr>
      <w:proofErr w:type="spellStart"/>
      <w:r w:rsidRPr="000B6F31">
        <w:rPr>
          <w:rFonts w:ascii="Times New Roman" w:eastAsiaTheme="minorHAnsi" w:hAnsi="Times New Roman"/>
          <w:sz w:val="24"/>
          <w:szCs w:val="24"/>
          <w:lang w:val="en-MY"/>
        </w:rPr>
        <w:t>Siagian</w:t>
      </w:r>
      <w:proofErr w:type="spellEnd"/>
      <w:r w:rsidRPr="000B6F31">
        <w:rPr>
          <w:rFonts w:ascii="Times New Roman" w:eastAsiaTheme="minorHAnsi" w:hAnsi="Times New Roman"/>
          <w:sz w:val="24"/>
          <w:szCs w:val="24"/>
          <w:lang w:val="en-MY"/>
        </w:rPr>
        <w:t xml:space="preserve">, H., </w:t>
      </w:r>
      <w:proofErr w:type="spellStart"/>
      <w:r w:rsidRPr="000B6F31">
        <w:rPr>
          <w:rFonts w:ascii="Times New Roman" w:eastAsiaTheme="minorHAnsi" w:hAnsi="Times New Roman"/>
          <w:sz w:val="24"/>
          <w:szCs w:val="24"/>
          <w:lang w:val="en-MY"/>
        </w:rPr>
        <w:t>Tarigan</w:t>
      </w:r>
      <w:proofErr w:type="spellEnd"/>
      <w:r w:rsidRPr="000B6F31">
        <w:rPr>
          <w:rFonts w:ascii="Times New Roman" w:eastAsiaTheme="minorHAnsi" w:hAnsi="Times New Roman"/>
          <w:sz w:val="24"/>
          <w:szCs w:val="24"/>
          <w:lang w:val="en-MY"/>
        </w:rPr>
        <w:t>, Z. J. H., &amp; Jie, F. (2021). Supply chain integration enables resilience, flexibility, and innovation to improve business performance in COVID-19 era. </w:t>
      </w:r>
      <w:r w:rsidRPr="000B6F31">
        <w:rPr>
          <w:rFonts w:ascii="Times New Roman" w:eastAsiaTheme="minorHAnsi" w:hAnsi="Times New Roman"/>
          <w:i/>
          <w:iCs/>
          <w:sz w:val="24"/>
          <w:szCs w:val="24"/>
          <w:lang w:val="en-MY"/>
        </w:rPr>
        <w:t>Sustainability</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13</w:t>
      </w:r>
      <w:r w:rsidRPr="000B6F31">
        <w:rPr>
          <w:rFonts w:ascii="Times New Roman" w:eastAsiaTheme="minorHAnsi" w:hAnsi="Times New Roman"/>
          <w:sz w:val="24"/>
          <w:szCs w:val="24"/>
          <w:lang w:val="en-MY"/>
        </w:rPr>
        <w:t xml:space="preserve">(9), 4669. </w:t>
      </w:r>
      <w:hyperlink r:id="rId11" w:history="1">
        <w:r w:rsidRPr="000B6F31">
          <w:rPr>
            <w:rFonts w:ascii="Times New Roman" w:eastAsiaTheme="minorHAnsi" w:hAnsi="Times New Roman"/>
            <w:color w:val="0563C1" w:themeColor="hyperlink"/>
            <w:sz w:val="24"/>
            <w:szCs w:val="24"/>
            <w:u w:val="single"/>
            <w:lang w:val="en-MY"/>
          </w:rPr>
          <w:t>https://doi.org/10.3390/su13094669</w:t>
        </w:r>
      </w:hyperlink>
      <w:r w:rsidRPr="000B6F31">
        <w:rPr>
          <w:rFonts w:ascii="Times New Roman" w:eastAsiaTheme="minorHAnsi" w:hAnsi="Times New Roman"/>
          <w:sz w:val="24"/>
          <w:szCs w:val="24"/>
          <w:lang w:val="en-MY"/>
        </w:rPr>
        <w:t xml:space="preserve"> </w:t>
      </w:r>
    </w:p>
    <w:p w14:paraId="3B2207A8" w14:textId="77777777" w:rsidR="00E067DE" w:rsidRPr="000B6F31" w:rsidRDefault="00E067DE" w:rsidP="00E067DE">
      <w:pPr>
        <w:spacing w:before="120" w:after="120" w:line="240" w:lineRule="auto"/>
        <w:ind w:left="720" w:right="144" w:hanging="720"/>
        <w:rPr>
          <w:rFonts w:ascii="Times New Roman" w:eastAsiaTheme="minorHAnsi" w:hAnsi="Times New Roman"/>
          <w:sz w:val="24"/>
          <w:szCs w:val="24"/>
          <w:lang w:val="en-MY"/>
        </w:rPr>
      </w:pPr>
      <w:r w:rsidRPr="000B6F31">
        <w:rPr>
          <w:rFonts w:ascii="Times New Roman" w:eastAsiaTheme="minorHAnsi" w:hAnsi="Times New Roman"/>
          <w:sz w:val="24"/>
          <w:szCs w:val="24"/>
          <w:lang w:val="en-MY"/>
        </w:rPr>
        <w:t>Singh, R. K. (2024). Strengthening resilience in supply chains: the role of multi-layer flexibility, supply chain risks and environmental dynamism. </w:t>
      </w:r>
      <w:r w:rsidRPr="000B6F31">
        <w:rPr>
          <w:rFonts w:ascii="Times New Roman" w:eastAsiaTheme="minorHAnsi" w:hAnsi="Times New Roman"/>
          <w:i/>
          <w:iCs/>
          <w:sz w:val="24"/>
          <w:szCs w:val="24"/>
          <w:lang w:val="en-MY"/>
        </w:rPr>
        <w:t>The International Journal of Logistics Management</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35</w:t>
      </w:r>
      <w:r w:rsidRPr="000B6F31">
        <w:rPr>
          <w:rFonts w:ascii="Times New Roman" w:eastAsiaTheme="minorHAnsi" w:hAnsi="Times New Roman"/>
          <w:sz w:val="24"/>
          <w:szCs w:val="24"/>
          <w:lang w:val="en-MY"/>
        </w:rPr>
        <w:t xml:space="preserve">(6), 1807-1826. </w:t>
      </w:r>
      <w:hyperlink r:id="rId12" w:history="1">
        <w:r w:rsidRPr="000B6F31">
          <w:rPr>
            <w:rFonts w:ascii="Times New Roman" w:eastAsiaTheme="minorHAnsi" w:hAnsi="Times New Roman"/>
            <w:color w:val="0563C1" w:themeColor="hyperlink"/>
            <w:sz w:val="24"/>
            <w:szCs w:val="24"/>
            <w:u w:val="single"/>
            <w:lang w:val="en-MY"/>
          </w:rPr>
          <w:t>https://doi.org/10.1108/IJLM-08-2023-0337</w:t>
        </w:r>
      </w:hyperlink>
      <w:r w:rsidRPr="000B6F31">
        <w:rPr>
          <w:rFonts w:ascii="Times New Roman" w:eastAsiaTheme="minorHAnsi" w:hAnsi="Times New Roman"/>
          <w:sz w:val="24"/>
          <w:szCs w:val="24"/>
          <w:lang w:val="en-MY"/>
        </w:rPr>
        <w:t xml:space="preserve"> </w:t>
      </w:r>
    </w:p>
    <w:p w14:paraId="238C8236" w14:textId="77777777" w:rsidR="00E067DE" w:rsidRPr="000B6F31" w:rsidRDefault="00E067DE" w:rsidP="00E067DE">
      <w:pPr>
        <w:spacing w:before="120" w:after="120" w:line="240" w:lineRule="auto"/>
        <w:ind w:left="720" w:right="144" w:hanging="720"/>
        <w:rPr>
          <w:rFonts w:ascii="Times New Roman" w:eastAsiaTheme="minorHAnsi" w:hAnsi="Times New Roman"/>
          <w:sz w:val="24"/>
          <w:szCs w:val="24"/>
          <w:lang w:val="en-MY"/>
        </w:rPr>
      </w:pPr>
      <w:r w:rsidRPr="000B6F31">
        <w:rPr>
          <w:rFonts w:ascii="Times New Roman" w:eastAsiaTheme="minorHAnsi" w:hAnsi="Times New Roman"/>
          <w:sz w:val="24"/>
          <w:szCs w:val="24"/>
          <w:lang w:val="en-MY"/>
        </w:rPr>
        <w:t>Settembre-Blundo, D., González-Sánchez, R., Medina-Salgado, S., &amp; García-Muiña, F. E. (2021). Flexibility and resilience in corporate decision making: a new sustainability-based risk management system in uncertain times. </w:t>
      </w:r>
      <w:r w:rsidRPr="000B6F31">
        <w:rPr>
          <w:rFonts w:ascii="Times New Roman" w:eastAsiaTheme="minorHAnsi" w:hAnsi="Times New Roman"/>
          <w:i/>
          <w:iCs/>
          <w:sz w:val="24"/>
          <w:szCs w:val="24"/>
          <w:lang w:val="en-MY"/>
        </w:rPr>
        <w:t>Global Journal of Flexible Systems Management</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22</w:t>
      </w:r>
      <w:r w:rsidRPr="000B6F31">
        <w:rPr>
          <w:rFonts w:ascii="Times New Roman" w:eastAsiaTheme="minorHAnsi" w:hAnsi="Times New Roman"/>
          <w:sz w:val="24"/>
          <w:szCs w:val="24"/>
          <w:lang w:val="en-MY"/>
        </w:rPr>
        <w:t>(</w:t>
      </w:r>
      <w:proofErr w:type="spellStart"/>
      <w:r w:rsidRPr="000B6F31">
        <w:rPr>
          <w:rFonts w:ascii="Times New Roman" w:eastAsiaTheme="minorHAnsi" w:hAnsi="Times New Roman"/>
          <w:sz w:val="24"/>
          <w:szCs w:val="24"/>
          <w:lang w:val="en-MY"/>
        </w:rPr>
        <w:t>Suppl</w:t>
      </w:r>
      <w:proofErr w:type="spellEnd"/>
      <w:r w:rsidRPr="000B6F31">
        <w:rPr>
          <w:rFonts w:ascii="Times New Roman" w:eastAsiaTheme="minorHAnsi" w:hAnsi="Times New Roman"/>
          <w:sz w:val="24"/>
          <w:szCs w:val="24"/>
          <w:lang w:val="en-MY"/>
        </w:rPr>
        <w:t xml:space="preserve"> 2), 107-132.</w:t>
      </w:r>
      <w:r w:rsidRPr="000B6F31">
        <w:rPr>
          <w:rFonts w:ascii="Times New Roman" w:eastAsiaTheme="minorHAnsi" w:hAnsi="Times New Roman"/>
          <w:color w:val="222222"/>
          <w:sz w:val="24"/>
          <w:szCs w:val="24"/>
          <w:shd w:val="clear" w:color="auto" w:fill="FFFFFF"/>
          <w:lang w:val="en-MY"/>
        </w:rPr>
        <w:t xml:space="preserve"> </w:t>
      </w:r>
      <w:hyperlink r:id="rId13" w:history="1">
        <w:r w:rsidRPr="000B6F31">
          <w:rPr>
            <w:rFonts w:ascii="Times New Roman" w:eastAsiaTheme="minorHAnsi" w:hAnsi="Times New Roman"/>
            <w:color w:val="0563C1" w:themeColor="hyperlink"/>
            <w:sz w:val="24"/>
            <w:szCs w:val="24"/>
            <w:u w:val="single"/>
            <w:lang w:val="en-MY"/>
          </w:rPr>
          <w:t>https://doi.org/10.1007/s40171-021-00277-7</w:t>
        </w:r>
      </w:hyperlink>
    </w:p>
    <w:p w14:paraId="14EF35C7" w14:textId="2FC944D1" w:rsidR="008A4995" w:rsidRPr="000B6F31" w:rsidRDefault="00E067DE" w:rsidP="00E067DE">
      <w:pPr>
        <w:spacing w:before="120" w:after="120" w:line="240" w:lineRule="auto"/>
        <w:ind w:left="720" w:right="144" w:hanging="720"/>
        <w:rPr>
          <w:rFonts w:ascii="Times New Roman" w:eastAsiaTheme="minorHAnsi" w:hAnsi="Times New Roman"/>
          <w:sz w:val="24"/>
          <w:szCs w:val="24"/>
          <w:lang w:val="en-MY"/>
        </w:rPr>
      </w:pPr>
      <w:r w:rsidRPr="000B6F31">
        <w:rPr>
          <w:rFonts w:ascii="Times New Roman" w:eastAsiaTheme="minorHAnsi" w:hAnsi="Times New Roman"/>
          <w:sz w:val="24"/>
          <w:szCs w:val="24"/>
          <w:lang w:val="en-MY"/>
        </w:rPr>
        <w:t>Sandberg, E. (2021). Dynamic capabilities for the creation of logistics flexibility–a conceptual framework. </w:t>
      </w:r>
      <w:r w:rsidRPr="000B6F31">
        <w:rPr>
          <w:rFonts w:ascii="Times New Roman" w:eastAsiaTheme="minorHAnsi" w:hAnsi="Times New Roman"/>
          <w:i/>
          <w:iCs/>
          <w:sz w:val="24"/>
          <w:szCs w:val="24"/>
          <w:lang w:val="en-MY"/>
        </w:rPr>
        <w:t>The international journal of logistics management</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32</w:t>
      </w:r>
      <w:r w:rsidRPr="000B6F31">
        <w:rPr>
          <w:rFonts w:ascii="Times New Roman" w:eastAsiaTheme="minorHAnsi" w:hAnsi="Times New Roman"/>
          <w:sz w:val="24"/>
          <w:szCs w:val="24"/>
          <w:lang w:val="en-MY"/>
        </w:rPr>
        <w:t xml:space="preserve">(2), 696-714. </w:t>
      </w:r>
      <w:hyperlink r:id="rId14" w:history="1">
        <w:r w:rsidRPr="000B6F31">
          <w:rPr>
            <w:rFonts w:ascii="Times New Roman" w:eastAsiaTheme="minorHAnsi" w:hAnsi="Times New Roman"/>
            <w:color w:val="0563C1" w:themeColor="hyperlink"/>
            <w:sz w:val="24"/>
            <w:szCs w:val="24"/>
            <w:u w:val="single"/>
            <w:lang w:val="en-MY"/>
          </w:rPr>
          <w:t>https://doi.org/10.1108/IJLM-07-2020-0266</w:t>
        </w:r>
      </w:hyperlink>
      <w:r w:rsidRPr="000B6F31">
        <w:rPr>
          <w:rFonts w:ascii="Times New Roman" w:eastAsiaTheme="minorHAnsi" w:hAnsi="Times New Roman"/>
          <w:sz w:val="24"/>
          <w:szCs w:val="24"/>
          <w:lang w:val="en-MY"/>
        </w:rPr>
        <w:t xml:space="preserve"> </w:t>
      </w:r>
    </w:p>
    <w:p w14:paraId="4F983AC2" w14:textId="77777777" w:rsidR="000B6F31" w:rsidRPr="000B6F31" w:rsidRDefault="000B6F31" w:rsidP="000B6F31">
      <w:pPr>
        <w:spacing w:before="120" w:after="120" w:line="240" w:lineRule="auto"/>
        <w:ind w:left="720" w:right="144" w:hanging="720"/>
        <w:rPr>
          <w:rFonts w:ascii="Times New Roman" w:eastAsiaTheme="minorHAnsi" w:hAnsi="Times New Roman"/>
          <w:sz w:val="24"/>
          <w:szCs w:val="24"/>
          <w:lang w:val="en-MY"/>
        </w:rPr>
      </w:pPr>
      <w:r w:rsidRPr="000B6F31">
        <w:rPr>
          <w:rFonts w:ascii="Times New Roman" w:eastAsiaTheme="minorHAnsi" w:hAnsi="Times New Roman"/>
          <w:sz w:val="24"/>
          <w:szCs w:val="24"/>
          <w:lang w:val="en-MY"/>
        </w:rPr>
        <w:lastRenderedPageBreak/>
        <w:t>Um, J. (2017). Improving supply chain flexibility and agility through variety management. </w:t>
      </w:r>
      <w:r w:rsidRPr="000B6F31">
        <w:rPr>
          <w:rFonts w:ascii="Times New Roman" w:eastAsiaTheme="minorHAnsi" w:hAnsi="Times New Roman"/>
          <w:i/>
          <w:iCs/>
          <w:sz w:val="24"/>
          <w:szCs w:val="24"/>
          <w:lang w:val="en-MY"/>
        </w:rPr>
        <w:t>The International Journal of Logistics Management</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28</w:t>
      </w:r>
      <w:r w:rsidRPr="000B6F31">
        <w:rPr>
          <w:rFonts w:ascii="Times New Roman" w:eastAsiaTheme="minorHAnsi" w:hAnsi="Times New Roman"/>
          <w:sz w:val="24"/>
          <w:szCs w:val="24"/>
          <w:lang w:val="en-MY"/>
        </w:rPr>
        <w:t xml:space="preserve">(2), 464-487. </w:t>
      </w:r>
      <w:hyperlink r:id="rId15" w:history="1">
        <w:r w:rsidRPr="000B6F31">
          <w:rPr>
            <w:rFonts w:ascii="Times New Roman" w:eastAsiaTheme="minorHAnsi" w:hAnsi="Times New Roman"/>
            <w:color w:val="0563C1" w:themeColor="hyperlink"/>
            <w:sz w:val="24"/>
            <w:szCs w:val="24"/>
            <w:u w:val="single"/>
            <w:lang w:val="en-MY"/>
          </w:rPr>
          <w:t>https://doi.org/10.1108/IJLM-07-2015-0113</w:t>
        </w:r>
      </w:hyperlink>
      <w:r w:rsidRPr="000B6F31">
        <w:rPr>
          <w:rFonts w:ascii="Times New Roman" w:eastAsiaTheme="minorHAnsi" w:hAnsi="Times New Roman"/>
          <w:sz w:val="24"/>
          <w:szCs w:val="24"/>
          <w:lang w:val="en-MY"/>
        </w:rPr>
        <w:t xml:space="preserve"> </w:t>
      </w:r>
    </w:p>
    <w:p w14:paraId="717B07B2" w14:textId="29EF56D2" w:rsidR="000B6F31" w:rsidRPr="000B6F31" w:rsidRDefault="000B6F31" w:rsidP="00E067DE">
      <w:pPr>
        <w:spacing w:before="120" w:after="120" w:line="240" w:lineRule="auto"/>
        <w:ind w:left="720" w:right="144" w:hanging="720"/>
        <w:rPr>
          <w:rFonts w:ascii="Times New Roman" w:eastAsiaTheme="minorHAnsi" w:hAnsi="Times New Roman"/>
          <w:sz w:val="24"/>
          <w:szCs w:val="24"/>
          <w:lang w:val="en-MY"/>
        </w:rPr>
      </w:pPr>
      <w:r w:rsidRPr="000B6F31">
        <w:rPr>
          <w:rFonts w:ascii="Times New Roman" w:eastAsiaTheme="minorHAnsi" w:hAnsi="Times New Roman"/>
          <w:sz w:val="24"/>
          <w:szCs w:val="24"/>
          <w:lang w:val="en-MY"/>
        </w:rPr>
        <w:t>Um, J., &amp; Han, N. (2021). Understanding the relationships between global supply chain risk and supply chain resilience: the role of mitigating strategies. </w:t>
      </w:r>
      <w:r w:rsidRPr="000B6F31">
        <w:rPr>
          <w:rFonts w:ascii="Times New Roman" w:eastAsiaTheme="minorHAnsi" w:hAnsi="Times New Roman"/>
          <w:i/>
          <w:iCs/>
          <w:sz w:val="24"/>
          <w:szCs w:val="24"/>
          <w:lang w:val="en-MY"/>
        </w:rPr>
        <w:t>Supply Chain Management: An International Journal</w:t>
      </w:r>
      <w:r w:rsidRPr="000B6F31">
        <w:rPr>
          <w:rFonts w:ascii="Times New Roman" w:eastAsiaTheme="minorHAnsi" w:hAnsi="Times New Roman"/>
          <w:sz w:val="24"/>
          <w:szCs w:val="24"/>
          <w:lang w:val="en-MY"/>
        </w:rPr>
        <w:t>, </w:t>
      </w:r>
      <w:r w:rsidRPr="000B6F31">
        <w:rPr>
          <w:rFonts w:ascii="Times New Roman" w:eastAsiaTheme="minorHAnsi" w:hAnsi="Times New Roman"/>
          <w:i/>
          <w:iCs/>
          <w:sz w:val="24"/>
          <w:szCs w:val="24"/>
          <w:lang w:val="en-MY"/>
        </w:rPr>
        <w:t>26</w:t>
      </w:r>
      <w:r w:rsidRPr="000B6F31">
        <w:rPr>
          <w:rFonts w:ascii="Times New Roman" w:eastAsiaTheme="minorHAnsi" w:hAnsi="Times New Roman"/>
          <w:sz w:val="24"/>
          <w:szCs w:val="24"/>
          <w:lang w:val="en-MY"/>
        </w:rPr>
        <w:t xml:space="preserve">(2), 240-255. </w:t>
      </w:r>
      <w:hyperlink r:id="rId16" w:history="1">
        <w:r w:rsidRPr="000B6F31">
          <w:rPr>
            <w:rFonts w:ascii="Times New Roman" w:eastAsiaTheme="minorHAnsi" w:hAnsi="Times New Roman"/>
            <w:color w:val="0563C1" w:themeColor="hyperlink"/>
            <w:sz w:val="24"/>
            <w:szCs w:val="24"/>
            <w:u w:val="single"/>
            <w:lang w:val="en-MY"/>
          </w:rPr>
          <w:t>https://doi.org/10.1108/SCM-06-2020-0248</w:t>
        </w:r>
      </w:hyperlink>
      <w:r w:rsidRPr="000B6F31">
        <w:rPr>
          <w:rFonts w:ascii="Times New Roman" w:eastAsiaTheme="minorHAnsi" w:hAnsi="Times New Roman"/>
          <w:sz w:val="24"/>
          <w:szCs w:val="24"/>
          <w:lang w:val="en-MY"/>
        </w:rPr>
        <w:t xml:space="preserve"> </w:t>
      </w:r>
    </w:p>
    <w:p w14:paraId="47CE3583" w14:textId="77777777" w:rsidR="000B6F31" w:rsidRPr="00581670" w:rsidRDefault="000B6F31" w:rsidP="000B6F31">
      <w:pPr>
        <w:pStyle w:val="References"/>
        <w:spacing w:after="240"/>
        <w:ind w:left="567" w:hanging="567"/>
        <w:rPr>
          <w:lang w:val="en-ID"/>
        </w:rPr>
      </w:pPr>
      <w:r w:rsidRPr="00CF716E">
        <w:rPr>
          <w:lang w:val="en-ID"/>
        </w:rPr>
        <w:t xml:space="preserve">Yahaya, T., Idris, K., Suandi, T., &amp; Ismail, I. (2018). Adapting instruments and modifying statements: The confirmation method for the inventory and model for information sharing </w:t>
      </w:r>
      <w:proofErr w:type="spellStart"/>
      <w:r w:rsidRPr="00CF716E">
        <w:rPr>
          <w:lang w:val="en-ID"/>
        </w:rPr>
        <w:t>behavior</w:t>
      </w:r>
      <w:proofErr w:type="spellEnd"/>
      <w:r w:rsidRPr="00CF716E">
        <w:rPr>
          <w:lang w:val="en-ID"/>
        </w:rPr>
        <w:t xml:space="preserve"> using social media. Management Science Letters, 8(5), 271-282.</w:t>
      </w:r>
    </w:p>
    <w:p w14:paraId="46D8EBE5" w14:textId="77777777" w:rsidR="000B6F31" w:rsidRPr="000B6F31" w:rsidRDefault="000B6F31" w:rsidP="000B6F31">
      <w:pPr>
        <w:spacing w:before="120" w:after="120" w:line="240" w:lineRule="auto"/>
        <w:ind w:left="720" w:right="144" w:hanging="720"/>
        <w:rPr>
          <w:rFonts w:asciiTheme="minorHAnsi" w:eastAsiaTheme="minorHAnsi" w:hAnsiTheme="minorHAnsi"/>
          <w:szCs w:val="24"/>
          <w:lang w:val="en-MY"/>
        </w:rPr>
      </w:pPr>
    </w:p>
    <w:p w14:paraId="0ADE9DF7" w14:textId="77777777" w:rsidR="000B6F31" w:rsidRPr="000B6F31" w:rsidRDefault="000B6F31" w:rsidP="000B6F31">
      <w:pPr>
        <w:spacing w:before="120" w:after="120" w:line="240" w:lineRule="auto"/>
        <w:ind w:left="720" w:right="144" w:hanging="720"/>
        <w:rPr>
          <w:rFonts w:asciiTheme="minorHAnsi" w:eastAsiaTheme="minorHAnsi" w:hAnsiTheme="minorHAnsi"/>
          <w:szCs w:val="24"/>
          <w:lang w:val="en-MY"/>
        </w:rPr>
      </w:pPr>
    </w:p>
    <w:p w14:paraId="30A31DF8" w14:textId="77777777" w:rsidR="009B45BE" w:rsidRPr="009B45BE" w:rsidRDefault="009B45BE" w:rsidP="009B45BE">
      <w:pPr>
        <w:autoSpaceDE w:val="0"/>
        <w:autoSpaceDN w:val="0"/>
        <w:adjustRightInd w:val="0"/>
        <w:spacing w:after="0" w:line="360" w:lineRule="auto"/>
        <w:jc w:val="both"/>
        <w:rPr>
          <w:rFonts w:ascii="Times New Roman" w:eastAsiaTheme="minorHAnsi" w:hAnsi="Times New Roman" w:cstheme="minorBidi"/>
          <w:sz w:val="24"/>
          <w:szCs w:val="24"/>
          <w:lang w:val="en-SG"/>
        </w:rPr>
      </w:pPr>
    </w:p>
    <w:p w14:paraId="2B134F1C" w14:textId="77777777" w:rsidR="009B45BE" w:rsidRPr="009B45BE" w:rsidRDefault="009B45BE" w:rsidP="009B45BE">
      <w:pPr>
        <w:spacing w:after="160" w:line="360" w:lineRule="auto"/>
        <w:jc w:val="both"/>
        <w:rPr>
          <w:rFonts w:ascii="Times New Roman" w:hAnsi="Times New Roman" w:cstheme="minorBidi"/>
          <w:sz w:val="24"/>
          <w:szCs w:val="24"/>
          <w:lang w:val="en-SG"/>
        </w:rPr>
      </w:pPr>
    </w:p>
    <w:p w14:paraId="1ECEB92B" w14:textId="77777777" w:rsidR="009B45BE" w:rsidRPr="00D34FF3" w:rsidRDefault="009B45BE" w:rsidP="00D34FF3">
      <w:pPr>
        <w:ind w:firstLine="720"/>
      </w:pPr>
    </w:p>
    <w:sectPr w:rsidR="009B45BE" w:rsidRPr="00D34F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CA1F" w14:textId="77777777" w:rsidR="000F7E0F" w:rsidRDefault="000F7E0F" w:rsidP="001725DF">
      <w:pPr>
        <w:spacing w:after="0" w:line="240" w:lineRule="auto"/>
      </w:pPr>
      <w:r>
        <w:separator/>
      </w:r>
    </w:p>
  </w:endnote>
  <w:endnote w:type="continuationSeparator" w:id="0">
    <w:p w14:paraId="3409DDC3" w14:textId="77777777" w:rsidR="000F7E0F" w:rsidRDefault="000F7E0F" w:rsidP="0017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14D85" w14:textId="77777777" w:rsidR="000F7E0F" w:rsidRDefault="000F7E0F" w:rsidP="001725DF">
      <w:pPr>
        <w:spacing w:after="0" w:line="240" w:lineRule="auto"/>
      </w:pPr>
      <w:r>
        <w:separator/>
      </w:r>
    </w:p>
  </w:footnote>
  <w:footnote w:type="continuationSeparator" w:id="0">
    <w:p w14:paraId="51A4BEA5" w14:textId="77777777" w:rsidR="000F7E0F" w:rsidRDefault="000F7E0F" w:rsidP="00172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09B"/>
    <w:rsid w:val="000019D5"/>
    <w:rsid w:val="000367C2"/>
    <w:rsid w:val="00052E41"/>
    <w:rsid w:val="000668B3"/>
    <w:rsid w:val="00081321"/>
    <w:rsid w:val="00094BF2"/>
    <w:rsid w:val="000A755A"/>
    <w:rsid w:val="000B6F31"/>
    <w:rsid w:val="000D71A9"/>
    <w:rsid w:val="000F7E0F"/>
    <w:rsid w:val="001249E2"/>
    <w:rsid w:val="0015450D"/>
    <w:rsid w:val="001725DF"/>
    <w:rsid w:val="00190B12"/>
    <w:rsid w:val="001C151D"/>
    <w:rsid w:val="001F0948"/>
    <w:rsid w:val="001F6403"/>
    <w:rsid w:val="00295972"/>
    <w:rsid w:val="002B06E4"/>
    <w:rsid w:val="00310E4F"/>
    <w:rsid w:val="00352E92"/>
    <w:rsid w:val="00373790"/>
    <w:rsid w:val="00420BF2"/>
    <w:rsid w:val="00424661"/>
    <w:rsid w:val="0044076F"/>
    <w:rsid w:val="004733FD"/>
    <w:rsid w:val="004750E7"/>
    <w:rsid w:val="0048758E"/>
    <w:rsid w:val="004A2D2F"/>
    <w:rsid w:val="00512BFD"/>
    <w:rsid w:val="005205CB"/>
    <w:rsid w:val="005948AC"/>
    <w:rsid w:val="005B76B2"/>
    <w:rsid w:val="005D4CC5"/>
    <w:rsid w:val="005F7FB0"/>
    <w:rsid w:val="006604BB"/>
    <w:rsid w:val="00690FFF"/>
    <w:rsid w:val="006B6459"/>
    <w:rsid w:val="006C080E"/>
    <w:rsid w:val="006C7EEF"/>
    <w:rsid w:val="006E4237"/>
    <w:rsid w:val="007E69CB"/>
    <w:rsid w:val="007E746F"/>
    <w:rsid w:val="00806946"/>
    <w:rsid w:val="0082752E"/>
    <w:rsid w:val="00855B6D"/>
    <w:rsid w:val="00876C9F"/>
    <w:rsid w:val="008771C4"/>
    <w:rsid w:val="0088346C"/>
    <w:rsid w:val="00891899"/>
    <w:rsid w:val="008A4995"/>
    <w:rsid w:val="008A6BE7"/>
    <w:rsid w:val="008D37D7"/>
    <w:rsid w:val="008F2E34"/>
    <w:rsid w:val="0092079C"/>
    <w:rsid w:val="00925ACB"/>
    <w:rsid w:val="0095213E"/>
    <w:rsid w:val="009B45BE"/>
    <w:rsid w:val="009F5083"/>
    <w:rsid w:val="00A66403"/>
    <w:rsid w:val="00AB5324"/>
    <w:rsid w:val="00B00EE0"/>
    <w:rsid w:val="00B60FDC"/>
    <w:rsid w:val="00BD48BF"/>
    <w:rsid w:val="00BE19A6"/>
    <w:rsid w:val="00C30C31"/>
    <w:rsid w:val="00C67439"/>
    <w:rsid w:val="00C9356C"/>
    <w:rsid w:val="00CA2364"/>
    <w:rsid w:val="00CB39BC"/>
    <w:rsid w:val="00CF2004"/>
    <w:rsid w:val="00D175CB"/>
    <w:rsid w:val="00D25DB6"/>
    <w:rsid w:val="00D34FF3"/>
    <w:rsid w:val="00D45422"/>
    <w:rsid w:val="00DC09AA"/>
    <w:rsid w:val="00DF1DB4"/>
    <w:rsid w:val="00DF609B"/>
    <w:rsid w:val="00DF6E2B"/>
    <w:rsid w:val="00E067DE"/>
    <w:rsid w:val="00E733F0"/>
    <w:rsid w:val="00E74726"/>
    <w:rsid w:val="00EA2310"/>
    <w:rsid w:val="00F0388F"/>
    <w:rsid w:val="00F261D5"/>
    <w:rsid w:val="00F5337B"/>
    <w:rsid w:val="00F57E73"/>
    <w:rsid w:val="00FA72AA"/>
    <w:rsid w:val="00FC75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77DE"/>
  <w15:chartTrackingRefBased/>
  <w15:docId w15:val="{9ADFF611-2048-4A5F-AAC4-C898E137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09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609B"/>
    <w:pPr>
      <w:spacing w:after="0" w:line="240" w:lineRule="auto"/>
    </w:pPr>
    <w:rPr>
      <w:rFonts w:ascii="Times New Roman" w:eastAsia="SimSu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1F64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403"/>
    <w:rPr>
      <w:rFonts w:asciiTheme="majorHAnsi" w:eastAsiaTheme="majorEastAsia" w:hAnsiTheme="majorHAnsi" w:cstheme="majorBidi"/>
      <w:spacing w:val="-10"/>
      <w:kern w:val="28"/>
      <w:sz w:val="56"/>
      <w:szCs w:val="56"/>
      <w:lang w:val="en-US"/>
    </w:rPr>
  </w:style>
  <w:style w:type="paragraph" w:styleId="Header">
    <w:name w:val="header"/>
    <w:basedOn w:val="Normal"/>
    <w:link w:val="HeaderChar"/>
    <w:uiPriority w:val="99"/>
    <w:unhideWhenUsed/>
    <w:rsid w:val="00172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5DF"/>
    <w:rPr>
      <w:rFonts w:ascii="Calibri" w:eastAsia="Calibri" w:hAnsi="Calibri" w:cs="Times New Roman"/>
      <w:lang w:val="en-US"/>
    </w:rPr>
  </w:style>
  <w:style w:type="paragraph" w:styleId="Footer">
    <w:name w:val="footer"/>
    <w:basedOn w:val="Normal"/>
    <w:link w:val="FooterChar"/>
    <w:uiPriority w:val="99"/>
    <w:unhideWhenUsed/>
    <w:rsid w:val="00172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5DF"/>
    <w:rPr>
      <w:rFonts w:ascii="Calibri" w:eastAsia="Calibri" w:hAnsi="Calibri" w:cs="Times New Roman"/>
      <w:lang w:val="en-US"/>
    </w:rPr>
  </w:style>
  <w:style w:type="character" w:styleId="Hyperlink">
    <w:name w:val="Hyperlink"/>
    <w:basedOn w:val="DefaultParagraphFont"/>
    <w:uiPriority w:val="99"/>
    <w:unhideWhenUsed/>
    <w:rsid w:val="006604BB"/>
    <w:rPr>
      <w:color w:val="0563C1" w:themeColor="hyperlink"/>
      <w:u w:val="single"/>
    </w:rPr>
  </w:style>
  <w:style w:type="paragraph" w:customStyle="1" w:styleId="References">
    <w:name w:val="References"/>
    <w:basedOn w:val="Normal"/>
    <w:uiPriority w:val="14"/>
    <w:qFormat/>
    <w:rsid w:val="000B6F31"/>
    <w:pPr>
      <w:autoSpaceDE w:val="0"/>
      <w:autoSpaceDN w:val="0"/>
      <w:adjustRightInd w:val="0"/>
      <w:spacing w:afterLines="100" w:after="100" w:line="240" w:lineRule="auto"/>
      <w:ind w:left="720" w:hanging="720"/>
      <w:jc w:val="both"/>
    </w:pPr>
    <w:rPr>
      <w:rFonts w:ascii="TimesNewRomanPSMT" w:hAnsi="TimesNewRomanPSMT" w:cs="TimesNewRomanPSM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16339">
      <w:bodyDiv w:val="1"/>
      <w:marLeft w:val="0"/>
      <w:marRight w:val="0"/>
      <w:marTop w:val="0"/>
      <w:marBottom w:val="0"/>
      <w:divBdr>
        <w:top w:val="none" w:sz="0" w:space="0" w:color="auto"/>
        <w:left w:val="none" w:sz="0" w:space="0" w:color="auto"/>
        <w:bottom w:val="none" w:sz="0" w:space="0" w:color="auto"/>
        <w:right w:val="none" w:sz="0" w:space="0" w:color="auto"/>
      </w:divBdr>
    </w:div>
    <w:div w:id="679430101">
      <w:bodyDiv w:val="1"/>
      <w:marLeft w:val="0"/>
      <w:marRight w:val="0"/>
      <w:marTop w:val="0"/>
      <w:marBottom w:val="0"/>
      <w:divBdr>
        <w:top w:val="none" w:sz="0" w:space="0" w:color="auto"/>
        <w:left w:val="none" w:sz="0" w:space="0" w:color="auto"/>
        <w:bottom w:val="none" w:sz="0" w:space="0" w:color="auto"/>
        <w:right w:val="none" w:sz="0" w:space="0" w:color="auto"/>
      </w:divBdr>
    </w:div>
    <w:div w:id="1848861586">
      <w:bodyDiv w:val="1"/>
      <w:marLeft w:val="0"/>
      <w:marRight w:val="0"/>
      <w:marTop w:val="0"/>
      <w:marBottom w:val="0"/>
      <w:divBdr>
        <w:top w:val="none" w:sz="0" w:space="0" w:color="auto"/>
        <w:left w:val="none" w:sz="0" w:space="0" w:color="auto"/>
        <w:bottom w:val="none" w:sz="0" w:space="0" w:color="auto"/>
        <w:right w:val="none" w:sz="0" w:space="0" w:color="auto"/>
      </w:divBdr>
      <w:divsChild>
        <w:div w:id="1703897879">
          <w:marLeft w:val="0"/>
          <w:marRight w:val="0"/>
          <w:marTop w:val="0"/>
          <w:marBottom w:val="0"/>
          <w:divBdr>
            <w:top w:val="none" w:sz="0" w:space="0" w:color="auto"/>
            <w:left w:val="none" w:sz="0" w:space="0" w:color="auto"/>
            <w:bottom w:val="none" w:sz="0" w:space="0" w:color="auto"/>
            <w:right w:val="none" w:sz="0" w:space="0" w:color="auto"/>
          </w:divBdr>
          <w:divsChild>
            <w:div w:id="541601788">
              <w:marLeft w:val="0"/>
              <w:marRight w:val="0"/>
              <w:marTop w:val="0"/>
              <w:marBottom w:val="0"/>
              <w:divBdr>
                <w:top w:val="none" w:sz="0" w:space="0" w:color="auto"/>
                <w:left w:val="none" w:sz="0" w:space="0" w:color="auto"/>
                <w:bottom w:val="none" w:sz="0" w:space="0" w:color="auto"/>
                <w:right w:val="none" w:sz="0" w:space="0" w:color="auto"/>
              </w:divBdr>
              <w:divsChild>
                <w:div w:id="389960540">
                  <w:marLeft w:val="0"/>
                  <w:marRight w:val="0"/>
                  <w:marTop w:val="0"/>
                  <w:marBottom w:val="0"/>
                  <w:divBdr>
                    <w:top w:val="none" w:sz="0" w:space="0" w:color="auto"/>
                    <w:left w:val="none" w:sz="0" w:space="0" w:color="auto"/>
                    <w:bottom w:val="none" w:sz="0" w:space="0" w:color="auto"/>
                    <w:right w:val="none" w:sz="0" w:space="0" w:color="auto"/>
                  </w:divBdr>
                  <w:divsChild>
                    <w:div w:id="718743629">
                      <w:marLeft w:val="0"/>
                      <w:marRight w:val="0"/>
                      <w:marTop w:val="0"/>
                      <w:marBottom w:val="0"/>
                      <w:divBdr>
                        <w:top w:val="none" w:sz="0" w:space="0" w:color="auto"/>
                        <w:left w:val="none" w:sz="0" w:space="0" w:color="auto"/>
                        <w:bottom w:val="none" w:sz="0" w:space="0" w:color="auto"/>
                        <w:right w:val="none" w:sz="0" w:space="0" w:color="auto"/>
                      </w:divBdr>
                      <w:divsChild>
                        <w:div w:id="1464036792">
                          <w:marLeft w:val="0"/>
                          <w:marRight w:val="0"/>
                          <w:marTop w:val="0"/>
                          <w:marBottom w:val="0"/>
                          <w:divBdr>
                            <w:top w:val="none" w:sz="0" w:space="0" w:color="auto"/>
                            <w:left w:val="none" w:sz="0" w:space="0" w:color="auto"/>
                            <w:bottom w:val="none" w:sz="0" w:space="0" w:color="auto"/>
                            <w:right w:val="none" w:sz="0" w:space="0" w:color="auto"/>
                          </w:divBdr>
                          <w:divsChild>
                            <w:div w:id="1258520157">
                              <w:marLeft w:val="0"/>
                              <w:marRight w:val="0"/>
                              <w:marTop w:val="0"/>
                              <w:marBottom w:val="0"/>
                              <w:divBdr>
                                <w:top w:val="none" w:sz="0" w:space="0" w:color="auto"/>
                                <w:left w:val="none" w:sz="0" w:space="0" w:color="auto"/>
                                <w:bottom w:val="none" w:sz="0" w:space="0" w:color="auto"/>
                                <w:right w:val="none" w:sz="0" w:space="0" w:color="auto"/>
                              </w:divBdr>
                              <w:divsChild>
                                <w:div w:id="84320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8322">
                          <w:marLeft w:val="0"/>
                          <w:marRight w:val="0"/>
                          <w:marTop w:val="0"/>
                          <w:marBottom w:val="0"/>
                          <w:divBdr>
                            <w:top w:val="none" w:sz="0" w:space="0" w:color="auto"/>
                            <w:left w:val="none" w:sz="0" w:space="0" w:color="auto"/>
                            <w:bottom w:val="none" w:sz="0" w:space="0" w:color="auto"/>
                            <w:right w:val="none" w:sz="0" w:space="0" w:color="auto"/>
                          </w:divBdr>
                          <w:divsChild>
                            <w:div w:id="155072287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pe.2022.108668" TargetMode="External"/><Relationship Id="rId13" Type="http://schemas.openxmlformats.org/officeDocument/2006/relationships/hyperlink" Target="https://doi.org/10.1007/s40171-021-00277-7"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doi.org/10.1108/IJLM-08-2023-033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108/SCM-06-2020-0248" TargetMode="External"/><Relationship Id="rId1" Type="http://schemas.openxmlformats.org/officeDocument/2006/relationships/styles" Target="styles.xml"/><Relationship Id="rId6" Type="http://schemas.openxmlformats.org/officeDocument/2006/relationships/hyperlink" Target="mailto:popoolamufti@gmail.com" TargetMode="External"/><Relationship Id="rId11" Type="http://schemas.openxmlformats.org/officeDocument/2006/relationships/hyperlink" Target="https://doi.org/10.3390/su13094669" TargetMode="External"/><Relationship Id="rId5" Type="http://schemas.openxmlformats.org/officeDocument/2006/relationships/endnotes" Target="endnotes.xml"/><Relationship Id="rId15" Type="http://schemas.openxmlformats.org/officeDocument/2006/relationships/hyperlink" Target="https://doi.org/10.1108/IJLM-07-2015-0113" TargetMode="External"/><Relationship Id="rId10" Type="http://schemas.openxmlformats.org/officeDocument/2006/relationships/hyperlink" Target="https://doi.org/10.18533/journal.v4i7.760" TargetMode="External"/><Relationship Id="rId4" Type="http://schemas.openxmlformats.org/officeDocument/2006/relationships/footnotes" Target="footnotes.xml"/><Relationship Id="rId9" Type="http://schemas.openxmlformats.org/officeDocument/2006/relationships/hyperlink" Target="https://jurnal.integrasisainsmedia.co.id/index.php/JISSBD/article/download/142/139" TargetMode="External"/><Relationship Id="rId14" Type="http://schemas.openxmlformats.org/officeDocument/2006/relationships/hyperlink" Target="https://doi.org/10.1108/IJLM-07-2020-0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Nabeel</dc:creator>
  <cp:keywords/>
  <dc:description/>
  <cp:lastModifiedBy>koko</cp:lastModifiedBy>
  <cp:revision>2</cp:revision>
  <dcterms:created xsi:type="dcterms:W3CDTF">2026-06-11T12:40:00Z</dcterms:created>
  <dcterms:modified xsi:type="dcterms:W3CDTF">2026-06-11T12:40:00Z</dcterms:modified>
</cp:coreProperties>
</file>