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rPr>
      </w:pPr>
      <w:r>
        <w:rPr>
          <w:rFonts w:ascii="Times New Roman" w:hAnsi="Times New Roman"/>
          <w:b w:val="1"/>
          <w:bCs w:val="1"/>
          <w:rtl w:val="0"/>
          <w:lang w:val="en-US"/>
        </w:rPr>
        <w:t>A Comparative Analysis of the Namibia English Second Language Syllabus for Grades 4-7: From NIED 2015 to NIED 2023</w:t>
      </w:r>
    </w:p>
    <w:p>
      <w:pPr>
        <w:pStyle w:val="Body"/>
        <w:jc w:val="center"/>
        <w:rPr>
          <w:rFonts w:ascii="Times New Roman" w:cs="Times New Roman" w:hAnsi="Times New Roman" w:eastAsia="Times New Roman"/>
        </w:rPr>
      </w:pPr>
      <w:r>
        <w:rPr>
          <w:rFonts w:ascii="Times New Roman" w:hAnsi="Times New Roman"/>
          <w:rtl w:val="0"/>
        </w:rPr>
        <w:t/>
      </w:r>
    </w:p>
    <w:p>
      <w:pPr>
        <w:pStyle w:val="Body"/>
        <w:jc w:val="center"/>
        <w:rPr>
          <w:rFonts w:ascii="Times New Roman" w:cs="Times New Roman" w:hAnsi="Times New Roman" w:eastAsia="Times New Roman"/>
          <w:i w:val="1"/>
          <w:iCs w:val="1"/>
        </w:rPr>
      </w:pPr>
      <w:r>
        <w:rPr>
          <w:rFonts w:ascii="Times New Roman" w:hAnsi="Times New Roman"/>
          <w:i w:val="1"/>
          <w:iCs w:val="1"/>
          <w:rtl w:val="0"/>
          <w:lang w:val="en-US"/>
        </w:rPr>
        <w:t/>
      </w:r>
    </w:p>
    <w:p>
      <w:pPr>
        <w:pStyle w:val="Body"/>
        <w:jc w:val="center"/>
        <w:rPr>
          <w:rFonts w:ascii="Times New Roman" w:cs="Times New Roman" w:hAnsi="Times New Roman" w:eastAsia="Times New Roman"/>
        </w:rPr>
      </w:pPr>
      <w:r>
        <w:rPr>
          <w:rFonts w:ascii="Times New Roman" w:hAnsi="Times New Roman"/>
          <w:i w:val="1"/>
          <w:iCs w:val="1"/>
          <w:rtl w:val="0"/>
          <w:lang w:val="en-US"/>
        </w:rPr>
        <w:t/>
      </w:r>
    </w:p>
    <w:p>
      <w:pPr>
        <w:pStyle w:val="Body"/>
        <w:jc w:val="center"/>
        <w:rPr>
          <w:rFonts w:ascii="Times New Roman" w:cs="Times New Roman" w:hAnsi="Times New Roman" w:eastAsia="Times New Roman"/>
          <w:i w:val="1"/>
          <w:iCs w:val="1"/>
        </w:rPr>
      </w:pPr>
    </w:p>
    <w:p>
      <w:pPr>
        <w:pStyle w:val="Body"/>
        <w:jc w:val="both"/>
        <w:rPr>
          <w:rFonts w:ascii="Times New Roman" w:cs="Times New Roman" w:hAnsi="Times New Roman" w:eastAsia="Times New Roman"/>
        </w:rPr>
      </w:pPr>
      <w:r>
        <w:rPr>
          <w:rFonts w:ascii="Times New Roman" w:cs="Times New Roman" w:hAnsi="Times New Roman" w:eastAsia="Times New Roman"/>
        </w:rPr>
        <w:br w:type="textWrapping"/>
        <w:br w:type="textWrapping"/>
      </w:r>
      <w:r>
        <w:rPr>
          <w:rFonts w:ascii="Times New Roman" w:hAnsi="Times New Roman"/>
          <w:b w:val="1"/>
          <w:bCs w:val="1"/>
          <w:rtl w:val="0"/>
          <w:lang w:val="en-US"/>
        </w:rPr>
        <w:t/>
      </w:r>
      <w:r>
        <w:rPr>
          <w:rFonts w:ascii="Times New Roman" w:cs="Times New Roman" w:hAnsi="Times New Roman" w:eastAsia="Times New Roman"/>
        </w:rPr>
        <w:br w:type="textWrapping"/>
      </w:r>
      <w:r>
        <w:rPr>
          <w:rFonts w:ascii="Times New Roman" w:hAnsi="Times New Roman"/>
          <w:rtl w:val="0"/>
          <w:lang w:val="en-US"/>
        </w:rPr>
        <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i w:val="1"/>
          <w:iCs w:val="1"/>
        </w:rPr>
      </w:pPr>
      <w:r>
        <w:rPr>
          <w:rFonts w:ascii="Times New Roman" w:hAnsi="Times New Roman"/>
          <w:b w:val="1"/>
          <w:bCs w:val="1"/>
          <w:rtl w:val="0"/>
          <w:lang w:val="en-US"/>
        </w:rPr>
        <w:t/>
      </w:r>
      <w:r>
        <w:rPr>
          <w:rFonts w:ascii="Times New Roman" w:hAnsi="Times New Roman"/>
          <w:rtl w:val="0"/>
        </w:rPr>
        <w:t xml:space="preserve"/>
      </w:r>
      <w:r>
        <w:rPr>
          <w:rFonts w:ascii="Times New Roman" w:hAnsi="Times New Roman"/>
          <w:i w:val="1"/>
          <w:iCs w:val="1"/>
          <w:rtl w:val="0"/>
          <w:lang w:val="en-US"/>
        </w:rPr>
        <w:t/>
      </w:r>
    </w:p>
    <w:p>
      <w:pPr>
        <w:pStyle w:val="Body"/>
        <w:jc w:val="both"/>
        <w:rPr>
          <w:rFonts w:ascii="Times New Roman" w:cs="Times New Roman" w:hAnsi="Times New Roman" w:eastAsia="Times New Roman"/>
          <w:i w:val="1"/>
          <w:iCs w:val="1"/>
        </w:rPr>
        <w:sectPr>
          <w:headerReference w:type="default" r:id="rId4"/>
          <w:footerReference w:type="default" r:id="rId5"/>
          <w:pgSz w:w="11900" w:h="16840" w:orient="portrait"/>
          <w:pgMar w:top="1440" w:right="1440" w:bottom="1440" w:left="1440" w:header="708" w:footer="708"/>
          <w:bidi w:val="0"/>
        </w:sectPr>
      </w:pPr>
      <w:r>
        <w:rPr>
          <w:rFonts w:ascii="Times New Roman" w:cs="Times New Roman" w:hAnsi="Times New Roman" w:eastAsia="Times New Roman"/>
          <w:i w:val="1"/>
          <w:iCs w:val="1"/>
        </w:rPr>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b w:val="1"/>
          <w:bCs w:val="1"/>
        </w:rPr>
      </w:pPr>
      <w:r>
        <w:rPr>
          <w:rFonts w:ascii="Times New Roman" w:cs="Times New Roman" w:hAnsi="Times New Roman" w:eastAsia="Times New Roman"/>
        </w:rPr>
        <w:br w:type="textWrapping"/>
      </w:r>
      <w:r>
        <w:rPr>
          <w:rFonts w:ascii="Times New Roman" w:hAnsi="Times New Roman"/>
          <w:b w:val="1"/>
          <w:bCs w:val="1"/>
          <w:rtl w:val="0"/>
          <w:lang w:val="fr-FR"/>
        </w:rPr>
        <w:t>1. Introduction</w:t>
      </w:r>
    </w:p>
    <w:p>
      <w:pPr>
        <w:pStyle w:val="Body"/>
        <w:jc w:val="both"/>
        <w:rPr>
          <w:rFonts w:ascii="Times New Roman" w:cs="Times New Roman" w:hAnsi="Times New Roman" w:eastAsia="Times New Roman"/>
        </w:rPr>
      </w:pPr>
      <w:r>
        <w:rPr>
          <w:rFonts w:ascii="Times New Roman" w:hAnsi="Times New Roman"/>
          <w:rtl w:val="0"/>
          <w:lang w:val="en-US"/>
        </w:rPr>
        <w:t>Since independence in 1990, Namibia has undertaken several educational reforms aimed at improving educational quality, promoting equity, and aligning schooling with national development priorities. Curriculum reform has remained central to these efforts because education is widely viewed as a critical instrument for social transformation, economic development, and nation-building (Matiki et al., 2023; Priestley et al., 2021). These reforms have increasingly reflected global shifts towards learner-centred and competency-based education, which emphasise the development of critical thinking, problem-solving, communication, and lifelong learning competencies (Maringe &amp; Chiramba, 2023; Awuonda et al., 2023). Within Namibia, the National Institute for Educational Development (NIED) has been mandated to spearhead curriculum review and development across all phases of basic education, ensuring that curricula remain responsive to changing educational and societal needs.</w:t>
      </w:r>
    </w:p>
    <w:p>
      <w:pPr>
        <w:pStyle w:val="Body"/>
        <w:jc w:val="both"/>
        <w:rPr>
          <w:rFonts w:ascii="Times New Roman" w:cs="Times New Roman" w:hAnsi="Times New Roman" w:eastAsia="Times New Roman"/>
        </w:rPr>
      </w:pPr>
      <w:r>
        <w:rPr>
          <w:rFonts w:ascii="Times New Roman" w:hAnsi="Times New Roman"/>
          <w:rtl w:val="0"/>
          <w:lang w:val="en-US"/>
        </w:rPr>
        <w:t>The English Second Language (ESL) curriculum occupies a particularly significant position within the Namibian education system because English serves as both the official language and the principal medium of instruction from Grade 4 onwards. Consequently, learners' proficiency in English directly influences their academic achievement across all school subjects, as well as their future educational and socio-economic opportunities (Muzata &amp; Kapembwa, 2023). The Senior Primary Phase (Grades 4-7) is especially critical because it marks the transition from mother-tongue instruction in the Junior Primary Phase to English-medium instruction across the curriculum. During this transition, the ESL syllabus carries the dual responsibility of developing learners' communicative competence while simultaneously fostering cognitive academic language proficiency necessary for learning across disciplines (Rahman &amp; Pandian, 2023; Orafi, 2023). The overarching aim of the curriculum is therefore to develop learners who can use English confidently, accurately, and appropriately for academic, social, and personal purposes.</w:t>
      </w:r>
    </w:p>
    <w:p>
      <w:pPr>
        <w:pStyle w:val="Body"/>
        <w:jc w:val="both"/>
        <w:rPr>
          <w:rFonts w:ascii="Times New Roman" w:cs="Times New Roman" w:hAnsi="Times New Roman" w:eastAsia="Times New Roman"/>
        </w:rPr>
      </w:pPr>
      <w:r>
        <w:rPr>
          <w:rFonts w:ascii="Times New Roman" w:hAnsi="Times New Roman"/>
          <w:rtl w:val="0"/>
          <w:lang w:val="en-US"/>
        </w:rPr>
        <w:t>In response to changing educational priorities and contemporary pedagogical developments, NIED revised the Senior Primary Phase English Second Language syllabus in 2023 for implementation beginning in 2024. The revised syllabus introduces notable changes relating to curriculum philosophy, content organisation, pedagogical orientation, assessment practices, inclusivity, and cross-curricular integration. These changes reflect broader international trends towards competency-based, learner-centred, and inclusive approaches to language education (Atuhura &amp; Nambi, 2024; Maguvhe &amp; Mutambo, 2023). However, curriculum reforms are frequently characterised by tensions between policy intentions and implementation realities, particularly where curriculum development processes are highly centralised and teacher participation is limited (Banda &amp; Mwanza, 2023; Komba &amp; Mwandanji, 2024). In Namibia, curriculum development has historically been described as predominantly top-down, with classroom teachers often participating mainly during implementation rather than during curriculum design and development stages (Matiki et al., 2023).</w:t>
      </w:r>
    </w:p>
    <w:p>
      <w:pPr>
        <w:pStyle w:val="Body"/>
        <w:jc w:val="both"/>
        <w:rPr>
          <w:rFonts w:ascii="Times New Roman" w:cs="Times New Roman" w:hAnsi="Times New Roman" w:eastAsia="Times New Roman"/>
        </w:rPr>
      </w:pPr>
      <w:r>
        <w:rPr>
          <w:rFonts w:ascii="Times New Roman" w:hAnsi="Times New Roman"/>
          <w:rtl w:val="0"/>
          <w:lang w:val="en-US"/>
        </w:rPr>
        <w:t>Despite the significance of the 2023 curriculum revision, limited empirical research has systematically examined how the revised syllabus differs from the 2015 ESL syllabus in terms of curriculum aims, content structure, pedagogical approaches, and assessment practices. Existing studies have focused largely on curriculum implementation challenges and teacher involvement in curriculum processes rather than on comparative analyses of successive curriculum documents (Matiki et al., 2023). Consequently, limited scholarly evidence exists regarding the nature and implications of changes reflected in the revised syllabus. This study therefore conducts a comparative analysis of the 2015 and 2023 Senior Primary Phase English Second Language syllabi in order to illuminate evolving priorities within Namibian basic education and identify implications for curriculum policy and practice.</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b w:val="1"/>
          <w:bCs w:val="1"/>
        </w:rPr>
      </w:pPr>
    </w:p>
    <w:p>
      <w:pPr>
        <w:pStyle w:val="Body"/>
        <w:jc w:val="both"/>
        <w:rPr>
          <w:rFonts w:ascii="Times New Roman" w:cs="Times New Roman" w:hAnsi="Times New Roman" w:eastAsia="Times New Roman"/>
        </w:rPr>
      </w:pPr>
      <w:r>
        <w:rPr>
          <w:rFonts w:ascii="Times New Roman" w:hAnsi="Times New Roman"/>
          <w:b w:val="1"/>
          <w:bCs w:val="1"/>
          <w:rtl w:val="0"/>
          <w:lang w:val="en-US"/>
        </w:rPr>
        <w:t>2.  Literature Review</w:t>
      </w:r>
    </w:p>
    <w:p>
      <w:pPr>
        <w:pStyle w:val="Body"/>
        <w:jc w:val="both"/>
        <w:rPr>
          <w:rFonts w:ascii="Times New Roman" w:cs="Times New Roman" w:hAnsi="Times New Roman" w:eastAsia="Times New Roman"/>
        </w:rPr>
      </w:pPr>
      <w:r>
        <w:rPr>
          <w:rFonts w:ascii="Times New Roman" w:hAnsi="Times New Roman"/>
          <w:rtl w:val="0"/>
          <w:lang w:val="en-US"/>
        </w:rPr>
        <w:t>Curriculum reform remains a major strategy for improving educational quality and ensuring that education systems respond to changing social, economic, and technological realities. Contemporary reforms increasingly emphasise the development of competencies such as critical thinking, creativity, communication, and problem-solving rather than the mere acquisition of factual knowledge (Maringe &amp; Chiramba, 2023). However, scholars differ regarding how curriculum reform should be conceptualised and implemented. Some scholars view curriculum reform as a socially negotiated process involving teachers, learners, communities, and policymakers (Priestley et al., 2021; Biesta, 2022; Carl, 2017). In contrast, other scholars argue that centrally driven reforms are necessary to ensure national coherence and quality assurance across education systems (Fullan, 2020). Evidence from developing countries nevertheless indicates that reforms often fail when curriculum intentions are insufficiently aligned with classroom realities (Komba &amp; Mwandanji, 2024).</w:t>
      </w:r>
    </w:p>
    <w:p>
      <w:pPr>
        <w:pStyle w:val="Body"/>
        <w:jc w:val="both"/>
        <w:rPr>
          <w:rFonts w:ascii="Times New Roman" w:cs="Times New Roman" w:hAnsi="Times New Roman" w:eastAsia="Times New Roman"/>
        </w:rPr>
      </w:pPr>
      <w:r>
        <w:rPr>
          <w:rFonts w:ascii="Times New Roman" w:hAnsi="Times New Roman"/>
          <w:rtl w:val="0"/>
          <w:lang w:val="en-US"/>
        </w:rPr>
        <w:t>Teacher involvement in curriculum development remains one of the most debated issues within curriculum scholarship. Teachers possess firsthand knowledge of learner needs and classroom challenges, making their participation potentially valuable during curriculum design (Carl, 2017). Research has shown that teacher involvement enhances ownership of reforms and strengthens implementation commitment (Banda &amp; Mwanza, 2023). Curriculum decisions that incorporate teachers' experiences are also more likely to reflect contextual realities and reduce disparities between intended and enacted curricula (Matiki et al., 2023). Despite these benefits, curriculum development in many developing countries continues to follow predominantly top-down approaches in which teachers participate minimally or only during implementation stages (Komba &amp; Mwandanji, 2024). Debate therefore persists regarding the extent to which teachers should participate in curriculum development processes.</w:t>
      </w:r>
    </w:p>
    <w:p>
      <w:pPr>
        <w:pStyle w:val="Body"/>
        <w:jc w:val="both"/>
        <w:rPr>
          <w:rFonts w:ascii="Times New Roman" w:cs="Times New Roman" w:hAnsi="Times New Roman" w:eastAsia="Times New Roman"/>
        </w:rPr>
      </w:pPr>
      <w:r>
        <w:rPr>
          <w:rFonts w:ascii="Times New Roman" w:hAnsi="Times New Roman"/>
          <w:rtl w:val="0"/>
          <w:lang w:val="en-US"/>
        </w:rPr>
        <w:t>Competency-Based Education (CBE) has become a dominant feature of contemporary curriculum reforms worldwide. Proponents argue that competency-based curricula shift educational emphasis from content coverage towards knowledge application, practical skills, and problem-solving abilities (Awuonda et al., 2023). Such curricula are considered more relevant because they prepare learners for lifelong learning and changing labour market demands (Musingafi &amp; Mhute, 2022). However, competency-based approaches have also attracted criticism. Some scholars argue that CBE may overemphasise measurable outcomes while neglecting broader educational purposes such as democratic participation and personal development (Biesta, 2022). Others question the feasibility of implementing CBE in resource-constrained contexts because such reforms require extensive teacher preparation, innovative assessment systems, and adequate instructional resources (Atuhura &amp; Nambi, 2024).</w:t>
      </w:r>
    </w:p>
    <w:p>
      <w:pPr>
        <w:pStyle w:val="Body"/>
        <w:jc w:val="both"/>
        <w:rPr>
          <w:rFonts w:ascii="Times New Roman" w:cs="Times New Roman" w:hAnsi="Times New Roman" w:eastAsia="Times New Roman"/>
        </w:rPr>
      </w:pPr>
      <w:r>
        <w:rPr>
          <w:rFonts w:ascii="Times New Roman" w:hAnsi="Times New Roman"/>
          <w:rtl w:val="0"/>
          <w:lang w:val="en-US"/>
        </w:rPr>
        <w:t>Reforms in English Second Language (ESL) education have similarly shifted from traditional grammar-based instruction towards communicative and learner-centred approaches. Contemporary language education increasingly emphasises meaningful communication, authentic language use, and the integration of listening, speaking, reading, and writing skills (Orafi, 2023). Learner-centred pedagogies are widely regarded as effective because they encourage active participation and meaningful language interaction (Lestari et al., 2024). Nevertheless, scholars disagree regarding the extent to which communicative approaches can be effectively implemented across diverse educational contexts. Some scholars argue that communicative language teaching significantly improves learner engagement and language proficiency (Orafi, 2023; Lestari et al., 2024). Conversely, other scholars contend that implementation remains constrained by large class sizes, inadequate instructional resources, and examination-oriented systems (Rahman &amp; Pandian, 2023; Nyikadzino, 2023).</w:t>
      </w:r>
    </w:p>
    <w:p>
      <w:pPr>
        <w:pStyle w:val="Body"/>
        <w:jc w:val="both"/>
        <w:rPr>
          <w:rFonts w:ascii="Times New Roman" w:cs="Times New Roman" w:hAnsi="Times New Roman" w:eastAsia="Times New Roman"/>
        </w:rPr>
      </w:pPr>
      <w:r>
        <w:rPr>
          <w:rFonts w:ascii="Times New Roman" w:hAnsi="Times New Roman"/>
          <w:rtl w:val="0"/>
          <w:lang w:val="en-US"/>
        </w:rPr>
        <w:t>Assessment practices have also undergone substantial reform in contemporary curricula. Traditional assessment approaches have frequently been criticised for emphasising knowledge recall and high-stakes examinations (Musingafi &amp; Mhute, 2022). Consequently, many education systems now advocate continuous and competency-based assessment approaches designed to support learning throughout the instructional process (Awuonda et al., 2023). Continuous assessment is considered beneficial because it provides ongoing feedback and informs instructional decision-making (Musingafi &amp; Mhute, 2022). However, scholars remain divided regarding the practicality of competency-based assessment. Some researchers argue that performance-based assessment enhances the measurement of learner competencies (Awuonda et al., 2023). Other researchers contend that such approaches increase teachers' administrative workload and require sophisticated assessment literacy that many teachers may lack (Atuhura &amp; Nambi, 2024).</w:t>
      </w:r>
    </w:p>
    <w:p>
      <w:pPr>
        <w:pStyle w:val="Body"/>
        <w:jc w:val="both"/>
        <w:rPr>
          <w:rFonts w:ascii="Times New Roman" w:cs="Times New Roman" w:hAnsi="Times New Roman" w:eastAsia="Times New Roman"/>
        </w:rPr>
      </w:pPr>
      <w:r>
        <w:rPr>
          <w:rFonts w:ascii="Times New Roman" w:hAnsi="Times New Roman"/>
          <w:rtl w:val="0"/>
          <w:lang w:val="en-US"/>
        </w:rPr>
        <w:t>Inclusive education has emerged as another prominent feature of contemporary language curricula. Growing recognition of learner diversity has led curriculum developers to incorporate differentiated instruction, flexible assessment, and supportive learning environments within curriculum frameworks (Maguvhe &amp; Mutambo, 2023). Inclusive pedagogies are generally associated with improved learner participation and equitable educational opportunities (Muzata &amp; Kapembwa, 2023). Despite widespread policy support, implementation challenges remain substantial. Many schools continue to experience shortages of specialised resources, trained personnel, and institutional support required for effective inclusion (Chitiyo &amp; Dzvimbo, 2024). Consequently, scholars argue that inclusive education frequently remains a policy aspiration rather than a classroom reality, particularly within resource-constrained educational systems (Maguvhe &amp; Mutambo, 2023).</w:t>
      </w:r>
    </w:p>
    <w:p>
      <w:pPr>
        <w:pStyle w:val="Body"/>
        <w:jc w:val="both"/>
        <w:rPr>
          <w:rFonts w:ascii="Times New Roman" w:cs="Times New Roman" w:hAnsi="Times New Roman" w:eastAsia="Times New Roman"/>
        </w:rPr>
      </w:pPr>
      <w:r>
        <w:rPr>
          <w:rFonts w:ascii="Times New Roman" w:hAnsi="Times New Roman"/>
          <w:rtl w:val="0"/>
          <w:lang w:val="en-US"/>
        </w:rPr>
        <w:t>The reviewed literature demonstrates broad support for curriculum reforms that promote competency development, learner-centred pedagogies, communicative language teaching, inclusive education, and continuous assessment. However, substantial debates persist regarding curriculum development processes, teacher participation, the practicality of competency-based approaches, and the implementation of curriculum reforms in resource-constrained contexts. Furthermore, although these issues have received considerable scholarly attention internationally and within Africa, limited research has comparatively examined how recent curriculum reforms in Namibia reflect these developments. Existing Namibian studies have focused primarily on curriculum implementation rather than analysing changes in curriculum philosophy, content organisation, pedagogy, inclusivity, and assessment across successive ESL syllabus documents (Matiki et al., 2023). This gap necessitates a comparative analysis of the 2015 and 2023 Namibian English Second Language syllabi to illuminate evolving curriculum priorities and their implications for policy and practice.</w:t>
      </w:r>
    </w:p>
    <w:p>
      <w:pPr>
        <w:pStyle w:val="Body"/>
        <w:jc w:val="both"/>
        <w:rPr>
          <w:rFonts w:ascii="Times New Roman" w:cs="Times New Roman" w:hAnsi="Times New Roman" w:eastAsia="Times New Roman"/>
        </w:rPr>
      </w:pPr>
      <w:r>
        <w:rPr>
          <w:rFonts w:ascii="Times New Roman" w:hAnsi="Times New Roman"/>
          <w:b w:val="1"/>
          <w:bCs w:val="1"/>
          <w:rtl w:val="0"/>
          <w:lang w:val="en-US"/>
        </w:rPr>
        <w:t>3. Theoretical Framework</w:t>
      </w:r>
    </w:p>
    <w:p>
      <w:pPr>
        <w:pStyle w:val="Body"/>
        <w:jc w:val="both"/>
        <w:rPr>
          <w:rFonts w:ascii="Times New Roman" w:cs="Times New Roman" w:hAnsi="Times New Roman" w:eastAsia="Times New Roman"/>
        </w:rPr>
      </w:pPr>
      <w:r>
        <w:rPr>
          <w:rFonts w:ascii="Times New Roman" w:hAnsi="Times New Roman"/>
          <w:rtl w:val="0"/>
          <w:lang w:val="en-US"/>
        </w:rPr>
        <w:t>This study was anchored in Constructivist Theory, Socio-cultural Theory, and the Competency-Based Education (CBE) framework. These perspectives were considered appropriate because they reflected the philosophical and pedagogical orientations underpinning the 2015 and 2023 Namibian English Second Language (ESL) syllabi.</w:t>
      </w:r>
    </w:p>
    <w:p>
      <w:pPr>
        <w:pStyle w:val="Body"/>
        <w:jc w:val="both"/>
        <w:rPr>
          <w:rFonts w:ascii="Times New Roman" w:cs="Times New Roman" w:hAnsi="Times New Roman" w:eastAsia="Times New Roman"/>
        </w:rPr>
      </w:pPr>
      <w:r>
        <w:rPr>
          <w:rFonts w:ascii="Times New Roman" w:hAnsi="Times New Roman"/>
          <w:rtl w:val="0"/>
          <w:lang w:val="en-US"/>
        </w:rPr>
        <w:t>Constructivist Theory, largely associated with Piaget, posits that learners actively construct knowledge through interaction with their environment rather than passively receiving information from teachers (Piaget, 1972). Learning is therefore viewed as an active process involving inquiry, reflection, problem-solving, and experiential engagement. This theory was relevant to the study because the revised 2023 ESL syllabus emphasised learner-centred teaching, critical thinking, independent learning, and active learner participation. The theory enabled the study to examine the extent to which the two syllabi promoted active knowledge construction and learner autonomy.</w:t>
      </w:r>
    </w:p>
    <w:p>
      <w:pPr>
        <w:pStyle w:val="Body"/>
        <w:jc w:val="both"/>
        <w:rPr>
          <w:rFonts w:ascii="Times New Roman" w:cs="Times New Roman" w:hAnsi="Times New Roman" w:eastAsia="Times New Roman"/>
        </w:rPr>
      </w:pPr>
      <w:r>
        <w:rPr>
          <w:rFonts w:ascii="Times New Roman" w:hAnsi="Times New Roman"/>
          <w:rtl w:val="0"/>
          <w:lang w:val="en-US"/>
        </w:rPr>
        <w:t>Socio-cultural Theory, advanced by Vygotsky, emphasises that learning occurs through social interaction and is mediated by language, culture, and collaboration with others (Vygotsky, 1978). From this perspective, language serves both as a medium of communication and a tool for cognitive development. The theory was considered appropriate because the Namibian ESL curriculum emphasised communicative competence, collaborative learning, and the use of English as a medium for learning across subjects. It therefore provided a useful lens for analysing how the syllabi conceptualised language learning as a socially situated process.</w:t>
      </w:r>
    </w:p>
    <w:p>
      <w:pPr>
        <w:pStyle w:val="Body"/>
        <w:jc w:val="both"/>
        <w:rPr>
          <w:rFonts w:ascii="Times New Roman" w:cs="Times New Roman" w:hAnsi="Times New Roman" w:eastAsia="Times New Roman"/>
        </w:rPr>
      </w:pPr>
      <w:r>
        <w:rPr>
          <w:rFonts w:ascii="Times New Roman" w:hAnsi="Times New Roman"/>
          <w:rtl w:val="0"/>
          <w:lang w:val="en-US"/>
        </w:rPr>
        <w:t>The Competency-Based Education framework focuses on what learners are able to demonstrate and apply rather than merely what they know. It emphasises practical skills, knowledge application, and performance-based assessment (Awuonda et al., 2023). The framework was particularly relevant because the 2023 syllabus was explicitly organised around end-of-phase competencies and competency-based assessment practices. It enabled the study to assess the extent to which the revised curriculum shifted from content coverage towards competency development.</w:t>
      </w:r>
    </w:p>
    <w:p>
      <w:pPr>
        <w:pStyle w:val="Body"/>
        <w:jc w:val="both"/>
        <w:rPr>
          <w:rFonts w:ascii="Times New Roman" w:cs="Times New Roman" w:hAnsi="Times New Roman" w:eastAsia="Times New Roman"/>
        </w:rPr>
      </w:pPr>
      <w:r>
        <w:rPr>
          <w:rFonts w:ascii="Times New Roman" w:hAnsi="Times New Roman"/>
          <w:rtl w:val="0"/>
          <w:lang w:val="en-US"/>
        </w:rPr>
        <w:t>Collectively, the three theoretical perspectives provided a comprehensive analytical lens for examining shifts in curriculum philosophy, pedagogical orientation, competency development, and assessment practices reflected in the 2015 and 2023 Namibian ESL syllabi, while also illuminating how the curriculum sought to develop linguistically proficient, critically engaged, and socially responsible learners.</w:t>
      </w:r>
    </w:p>
    <w:p>
      <w:pPr>
        <w:pStyle w:val="Body"/>
        <w:jc w:val="both"/>
        <w:rPr>
          <w:rFonts w:ascii="Times New Roman" w:cs="Times New Roman" w:hAnsi="Times New Roman" w:eastAsia="Times New Roman"/>
        </w:rPr>
      </w:pPr>
      <w:r>
        <w:rPr>
          <w:rFonts w:ascii="Times New Roman" w:hAnsi="Times New Roman"/>
          <w:rtl w:val="0"/>
        </w:rPr>
        <w:t>Methodology</w:t>
      </w:r>
      <w:r>
        <w:rPr>
          <w:rFonts w:ascii="Times New Roman" w:cs="Times New Roman" w:hAnsi="Times New Roman" w:eastAsia="Times New Roman"/>
        </w:rPr>
        <w:br w:type="textWrapping"/>
        <w:br w:type="textWrapping"/>
      </w:r>
      <w:r>
        <w:rPr>
          <w:rFonts w:ascii="Times New Roman" w:hAnsi="Times New Roman"/>
          <w:rtl w:val="0"/>
          <w:lang w:val="en-US"/>
        </w:rPr>
        <w:t>This study adopted a qualitative document analysis design to compare the 2015 and 2023 Namibian English Second Language (ESL) syllabi for Grades 4-7. A qualitative approach was appropriate because the study sought to examine changes in curriculum philosophy, content organisation, pedagogical orientation, and assessment practices rather than measure numerical trends. Document analysis is widely recognised as a suitable method for examining educational policies and curriculum texts because it enables researchers to identify patterns, meanings, and shifts within official documents (Merriam &amp; Tisdell, 2022). The study further adopted a comparative case study design, treating each syllabus as a separate case for analysis. This design facilitated a systematic examination of similarities and differences between the two curriculum documents and provided insight into the direction of curriculum reform within the Namibian education system (Yin, 2022).</w:t>
      </w:r>
    </w:p>
    <w:p>
      <w:pPr>
        <w:pStyle w:val="Body"/>
        <w:jc w:val="both"/>
        <w:rPr>
          <w:rFonts w:ascii="Times New Roman" w:cs="Times New Roman" w:hAnsi="Times New Roman" w:eastAsia="Times New Roman"/>
        </w:rPr>
      </w:pPr>
      <w:r>
        <w:rPr>
          <w:rFonts w:ascii="Times New Roman" w:hAnsi="Times New Roman"/>
          <w:rtl w:val="0"/>
          <w:lang w:val="en-US"/>
        </w:rPr>
        <w:t xml:space="preserve">The primary sources of data were the </w:t>
      </w:r>
      <w:r>
        <w:rPr>
          <w:rFonts w:ascii="Times New Roman" w:hAnsi="Times New Roman"/>
          <w:i w:val="1"/>
          <w:iCs w:val="1"/>
          <w:rtl w:val="0"/>
          <w:lang w:val="en-US"/>
        </w:rPr>
        <w:t>Namibia Senior Primary Phase: English Second Language Syllabus Grades 4-7</w:t>
      </w:r>
      <w:r>
        <w:rPr>
          <w:rFonts w:ascii="Times New Roman" w:hAnsi="Times New Roman"/>
          <w:rtl w:val="0"/>
          <w:lang w:val="en-US"/>
        </w:rPr>
        <w:t xml:space="preserve"> published by the National Institute for Educational Development (NIED) in 2015 and the revised version published in 2023. These documents were selected because they represent the official curriculum frameworks guiding ESL teaching and learning in Namibian senior primary schools. The analysis focused on key curriculum components, namely curriculum aims and rationale, content structure and organisation, pedagogical approaches, language content, and assessment practices. Both syllabi were read repeatedly to develop a comprehensive understanding of their content before a systematic comparison was undertaken across these analytical categories. This process enabled the identification of areas of continuity, change, and curriculum innovation across the two syllabus versions.</w:t>
      </w:r>
    </w:p>
    <w:p>
      <w:pPr>
        <w:pStyle w:val="Body"/>
        <w:jc w:val="both"/>
        <w:rPr>
          <w:rFonts w:ascii="Times New Roman" w:cs="Times New Roman" w:hAnsi="Times New Roman" w:eastAsia="Times New Roman"/>
        </w:rPr>
      </w:pPr>
      <w:r>
        <w:rPr>
          <w:rFonts w:ascii="Times New Roman" w:hAnsi="Times New Roman"/>
          <w:rtl w:val="0"/>
          <w:lang w:val="en-US"/>
        </w:rPr>
        <w:t>Data were analysed through comparative content analysis. Information from each syllabus was organised according to the identified analytical categories and examined across the two documents. Similarities and differences were subsequently synthesised into broader themes reflecting major curriculum developments. To enhance trustworthiness, the study employed analyst reflexivity and peer review. The researcher remained conscious of potential biases throughout the analytical process, while an experienced curriculum scholar reviewed the analytical framework and interpretations to ensure consistency and credibility. Such strategies strengthened the dependability and confirmability of findings in qualitative document-based research (Creswell &amp; Creswell, 2022).</w:t>
      </w:r>
    </w:p>
    <w:p>
      <w:pPr>
        <w:pStyle w:val="Body"/>
        <w:jc w:val="both"/>
        <w:rPr>
          <w:rFonts w:ascii="Times New Roman" w:cs="Times New Roman" w:hAnsi="Times New Roman" w:eastAsia="Times New Roman"/>
        </w:rPr>
      </w:pPr>
      <w:r>
        <w:rPr>
          <w:rFonts w:ascii="Times New Roman" w:hAnsi="Times New Roman"/>
          <w:b w:val="1"/>
          <w:bCs w:val="1"/>
          <w:rtl w:val="0"/>
          <w:lang w:val="en-US"/>
        </w:rPr>
        <w:t>4. Findings</w:t>
      </w:r>
    </w:p>
    <w:p>
      <w:pPr>
        <w:pStyle w:val="Body"/>
        <w:jc w:val="both"/>
        <w:rPr>
          <w:rFonts w:ascii="Times New Roman" w:cs="Times New Roman" w:hAnsi="Times New Roman" w:eastAsia="Times New Roman"/>
        </w:rPr>
      </w:pPr>
      <w:r>
        <w:rPr>
          <w:rFonts w:ascii="Times New Roman" w:hAnsi="Times New Roman"/>
          <w:rtl w:val="0"/>
          <w:lang w:val="en-US"/>
        </w:rPr>
        <w:t>The comparative analysis revealed both continuity and significant changes between the 2015 and 2023 Namibian English Second Language (ESL) syllabi for Grades 4-7. While both documents retained similar overarching goals concerning the role of English in national development and academic achievement, notable differences emerged in curriculum philosophy, pedagogical orientation, inclusivity, assessment practices, and teacher support mechanisms.</w:t>
      </w:r>
    </w:p>
    <w:p>
      <w:pPr>
        <w:pStyle w:val="Body"/>
        <w:jc w:val="both"/>
        <w:rPr>
          <w:rFonts w:ascii="Times New Roman" w:cs="Times New Roman" w:hAnsi="Times New Roman" w:eastAsia="Times New Roman"/>
          <w:b w:val="1"/>
          <w:bCs w:val="1"/>
        </w:rPr>
      </w:pPr>
      <w:r>
        <w:rPr>
          <w:rFonts w:ascii="Times New Roman" w:hAnsi="Times New Roman"/>
          <w:b w:val="1"/>
          <w:bCs w:val="1"/>
          <w:rtl w:val="0"/>
          <w:lang w:val="en-US"/>
        </w:rPr>
        <w:t>4.1 Curriculum Philosophy, Structure and Cross-Curricular Integration</w:t>
      </w:r>
    </w:p>
    <w:p>
      <w:pPr>
        <w:pStyle w:val="Body"/>
        <w:jc w:val="both"/>
        <w:rPr>
          <w:rFonts w:ascii="Times New Roman" w:cs="Times New Roman" w:hAnsi="Times New Roman" w:eastAsia="Times New Roman"/>
        </w:rPr>
      </w:pPr>
      <w:r>
        <w:rPr>
          <w:rFonts w:ascii="Times New Roman" w:hAnsi="Times New Roman"/>
          <w:rtl w:val="0"/>
          <w:lang w:val="en-US"/>
        </w:rPr>
        <w:t>Table 1 presents the major similarities and differences relating to curriculum philosophy, organisation, and integration of contemporary issues.</w:t>
      </w:r>
    </w:p>
    <w:p>
      <w:pPr>
        <w:pStyle w:val="Body"/>
        <w:jc w:val="both"/>
        <w:rPr>
          <w:rFonts w:ascii="Times New Roman" w:cs="Times New Roman" w:hAnsi="Times New Roman" w:eastAsia="Times New Roman"/>
        </w:rPr>
      </w:pPr>
      <w:r>
        <w:rPr>
          <w:rFonts w:ascii="Times New Roman" w:hAnsi="Times New Roman"/>
          <w:b w:val="1"/>
          <w:bCs w:val="1"/>
          <w:rtl w:val="0"/>
          <w:lang w:val="en-US"/>
        </w:rPr>
        <w:t>Table 1: Comparison of Curriculum Philosophy, Structure and Cross-Curricular Integration</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35"/>
        <w:gridCol w:w="2693"/>
        <w:gridCol w:w="3070"/>
        <w:gridCol w:w="1818"/>
      </w:tblGrid>
      <w:tr>
        <w:tblPrEx>
          <w:shd w:val="clear" w:color="auto" w:fill="cdd4e9"/>
        </w:tblPrEx>
        <w:trPr>
          <w:trHeight w:val="222" w:hRule="atLeast"/>
        </w:trPr>
        <w:tc>
          <w:tcPr>
            <w:tcW w:type="dxa" w:w="1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sz w:val="20"/>
                <w:szCs w:val="20"/>
                <w:shd w:val="nil" w:color="auto" w:fill="auto"/>
                <w:rtl w:val="0"/>
                <w:lang w:val="en-US"/>
              </w:rPr>
              <w:t>Component</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NIED 2015 Syllabus</w:t>
            </w:r>
          </w:p>
        </w:tc>
        <w:tc>
          <w:tcPr>
            <w:tcW w:type="dxa" w:w="3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NIED 2023 Syllabus</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Major Shift</w:t>
            </w:r>
          </w:p>
        </w:tc>
      </w:tr>
      <w:tr>
        <w:tblPrEx>
          <w:shd w:val="clear" w:color="auto" w:fill="cdd4e9"/>
        </w:tblPrEx>
        <w:trPr>
          <w:trHeight w:val="662" w:hRule="atLeast"/>
        </w:trPr>
        <w:tc>
          <w:tcPr>
            <w:tcW w:type="dxa" w:w="1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Curriculum rationale</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Emphasises communicative competence and English as the medium of instruction</w:t>
            </w:r>
          </w:p>
        </w:tc>
        <w:tc>
          <w:tcPr>
            <w:tcW w:type="dxa" w:w="3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Retains communicative competence while strengthening competency development</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Continuity with expanded focus</w:t>
            </w:r>
          </w:p>
        </w:tc>
      </w:tr>
      <w:tr>
        <w:tblPrEx>
          <w:shd w:val="clear" w:color="auto" w:fill="cdd4e9"/>
        </w:tblPrEx>
        <w:trPr>
          <w:trHeight w:val="662" w:hRule="atLeast"/>
        </w:trPr>
        <w:tc>
          <w:tcPr>
            <w:tcW w:type="dxa" w:w="1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Curriculum organisation</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Structured around language strands (listening, speaking, reading, writing, grammar)</w:t>
            </w:r>
          </w:p>
        </w:tc>
        <w:tc>
          <w:tcPr>
            <w:tcW w:type="dxa" w:w="3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Organised around integrated competencies and end-of-phase outcomes</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Shift towards competency-based curriculum</w:t>
            </w:r>
          </w:p>
        </w:tc>
      </w:tr>
      <w:tr>
        <w:tblPrEx>
          <w:shd w:val="clear" w:color="auto" w:fill="cdd4e9"/>
        </w:tblPrEx>
        <w:trPr>
          <w:trHeight w:val="442" w:hRule="atLeast"/>
        </w:trPr>
        <w:tc>
          <w:tcPr>
            <w:tcW w:type="dxa" w:w="1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Learning outcomes</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General learning objectives</w:t>
            </w:r>
          </w:p>
        </w:tc>
        <w:tc>
          <w:tcPr>
            <w:tcW w:type="dxa" w:w="3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Clearly specified end-of-phase competencies</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Increased outcome orientation</w:t>
            </w:r>
          </w:p>
        </w:tc>
      </w:tr>
      <w:tr>
        <w:tblPrEx>
          <w:shd w:val="clear" w:color="auto" w:fill="cdd4e9"/>
        </w:tblPrEx>
        <w:trPr>
          <w:trHeight w:val="882" w:hRule="atLeast"/>
        </w:trPr>
        <w:tc>
          <w:tcPr>
            <w:tcW w:type="dxa" w:w="1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Cross-curricular issues</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General references to integration</w:t>
            </w:r>
          </w:p>
        </w:tc>
        <w:tc>
          <w:tcPr>
            <w:tcW w:type="dxa" w:w="3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Explicit integration of environmental education, HIV and AIDS, human rights, and population education</w:t>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Greater curriculum integration</w:t>
            </w:r>
          </w:p>
        </w:tc>
      </w:tr>
    </w:tbl>
    <w:p>
      <w:pPr>
        <w:pStyle w:val="Body"/>
        <w:widowControl w:val="0"/>
        <w:spacing w:line="240" w:lineRule="auto"/>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hAnsi="Times New Roman"/>
          <w:rtl w:val="0"/>
          <w:lang w:val="en-US"/>
        </w:rPr>
        <w:t>The analysis established continuity in the overarching rationale of both syllabi, as both emphasised English as the official language and medium of instruction. However, the 2023 syllabus demonstrated a stronger competency orientation through the introduction of integrated competencies and clearly defined end-of-phase outcomes. The revised syllabus also incorporated more explicit cross-curricular themes than the 2015 syllabus.</w:t>
      </w:r>
    </w:p>
    <w:p>
      <w:pPr>
        <w:pStyle w:val="Body"/>
        <w:jc w:val="both"/>
        <w:rPr>
          <w:rFonts w:ascii="Times New Roman" w:cs="Times New Roman" w:hAnsi="Times New Roman" w:eastAsia="Times New Roman"/>
          <w:b w:val="1"/>
          <w:bCs w:val="1"/>
        </w:rPr>
      </w:pPr>
      <w:r>
        <w:rPr>
          <w:rFonts w:ascii="Times New Roman" w:hAnsi="Times New Roman"/>
          <w:b w:val="1"/>
          <w:bCs w:val="1"/>
          <w:rtl w:val="0"/>
          <w:lang w:val="en-US"/>
        </w:rPr>
        <w:t>4.2 Pedagogical Orientation and Inclusivity</w:t>
      </w:r>
    </w:p>
    <w:p>
      <w:pPr>
        <w:pStyle w:val="Body"/>
        <w:jc w:val="both"/>
        <w:rPr>
          <w:rFonts w:ascii="Times New Roman" w:cs="Times New Roman" w:hAnsi="Times New Roman" w:eastAsia="Times New Roman"/>
        </w:rPr>
      </w:pPr>
      <w:r>
        <w:rPr>
          <w:rFonts w:ascii="Times New Roman" w:hAnsi="Times New Roman"/>
          <w:rtl w:val="0"/>
          <w:lang w:val="en-US"/>
        </w:rPr>
        <w:t>Table 2 summarises changes relating to teaching and learning approaches and inclusivity.</w:t>
      </w:r>
    </w:p>
    <w:p>
      <w:pPr>
        <w:pStyle w:val="Body"/>
        <w:jc w:val="both"/>
        <w:rPr>
          <w:rFonts w:ascii="Times New Roman" w:cs="Times New Roman" w:hAnsi="Times New Roman" w:eastAsia="Times New Roman"/>
        </w:rPr>
      </w:pPr>
      <w:r>
        <w:rPr>
          <w:rFonts w:ascii="Times New Roman" w:hAnsi="Times New Roman"/>
          <w:b w:val="1"/>
          <w:bCs w:val="1"/>
          <w:rtl w:val="0"/>
          <w:lang w:val="en-US"/>
        </w:rPr>
        <w:t>Table 2: Comparison of Pedagogical Orientation and Inclusivity</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20"/>
        <w:gridCol w:w="2129"/>
        <w:gridCol w:w="3034"/>
        <w:gridCol w:w="2033"/>
      </w:tblGrid>
      <w:tr>
        <w:tblPrEx>
          <w:shd w:val="clear" w:color="auto" w:fill="cdd4e9"/>
        </w:tblPrEx>
        <w:trPr>
          <w:trHeight w:val="241" w:hRule="atLeast"/>
        </w:trPr>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sz w:val="22"/>
                <w:szCs w:val="22"/>
                <w:shd w:val="nil" w:color="auto" w:fill="auto"/>
                <w:rtl w:val="0"/>
                <w:lang w:val="en-US"/>
              </w:rPr>
              <w:t>Component</w:t>
            </w:r>
          </w:p>
        </w:tc>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2"/>
                <w:szCs w:val="22"/>
                <w:shd w:val="nil" w:color="auto" w:fill="auto"/>
                <w:rtl w:val="0"/>
                <w:lang w:val="en-US"/>
              </w:rPr>
              <w:t>NIED 2015 Syllabus</w:t>
            </w:r>
          </w:p>
        </w:tc>
        <w:tc>
          <w:tcPr>
            <w:tcW w:type="dxa" w:w="3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2"/>
                <w:szCs w:val="22"/>
                <w:shd w:val="nil" w:color="auto" w:fill="auto"/>
                <w:rtl w:val="0"/>
                <w:lang w:val="en-US"/>
              </w:rPr>
              <w:t>NIED 2023 Syllabus</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2"/>
                <w:szCs w:val="22"/>
                <w:shd w:val="nil" w:color="auto" w:fill="auto"/>
                <w:rtl w:val="0"/>
                <w:lang w:val="en-US"/>
              </w:rPr>
              <w:t>Major Shift</w:t>
            </w:r>
          </w:p>
        </w:tc>
      </w:tr>
      <w:tr>
        <w:tblPrEx>
          <w:shd w:val="clear" w:color="auto" w:fill="cdd4e9"/>
        </w:tblPrEx>
        <w:trPr>
          <w:trHeight w:val="721" w:hRule="atLeast"/>
        </w:trPr>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Teaching approach</w:t>
            </w:r>
          </w:p>
        </w:tc>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General learner-centred guidance</w:t>
            </w:r>
          </w:p>
        </w:tc>
        <w:tc>
          <w:tcPr>
            <w:tcW w:type="dxa" w:w="3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Explicit learner-centred pedagogical framework</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Enhanced pedagogical guidance</w:t>
            </w:r>
          </w:p>
        </w:tc>
      </w:tr>
      <w:tr>
        <w:tblPrEx>
          <w:shd w:val="clear" w:color="auto" w:fill="cdd4e9"/>
        </w:tblPrEx>
        <w:trPr>
          <w:trHeight w:val="721" w:hRule="atLeast"/>
        </w:trPr>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Learner participation</w:t>
            </w:r>
          </w:p>
        </w:tc>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Implied active participation</w:t>
            </w:r>
          </w:p>
        </w:tc>
        <w:tc>
          <w:tcPr>
            <w:tcW w:type="dxa" w:w="3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Strong emphasis on collaboration, inquiry, and critical thinking</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Increased learner agency</w:t>
            </w:r>
          </w:p>
        </w:tc>
      </w:tr>
      <w:tr>
        <w:tblPrEx>
          <w:shd w:val="clear" w:color="auto" w:fill="cdd4e9"/>
        </w:tblPrEx>
        <w:trPr>
          <w:trHeight w:val="481" w:hRule="atLeast"/>
        </w:trPr>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Inclusive education</w:t>
            </w:r>
          </w:p>
        </w:tc>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Limited reference to learner diversity</w:t>
            </w:r>
          </w:p>
        </w:tc>
        <w:tc>
          <w:tcPr>
            <w:tcW w:type="dxa" w:w="3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Dedicated section on inclusive education</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Formalisation of inclusion</w:t>
            </w:r>
          </w:p>
        </w:tc>
      </w:tr>
      <w:tr>
        <w:tblPrEx>
          <w:shd w:val="clear" w:color="auto" w:fill="cdd4e9"/>
        </w:tblPrEx>
        <w:trPr>
          <w:trHeight w:val="481" w:hRule="atLeast"/>
        </w:trPr>
        <w:tc>
          <w:tcPr>
            <w:tcW w:type="dxa" w:w="18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Support for diverse learners</w:t>
            </w:r>
          </w:p>
        </w:tc>
        <w:tc>
          <w:tcPr>
            <w:tcW w:type="dxa" w:w="2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Minimal guidance</w:t>
            </w:r>
          </w:p>
        </w:tc>
        <w:tc>
          <w:tcPr>
            <w:tcW w:type="dxa" w:w="3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Specific strategies for differentiated instruction</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2"/>
                <w:szCs w:val="22"/>
                <w:shd w:val="nil" w:color="auto" w:fill="auto"/>
                <w:rtl w:val="0"/>
                <w:lang w:val="en-US"/>
              </w:rPr>
              <w:t>Strengthened equity provisions</w:t>
            </w:r>
          </w:p>
        </w:tc>
      </w:tr>
    </w:tbl>
    <w:p>
      <w:pPr>
        <w:pStyle w:val="Body"/>
        <w:widowControl w:val="0"/>
        <w:spacing w:line="240" w:lineRule="auto"/>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hAnsi="Times New Roman"/>
          <w:rtl w:val="0"/>
          <w:lang w:val="en-US"/>
        </w:rPr>
        <w:t>The findings revealed that the 2023 syllabus provided more detailed pedagogical guidance than the 2015 syllabus. Greater emphasis was placed on active learner participation, collaborative learning, and critical thinking. Furthermore, the revised syllabus introduced a dedicated section on inclusive education and provided guidance on differentiated instruction for learners with diverse educational needs.</w:t>
      </w:r>
    </w:p>
    <w:p>
      <w:pPr>
        <w:pStyle w:val="Body"/>
        <w:jc w:val="both"/>
        <w:rPr>
          <w:rFonts w:ascii="Times New Roman" w:cs="Times New Roman" w:hAnsi="Times New Roman" w:eastAsia="Times New Roman"/>
          <w:b w:val="1"/>
          <w:bCs w:val="1"/>
        </w:rPr>
      </w:pPr>
      <w:r>
        <w:rPr>
          <w:rFonts w:ascii="Times New Roman" w:hAnsi="Times New Roman"/>
          <w:b w:val="1"/>
          <w:bCs w:val="1"/>
          <w:rtl w:val="0"/>
          <w:lang w:val="en-US"/>
        </w:rPr>
        <w:t>4.3 Assessment Practices and Teacher Support Mechanisms</w:t>
      </w:r>
    </w:p>
    <w:p>
      <w:pPr>
        <w:pStyle w:val="Body"/>
        <w:jc w:val="both"/>
        <w:rPr>
          <w:rFonts w:ascii="Times New Roman" w:cs="Times New Roman" w:hAnsi="Times New Roman" w:eastAsia="Times New Roman"/>
        </w:rPr>
      </w:pPr>
      <w:r>
        <w:rPr>
          <w:rFonts w:ascii="Times New Roman" w:hAnsi="Times New Roman"/>
          <w:rtl w:val="0"/>
          <w:lang w:val="en-US"/>
        </w:rPr>
        <w:t>Table 3 presents the major changes identified in assessment and curriculum support provisions.</w:t>
      </w:r>
    </w:p>
    <w:p>
      <w:pPr>
        <w:pStyle w:val="Body"/>
        <w:jc w:val="both"/>
        <w:rPr>
          <w:rFonts w:ascii="Times New Roman" w:cs="Times New Roman" w:hAnsi="Times New Roman" w:eastAsia="Times New Roman"/>
        </w:rPr>
      </w:pPr>
      <w:r>
        <w:rPr>
          <w:rFonts w:ascii="Times New Roman" w:hAnsi="Times New Roman"/>
          <w:b w:val="1"/>
          <w:bCs w:val="1"/>
          <w:rtl w:val="0"/>
          <w:lang w:val="en-US"/>
        </w:rPr>
        <w:t>Table 3: Comparison of Assessment Practices and Teacher Support Mechanisms</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672"/>
        <w:gridCol w:w="1756"/>
        <w:gridCol w:w="3240"/>
        <w:gridCol w:w="2348"/>
      </w:tblGrid>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sz w:val="20"/>
                <w:szCs w:val="20"/>
                <w:shd w:val="nil" w:color="auto" w:fill="auto"/>
                <w:rtl w:val="0"/>
                <w:lang w:val="en-US"/>
              </w:rPr>
              <w:t>Component</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NIED 2015 Syllabus</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NIED 2023 Syllabus</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b w:val="1"/>
                <w:bCs w:val="1"/>
                <w:sz w:val="20"/>
                <w:szCs w:val="20"/>
                <w:shd w:val="nil" w:color="auto" w:fill="auto"/>
                <w:rtl w:val="0"/>
                <w:lang w:val="en-US"/>
              </w:rPr>
              <w:t>Major Shift</w:t>
            </w:r>
          </w:p>
        </w:tc>
      </w:tr>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Assessment framework</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General assessment guidelines</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Detailed competency-based assessment framework</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Increased standardisation</w:t>
            </w:r>
          </w:p>
        </w:tc>
      </w:tr>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Continuous assessment</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Present but less detailed</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Continuous assessment weighted at 75%</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Greater emphasis on formative assessment</w:t>
            </w:r>
          </w:p>
        </w:tc>
      </w:tr>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Assessment tools</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Limited guidance</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Detailed rubrics, specification grids, and record sheets</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Enhanced assessment objectivity</w:t>
            </w:r>
          </w:p>
        </w:tc>
      </w:tr>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Grade descriptors</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Not clearly articulated</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Explicit A-F grade descriptors</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Standardised performance expectations</w:t>
            </w:r>
          </w:p>
        </w:tc>
      </w:tr>
      <w:tr>
        <w:tblPrEx>
          <w:shd w:val="clear" w:color="auto" w:fill="cdd4e9"/>
        </w:tblPrEx>
        <w:trPr>
          <w:trHeight w:val="442" w:hRule="atLeast"/>
        </w:trPr>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Teacher support resources</w:t>
            </w:r>
          </w:p>
        </w:tc>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Limited support materials</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Glossary, conversational expressions, reading guidelines, and annexes</w:t>
            </w:r>
          </w:p>
        </w:tc>
        <w:tc>
          <w:tcPr>
            <w:tcW w:type="dxa" w:w="2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both"/>
            </w:pPr>
            <w:r>
              <w:rPr>
                <w:rFonts w:ascii="Times New Roman" w:hAnsi="Times New Roman"/>
                <w:sz w:val="20"/>
                <w:szCs w:val="20"/>
                <w:shd w:val="nil" w:color="auto" w:fill="auto"/>
                <w:rtl w:val="0"/>
                <w:lang w:val="en-US"/>
              </w:rPr>
              <w:t>Expanded teacher support</w:t>
            </w:r>
          </w:p>
        </w:tc>
      </w:tr>
    </w:tbl>
    <w:p>
      <w:pPr>
        <w:pStyle w:val="Body"/>
        <w:widowControl w:val="0"/>
        <w:spacing w:line="240" w:lineRule="auto"/>
        <w:jc w:val="both"/>
        <w:rPr>
          <w:rFonts w:ascii="Times New Roman" w:cs="Times New Roman" w:hAnsi="Times New Roman" w:eastAsia="Times New Roman"/>
        </w:rPr>
      </w:pPr>
    </w:p>
    <w:p>
      <w:pPr>
        <w:pStyle w:val="Body"/>
        <w:jc w:val="both"/>
        <w:rPr>
          <w:rFonts w:ascii="Times New Roman" w:cs="Times New Roman" w:hAnsi="Times New Roman" w:eastAsia="Times New Roman"/>
        </w:rPr>
      </w:pPr>
      <w:r>
        <w:rPr>
          <w:rFonts w:ascii="Times New Roman" w:hAnsi="Times New Roman"/>
          <w:rtl w:val="0"/>
          <w:lang w:val="en-US"/>
        </w:rPr>
        <w:t>Assessment emerged as one of the areas showing the greatest change between the two syllabi. The 2023 syllabus introduced detailed assessment rubrics, specification grids, grade descriptors, and practical assessment record sheets. The revised syllabus also placed greater emphasis on continuous assessment and included additional teacher support resources such as glossaries, conversational expressions, and guidelines for reading levels.</w:t>
      </w:r>
    </w:p>
    <w:p>
      <w:pPr>
        <w:pStyle w:val="Body"/>
        <w:jc w:val="both"/>
        <w:rPr>
          <w:rFonts w:ascii="Times New Roman" w:cs="Times New Roman" w:hAnsi="Times New Roman" w:eastAsia="Times New Roman"/>
        </w:rPr>
      </w:pPr>
      <w:r>
        <w:rPr>
          <w:rFonts w:ascii="Times New Roman" w:hAnsi="Times New Roman"/>
          <w:b w:val="1"/>
          <w:bCs w:val="1"/>
          <w:rtl w:val="0"/>
          <w:lang w:val="en-US"/>
        </w:rPr>
        <w:t>Figure 1: Major Curriculum Shifts from NIED 2015 to NIED 2023</w:t>
      </w:r>
    </w:p>
    <w:p>
      <w:pPr>
        <w:pStyle w:val="Body"/>
        <w:jc w:val="both"/>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5534025" cy="268605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6">
                      <a:extLst/>
                    </a:blip>
                    <a:srcRect l="2115" t="2927" r="3372" b="5324"/>
                    <a:stretch>
                      <a:fillRect/>
                    </a:stretch>
                  </pic:blipFill>
                  <pic:spPr>
                    <a:xfrm>
                      <a:off x="0" y="0"/>
                      <a:ext cx="5534025" cy="2686050"/>
                    </a:xfrm>
                    <a:prstGeom prst="rect">
                      <a:avLst/>
                    </a:prstGeom>
                    <a:ln w="9525" cap="flat">
                      <a:solidFill>
                        <a:srgbClr val="000000"/>
                      </a:solidFill>
                      <a:prstDash val="solid"/>
                      <a:round/>
                    </a:ln>
                    <a:effectLst/>
                  </pic:spPr>
                </pic:pic>
              </a:graphicData>
            </a:graphic>
          </wp:inline>
        </w:drawing>
      </w:r>
    </w:p>
    <w:p>
      <w:pPr>
        <w:pStyle w:val="Body"/>
        <w:jc w:val="both"/>
        <w:rPr>
          <w:rFonts w:ascii="Times New Roman" w:cs="Times New Roman" w:hAnsi="Times New Roman" w:eastAsia="Times New Roman"/>
        </w:rPr>
      </w:pPr>
      <w:r>
        <w:rPr>
          <w:rFonts w:ascii="Times New Roman" w:hAnsi="Times New Roman"/>
          <w:rtl w:val="0"/>
          <w:lang w:val="en-US"/>
        </w:rPr>
        <w:t>Overall, the findings indicate that the 2023 ESL syllabus represents a substantial revision of the 2015 syllabus, characterised by increased emphasis on competency development, inclusivity, learner-centred pedagogy, and standardised assessment practices.</w:t>
      </w:r>
    </w:p>
    <w:p>
      <w:pPr>
        <w:pStyle w:val="Body"/>
        <w:jc w:val="both"/>
        <w:rPr>
          <w:rFonts w:ascii="Times New Roman" w:cs="Times New Roman" w:hAnsi="Times New Roman" w:eastAsia="Times New Roman"/>
          <w:b w:val="1"/>
          <w:bCs w:val="1"/>
        </w:rPr>
      </w:pPr>
      <w:r>
        <w:rPr>
          <w:rFonts w:ascii="Times New Roman" w:hAnsi="Times New Roman"/>
          <w:b w:val="1"/>
          <w:bCs w:val="1"/>
          <w:rtl w:val="0"/>
          <w:lang w:val="en-US"/>
        </w:rPr>
        <w:t>5. Discussion of Findings</w:t>
      </w:r>
    </w:p>
    <w:p>
      <w:pPr>
        <w:pStyle w:val="Body"/>
        <w:jc w:val="both"/>
        <w:rPr>
          <w:rFonts w:ascii="Times New Roman" w:cs="Times New Roman" w:hAnsi="Times New Roman" w:eastAsia="Times New Roman"/>
        </w:rPr>
      </w:pPr>
      <w:r>
        <w:rPr>
          <w:rFonts w:ascii="Times New Roman" w:hAnsi="Times New Roman"/>
          <w:rtl w:val="0"/>
          <w:lang w:val="en-US"/>
        </w:rPr>
        <w:t>The findings demonstrate that while both the 2015 and 2023 Namibian ESL syllabi retained a common commitment to developing communicative competence and supporting English as the official language and medium of instruction, the revised curriculum reflects a substantial shift towards competency-based education. The transition from organising content around discrete language strands to integrated competencies and end-of-phase outcomes supports arguments that contemporary curriculum reforms increasingly prioritise knowledge application, problem-solving, and transferable skills rather than content mastery alone (Maringe &amp; Chiramba, 2023). This finding concurs with Awuonda et al. (2023), who argue that competency-based curricula prepare learners for lifelong learning and changing socio-economic environments. However, the finding also supports Biesta's (2022) concern that excessive emphasis on measurable competencies may narrow broader educational purposes. From a theoretical perspective, the stronger competency orientation evident in the 2023 syllabus confirms the relevance of the Competency-Based Education framework, which emphasises demonstrable learning outcomes and practical application.</w:t>
      </w:r>
    </w:p>
    <w:p>
      <w:pPr>
        <w:pStyle w:val="Body"/>
        <w:jc w:val="both"/>
        <w:rPr>
          <w:rFonts w:ascii="Times New Roman" w:cs="Times New Roman" w:hAnsi="Times New Roman" w:eastAsia="Times New Roman"/>
        </w:rPr>
      </w:pPr>
      <w:r>
        <w:rPr>
          <w:rFonts w:ascii="Times New Roman" w:hAnsi="Times New Roman"/>
          <w:rtl w:val="0"/>
          <w:lang w:val="en-US"/>
        </w:rPr>
        <w:t>The findings further revealed a considerable strengthening of learner-centred pedagogy within the 2023 syllabus. Greater emphasis on active learner participation, collaboration, inquiry, and critical thinking suggests that the revised curriculum embraces constructivist assumptions regarding learning as an active process of knowledge construction. This finding corroborates Piaget's constructivist theory, which views learners as active constructors of knowledge through experience and interaction (Piaget, 1972). The finding is also consistent with Lestari et al. (2024), who reported that learner-centred pedagogies improve learner engagement and language acquisition. Nevertheless, Rahman and Pandian (2023) caution that learner-centred approaches frequently encounter implementation challenges in contexts characterised by large classes and inadequate resources. Similar observations were made by Nyikadzino (2023), who found that intended pedagogical reforms in many African countries are often constrained by systemic limitations.</w:t>
      </w:r>
    </w:p>
    <w:p>
      <w:pPr>
        <w:pStyle w:val="Body"/>
        <w:jc w:val="both"/>
        <w:rPr>
          <w:rFonts w:ascii="Times New Roman" w:cs="Times New Roman" w:hAnsi="Times New Roman" w:eastAsia="Times New Roman"/>
        </w:rPr>
      </w:pPr>
      <w:r>
        <w:rPr>
          <w:rFonts w:ascii="Times New Roman" w:hAnsi="Times New Roman"/>
          <w:rtl w:val="0"/>
          <w:lang w:val="en-US"/>
        </w:rPr>
        <w:t>Another important finding concerns the explicit incorporation of inclusive education and cross-curricular issues within the 2023 syllabus. The inclusion of differentiated instructional strategies and dedicated guidance for supporting learners with diverse educational needs aligns with international advocacy for equitable and inclusive education systems (Maguvhe &amp; Mutambo, 2023). This finding supports Muzata and Kapembwa's (2023) assertion that language curricula should accommodate learner diversity to promote equitable participation. However, Chitiyo and Dzvimbo (2024) argue that inclusive education frequently remains aspirational because many schools lack specialised resources and adequately trained personnel. The integration of environmental education, HIV and AIDS, and human rights further suggests that the revised curriculum conceptualises English language education as a vehicle for citizenship development and social transformation. This orientation aligns closely with Vygotsky's socio-cultural theory, which conceptualises language as a socially mediated tool for learning and interaction (Vygotsky, 1978).</w:t>
      </w:r>
    </w:p>
    <w:p>
      <w:pPr>
        <w:pStyle w:val="Body"/>
        <w:jc w:val="both"/>
        <w:rPr>
          <w:rFonts w:ascii="Times New Roman" w:cs="Times New Roman" w:hAnsi="Times New Roman" w:eastAsia="Times New Roman"/>
        </w:rPr>
      </w:pPr>
      <w:r>
        <w:rPr>
          <w:rFonts w:ascii="Times New Roman" w:hAnsi="Times New Roman"/>
          <w:rtl w:val="0"/>
          <w:lang w:val="en-US"/>
        </w:rPr>
        <w:t>The findings additionally revealed significant reforms in assessment practices and teacher support mechanisms. The introduction of detailed rubrics, grade descriptors, and specification grids supports scholarship advocating competency-based and continuous assessment approaches that provide ongoing feedback and support learner progression (Musingafi &amp; Mhute, 2022). The findings also reflect global trends towards formative assessment practices (Awuonda et al., 2023). Nevertheless, Atuhura and Nambi (2024) caution that sophisticated assessment systems may increase teachers' workload and require advanced assessment literacy. Overall, the findings suggest that the effectiveness of the revised curriculum will depend not only on curriculum design but also on teacher preparedness, resource availability, and implementation support.</w:t>
      </w:r>
    </w:p>
    <w:p>
      <w:pPr>
        <w:pStyle w:val="Body"/>
        <w:jc w:val="both"/>
        <w:rPr>
          <w:rFonts w:ascii="Times New Roman" w:cs="Times New Roman" w:hAnsi="Times New Roman" w:eastAsia="Times New Roman"/>
        </w:rPr>
      </w:pPr>
      <w:r>
        <w:rPr>
          <w:rFonts w:ascii="Times New Roman" w:hAnsi="Times New Roman"/>
          <w:b w:val="1"/>
          <w:bCs w:val="1"/>
          <w:rtl w:val="0"/>
          <w:lang w:val="it-IT"/>
        </w:rPr>
        <w:t>6. Conclusion</w:t>
      </w:r>
    </w:p>
    <w:p>
      <w:pPr>
        <w:pStyle w:val="Body"/>
        <w:jc w:val="both"/>
        <w:rPr>
          <w:rFonts w:ascii="Times New Roman" w:cs="Times New Roman" w:hAnsi="Times New Roman" w:eastAsia="Times New Roman"/>
        </w:rPr>
      </w:pPr>
      <w:r>
        <w:rPr>
          <w:rFonts w:ascii="Times New Roman" w:hAnsi="Times New Roman"/>
          <w:rtl w:val="0"/>
          <w:lang w:val="en-US"/>
        </w:rPr>
        <w:t>This study concludes that the 2023 Namibian English Second Language (ESL) syllabus for Grades 4-7 represents a substantial curriculum reform rather than a simple revision of the 2015 syllabus. Although both syllabi retain the fundamental goal of developing communicative competence and supporting English as the medium of instruction, the 2023 syllabus demonstrates a clear shift towards a competency-based, learner-centred, and inclusive curriculum framework. The revised syllabus places greater emphasis on integrated competencies, explicit learning outcomes, cross-curricular integration, active learner participation, and differentiated instruction, thereby aligning more closely with contemporary international trends in language education.</w:t>
      </w:r>
    </w:p>
    <w:p>
      <w:pPr>
        <w:pStyle w:val="Body"/>
        <w:jc w:val="both"/>
        <w:rPr>
          <w:rFonts w:ascii="Times New Roman" w:cs="Times New Roman" w:hAnsi="Times New Roman" w:eastAsia="Times New Roman"/>
        </w:rPr>
      </w:pPr>
      <w:r>
        <w:rPr>
          <w:rFonts w:ascii="Times New Roman" w:hAnsi="Times New Roman"/>
          <w:rtl w:val="0"/>
          <w:lang w:val="en-US"/>
        </w:rPr>
        <w:t>The study further concludes that significant improvements have been made in assessment and teacher support provisions through the introduction of standardised assessment frameworks, detailed rubrics, grade descriptors, and supplementary teaching resources. These developments have the potential to enhance consistency, accountability, and learner achievement across Namibian schools. However, the successful implementation of the revised curriculum will depend largely on adequate teacher preparation, continuous professional development, availability of instructional resources, and sustained support during implementation. Without addressing these factors, the intended benefits of the curriculum reform may not be fully realised in classroom practice.</w:t>
      </w:r>
    </w:p>
    <w:p>
      <w:pPr>
        <w:pStyle w:val="Body"/>
        <w:jc w:val="both"/>
        <w:rPr>
          <w:rFonts w:ascii="Times New Roman" w:cs="Times New Roman" w:hAnsi="Times New Roman" w:eastAsia="Times New Roman"/>
          <w:b w:val="1"/>
          <w:bCs w:val="1"/>
        </w:rPr>
      </w:pPr>
      <w:r>
        <w:rPr>
          <w:rFonts w:ascii="Times New Roman" w:cs="Times New Roman" w:hAnsi="Times New Roman" w:eastAsia="Times New Roman"/>
        </w:rPr>
        <w:br w:type="textWrapping"/>
      </w:r>
      <w:r>
        <w:rPr>
          <w:rFonts w:ascii="Times New Roman" w:hAnsi="Times New Roman"/>
          <w:b w:val="1"/>
          <w:bCs w:val="1"/>
          <w:rtl w:val="0"/>
          <w:lang w:val="en-US"/>
        </w:rPr>
        <w:t>7. Recommendations</w:t>
      </w:r>
    </w:p>
    <w:p>
      <w:pPr>
        <w:pStyle w:val="Body"/>
        <w:jc w:val="both"/>
        <w:rPr>
          <w:rFonts w:ascii="Times New Roman" w:cs="Times New Roman" w:hAnsi="Times New Roman" w:eastAsia="Times New Roman"/>
        </w:rPr>
      </w:pPr>
      <w:r>
        <w:rPr>
          <w:rFonts w:ascii="Times New Roman" w:hAnsi="Times New Roman"/>
          <w:rtl w:val="0"/>
          <w:lang w:val="en-US"/>
        </w:rPr>
        <w:t>Based on the findings of this study, the following recommendations are proposed:</w:t>
      </w:r>
    </w:p>
    <w:p>
      <w:pPr>
        <w:pStyle w:val="Body"/>
        <w:numPr>
          <w:ilvl w:val="0"/>
          <w:numId w:val="2"/>
        </w:numPr>
        <w:bidi w:val="0"/>
        <w:ind w:right="0"/>
        <w:jc w:val="both"/>
        <w:rPr>
          <w:rFonts w:ascii="Times New Roman" w:hAnsi="Times New Roman"/>
          <w:rtl w:val="0"/>
          <w:lang w:val="en-US"/>
        </w:rPr>
      </w:pPr>
      <w:r>
        <w:rPr>
          <w:rFonts w:ascii="Times New Roman" w:hAnsi="Times New Roman"/>
          <w:rtl w:val="0"/>
          <w:lang w:val="en-US"/>
        </w:rPr>
        <w:t>enhance teacher participation in curriculum development by involving classroom teachers more actively during curriculum review, piloting, and revision processes to ensure that reforms reflect classroom realities.</w:t>
      </w:r>
    </w:p>
    <w:p>
      <w:pPr>
        <w:pStyle w:val="Body"/>
        <w:numPr>
          <w:ilvl w:val="0"/>
          <w:numId w:val="2"/>
        </w:numPr>
        <w:bidi w:val="0"/>
        <w:ind w:right="0"/>
        <w:jc w:val="both"/>
        <w:rPr>
          <w:rFonts w:ascii="Times New Roman" w:hAnsi="Times New Roman"/>
          <w:rtl w:val="0"/>
          <w:lang w:val="en-US"/>
        </w:rPr>
      </w:pPr>
      <w:r>
        <w:rPr>
          <w:rFonts w:ascii="Times New Roman" w:hAnsi="Times New Roman"/>
          <w:rtl w:val="0"/>
          <w:lang w:val="en-US"/>
        </w:rPr>
        <w:t>strengthen teacher professional development through continuous in-service training on competency-based teaching, inclusive education, learner-centred pedagogy, and competency-based assessment practices.</w:t>
      </w:r>
    </w:p>
    <w:p>
      <w:pPr>
        <w:pStyle w:val="Body"/>
        <w:numPr>
          <w:ilvl w:val="0"/>
          <w:numId w:val="2"/>
        </w:numPr>
        <w:bidi w:val="0"/>
        <w:ind w:right="0"/>
        <w:jc w:val="both"/>
        <w:rPr>
          <w:rFonts w:ascii="Times New Roman" w:hAnsi="Times New Roman"/>
          <w:rtl w:val="0"/>
          <w:lang w:val="en-US"/>
        </w:rPr>
      </w:pPr>
      <w:r>
        <w:rPr>
          <w:rFonts w:ascii="Times New Roman" w:hAnsi="Times New Roman"/>
          <w:rtl w:val="0"/>
          <w:lang w:val="en-US"/>
        </w:rPr>
        <w:t>provide adequate curriculum support resources, including teacher guides, exemplar lesson plans, graded reading materials, and assessment exemplars to facilitate effective implementation of the revised syllabus.</w:t>
      </w:r>
    </w:p>
    <w:p>
      <w:pPr>
        <w:pStyle w:val="Body"/>
        <w:numPr>
          <w:ilvl w:val="0"/>
          <w:numId w:val="2"/>
        </w:numPr>
        <w:bidi w:val="0"/>
        <w:ind w:right="0"/>
        <w:jc w:val="both"/>
        <w:rPr>
          <w:rFonts w:ascii="Times New Roman" w:hAnsi="Times New Roman"/>
          <w:rtl w:val="0"/>
          <w:lang w:val="en-US"/>
        </w:rPr>
      </w:pPr>
      <w:r>
        <w:rPr>
          <w:rFonts w:ascii="Times New Roman" w:hAnsi="Times New Roman"/>
          <w:rtl w:val="0"/>
          <w:lang w:val="en-US"/>
        </w:rPr>
        <w:t>establish continuous monitoring and evaluation mechanisms to assess the implementation of the 2023 syllabus, identify challenges, and provide evidence for future curriculum improvements.</w:t>
      </w:r>
    </w:p>
    <w:p>
      <w:pPr>
        <w:pStyle w:val="Body"/>
        <w:jc w:val="both"/>
        <w:rPr>
          <w:rFonts w:ascii="Times New Roman" w:cs="Times New Roman" w:hAnsi="Times New Roman" w:eastAsia="Times New Roman"/>
          <w:b w:val="1"/>
          <w:bCs w:val="1"/>
        </w:rPr>
      </w:pPr>
      <w:r>
        <w:rPr>
          <w:rFonts w:ascii="Times New Roman" w:hAnsi="Times New Roman"/>
          <w:b w:val="1"/>
          <w:bCs w:val="1"/>
          <w:rtl w:val="0"/>
          <w:lang w:val="fr-FR"/>
        </w:rPr>
        <w:t>8. Limitations</w:t>
      </w:r>
    </w:p>
    <w:p>
      <w:pPr>
        <w:pStyle w:val="Body"/>
        <w:jc w:val="both"/>
        <w:rPr>
          <w:rFonts w:ascii="Times New Roman" w:cs="Times New Roman" w:hAnsi="Times New Roman" w:eastAsia="Times New Roman"/>
        </w:rPr>
      </w:pPr>
      <w:r>
        <w:rPr>
          <w:rFonts w:ascii="Times New Roman" w:hAnsi="Times New Roman"/>
          <w:rtl w:val="0"/>
          <w:lang w:val="en-US"/>
        </w:rPr>
        <w:t>This study was limited to a comparative analysis of the official 2015 and 2023 Namibian English Second Language syllabus documents and therefore examined only the intended curriculum. The study did not investigate how the revised curriculum is implemented in classrooms or how it is experienced by teachers and learners. Consequently, the findings provide insights into curriculum intentions rather than actual classroom practices and implementation outcomes. In addition, the analysis focused exclusively on the Senior Primary Phase (Grades 4-7) and cannot be generalised to other phases of the Namibian education system.</w:t>
      </w:r>
    </w:p>
    <w:p>
      <w:pPr>
        <w:pStyle w:val="Body"/>
        <w:jc w:val="both"/>
        <w:rPr>
          <w:rFonts w:ascii="Times New Roman" w:cs="Times New Roman" w:hAnsi="Times New Roman" w:eastAsia="Times New Roman"/>
        </w:rPr>
      </w:pPr>
    </w:p>
    <w:p>
      <w:pPr>
        <w:pStyle w:val="Body"/>
        <w:ind w:left="720" w:hanging="720"/>
        <w:jc w:val="both"/>
        <w:rPr>
          <w:rFonts w:ascii="Times New Roman" w:cs="Times New Roman" w:hAnsi="Times New Roman" w:eastAsia="Times New Roman"/>
        </w:rPr>
      </w:pPr>
      <w:r>
        <w:rPr>
          <w:rFonts w:ascii="Times New Roman" w:hAnsi="Times New Roman"/>
          <w:b w:val="1"/>
          <w:bCs w:val="1"/>
          <w:rtl w:val="0"/>
          <w:lang w:val="fr-FR"/>
        </w:rPr>
        <w:t>9. References</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Atuhura, A., &amp; Nambi, D. (2024). Competency-based curriculum implementation and assessment practices in resource-constrained educational contexts. </w:t>
      </w:r>
      <w:r>
        <w:rPr>
          <w:rFonts w:ascii="Times New Roman" w:hAnsi="Times New Roman"/>
          <w:i w:val="1"/>
          <w:iCs w:val="1"/>
          <w:rtl w:val="0"/>
          <w:lang w:val="en-US"/>
        </w:rPr>
        <w:t>African Journal of Teacher Education, 13</w:t>
      </w:r>
      <w:r>
        <w:rPr>
          <w:rFonts w:ascii="Times New Roman" w:hAnsi="Times New Roman"/>
          <w:rtl w:val="0"/>
          <w:lang w:val="en-US"/>
        </w:rPr>
        <w:t xml:space="preserve">(1), 45-59. </w:t>
      </w:r>
    </w:p>
    <w:p>
      <w:pPr>
        <w:pStyle w:val="Body"/>
        <w:ind w:left="720" w:hanging="720"/>
        <w:jc w:val="both"/>
        <w:rPr>
          <w:rFonts w:ascii="Times New Roman" w:cs="Times New Roman" w:hAnsi="Times New Roman" w:eastAsia="Times New Roman"/>
        </w:rPr>
      </w:pPr>
      <w:r>
        <w:rPr>
          <w:rFonts w:ascii="Times New Roman" w:hAnsi="Times New Roman"/>
          <w:rtl w:val="0"/>
          <w:lang w:val="en-US"/>
        </w:rPr>
        <w:t>Awuonda, K. W., Jung, K., &amp; Lee, J. (2023). Teachers</w:t>
      </w:r>
      <w:r>
        <w:rPr>
          <w:rFonts w:ascii="Times New Roman" w:hAnsi="Times New Roman" w:hint="default"/>
          <w:rtl w:val="0"/>
          <w:lang w:val="en-US"/>
        </w:rPr>
        <w:t xml:space="preserve">’ </w:t>
      </w:r>
      <w:r>
        <w:rPr>
          <w:rFonts w:ascii="Times New Roman" w:hAnsi="Times New Roman"/>
          <w:rtl w:val="0"/>
          <w:lang w:val="en-US"/>
        </w:rPr>
        <w:t xml:space="preserve">perceptions of competency-based curriculum implementation and government support: A mixed methods study on Grade 1-5 teachers in Homabay County, Kenya. </w:t>
      </w:r>
      <w:r>
        <w:rPr>
          <w:rFonts w:ascii="Times New Roman" w:hAnsi="Times New Roman"/>
          <w:i w:val="1"/>
          <w:iCs w:val="1"/>
          <w:rtl w:val="0"/>
          <w:lang w:val="en-US"/>
        </w:rPr>
        <w:t>Journal of Education and Practice, 14</w:t>
      </w:r>
      <w:r>
        <w:rPr>
          <w:rFonts w:ascii="Times New Roman" w:hAnsi="Times New Roman"/>
          <w:rtl w:val="0"/>
          <w:lang w:val="en-US"/>
        </w:rPr>
        <w:t>(9), 1-14.</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Banda, T., &amp; Mwanza, D. (2023). Teacher participation in curriculum development and educational reform in sub-Saharan Africa. </w:t>
      </w:r>
      <w:r>
        <w:rPr>
          <w:rFonts w:ascii="Times New Roman" w:hAnsi="Times New Roman"/>
          <w:i w:val="1"/>
          <w:iCs w:val="1"/>
          <w:rtl w:val="0"/>
          <w:lang w:val="en-US"/>
        </w:rPr>
        <w:t>International Journal of Curriculum and Instruction, 15</w:t>
      </w:r>
      <w:r>
        <w:rPr>
          <w:rFonts w:ascii="Times New Roman" w:hAnsi="Times New Roman"/>
          <w:rtl w:val="0"/>
          <w:lang w:val="en-US"/>
        </w:rPr>
        <w:t xml:space="preserve">(2), 123-138.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Biesta, G. J. J. (2022). </w:t>
      </w:r>
      <w:r>
        <w:rPr>
          <w:rFonts w:ascii="Times New Roman" w:hAnsi="Times New Roman"/>
          <w:i w:val="1"/>
          <w:iCs w:val="1"/>
          <w:rtl w:val="0"/>
          <w:lang w:val="en-US"/>
        </w:rPr>
        <w:t>World-centred education: A view for the present</w:t>
      </w:r>
      <w:r>
        <w:rPr>
          <w:rFonts w:ascii="Times New Roman" w:hAnsi="Times New Roman"/>
          <w:rtl w:val="0"/>
          <w:lang w:val="en-US"/>
        </w:rPr>
        <w:t>. New York, NY: Routledge.</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Carl, A. E. (2017). </w:t>
      </w:r>
      <w:r>
        <w:rPr>
          <w:rFonts w:ascii="Times New Roman" w:hAnsi="Times New Roman"/>
          <w:i w:val="1"/>
          <w:iCs w:val="1"/>
          <w:rtl w:val="0"/>
          <w:lang w:val="en-US"/>
        </w:rPr>
        <w:t>Teacher empowerment through curriculum development: Theory into practice</w:t>
      </w:r>
      <w:r>
        <w:rPr>
          <w:rFonts w:ascii="Times New Roman" w:hAnsi="Times New Roman"/>
          <w:rtl w:val="0"/>
          <w:lang w:val="en-US"/>
        </w:rPr>
        <w:t xml:space="preserve"> (5th ed.). Cape Town, South Africa: Juta.</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Chitiyo, M., &amp; Dzvimbo, K. P. (2024). Inclusive education in resource-constrained contexts: Challenges and opportunities in African schools. </w:t>
      </w:r>
      <w:r>
        <w:rPr>
          <w:rFonts w:ascii="Times New Roman" w:hAnsi="Times New Roman"/>
          <w:i w:val="1"/>
          <w:iCs w:val="1"/>
          <w:rtl w:val="0"/>
          <w:lang w:val="en-US"/>
        </w:rPr>
        <w:t>International Journal of Inclusive Education, 28</w:t>
      </w:r>
      <w:r>
        <w:rPr>
          <w:rFonts w:ascii="Times New Roman" w:hAnsi="Times New Roman"/>
          <w:rtl w:val="0"/>
          <w:lang w:val="en-US"/>
        </w:rPr>
        <w:t xml:space="preserve">(2), 175-190.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Creswell, J. W., &amp; Creswell, J. D. (2022). </w:t>
      </w:r>
      <w:r>
        <w:rPr>
          <w:rFonts w:ascii="Times New Roman" w:hAnsi="Times New Roman"/>
          <w:i w:val="1"/>
          <w:iCs w:val="1"/>
          <w:rtl w:val="0"/>
          <w:lang w:val="en-US"/>
        </w:rPr>
        <w:t>Research design: Qualitative, quantitative, and mixed methods approaches</w:t>
      </w:r>
      <w:r>
        <w:rPr>
          <w:rFonts w:ascii="Times New Roman" w:hAnsi="Times New Roman"/>
          <w:rtl w:val="0"/>
          <w:lang w:val="en-US"/>
        </w:rPr>
        <w:t xml:space="preserve"> (6th ed.). Thousand Oaks, CA: Sage.</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Fullan, M. (2020). </w:t>
      </w:r>
      <w:r>
        <w:rPr>
          <w:rFonts w:ascii="Times New Roman" w:hAnsi="Times New Roman"/>
          <w:i w:val="1"/>
          <w:iCs w:val="1"/>
          <w:rtl w:val="0"/>
          <w:lang w:val="en-US"/>
        </w:rPr>
        <w:t>Leading in a culture of change</w:t>
      </w:r>
      <w:r>
        <w:rPr>
          <w:rFonts w:ascii="Times New Roman" w:hAnsi="Times New Roman"/>
          <w:rtl w:val="0"/>
          <w:lang w:val="en-US"/>
        </w:rPr>
        <w:t xml:space="preserve"> (2nd ed.). San Francisco, CA: Jossey-Bass.</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Komba, W., &amp; Mwandanji, M. (2024). Curriculum reform implementation in developing countries: Challenges and prospects. </w:t>
      </w:r>
      <w:r>
        <w:rPr>
          <w:rFonts w:ascii="Times New Roman" w:hAnsi="Times New Roman"/>
          <w:i w:val="1"/>
          <w:iCs w:val="1"/>
          <w:rtl w:val="0"/>
          <w:lang w:val="en-US"/>
        </w:rPr>
        <w:t>African Educational Research Journal, 12</w:t>
      </w:r>
      <w:r>
        <w:rPr>
          <w:rFonts w:ascii="Times New Roman" w:hAnsi="Times New Roman"/>
          <w:rtl w:val="0"/>
          <w:lang w:val="en-US"/>
        </w:rPr>
        <w:t xml:space="preserve">(1), 22-34.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Lestari, D., Emzir, E., &amp; Rafli, Z. (2024). Learner-centred approaches in English language teaching: A systematic review. </w:t>
      </w:r>
      <w:r>
        <w:rPr>
          <w:rFonts w:ascii="Times New Roman" w:hAnsi="Times New Roman"/>
          <w:i w:val="1"/>
          <w:iCs w:val="1"/>
          <w:rtl w:val="0"/>
          <w:lang w:val="en-US"/>
        </w:rPr>
        <w:t>Journal of Language Teaching and Research, 15</w:t>
      </w:r>
      <w:r>
        <w:rPr>
          <w:rFonts w:ascii="Times New Roman" w:hAnsi="Times New Roman"/>
          <w:rtl w:val="0"/>
          <w:lang w:val="en-US"/>
        </w:rPr>
        <w:t xml:space="preserve">(1), 45-57.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Maguvhe, M., &amp; Mutambo, P. (2023). Inclusive pedagogies and curriculum transformation in African schools. </w:t>
      </w:r>
      <w:r>
        <w:rPr>
          <w:rFonts w:ascii="Times New Roman" w:hAnsi="Times New Roman"/>
          <w:i w:val="1"/>
          <w:iCs w:val="1"/>
          <w:rtl w:val="0"/>
          <w:lang w:val="en-US"/>
        </w:rPr>
        <w:t>Journal of Inclusive Education in Africa, 7</w:t>
      </w:r>
      <w:r>
        <w:rPr>
          <w:rFonts w:ascii="Times New Roman" w:hAnsi="Times New Roman"/>
          <w:rtl w:val="0"/>
          <w:lang w:val="en-US"/>
        </w:rPr>
        <w:t xml:space="preserve">(2), 58-73.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Maringe, F., &amp; Chiramba, O. (2023). Curriculum reform and competency-based education in Africa: Emerging trends and implications. </w:t>
      </w:r>
      <w:r>
        <w:rPr>
          <w:rFonts w:ascii="Times New Roman" w:hAnsi="Times New Roman"/>
          <w:i w:val="1"/>
          <w:iCs w:val="1"/>
          <w:rtl w:val="0"/>
          <w:lang w:val="en-US"/>
        </w:rPr>
        <w:t>African Educational Review, 20</w:t>
      </w:r>
      <w:r>
        <w:rPr>
          <w:rFonts w:ascii="Times New Roman" w:hAnsi="Times New Roman"/>
          <w:rtl w:val="0"/>
          <w:lang w:val="en-US"/>
        </w:rPr>
        <w:t xml:space="preserve">(3), 267-282.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Matiki, D. S., Chibambo, M. I., &amp; Divala, J. J. (2023). A comparison of teacher's involvement in curriculum development in developing and developed countries: A case study of Namibia. </w:t>
      </w:r>
      <w:r>
        <w:rPr>
          <w:rFonts w:ascii="Times New Roman" w:hAnsi="Times New Roman"/>
          <w:i w:val="1"/>
          <w:iCs w:val="1"/>
          <w:rtl w:val="0"/>
          <w:lang w:val="en-US"/>
        </w:rPr>
        <w:t>Frontiers in Education, 8</w:t>
      </w:r>
      <w:r>
        <w:rPr>
          <w:rFonts w:ascii="Times New Roman" w:hAnsi="Times New Roman"/>
          <w:rtl w:val="0"/>
          <w:lang w:val="en-US"/>
        </w:rPr>
        <w:t>, Article 1243573. doi:10.3389/feduc.2023.1243573</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Merriam, S. B., &amp; Tisdell, E. J. (2022). </w:t>
      </w:r>
      <w:r>
        <w:rPr>
          <w:rFonts w:ascii="Times New Roman" w:hAnsi="Times New Roman"/>
          <w:i w:val="1"/>
          <w:iCs w:val="1"/>
          <w:rtl w:val="0"/>
          <w:lang w:val="en-US"/>
        </w:rPr>
        <w:t>Qualitative research: A guide to design and implementation</w:t>
      </w:r>
      <w:r>
        <w:rPr>
          <w:rFonts w:ascii="Times New Roman" w:hAnsi="Times New Roman"/>
          <w:rtl w:val="0"/>
          <w:lang w:val="en-US"/>
        </w:rPr>
        <w:t xml:space="preserve"> (5th ed.). San Francisco, CA: Jossey-Bass.</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Ministry of Education, Arts and Culture. (2015). </w:t>
      </w:r>
      <w:r>
        <w:rPr>
          <w:rFonts w:ascii="Times New Roman" w:hAnsi="Times New Roman"/>
          <w:i w:val="1"/>
          <w:iCs w:val="1"/>
          <w:rtl w:val="0"/>
          <w:lang w:val="en-US"/>
        </w:rPr>
        <w:t>Senior primary phase English second language syllabus Grades 4-7</w:t>
      </w:r>
      <w:r>
        <w:rPr>
          <w:rFonts w:ascii="Times New Roman" w:hAnsi="Times New Roman"/>
          <w:rtl w:val="0"/>
          <w:lang w:val="en-US"/>
        </w:rPr>
        <w:t>. Okahandja, Namibia: National Institute for Educational Development.</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Ministry of Education, Arts and Culture. (2023). </w:t>
      </w:r>
      <w:r>
        <w:rPr>
          <w:rFonts w:ascii="Times New Roman" w:hAnsi="Times New Roman"/>
          <w:i w:val="1"/>
          <w:iCs w:val="1"/>
          <w:rtl w:val="0"/>
          <w:lang w:val="en-US"/>
        </w:rPr>
        <w:t>Senior primary phase English second language syllabus Grades 4-7</w:t>
      </w:r>
      <w:r>
        <w:rPr>
          <w:rFonts w:ascii="Times New Roman" w:hAnsi="Times New Roman"/>
          <w:rtl w:val="0"/>
          <w:lang w:val="en-US"/>
        </w:rPr>
        <w:t>. Okahandja, Namibia: National Institute for Educational Development.</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Musingafi, M. C. C., &amp; Mhute, I. (2022). Continuous assessment and competency-based curriculum implementation in Zimbabwean schools. </w:t>
      </w:r>
      <w:r>
        <w:rPr>
          <w:rFonts w:ascii="Times New Roman" w:hAnsi="Times New Roman"/>
          <w:i w:val="1"/>
          <w:iCs w:val="1"/>
          <w:rtl w:val="0"/>
          <w:lang w:val="en-US"/>
        </w:rPr>
        <w:t>Zimbabwe Journal of Educational Research, 34</w:t>
      </w:r>
      <w:r>
        <w:rPr>
          <w:rFonts w:ascii="Times New Roman" w:hAnsi="Times New Roman"/>
          <w:rtl w:val="0"/>
          <w:lang w:val="en-US"/>
        </w:rPr>
        <w:t xml:space="preserve">(2), 89-102.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Muzata, K., &amp; Kapembwa, R. (2023). Language education, inclusion and learner diversity in multilingual African classrooms. </w:t>
      </w:r>
      <w:r>
        <w:rPr>
          <w:rFonts w:ascii="Times New Roman" w:hAnsi="Times New Roman"/>
          <w:i w:val="1"/>
          <w:iCs w:val="1"/>
          <w:rtl w:val="0"/>
          <w:lang w:val="en-US"/>
        </w:rPr>
        <w:t>International Journal of Multicultural Education, 25</w:t>
      </w:r>
      <w:r>
        <w:rPr>
          <w:rFonts w:ascii="Times New Roman" w:hAnsi="Times New Roman"/>
          <w:rtl w:val="0"/>
          <w:lang w:val="en-US"/>
        </w:rPr>
        <w:t xml:space="preserve">(1), 76-91.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Nyikadzino, T. (2023). Challenges affecting learner-centred pedagogy in African secondary schools. </w:t>
      </w:r>
      <w:r>
        <w:rPr>
          <w:rFonts w:ascii="Times New Roman" w:hAnsi="Times New Roman"/>
          <w:i w:val="1"/>
          <w:iCs w:val="1"/>
          <w:rtl w:val="0"/>
          <w:lang w:val="en-US"/>
        </w:rPr>
        <w:t>Journal of Education and Development in Africa, 8</w:t>
      </w:r>
      <w:r>
        <w:rPr>
          <w:rFonts w:ascii="Times New Roman" w:hAnsi="Times New Roman"/>
          <w:rtl w:val="0"/>
          <w:lang w:val="en-US"/>
        </w:rPr>
        <w:t xml:space="preserve">(1), 54-68.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Orafi, S. M. S. (2023). Communicative language teaching in English as a second language classrooms: Contemporary perspectives and challenges. </w:t>
      </w:r>
      <w:r>
        <w:rPr>
          <w:rFonts w:ascii="Times New Roman" w:hAnsi="Times New Roman"/>
          <w:i w:val="1"/>
          <w:iCs w:val="1"/>
          <w:rtl w:val="0"/>
          <w:lang w:val="en-US"/>
        </w:rPr>
        <w:t>International Journal of Language Education, 7</w:t>
      </w:r>
      <w:r>
        <w:rPr>
          <w:rFonts w:ascii="Times New Roman" w:hAnsi="Times New Roman"/>
          <w:rtl w:val="0"/>
          <w:lang w:val="en-US"/>
        </w:rPr>
        <w:t xml:space="preserve">(2), 101-115.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Piaget, J. (1972). </w:t>
      </w:r>
      <w:r>
        <w:rPr>
          <w:rFonts w:ascii="Times New Roman" w:hAnsi="Times New Roman"/>
          <w:i w:val="1"/>
          <w:iCs w:val="1"/>
          <w:rtl w:val="0"/>
          <w:lang w:val="en-US"/>
        </w:rPr>
        <w:t>The psychology of the child</w:t>
      </w:r>
      <w:r>
        <w:rPr>
          <w:rFonts w:ascii="Times New Roman" w:hAnsi="Times New Roman"/>
          <w:rtl w:val="0"/>
          <w:lang w:val="en-US"/>
        </w:rPr>
        <w:t>. New York, NY: Basic Books.</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Priestley, M., Biesta, G., &amp; Robinson, S. (2021). </w:t>
      </w:r>
      <w:r>
        <w:rPr>
          <w:rFonts w:ascii="Times New Roman" w:hAnsi="Times New Roman"/>
          <w:i w:val="1"/>
          <w:iCs w:val="1"/>
          <w:rtl w:val="0"/>
          <w:lang w:val="en-US"/>
        </w:rPr>
        <w:t>Teacher agency: An ecological approach</w:t>
      </w:r>
      <w:r>
        <w:rPr>
          <w:rFonts w:ascii="Times New Roman" w:hAnsi="Times New Roman"/>
          <w:rtl w:val="0"/>
          <w:lang w:val="en-US"/>
        </w:rPr>
        <w:t>. London, England: Bloomsbury Academic.</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Rahman, M. M., &amp; Pandian, A. (2023). Challenges in implementing communicative language teaching in ESL classrooms: A review. </w:t>
      </w:r>
      <w:r>
        <w:rPr>
          <w:rFonts w:ascii="Times New Roman" w:hAnsi="Times New Roman"/>
          <w:i w:val="1"/>
          <w:iCs w:val="1"/>
          <w:rtl w:val="0"/>
          <w:lang w:val="en-US"/>
        </w:rPr>
        <w:t>Arab World English Journal, 14</w:t>
      </w:r>
      <w:r>
        <w:rPr>
          <w:rFonts w:ascii="Times New Roman" w:hAnsi="Times New Roman"/>
          <w:rtl w:val="0"/>
          <w:lang w:val="en-US"/>
        </w:rPr>
        <w:t xml:space="preserve">(1), 251-266. </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Vygotsky, L. S. (1978). </w:t>
      </w:r>
      <w:r>
        <w:rPr>
          <w:rFonts w:ascii="Times New Roman" w:hAnsi="Times New Roman"/>
          <w:i w:val="1"/>
          <w:iCs w:val="1"/>
          <w:rtl w:val="0"/>
          <w:lang w:val="en-US"/>
        </w:rPr>
        <w:t>Mind in society: The development of higher psychological processes</w:t>
      </w:r>
      <w:r>
        <w:rPr>
          <w:rFonts w:ascii="Times New Roman" w:hAnsi="Times New Roman"/>
          <w:rtl w:val="0"/>
          <w:lang w:val="en-US"/>
        </w:rPr>
        <w:t>. Cambridge, MA: Harvard University Press.</w:t>
      </w:r>
    </w:p>
    <w:p>
      <w:pPr>
        <w:pStyle w:val="Body"/>
        <w:ind w:left="720" w:hanging="720"/>
        <w:jc w:val="both"/>
        <w:rPr>
          <w:rFonts w:ascii="Times New Roman" w:cs="Times New Roman" w:hAnsi="Times New Roman" w:eastAsia="Times New Roman"/>
        </w:rPr>
      </w:pPr>
      <w:r>
        <w:rPr>
          <w:rFonts w:ascii="Times New Roman" w:hAnsi="Times New Roman"/>
          <w:rtl w:val="0"/>
          <w:lang w:val="en-US"/>
        </w:rPr>
        <w:t xml:space="preserve">Yin, R. K. (2022). </w:t>
      </w:r>
      <w:r>
        <w:rPr>
          <w:rFonts w:ascii="Times New Roman" w:hAnsi="Times New Roman"/>
          <w:i w:val="1"/>
          <w:iCs w:val="1"/>
          <w:rtl w:val="0"/>
          <w:lang w:val="en-US"/>
        </w:rPr>
        <w:t>Case study research and applications: Design and methods</w:t>
      </w:r>
      <w:r>
        <w:rPr>
          <w:rFonts w:ascii="Times New Roman" w:hAnsi="Times New Roman"/>
          <w:rtl w:val="0"/>
          <w:lang w:val="en-US"/>
        </w:rPr>
        <w:t xml:space="preserve"> (7th ed.). Thousand Oaks, CA: Sage.</w:t>
      </w:r>
    </w:p>
    <w:p>
      <w:pPr>
        <w:pStyle w:val="Body"/>
        <w:jc w:val="both"/>
      </w:pPr>
      <w:r>
        <w:rPr>
          <w:rFonts w:ascii="Times New Roman" w:cs="Times New Roman" w:hAnsi="Times New Roman" w:eastAsia="Times New Roman"/>
        </w:rPr>
      </w:r>
    </w:p>
    <w:sectPr>
      <w:type w:val="continuous"/>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