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AA8CD" w14:textId="6F851267" w:rsidR="008E4926" w:rsidRPr="00DC5419" w:rsidRDefault="00F60237" w:rsidP="00F60237">
      <w:pPr>
        <w:jc w:val="center"/>
        <w:rPr>
          <w:b/>
        </w:rPr>
      </w:pPr>
      <w:r w:rsidRPr="00F60237">
        <w:rPr>
          <w:rFonts w:ascii="Arial" w:eastAsia="Arial" w:hAnsi="Arial" w:cs="Arial"/>
          <w:b/>
          <w:sz w:val="28"/>
          <w:szCs w:val="28"/>
        </w:rPr>
        <w:t>Determinants of Permaculture Awareness Among Vegetable Farmers in Perlis</w:t>
      </w:r>
    </w:p>
    <w:p w14:paraId="63F8789B" w14:textId="77777777" w:rsidR="00137FCE" w:rsidRPr="00DC5419" w:rsidRDefault="00137FCE"/>
    <w:p w14:paraId="4E37BCDB" w14:textId="77777777" w:rsidR="00137FCE" w:rsidRPr="00DC5419" w:rsidRDefault="00000000">
      <w:pPr>
        <w:keepNext/>
        <w:pBdr>
          <w:top w:val="nil"/>
          <w:left w:val="nil"/>
          <w:bottom w:val="nil"/>
          <w:right w:val="nil"/>
          <w:between w:val="nil"/>
        </w:pBdr>
        <w:spacing w:before="120" w:after="120"/>
        <w:jc w:val="center"/>
        <w:rPr>
          <w:b/>
        </w:rPr>
      </w:pPr>
      <w:r w:rsidRPr="00DC5419">
        <w:rPr>
          <w:b/>
        </w:rPr>
        <w:t>ABSTRACT</w:t>
      </w:r>
    </w:p>
    <w:p w14:paraId="78DFF007" w14:textId="4DAE60D9" w:rsidR="004E3EE9" w:rsidRPr="00515DAA" w:rsidRDefault="004E3EE9" w:rsidP="004E3EE9">
      <w:pPr>
        <w:jc w:val="both"/>
        <w:rPr>
          <w:i/>
          <w:lang w:val="en-MY"/>
        </w:rPr>
      </w:pPr>
      <w:r w:rsidRPr="00515DAA">
        <w:rPr>
          <w:i/>
        </w:rPr>
        <w:t xml:space="preserve">Permaculture has emerged as a sustainable agricultural approach that enhances ecological resilience, promotes resource efficiency, and supports long-term productivity, particularly within small-scale farming systems. However, despite its potential benefits, awareness and willingness to adopt permaculture practices among vegetable farmers remain relatively limited, especially among home growers in rural communities. In Perlis, vegetable farmers across five districts: </w:t>
      </w:r>
      <w:proofErr w:type="spellStart"/>
      <w:r w:rsidRPr="00515DAA">
        <w:rPr>
          <w:i/>
        </w:rPr>
        <w:t>Bintong</w:t>
      </w:r>
      <w:proofErr w:type="spellEnd"/>
      <w:r w:rsidRPr="00515DAA">
        <w:rPr>
          <w:i/>
        </w:rPr>
        <w:t xml:space="preserve">, Mata Ayer, Paya, Padang Siding, and </w:t>
      </w:r>
      <w:proofErr w:type="spellStart"/>
      <w:r w:rsidRPr="00515DAA">
        <w:rPr>
          <w:i/>
        </w:rPr>
        <w:t>Beseri</w:t>
      </w:r>
      <w:proofErr w:type="spellEnd"/>
      <w:r w:rsidR="006E6FC9">
        <w:rPr>
          <w:i/>
        </w:rPr>
        <w:t>,</w:t>
      </w:r>
      <w:r w:rsidRPr="00515DAA">
        <w:rPr>
          <w:i/>
        </w:rPr>
        <w:t xml:space="preserve"> were continuing to experience constraints such as limited exposure, financial concerns, and uneven understanding of sustainable agricultural innovations, which may hinder broader adoption. Therefore, this study aims to examine the factors influencing awareness </w:t>
      </w:r>
      <w:r w:rsidR="006E6FC9">
        <w:rPr>
          <w:i/>
        </w:rPr>
        <w:t>of adopting</w:t>
      </w:r>
      <w:r w:rsidRPr="00515DAA">
        <w:rPr>
          <w:i/>
        </w:rPr>
        <w:t xml:space="preserve"> permaculture practices among vegetable farmers in Perlis, focusing on two main variables, namely cost and knowledge (comprehension). A quantitative cross-sectional survey design was employed, involving 52 respondents selected from the Department of Agriculture</w:t>
      </w:r>
      <w:r w:rsidR="006E6FC9">
        <w:rPr>
          <w:i/>
        </w:rPr>
        <w:t xml:space="preserve"> (DOA)</w:t>
      </w:r>
      <w:r w:rsidRPr="00515DAA">
        <w:rPr>
          <w:i/>
        </w:rPr>
        <w:t xml:space="preserve"> Perlis database. Data were </w:t>
      </w:r>
      <w:r w:rsidR="00515DAA" w:rsidRPr="00515DAA">
        <w:rPr>
          <w:i/>
        </w:rPr>
        <w:t>analyzed</w:t>
      </w:r>
      <w:r w:rsidRPr="00515DAA">
        <w:rPr>
          <w:i/>
        </w:rPr>
        <w:t xml:space="preserve"> using SPSS software, incorporating frequency analysis, reliability testing, Pearson correlation analysis, and multiple regression analysis to determine the relationships and predictive strength of the identified factors.</w:t>
      </w:r>
      <w:r w:rsidRPr="00515DAA">
        <w:rPr>
          <w:sz w:val="24"/>
          <w:szCs w:val="24"/>
          <w:lang w:val="en-MY"/>
        </w:rPr>
        <w:t xml:space="preserve"> </w:t>
      </w:r>
      <w:r w:rsidRPr="00515DAA">
        <w:rPr>
          <w:i/>
          <w:lang w:val="en-MY"/>
        </w:rPr>
        <w:t xml:space="preserve">The findings indicate that the research instruments achieved acceptable reliability levels. Inferential analysis shows that cost has a statistically significant relationship with awareness of permaculture adoption, with a p-value of 0.003 (p &lt; 0.05), indicating a meaningful influence on farmers’ awareness. </w:t>
      </w:r>
      <w:r w:rsidR="006E6FC9">
        <w:rPr>
          <w:i/>
          <w:lang w:val="en-MY"/>
        </w:rPr>
        <w:t>Nevertheless</w:t>
      </w:r>
      <w:r w:rsidRPr="00515DAA">
        <w:rPr>
          <w:i/>
          <w:lang w:val="en-MY"/>
        </w:rPr>
        <w:t>, knowledge or comprehension is not statistically significant, with a p-value of 0.512 (p &gt; 0.05), suggesting that it does not significantly contribute to awareness within the present model. Regression results further confirm that cost is the dominant predictor compared to knowledge. In conclusion, awareness of permaculture practices among small-scale vegetable farmers in Perlis is primarily shaped by financial considerations rather than knowledge-related factors. Therefore, targeted interventions such as subsidies, cost-sharing initiatives, and financial support mechanisms may be more effective in enhancing awareness and encouraging adoption of permaculture practices among home growers in the region.</w:t>
      </w:r>
    </w:p>
    <w:p w14:paraId="01C87390" w14:textId="77777777" w:rsidR="004E3EE9" w:rsidRPr="00515DAA" w:rsidRDefault="004E3EE9">
      <w:pPr>
        <w:jc w:val="both"/>
        <w:rPr>
          <w:i/>
        </w:rPr>
      </w:pPr>
    </w:p>
    <w:p w14:paraId="4B5401E6" w14:textId="4453CE76" w:rsidR="0032336F" w:rsidRDefault="00000000" w:rsidP="00DE375C">
      <w:pPr>
        <w:ind w:left="993" w:hanging="993"/>
        <w:jc w:val="both"/>
        <w:rPr>
          <w:i/>
        </w:rPr>
      </w:pPr>
      <w:r w:rsidRPr="00DC5419">
        <w:rPr>
          <w:b/>
          <w:i/>
        </w:rPr>
        <w:t>Keywords</w:t>
      </w:r>
      <w:r w:rsidRPr="00DC5419">
        <w:t>:</w:t>
      </w:r>
      <w:r w:rsidR="00674780">
        <w:t xml:space="preserve"> </w:t>
      </w:r>
      <w:r w:rsidR="00674780" w:rsidRPr="00674780">
        <w:rPr>
          <w:i/>
          <w:iCs/>
        </w:rPr>
        <w:t>Awareness, cost</w:t>
      </w:r>
      <w:r w:rsidR="0032336F" w:rsidRPr="00674780">
        <w:rPr>
          <w:i/>
          <w:iCs/>
        </w:rPr>
        <w:t xml:space="preserve">, knowledge, </w:t>
      </w:r>
      <w:r w:rsidR="00DF4973" w:rsidRPr="00674780">
        <w:rPr>
          <w:i/>
          <w:iCs/>
        </w:rPr>
        <w:t>permaculture</w:t>
      </w:r>
      <w:r w:rsidR="0032336F" w:rsidRPr="00674780">
        <w:rPr>
          <w:i/>
          <w:iCs/>
        </w:rPr>
        <w:t>, regression analysis</w:t>
      </w:r>
      <w:r w:rsidR="0032336F" w:rsidRPr="00674780">
        <w:rPr>
          <w:i/>
        </w:rPr>
        <w:t xml:space="preserve"> </w:t>
      </w:r>
    </w:p>
    <w:p w14:paraId="4F1A139A" w14:textId="77777777" w:rsidR="004E3EE9" w:rsidRDefault="004E3EE9" w:rsidP="00DE375C">
      <w:pPr>
        <w:ind w:left="993" w:hanging="993"/>
        <w:jc w:val="both"/>
        <w:rPr>
          <w:i/>
          <w:color w:val="EE0000"/>
        </w:rPr>
      </w:pPr>
    </w:p>
    <w:p w14:paraId="573EB9A9" w14:textId="77777777" w:rsidR="004E3EE9" w:rsidRPr="00B93CF4" w:rsidRDefault="004E3EE9" w:rsidP="00DE375C">
      <w:pPr>
        <w:ind w:left="993" w:hanging="993"/>
        <w:jc w:val="both"/>
        <w:rPr>
          <w:i/>
          <w:color w:val="EE0000"/>
        </w:rPr>
      </w:pPr>
    </w:p>
    <w:p w14:paraId="76FD41C6" w14:textId="77777777" w:rsidR="00DE375C" w:rsidRPr="00DC5419" w:rsidRDefault="00DE375C" w:rsidP="00DE375C">
      <w:pPr>
        <w:ind w:left="993" w:hanging="993"/>
        <w:jc w:val="both"/>
        <w:rPr>
          <w:b/>
        </w:rPr>
      </w:pPr>
    </w:p>
    <w:p w14:paraId="623A8452" w14:textId="77777777" w:rsidR="00137FCE" w:rsidRPr="00DC5419" w:rsidRDefault="00000000" w:rsidP="002B13DC">
      <w:pPr>
        <w:pStyle w:val="Heading1"/>
        <w:spacing w:before="0" w:after="0"/>
        <w:rPr>
          <w:color w:val="auto"/>
        </w:rPr>
      </w:pPr>
      <w:r w:rsidRPr="00DC5419">
        <w:rPr>
          <w:color w:val="auto"/>
        </w:rPr>
        <w:t xml:space="preserve">INTRODUCTION </w:t>
      </w:r>
    </w:p>
    <w:p w14:paraId="25C23213" w14:textId="77777777" w:rsidR="00B93CF4" w:rsidRDefault="00B93CF4" w:rsidP="00B93CF4">
      <w:pPr>
        <w:jc w:val="both"/>
      </w:pPr>
      <w:bookmarkStart w:id="0" w:name="_heading=h.zieolhqsnylt" w:colFirst="0" w:colLast="0"/>
      <w:bookmarkEnd w:id="0"/>
    </w:p>
    <w:p w14:paraId="63A75451" w14:textId="11C97960" w:rsidR="00B93CF4" w:rsidRDefault="00B93CF4" w:rsidP="00B93CF4">
      <w:pPr>
        <w:jc w:val="both"/>
      </w:pPr>
      <w:r w:rsidRPr="0094277C">
        <w:t xml:space="preserve">Permaculture refers to the </w:t>
      </w:r>
      <w:r w:rsidR="008C7D2B" w:rsidRPr="0094277C">
        <w:t>practice</w:t>
      </w:r>
      <w:r w:rsidRPr="0094277C">
        <w:t xml:space="preserve"> of designing landscapes with the intention of producing an abundance of food, </w:t>
      </w:r>
      <w:r w:rsidR="008C7D2B" w:rsidRPr="0094277C">
        <w:t>fiber</w:t>
      </w:r>
      <w:r w:rsidRPr="0094277C">
        <w:t xml:space="preserve">, and energy for the purpose of meeting the needs of the local community. These landscapes intentionally mirror the patterns and relationships that are </w:t>
      </w:r>
      <w:r w:rsidR="006E6FC9">
        <w:t>identified</w:t>
      </w:r>
      <w:r w:rsidR="006E6FC9" w:rsidRPr="0094277C">
        <w:t xml:space="preserve"> </w:t>
      </w:r>
      <w:r w:rsidRPr="0094277C">
        <w:t xml:space="preserve">in nature </w:t>
      </w:r>
      <w:r w:rsidR="0062053A">
        <w:fldChar w:fldCharType="begin" w:fldLock="1"/>
      </w:r>
      <w:r w:rsidR="00F530FF">
        <w:instrText>ADDIN CSL_CITATION {"citationItems":[{"id":"ITEM-1","itemData":{"ISSN":"3028-3030","abstract":"Permaculture is a concept focused on the sustainable living of human beings, both in rural and urban areas although it was initially developed in a rural setting. Permaculture's is based on intensive use of biological resources and thoughtful, holistic, design, patterned after natural ecosystems (eco-mimicry) which balances the environment degradation. For required change in the environment by maintaining ecological balance, it is necessary to develop a permanent culture based on natural resources (land, resources and waste management) with long term sustainability.","author":[{"dropping-particle":"","family":"Bhati","given":"Akshaya","non-dropping-particle":"","parse-names":false,"suffix":""},{"dropping-particle":"","family":"Makanur","given":"Basavaraj","non-dropping-particle":"","parse-names":false,"suffix":""},{"dropping-particle":"","family":"Akshaya Bhati","given":"Correspondence","non-dropping-particle":"","parse-names":false,"suffix":""}],"container-title":"~ 3028 ~ Journal of Pharmacognosy and Phytochemistry","id":"ITEM-1","issued":{"date-parts":[["2019"]]},"title":"Permaculture: A way of sustainable living","type":"article-journal"},"uris":["http://www.mendeley.com/documents/?uuid=2c0581c5-a88d-4a6a-b9de-ac1c6d43ef24","http://www.mendeley.com/documents/?uuid=0334e17d-d91f-40da-9315-b5f740d29a01","http://www.mendeley.com/documents/?uuid=bba18043-800a-4931-9274-1af13f931837"]}],"mendeley":{"formattedCitation":"(Bhati et al., 2019)","plainTextFormattedCitation":"(Bhati et al., 2019)","previouslyFormattedCitation":"(Bhati et al., 2019)"},"properties":{"noteIndex":0},"schema":"https://github.com/citation-style-language/schema/raw/master/csl-citation.json"}</w:instrText>
      </w:r>
      <w:r w:rsidR="0062053A">
        <w:fldChar w:fldCharType="separate"/>
      </w:r>
      <w:r w:rsidR="0062053A" w:rsidRPr="0062053A">
        <w:rPr>
          <w:noProof/>
        </w:rPr>
        <w:t>(Bhati et al., 2019)</w:t>
      </w:r>
      <w:r w:rsidR="0062053A">
        <w:fldChar w:fldCharType="end"/>
      </w:r>
      <w:r w:rsidRPr="0094277C">
        <w:t xml:space="preserve">. The definition of the word "permaculture" can vary greatly depending on where it was obtained, and it continues to mature as more time passes. The term "permaculture" was first coined by the movement's pioneers, who defined it as "an integrated, evolving system of perennial or self-perpetuating plant and animal species beneficial to </w:t>
      </w:r>
      <w:r>
        <w:t>human</w:t>
      </w:r>
      <w:r w:rsidR="002F26AC">
        <w:t>s</w:t>
      </w:r>
      <w:r w:rsidRPr="0094277C">
        <w:t xml:space="preserve">" </w:t>
      </w:r>
      <w:r w:rsidR="0062053A">
        <w:fldChar w:fldCharType="begin" w:fldLock="1"/>
      </w:r>
      <w:r w:rsidR="00F530FF">
        <w:instrText>ADDIN CSL_CITATION {"citationItems":[{"id":"ITEM-1","itemData":{"DOI":"10.3197/096327114X13851122269089","ISSN":"09632719","abstract":"This paper traces the origins of the concept of permaculture and discusses the sustainability of permaculture itself as a form of alternative agriculture. The principles of permaculture are shown to have many views and perspectives in common with Taoism and with Buddhist ecology and economics. The amalgamation of these Oriental traditions can be translated into the Kaya equation and beyond. It is argued that future permaculture movements should focus on revitalising the communitarian spirit of traditional farming villages instead of building intentional communal communities. The paper also calls for more aggressive environmental-policy measures that support permaculture and internalise the non-market value of reduced fossil-fuel energy consumption and waste recycling. © 2014 The White Horse Press.","author":[{"dropping-particle":"","family":"Suh","given":"Jungho","non-dropping-particle":"","parse-names":false,"suffix":""}],"container-title":"Environmental Values","id":"ITEM-1","issued":{"date-parts":[["2014"]]},"title":"Towards sustainable agricultural stewardship: Evolution and future directions of the permaculture concept","type":"article-journal"},"uris":["http://www.mendeley.com/documents/?uuid=487fe8fc-90fb-4cff-86a8-206f11935e59","http://www.mendeley.com/documents/?uuid=f83cae7c-845a-4f9c-8e14-2f04a958e353","http://www.mendeley.com/documents/?uuid=68f0acfd-f8e4-432a-b290-2abf8f100bba"]}],"mendeley":{"formattedCitation":"(Suh, 2014)","plainTextFormattedCitation":"(Suh, 2014)","previouslyFormattedCitation":"(Suh, 2014)"},"properties":{"noteIndex":0},"schema":"https://github.com/citation-style-language/schema/raw/master/csl-citation.json"}</w:instrText>
      </w:r>
      <w:r w:rsidR="0062053A">
        <w:fldChar w:fldCharType="separate"/>
      </w:r>
      <w:r w:rsidR="0062053A" w:rsidRPr="0062053A">
        <w:rPr>
          <w:noProof/>
        </w:rPr>
        <w:t>(Suh, 2014)</w:t>
      </w:r>
      <w:r w:rsidR="0062053A">
        <w:fldChar w:fldCharType="end"/>
      </w:r>
      <w:r w:rsidRPr="0094277C">
        <w:t xml:space="preserve">. </w:t>
      </w:r>
      <w:r>
        <w:t xml:space="preserve">Several nations, including Japan </w:t>
      </w:r>
      <w:r w:rsidR="0062053A">
        <w:fldChar w:fldCharType="begin" w:fldLock="1"/>
      </w:r>
      <w:r w:rsidR="00F530FF">
        <w:instrText>ADDIN CSL_CITATION {"citationItems":[{"id":"ITEM-1","itemData":{"DOI":"10.1080/26395916.2020.1837244","ISSN":"26395916","abstract":"Approaching sustainability through landscapes helps appreciate the value of the diversity of human ways to live with nature that exists today. On the basis of fieldwork research in Japan, we explore the landscapes of natural parks, satoyama, and permaculture, all three recognized as sustainable and of high biodiversity value despite showing significant differences in terms of nature protection and landscape management strategies. We use the ‘framework of the milieu’ inspired by Watsuji Tetsurō and Augustin Berque to situate individual experiences and behaviours within the landscape’s dynamics. It sheds light on the ideas of human-nature relations that underpin the understandings of sustainability as reflected in each landscape. We derive three corresponding landscape types: scenic, cultural, and ecotopian landscapes. We show that these types can be complementary insofar as they together support healthy ecosystems and fuel a sense of connectedness to nature. EDITED BY Jacqueline Loos.","author":[{"dropping-particle":"","family":"Chakroun","given":"Leila","non-dropping-particle":"","parse-names":false,"suffix":""},{"dropping-particle":"","family":"Droz","given":"Laÿna","non-dropping-particle":"","parse-names":false,"suffix":""}],"container-title":"Ecosystems and People","id":"ITEM-1","issued":{"date-parts":[["2020"]]},"title":"Sustainability through landscapes: natural parks, satoyama, and permaculture in Japan","type":"article-journal"},"uris":["http://www.mendeley.com/documents/?uuid=674ff5df-ccdf-4def-aaf6-9184a3c3e801","http://www.mendeley.com/documents/?uuid=db4d85bf-749f-41b1-9810-37b9845892c2","http://www.mendeley.com/documents/?uuid=10a53350-e95a-436a-9977-6fe4d0cba05b"]}],"mendeley":{"formattedCitation":"(Chakroun &amp; Droz, 2020)","plainTextFormattedCitation":"(Chakroun &amp; Droz, 2020)","previouslyFormattedCitation":"(Chakroun &amp; Droz, 2020)"},"properties":{"noteIndex":0},"schema":"https://github.com/citation-style-language/schema/raw/master/csl-citation.json"}</w:instrText>
      </w:r>
      <w:r w:rsidR="0062053A">
        <w:fldChar w:fldCharType="separate"/>
      </w:r>
      <w:r w:rsidR="0062053A" w:rsidRPr="0062053A">
        <w:rPr>
          <w:noProof/>
        </w:rPr>
        <w:t>(Chakroun &amp; Droz, 2020)</w:t>
      </w:r>
      <w:r w:rsidR="0062053A">
        <w:fldChar w:fldCharType="end"/>
      </w:r>
      <w:r>
        <w:t xml:space="preserve"> and Malaysia, have conducted research on permaculture farms and their surrounding environments </w:t>
      </w:r>
      <w:r w:rsidR="00584B11">
        <w:fldChar w:fldCharType="begin" w:fldLock="1"/>
      </w:r>
      <w:r w:rsidR="00F530FF">
        <w:instrText>ADDIN CSL_CITATION {"citationItems":[{"id":"ITEM-1","itemData":{"abstract":"The practice of Permaculture as living concept have long been introduced and practiced around the world. Perrmaculture in Malaysia however, is still at infant level while the community is having minimal awareness and resulted into insignificant permaculture practices by the community especially in urban area. This paper intends to investigate the potential of Permaculture as a way of urban life and integrate it in designing urban residential landscape in Malaysia. In general, landscape design to date is in favor of planting ornamental plants and shade trees. This study on the other hand, encourages planting edible crops and fruit tree give more value and benefits for consumer apart from being aesthetically pleasing and shady. Data collection investigates the level of awareness and knowledge of the specified community towards permaculture and their acceptance to implement in their urban residence landscape. A case study is conducted at Denai Alam of Shah Alam, Selangor Malaysia. Denai Alam is an upscale urban residence and surrounded with an ample green space. Results of the study inform that some of the residences have already started their own edible garden in their backyard. Therefore the idea of introducing Permaculture into urban residential and community is likely positive. However, it is yet to see a full scale implementation of permaculture where; urban permaculture to incorporate aspects such as greywater treatment, spiral herb gardens, and small vegetable gardens. These practices could take place on a rooftop, balcony, or top of a parking garage, or in an empty parking lot. This would create a lot more “green space” in the downtown or city landscape. On the next scale, of the size of a back yard or so, food forests could be created. Berms and swales are a common design practice in permaculture, because the swale provides water retention and percolation into the soil, and the berm acts as a raised bed for gardening.","author":[{"dropping-particle":"","family":"Ismail","given":"Nor Atiah","non-dropping-particle":"","parse-names":false,"suffix":""},{"dropping-particle":"","family":"Affendi","given":"Syuriana Mohd","non-dropping-particle":"","parse-names":false,"suffix":""}],"container-title":"Research Journal of Fisheries and Hydrobiology","id":"ITEM-1","issue":"14","issued":{"date-parts":[["2015"]]},"page":"6-10","title":"Awareness and acceptability of permaculture in a residential landscape design: A case study of Denai Alam community.","type":"article-journal","volume":"10"},"uris":["http://www.mendeley.com/documents/?uuid=7795689f-f1e8-4c20-b7cb-95f9def364cb","http://www.mendeley.com/documents/?uuid=92e61527-467c-4423-b06b-fbe80dbd3ef7"]}],"mendeley":{"formattedCitation":"(Ismail &amp; Affendi, 2015)","plainTextFormattedCitation":"(Ismail &amp; Affendi, 2015)","previouslyFormattedCitation":"(Ismail &amp; Affendi, 2015)"},"properties":{"noteIndex":0},"schema":"https://github.com/citation-style-language/schema/raw/master/csl-citation.json"}</w:instrText>
      </w:r>
      <w:r w:rsidR="00584B11">
        <w:fldChar w:fldCharType="separate"/>
      </w:r>
      <w:r w:rsidR="00584B11" w:rsidRPr="00584B11">
        <w:rPr>
          <w:noProof/>
        </w:rPr>
        <w:t>(Ismail &amp; Affendi, 2015)</w:t>
      </w:r>
      <w:r w:rsidR="00584B11">
        <w:fldChar w:fldCharType="end"/>
      </w:r>
      <w:r>
        <w:t xml:space="preserve">. </w:t>
      </w:r>
      <w:r w:rsidR="006E6FC9">
        <w:t>P</w:t>
      </w:r>
      <w:r>
        <w:t xml:space="preserve">ermaculture is distinguished by the presence of agroforestry systems, free-range grazing, swale systems, greywater collection systems, food forests </w:t>
      </w:r>
      <w:r w:rsidR="00377D89">
        <w:fldChar w:fldCharType="begin" w:fldLock="1"/>
      </w:r>
      <w:r w:rsidR="00F530FF">
        <w:instrText>ADDIN CSL_CITATION {"citationItems":[{"id":"ITEM-1","itemData":{"DOI":"10.1016/S2542-5196(22)00091-2","ISSN":"25425196","PMID":"35809591","abstract":"The global food system is failing to deliver sufficient and nutritious food to all, while damaging the earth and unsustainably drawing down its resources. We argue that trees and forests are essential to solving these challenges. We outline the current contributions of trees and forests to the global food system and present recommendations to leverage these contributions as part of the efforts to reshape food systems to better support healthy diets and environmental sustainability. Trees and forests provide nutrient-rich foods, incomes for food security, ecosystem services for food production, and add resilience to food systems. At the same time, trees and forests protect biodiversity and mitigate climate change through carbon sequestration. We recommend four approaches to realise the full potential of trees and forests to contribute to healthy and sustainable food systems: scaling up current tree-based food production, reorientating some agricultural investments towards nutrient-dense food production, repurposing production incentives from support of calorie-rich but nutrient-poor foods to support nutrient-dense foods, and integrate nutrition objectives into forest conservation and restoration programmes. Trees and forests have important roles to play in the transformation of our food systems, but more needs to be done to ensure that these roles are realised.","author":[{"dropping-particle":"","family":"Ickowitz","given":"Amy","non-dropping-particle":"","parse-names":false,"suffix":""},{"dropping-particle":"","family":"McMullin","given":"Stepha","non-dropping-particle":"","parse-names":false,"suffix":""},{"dropping-particle":"","family":"Rosenstock","given":"Todd","non-dropping-particle":"","parse-names":false,"suffix":""},{"dropping-particle":"","family":"Dawson","given":"Ian","non-dropping-particle":"","parse-names":false,"suffix":""},{"dropping-particle":"","family":"Rowland","given":"Dominic","non-dropping-particle":"","parse-names":false,"suffix":""},{"dropping-particle":"","family":"Powell","given":"Bronwen","non-dropping-particle":"","parse-names":false,"suffix":""},{"dropping-particle":"","family":"Mausch","given":"Kai","non-dropping-particle":"","parse-names":false,"suffix":""},{"dropping-particle":"","family":"Djoudi","given":"Houria","non-dropping-particle":"","parse-names":false,"suffix":""},{"dropping-particle":"","family":"Sunderland","given":"Terry","non-dropping-particle":"","parse-names":false,"suffix":""},{"dropping-particle":"","family":"Nurhasan","given":"Mulia","non-dropping-particle":"","parse-names":false,"suffix":""},{"dropping-particle":"","family":"Novak","given":"Andreea","non-dropping-particle":"","parse-names":false,"suffix":""},{"dropping-particle":"","family":"Gitz","given":"Vincent","non-dropping-particle":"","parse-names":false,"suffix":""},{"dropping-particle":"","family":"Meybeck","given":"Alexandre","non-dropping-particle":"","parse-names":false,"suffix":""},{"dropping-particle":"","family":"Jamnadass","given":"Ramni","non-dropping-particle":"","parse-names":false,"suffix":""},{"dropping-particle":"","family":"Guariguata","given":"Manuel R.","non-dropping-particle":"","parse-names":false,"suffix":""},{"dropping-particle":"","family":"Termote","given":"Céline","non-dropping-particle":"","parse-names":false,"suffix":""},{"dropping-particle":"","family":"Nasi","given":"Robert","non-dropping-particle":"","parse-names":false,"suffix":""}],"container-title":"The Lancet Planetary Health","id":"ITEM-1","issued":{"date-parts":[["2022"]]},"title":"Transforming food systems with trees and forests","type":"article"},"uris":["http://www.mendeley.com/documents/?uuid=336e9cbd-f12b-4153-8daa-b9fec7ce27a8","http://www.mendeley.com/documents/?uuid=b520964a-9b8d-4cd8-bcf9-083bef21e580","http://www.mendeley.com/documents/?uuid=eaac8a65-6217-4a14-b7d9-a017622de0fa"]}],"mendeley":{"formattedCitation":"(Ickowitz et al., 2022)","plainTextFormattedCitation":"(Ickowitz et al., 2022)","previouslyFormattedCitation":"(Ickowitz et al., 2022)"},"properties":{"noteIndex":0},"schema":"https://github.com/citation-style-language/schema/raw/master/csl-citation.json"}</w:instrText>
      </w:r>
      <w:r w:rsidR="00377D89">
        <w:fldChar w:fldCharType="separate"/>
      </w:r>
      <w:r w:rsidR="00377D89" w:rsidRPr="00377D89">
        <w:rPr>
          <w:noProof/>
        </w:rPr>
        <w:t>(Ickowitz et al., 2022)</w:t>
      </w:r>
      <w:r w:rsidR="00377D89">
        <w:fldChar w:fldCharType="end"/>
      </w:r>
      <w:r>
        <w:t xml:space="preserve">, and edible gardens </w:t>
      </w:r>
      <w:r w:rsidR="00377D89">
        <w:fldChar w:fldCharType="begin" w:fldLock="1"/>
      </w:r>
      <w:r w:rsidR="00F530FF">
        <w:instrText>ADDIN CSL_CITATION {"citationItems":[{"id":"ITEM-1","itemData":{"DOI":"10.1057/s41599-019-0377-8","ISSN":"20551045","abstract":"Urban and peri-urban agriculture can have negative effects (i.e., ecosystem disservices) to the city ecosystem. In the last two decades, urbanists and landscape planners have promoted urban agriculture and food systems with little attention to ecosystem disservices. At present, increased urbanisation, environmental degradation, population growth and changes in food systems require a novel concept that considers trade-offs between ecosystem services and disservices. Considering the Sustainable Development Goal 2 of ending hunger and all forms of malnutrition by 2030, as well as the food revolution 5.0 of feeding up to ten billion people, edible urbanism 5.0 is a supportive component in reaching these goals. In this comment, edible urbanism via an edible green infrastructure (EGI) approach is examined against current urbanistic concepts that have common food production systems in cities. Moreover, a discussion on issues and challenges of public policy and governance for the implementation of sustainable food systems is shown with findings that consider current industrial intensive farming as somewhat unsustainable. Edible urbanism integrates three main principles of sustainability by fulfilling food security, resilience and social inclusion. It links site-specific, best-practices by integrating EGI-based governance with modernised food production techniques. Example cities showing EGI- and sustainability-oriented food concepts are presented. Recommendations for future edible urbanism (as a part of the next food revolution) are established.","author":[{"dropping-particle":"","family":"Russo","given":"Alessio","non-dropping-particle":"","parse-names":false,"suffix":""},{"dropping-particle":"","family":"Cirella","given":"Giuseppe T.","non-dropping-particle":"","parse-names":false,"suffix":""}],"container-title":"Palgrave Communications","id":"ITEM-1","issued":{"date-parts":[["2019"]]},"title":"Edible urbanism 5.0","type":"article"},"uris":["http://www.mendeley.com/documents/?uuid=6c5d266c-8e3a-4f3c-8c3a-e7fc557e028f","http://www.mendeley.com/documents/?uuid=8afefec7-a832-462f-8158-a935cdc12231","http://www.mendeley.com/documents/?uuid=0145270c-bfd4-4c0d-9dd4-221dbf86b8b4"]}],"mendeley":{"formattedCitation":"(Russo &amp; Cirella, 2019)","plainTextFormattedCitation":"(Russo &amp; Cirella, 2019)","previouslyFormattedCitation":"(Russo &amp; Cirella, 2019)"},"properties":{"noteIndex":0},"schema":"https://github.com/citation-style-language/schema/raw/master/csl-citation.json"}</w:instrText>
      </w:r>
      <w:r w:rsidR="00377D89">
        <w:fldChar w:fldCharType="separate"/>
      </w:r>
      <w:r w:rsidR="00377D89" w:rsidRPr="00377D89">
        <w:rPr>
          <w:noProof/>
        </w:rPr>
        <w:t>(Russo &amp; Cirella, 2019)</w:t>
      </w:r>
      <w:r w:rsidR="00377D89">
        <w:fldChar w:fldCharType="end"/>
      </w:r>
      <w:r>
        <w:t>.</w:t>
      </w:r>
    </w:p>
    <w:p w14:paraId="67FE2CB4" w14:textId="77777777" w:rsidR="009A6254" w:rsidRDefault="009A6254" w:rsidP="00BC73D0">
      <w:pPr>
        <w:jc w:val="both"/>
        <w:rPr>
          <w:color w:val="EE0000"/>
        </w:rPr>
      </w:pPr>
    </w:p>
    <w:p w14:paraId="792A232C" w14:textId="307723AC" w:rsidR="00B93CF4" w:rsidRPr="00952D81" w:rsidRDefault="009A6254" w:rsidP="00BC73D0">
      <w:pPr>
        <w:jc w:val="both"/>
        <w:rPr>
          <w:color w:val="EE0000"/>
        </w:rPr>
      </w:pPr>
      <w:r w:rsidRPr="00EE0D02">
        <w:t xml:space="preserve">The widespread use of land by </w:t>
      </w:r>
      <w:bookmarkStart w:id="1" w:name="_Hlk231476345"/>
      <w:r w:rsidR="006E6FC9">
        <w:t>C</w:t>
      </w:r>
      <w:r w:rsidRPr="00EE0D02">
        <w:t xml:space="preserve">onventional </w:t>
      </w:r>
      <w:r w:rsidR="006E6FC9">
        <w:t>A</w:t>
      </w:r>
      <w:r w:rsidRPr="00EE0D02">
        <w:t xml:space="preserve">gricultural </w:t>
      </w:r>
      <w:r w:rsidR="006E6FC9">
        <w:t>S</w:t>
      </w:r>
      <w:r w:rsidRPr="00EE0D02">
        <w:t>ystems (CAS)</w:t>
      </w:r>
      <w:bookmarkEnd w:id="1"/>
      <w:r w:rsidRPr="00EE0D02">
        <w:t xml:space="preserve"> is not sustainable since it accelerates soil organic matter depletion and fertility loss, threatening long-term food and nutritional security </w:t>
      </w:r>
      <w:r w:rsidRPr="00EE0D02">
        <w:fldChar w:fldCharType="begin" w:fldLock="1"/>
      </w:r>
      <w:r w:rsidR="000A5F41">
        <w:instrText>ADDIN CSL_CITATION {"citationItems":[{"id":"ITEM-1","itemData":{"DOI":"10.3390/soilsystems6040087","ISSN":"25718789","abstract":"Soil health is a term used to describe the general state or quality of soil, and in an agroecosystem, soil health can be defined as the ability of the soil to respond to agricultural practices in a way that sustainably supports both agricultural production and the provision of other ecosystem services. Conventional agricultural practices cause deterioration in soil quality, increasing its compaction, water erosion, and salinization and decreasing soil organic matter, nutrient content, and soil biodiversity, which negatively influences the productivity and long-term sustainability of the soil. Currently, there are many evidences throughout the world that demonstrate the capability of conservation agriculture (CA) as a sustainable system to overcome these adverse effects on soil health, to avoid soil degradation and to ensure food security. CA has multiple beneficial effects on the physical, chemical, and biological properties of soil. In addition, CA can reduce the negative impacts of conventional agricultural practices on soil health while conserving the production and provision of soil ecosystem services. Today, agricultural development is facing unprecedented challenges, and CA plays a significant role in the sustainability of intensive agriculture. This review will discuss the impact of conservation agricultural practices on soil health and their role in agricultural sustainability.","author":[{"dropping-particle":"","family":"Cárceles Rodríguez","given":"Belén","non-dropping-particle":"","parse-names":false,"suffix":""},{"dropping-particle":"","family":"Durán-Zuazo","given":"Víctor Hugo","non-dropping-particle":"","parse-names":false,"suffix":""},{"dropping-particle":"","family":"Soriano Rodríguez","given":"Miguel","non-dropping-particle":"","parse-names":false,"suffix":""},{"dropping-particle":"","family":"García-Tejero","given":"Iván F.","non-dropping-particle":"","parse-names":false,"suffix":""},{"dropping-particle":"","family":"Gálvez Ruiz","given":"Baltasar","non-dropping-particle":"","parse-names":false,"suffix":""},{"dropping-particle":"","family":"Cuadros Tavira","given":"Simón","non-dropping-particle":"","parse-names":false,"suffix":""}],"container-title":"Soil Systems","id":"ITEM-1","issued":{"date-parts":[["2022"]]},"title":"Conservation agriculture as a sustainable system for soil health: A review","type":"article"},"uris":["http://www.mendeley.com/documents/?uuid=49e7fd88-5812-49f7-a16c-f80771263eaf","http://www.mendeley.com/documents/?uuid=3676fc27-8227-4f52-a4c3-fdaf5c041425"]}],"mendeley":{"formattedCitation":"(Cárceles Rodríguez et al., 2022)","manualFormatting":"(Cárceles Rodríguez et al., 2022","plainTextFormattedCitation":"(Cárceles Rodríguez et al., 2022)","previouslyFormattedCitation":"(Cárceles Rodríguez et al., 2022)"},"properties":{"noteIndex":0},"schema":"https://github.com/citation-style-language/schema/raw/master/csl-citation.json"}</w:instrText>
      </w:r>
      <w:r w:rsidRPr="00EE0D02">
        <w:fldChar w:fldCharType="separate"/>
      </w:r>
      <w:r w:rsidRPr="00EE0D02">
        <w:rPr>
          <w:noProof/>
        </w:rPr>
        <w:t>(Cárceles Rodríguez et al., 2022</w:t>
      </w:r>
      <w:r w:rsidRPr="00EE0D02">
        <w:fldChar w:fldCharType="end"/>
      </w:r>
      <w:r w:rsidRPr="00EE0D02">
        <w:fldChar w:fldCharType="begin" w:fldLock="1"/>
      </w:r>
      <w:r w:rsidR="000A5F41">
        <w:instrText>ADDIN CSL_CITATION {"citationItems":[{"id":"ITEM-1","itemData":{"DOI":"10.63072/aab.19007","abstract":"Wheat (Triticum aestivum L.) is vital for global food security due to its nutrition and widespread consumption. To support the growing population, using both organic and inorganic fertilizers enhances soil health and wheat yield. Mineral fertilizers directly affect crop yield and soil quality. Soil organic matter (SOM) is a crucial component for soil quality, microbial activity, decomposition, and nutrient cycling. The interaction between fertilizer uses and soil health is a complex phenomenon. The choice of fertilizer type, amount and application method impacts soil microbial populations and properties. Long-term balance fertilizer application enhances soil microbial biomass, with multiple factors like nitrogen source and application method as well. Sustainable agriculture and environmental health require both organic and mineral fertilizers use for better production. Public education on fertilizer synergy, crop yields and soil health are essential to enhance the productivity of agricultural products. Excessive inorganic fertilizer use leads to adverse consequences, including heavy metal accumulation, pollution, and environmental degradation. Organic fertilizers offer a more sustainable soil fertility approach, improving soil properties and crop yields. Application methods, like band spreading, trailing hose and burial, reduce nutrient loss and enhance soil structure. Combining organic and inorganic fertilizers is more effective for crop growth and yield, addressing limited arable land and global food demand. Fertilizers have been vital in ensuring food security for the expanding world population. With the population projected to exceed 9 billion by 2050, integrated soil nutrient management is crucial. Fertilizer use also impacts soil erosion, leading to topsoil loss and soil health decline. Nutrient-rich topsoil is vulnerable to erosion, especially in regions with inadequate fertilizer use. Proper nutrient management is a key to mitigating soil erosion and protecting soil and the environment. Research into the relationship between fertilizer use, crop production and soil erosion is needed for sustainable agricultural practices. © 2019 The Author(s)","author":[{"dropping-particle":"","family":"Abbas","given":"Qaisar","non-dropping-particle":"","parse-names":false,"suffix":""},{"dropping-particle":"","family":"Shafique","given":"Afshan","non-dropping-particle":"","parse-names":false,"suffix":""}],"container-title":"Advances in Agriculture and Biology","id":"ITEM-1","issued":{"date-parts":[["2019"]]},"title":"Integrated use of organic and inorganic fertilizers improves soil health, growth and yield of wheat (Triticum aestivum L.)","type":"article-journal"},"uris":["http://www.mendeley.com/documents/?uuid=db9c2f23-2a52-4dd2-980c-85388ccd621e","http://www.mendeley.com/documents/?uuid=fa56b615-d4f3-4cb1-816f-c47632ff5ba7","http://www.mendeley.com/documents/?uuid=963c2744-08c2-4171-84f3-c58a1880fd8d"]}],"mendeley":{"formattedCitation":"(Abbas &amp; Shafique, 2019)","manualFormatting":"; Abbas &amp; Shafique, 2019","plainTextFormattedCitation":"(Abbas &amp; Shafique, 2019)","previouslyFormattedCitation":"(Abbas &amp; Shafique, 2019)"},"properties":{"noteIndex":0},"schema":"https://github.com/citation-style-language/schema/raw/master/csl-citation.json"}</w:instrText>
      </w:r>
      <w:r w:rsidRPr="00EE0D02">
        <w:fldChar w:fldCharType="separate"/>
      </w:r>
      <w:r w:rsidRPr="00EE0D02">
        <w:rPr>
          <w:noProof/>
        </w:rPr>
        <w:t>; Abbas &amp; Shafique, 2019</w:t>
      </w:r>
      <w:r w:rsidRPr="00EE0D02">
        <w:fldChar w:fldCharType="end"/>
      </w:r>
      <w:r w:rsidRPr="00EE0D02">
        <w:t xml:space="preserve">)  Furthermore, CAS proliferation contributes to ecological imbalance and genetic biodiversity loss, which can destabilize ecosystems and increase the risk of emerging infectious diseases </w:t>
      </w:r>
      <w:r w:rsidR="00952D81">
        <w:fldChar w:fldCharType="begin" w:fldLock="1"/>
      </w:r>
      <w:r w:rsidR="008212D3">
        <w:instrText>ADDIN CSL_CITATION {"citationItems":[{"id":"ITEM-1","itemData":{"DOI":"10.3390/agronomy14122871","ISSN":"20734395","abstract":"Anthropogenic activities have resulted in land desertification in various regions of the world, leading to the degradation of critical soil characteristics such as organic matter (OM) content, nutrient stock, and prevailing biodiversity. Restoring such degraded soils through organic matter amendments and diversified crop rotations is thus an intrinsic part of organic farming. This review discusses a wide range of organic farming impacts on soil health and crop productivity by focusing on organic fertilizers and crop diversification. Conventional fertilizers were considered vital for agricultural production to harvest high crop yields. Nevertheless, they are now deemed as environmentally hazardous and an obstacle to sustainable agroecosystems due to intensive chemical inputs that damage the soil over time and have long-lasting impacts. Conventional fertilization results in nutrient depletion, loss of microbial diversity, organic matter reduction, and deterioration of physical characteristics of the soil. Conversely, organic fertilization makes use of naturally existing resources to improve soil health. Organic amendments such as biochar, manure, and fermented grass improve soil’s physical, chemical, and biological properties and promote the growth and diversity of beneficial soil microorganisms—important in nutrient cycling and soil stability. They facilitate the uptake of nutrients, hinder crop pathogen growth, mitigate heavy metals, and decompose xenobiotic organic substances. Moreover, growing cover crops is also a major strategy to improve soil health. Diversified crop rotation with combinatorial use of organic fertilizers may improve soil health and agricultural yields without any detrimental impacts on the environment and soil, ensuring sustainable food production, safety, and security. This integrated approach contributes to minimizing the use of chemical fertilizers and their effects on environmental health. It also contributes to reducing agricultural inputs along with enhancing OM, soil microbial diversity and biomass, nitrogen fixation, and carbon sequestration. Therefore, cover crops and organic fertilization may offer sustainable agroecosystems and climate change mitigation.","author":[{"dropping-particle":"","family":"Khan","given":"Muhammad Tahir","non-dropping-particle":"","parse-names":false,"suffix":""},{"dropping-particle":"","family":"Aleinikovienė","given":"Jūratė","non-dropping-particle":"","parse-names":false,"suffix":""},{"dropping-particle":"","family":"Butkevičienė","given":"Lina Marija","non-dropping-particle":"","parse-names":false,"suffix":""}],"container-title":"Agronomy","id":"ITEM-1","issued":{"date-parts":[["2024"]]},"title":"Innovative organic fertilizers and cover crops: Perspectives for sustainable agriculture in the era of climate change and organic agriculture","type":"article"},"uris":["http://www.mendeley.com/documents/?uuid=95e4ca38-905a-4250-8e41-61c3f04167f2","http://www.mendeley.com/documents/?uuid=19472fbd-0d32-4a37-ac5b-7d042acf3d91"]}],"mendeley":{"formattedCitation":"(M. T. Khan et al., 2024)","manualFormatting":"(Khan et al., 2024","plainTextFormattedCitation":"(M. T. Khan et al., 2024)","previouslyFormattedCitation":"(M. T. Khan et al., 2024)"},"properties":{"noteIndex":0},"schema":"https://github.com/citation-style-language/schema/raw/master/csl-citation.json"}</w:instrText>
      </w:r>
      <w:r w:rsidR="00952D81">
        <w:fldChar w:fldCharType="separate"/>
      </w:r>
      <w:r w:rsidR="00952D81" w:rsidRPr="00952D81">
        <w:rPr>
          <w:noProof/>
        </w:rPr>
        <w:t>(Khan et al., 2024</w:t>
      </w:r>
      <w:r w:rsidR="00952D81">
        <w:fldChar w:fldCharType="end"/>
      </w:r>
      <w:r w:rsidR="00952D81">
        <w:t xml:space="preserve">; </w:t>
      </w:r>
      <w:r w:rsidR="00952D81">
        <w:fldChar w:fldCharType="begin" w:fldLock="1"/>
      </w:r>
      <w:r w:rsidR="000A5F41">
        <w:instrText>ADDIN CSL_CITATION {"citationItems":[{"id":"ITEM-1","itemData":{"DOI":"10.1093/femsec/fiad046","ISSN":"15746941","abstract":"Intensive agriculture has increased global food production, but also impaired ecosystem services and soil biodiversity. Organic fertilization, essential to organic and integrated farming, can provide numerous benefits for soil quality but also compromise the environment by polluting soils and producing greenhouse gases through animal husbandry. The need for reduced stocking density is inevitably accompanied by lower FYM inputs, but little research is available on the impact of these effects on the soil microbiome. We collected soil samples from winter wheat plots of a 42-year-old long-term trial comparing different farming systems receiving farmyard manure at two intensities and measured soil quality parameters and microbial community diversity through DNA metabarcoding. High-input fertilization, corresponding to 1.4 livestock units (LU) improved the soil's nutritional status and increased soil microbial biomass and respiration when compared to low-input at 0.7 LU. Bacterial and fungal α-diversity was largely unaffected by fertilization intensity, whereas their community structure changed consistently, accompanied by an increase in the bacterial copiotroph-to-oligotroph ratio in high-input systems and by more copiotrophic indicator OTUs associated with high than low-input. This study shows that reduced nutrient availability under low-input selects oligotrophic microbes efficiently obtaining nutrients from various carbon sources; a potentially beneficial trait considering future agroecosystems.","author":[{"dropping-particle":"","family":"Lori","given":"Martina","non-dropping-particle":"","parse-names":false,"suffix":""},{"dropping-particle":"","family":"Hartmann","given":"Martin","non-dropping-particle":"","parse-names":false,"suffix":""},{"dropping-particle":"","family":"Kundel","given":"Dominika","non-dropping-particle":"","parse-names":false,"suffix":""},{"dropping-particle":"","family":"Mayer","given":"Jochen","non-dropping-particle":"","parse-names":false,"suffix":""},{"dropping-particle":"","family":"Mueller","given":"Ralf C.","non-dropping-particle":"","parse-names":false,"suffix":""},{"dropping-particle":"","family":"Mäder","given":"Paul","non-dropping-particle":"","parse-names":false,"suffix":""},{"dropping-particle":"","family":"Krause","given":"Hans Martin","non-dropping-particle":"","parse-names":false,"suffix":""}],"container-title":"FEMS Microbiology Ecology","id":"ITEM-1","issued":{"date-parts":[["2023"]]},"title":"Soil microbial communities are sensitive to differences in fertilization intensity in organic and conventional farming systems","type":"article-journal"},"uris":["http://www.mendeley.com/documents/?uuid=f8742ab1-ab2d-4964-beae-dfd66e64f9f0","http://www.mendeley.com/documents/?uuid=0b007a43-d844-4986-9a1b-8cf7b7044d8f","http://www.mendeley.com/documents/?uuid=f60d6813-2183-4331-bafa-d0d977795531"]}],"mendeley":{"formattedCitation":"(Lori et al., 2023)","manualFormatting":"Lori et al., 2023)","plainTextFormattedCitation":"(Lori et al., 2023)","previouslyFormattedCitation":"(Lori et al., 2023)"},"properties":{"noteIndex":0},"schema":"https://github.com/citation-style-language/schema/raw/master/csl-citation.json"}</w:instrText>
      </w:r>
      <w:r w:rsidR="00952D81">
        <w:fldChar w:fldCharType="separate"/>
      </w:r>
      <w:r w:rsidR="00952D81" w:rsidRPr="00952D81">
        <w:rPr>
          <w:noProof/>
        </w:rPr>
        <w:t>Lori et al., 2023)</w:t>
      </w:r>
      <w:r w:rsidR="00952D81">
        <w:fldChar w:fldCharType="end"/>
      </w:r>
      <w:r w:rsidR="00952D81">
        <w:t>.</w:t>
      </w:r>
      <w:r w:rsidR="00952D81">
        <w:rPr>
          <w:color w:val="EE0000"/>
        </w:rPr>
        <w:t xml:space="preserve"> </w:t>
      </w:r>
      <w:r w:rsidR="00B93CF4">
        <w:t xml:space="preserve">The awareness </w:t>
      </w:r>
      <w:r w:rsidR="00B93CF4">
        <w:lastRenderedPageBreak/>
        <w:t xml:space="preserve">began after realizing that most of the foods that we eat today have side effects due to a lot of chemical involvement and genetic modification. Permaculture is a way to produce </w:t>
      </w:r>
      <w:r w:rsidR="00952D81">
        <w:t>food</w:t>
      </w:r>
      <w:r w:rsidR="00B93CF4">
        <w:t xml:space="preserve"> without the interference of any </w:t>
      </w:r>
      <w:r w:rsidR="008C7D2B">
        <w:t>advanced</w:t>
      </w:r>
      <w:r w:rsidR="00B93CF4">
        <w:t xml:space="preserve"> chemical or genetic modification and </w:t>
      </w:r>
      <w:r w:rsidR="008063BC">
        <w:t>is based only</w:t>
      </w:r>
      <w:r w:rsidR="00B93CF4">
        <w:t xml:space="preserve"> on </w:t>
      </w:r>
      <w:r w:rsidR="006E6FC9">
        <w:t xml:space="preserve">the </w:t>
      </w:r>
      <w:r w:rsidR="00B93CF4">
        <w:t xml:space="preserve">natural circulation of </w:t>
      </w:r>
      <w:r w:rsidR="006E6FC9">
        <w:t xml:space="preserve">the </w:t>
      </w:r>
      <w:r w:rsidR="00B93CF4">
        <w:t>environment</w:t>
      </w:r>
      <w:r w:rsidR="006E6FC9">
        <w:t>,</w:t>
      </w:r>
      <w:r w:rsidR="00B93CF4">
        <w:t xml:space="preserve"> where organic natural produce that </w:t>
      </w:r>
      <w:r w:rsidR="006E6FC9">
        <w:t xml:space="preserve">reaches </w:t>
      </w:r>
      <w:r w:rsidR="00B93CF4">
        <w:t xml:space="preserve">the end of its lifetime </w:t>
      </w:r>
      <w:r w:rsidR="00BC73D0">
        <w:t>becomes</w:t>
      </w:r>
      <w:r w:rsidR="00B93CF4">
        <w:t xml:space="preserve"> organic matter </w:t>
      </w:r>
      <w:r w:rsidR="006E6FC9">
        <w:t xml:space="preserve">for </w:t>
      </w:r>
      <w:r w:rsidR="00B93CF4">
        <w:t>the soil naturally. Even though it is a slow process, the results will produce agricultur</w:t>
      </w:r>
      <w:r w:rsidR="006E6FC9">
        <w:t>al products</w:t>
      </w:r>
      <w:r w:rsidR="00B93CF4">
        <w:t xml:space="preserve"> without any dangerous practices with the aid of natural fertilizer, natural nutrient</w:t>
      </w:r>
      <w:r w:rsidR="006E6FC9">
        <w:t>s</w:t>
      </w:r>
      <w:r w:rsidR="008063BC">
        <w:t>,</w:t>
      </w:r>
      <w:r w:rsidR="00952D81">
        <w:t xml:space="preserve"> and </w:t>
      </w:r>
      <w:r w:rsidR="00B93CF4">
        <w:t xml:space="preserve">natural mulches </w:t>
      </w:r>
      <w:r w:rsidR="00C45EB6">
        <w:fldChar w:fldCharType="begin" w:fldLock="1"/>
      </w:r>
      <w:r w:rsidR="00F530FF">
        <w:instrText>ADDIN CSL_CITATION {"citationItems":[{"id":"ITEM-1","itemData":{"DOI":"10.1007/s13165-018-0225-y","ISSN":"18794246","abstract":"Farmers are facing an increasingly turbulent context, driven by volatile markets, shifting policies, and new societal expectations. Insights into farmers’ adaptive capacity are helpful to understand how farmers perceive various options, and what they think is necessary to enable their farms to persist through uncertain times. We focus on dairy farmers, who have faced strong market volatility in the last few years. We conducted interviews with 20 dairy farmers who were starting their conversion to organic farming in Aveyron, France. The analysis showed that the interviewed farmers perceived organic farming as less risky, especially given stable prices and positive consumer perception. Also, they expected organic farming to increase their autonomy, especially regarding feed, thus reducing their farm’s exposure to volatile input prices. Interviewed farmers were aware of technical risks linked to new production practices but were confident in their ability to manage them. Organic farming was also perceived as stimulating their learning, especially through a collective dynamic and an open exchange of experiences. The interviewed farmers expected that the higher prices of organic milk would enable them to reduce the number of cows, thus reducing their workload. This would give them more time to observe, reflect, experiment, and learn, thus not only increasing their professional satisfaction but also enabling them to better cope with changes. Overall, they perceived organic farming as an attractive option to maintain the viability of their family farm, an important motivation given their rootedness in the territory. The interviews thus showed that their decision to convert to organic farming was driven by their expectation that it would enhance their adaptive capacity, thus enabling them to better face current turbulences and future changes in the broader context.","author":[{"dropping-particle":"","family":"Bouttes","given":"Maëlys","non-dropping-particle":"","parse-names":false,"suffix":""},{"dropping-particle":"","family":"Darnhofer","given":"Ika","non-dropping-particle":"","parse-names":false,"suffix":""},{"dropping-particle":"","family":"Martin","given":"Guillaume","non-dropping-particle":"","parse-names":false,"suffix":""}],"container-title":"Organic Agriculture","id":"ITEM-1","issued":{"date-parts":[["2019"]]},"title":"Converting to organic farming as a way to enhance adaptive capacity","type":"article-journal"},"uris":["http://www.mendeley.com/documents/?uuid=dd3a60c3-5293-4156-97de-2cdecb028f6f","http://www.mendeley.com/documents/?uuid=1078dba3-481e-4e86-a3a3-92a813f9221a","http://www.mendeley.com/documents/?uuid=aa346300-b175-43bf-8dae-e17da7b5c35c"]}],"mendeley":{"formattedCitation":"(Bouttes et al., 2019)","plainTextFormattedCitation":"(Bouttes et al., 2019)","previouslyFormattedCitation":"(Bouttes et al., 2019)"},"properties":{"noteIndex":0},"schema":"https://github.com/citation-style-language/schema/raw/master/csl-citation.json"}</w:instrText>
      </w:r>
      <w:r w:rsidR="00C45EB6">
        <w:fldChar w:fldCharType="separate"/>
      </w:r>
      <w:r w:rsidR="00C45EB6" w:rsidRPr="00C45EB6">
        <w:rPr>
          <w:noProof/>
        </w:rPr>
        <w:t>(Bouttes et al., 2019)</w:t>
      </w:r>
      <w:r w:rsidR="00C45EB6">
        <w:fldChar w:fldCharType="end"/>
      </w:r>
      <w:r w:rsidR="00C45EB6">
        <w:t>.</w:t>
      </w:r>
      <w:r w:rsidR="00B93CF4">
        <w:t xml:space="preserve"> </w:t>
      </w:r>
    </w:p>
    <w:p w14:paraId="37354C50" w14:textId="77777777" w:rsidR="00B93CF4" w:rsidRDefault="00B93CF4" w:rsidP="00B93CF4">
      <w:pPr>
        <w:ind w:firstLine="720"/>
        <w:jc w:val="both"/>
      </w:pPr>
    </w:p>
    <w:p w14:paraId="42E314A2" w14:textId="65A05406" w:rsidR="00952D81" w:rsidRDefault="00952D81" w:rsidP="002731DD">
      <w:pPr>
        <w:jc w:val="both"/>
      </w:pPr>
      <w:r w:rsidRPr="00952D81">
        <w:t>Government incentives and expansion of cultivated land have been shown to significantly increase crop production</w:t>
      </w:r>
      <w:r>
        <w:t xml:space="preserve"> </w:t>
      </w:r>
      <w:r>
        <w:fldChar w:fldCharType="begin" w:fldLock="1"/>
      </w:r>
      <w:r w:rsidR="000A5F41">
        <w:instrText>ADDIN CSL_CITATION {"citationItems":[{"id":"ITEM-1","itemData":{"DOI":"10.3389/fmicb.2025.1536524","ISSN":"1664302X","abstract":"Sustainable soil health management is pivotal for advancing agricultural productivity and ensuring global food security. This review comprehensively evaluates the effects of mineral-organic fertilizer ratios on soil microbial communities, enzymatic dynamics, functional gene abundance, and holistic soil health. By integrating bioinformatics, enzyme activity assays, and metagenomic analyses, we demonstrate that balanced fertilization significantly enhances microbial diversity, community stability, and functional resilience against environmental stressors. Specifically, the synergistic application of mineral and organic fertilizers elevates β-glucosidase and urease activities, accelerating organic matter decomposition and nutrient cycling while modulating microbial taxa critical for nutrient transformation and pathogen suppression. Notably, replacing 20–40% of mineral fertilizers with organic alternatives mitigates environmental risks such as greenhouse gas emissions and nutrient leaching while sustaining crop yields. This dual approach improves soil structure, boosts water and nutrient retention capacity, and increases microbial biomass by 20–30%, fostering long-term soil fertility. Field trials reveal yield increases of 25–40% in crops like rice and maize under combined fertilization, alongside enhanced soil organic carbon (110.6%) and nitrogen content (59.2%). The findings underscore the necessity of adopting region-specific, balanced fertilization strategies to optimize ecological sustainability and agricultural productivity. Future research should prioritize refining fertilization frameworks through interdisciplinary approaches, addressing soil-crop-climate interactions, and scaling these practices to diverse agroecosystems. By aligning agricultural policies with ecological principles, stakeholders can safeguard soil health—a cornerstone of environmental sustainability and human wellbeing—while securing resilient food systems for future generations.","author":[{"dropping-particle":"","family":"Xing","given":"Yingying","non-dropping-particle":"","parse-names":false,"suffix":""},{"dropping-particle":"","family":"Xie","given":"Yunxia","non-dropping-particle":"","parse-names":false,"suffix":""},{"dropping-particle":"","family":"Wang","given":"Xiukang","non-dropping-particle":"","parse-names":false,"suffix":""}],"container-title":"Frontiers in Microbiology","id":"ITEM-1","issued":{"date-parts":[["2025"]]},"title":"Enhancing soil health through balanced fertilization: a pathway to sustainable agriculture and food security","type":"article"},"uris":["http://www.mendeley.com/documents/?uuid=09859e41-845a-45fd-90ee-dd848fa683e4","http://www.mendeley.com/documents/?uuid=9111a631-1abf-40c7-8017-c126b4d804f1","http://www.mendeley.com/documents/?uuid=b0f90286-08aa-48fb-88ef-e2a8c625b834"]}],"mendeley":{"formattedCitation":"(Xing et al., 2025)","plainTextFormattedCitation":"(Xing et al., 2025)","previouslyFormattedCitation":"(Xing et al., 2025)"},"properties":{"noteIndex":0},"schema":"https://github.com/citation-style-language/schema/raw/master/csl-citation.json"}</w:instrText>
      </w:r>
      <w:r>
        <w:fldChar w:fldCharType="separate"/>
      </w:r>
      <w:r w:rsidRPr="00952D81">
        <w:rPr>
          <w:noProof/>
        </w:rPr>
        <w:t>(Xing et al., 2025)</w:t>
      </w:r>
      <w:r>
        <w:fldChar w:fldCharType="end"/>
      </w:r>
      <w:r w:rsidRPr="00952D81">
        <w:t xml:space="preserve">. </w:t>
      </w:r>
      <w:r w:rsidR="006E6FC9">
        <w:t>Nonetheless</w:t>
      </w:r>
      <w:r w:rsidRPr="00952D81">
        <w:t>, the widespread adoption of industrial farming practices has contributed to land degradation and reduced the ability of agricultural land to be sustainably reclaimed (Rodríguez et al., 2022). Moreover, extensive use of chemical fertilizers has long-term negative effects on soil quality, environmental health, and food security</w:t>
      </w:r>
      <w:r>
        <w:t xml:space="preserve"> </w:t>
      </w:r>
      <w:r>
        <w:fldChar w:fldCharType="begin" w:fldLock="1"/>
      </w:r>
      <w:r>
        <w:instrText>ADDIN CSL_CITATION {"citationItems":[{"id":"ITEM-1","itemData":{"DOI":"10.1155/2022/6313389","ISSN":"16878442","abstract":"This study aimed to develop food packaging from cornstarch combined with methanol extract of Plumbago zeylanica root as antimicrobial agents. The antimicrobial activity of the extract was tested against three bacterial strains, namely, Staphylococcus aureus, Salmonella typhi, and Escherichia coli and one fungal strain called Aspergilla niger. Microorganism growth inhibition was examined by employing a zone of inhibition check on solid media. Two hundred microliters of assorted concentrations (200 mg/ml, 100 mg/ml, 50 mg/ml, and 25 mg/ml) of plant extracts were added into an eight-millimeter hole diameter employing a micropipette. Hence, 200 μl of 200 mg/ml extract inhibited 13.5, 8.75, 10.5, and 27 mm diameter for S. typhi, E. coli, S. aureus, and A. niger, respectively. The minimum inhibitory concentrations 1.25 mg/ml, 2.5 mg/ml, 1.25 mg/ml, and 0.625 mg/ml of crude extract utterly suppressed the growth of S. aureus, E. coli, S. typhi, and A. niger, respectively. Later on, the antimicrobial agent films and the control media were prepared by the casting method. The prepared antimicrobial packaging films exhibited inhibitory zones (a wide clear zone on solid media) for S. typhi and A. niger growth inhibition; however, inhibitions for E. coli and S. aureus were not effective. Antimicrobial activity decreased while decreasing the solubility of the film and antimicrobial concentration with increasing cornstarch content in the solution. The tensile strength of the films increased with increasing antimicrobial content in the solution. Higher antimicrobial inhibition activity was found at a 1.5 glycerol/starch ratio, 1.5 gram content of P. zeylanica, and 0.5 mm film thickness. Generally, the plasticized cornstarch antimicrobial packaging film combined with P. zeylanica extract had a significant effect on the growth of each selected microorganism and the physical properties of the material (P &lt; 0.05). A preprint of this research has previously been uploaded to the Addis Ababa University database (Yirdaw et al. 2018). In this section, only the summary and updated content of the research findings are presented.","author":[{"dropping-particle":"","family":"Muche","given":"Melak","non-dropping-particle":"","parse-names":false,"suffix":""},{"dropping-particle":"","family":"Zegeye","given":"Adamu","non-dropping-particle":"","parse-names":false,"suffix":""},{"dropping-particle":"","family":"Lemma","given":"Hirut","non-dropping-particle":"","parse-names":false,"suffix":""},{"dropping-particle":"","family":"Gisila","given":"Tilahun","non-dropping-particle":"","parse-names":false,"suffix":""}],"container-title":"Advances in Materials Science and Engineering","id":"ITEM-1","issued":{"date-parts":[["2022"]]},"title":"Product optimization and antimicrobial efficiency of starch-based active packaging film prepared using amira (plumbago zeylanica) root extract","type":"article-journal"},"uris":["http://www.mendeley.com/documents/?uuid=43887529-167f-4bf9-b6f4-f56e0a75bf4d","http://www.mendeley.com/documents/?uuid=46c84f47-4037-48ce-bf6a-3ad096a47f01"]}],"mendeley":{"formattedCitation":"(Muche et al., 2022)","manualFormatting":"(Muche et al., 2022","plainTextFormattedCitation":"(Muche et al., 2022)","previouslyFormattedCitation":"(Muche et al., 2022)"},"properties":{"noteIndex":0},"schema":"https://github.com/citation-style-language/schema/raw/master/csl-citation.json"}</w:instrText>
      </w:r>
      <w:r>
        <w:fldChar w:fldCharType="separate"/>
      </w:r>
      <w:r w:rsidRPr="00536AB8">
        <w:rPr>
          <w:noProof/>
        </w:rPr>
        <w:t>(Muche et al., 2022</w:t>
      </w:r>
      <w:r>
        <w:fldChar w:fldCharType="end"/>
      </w:r>
      <w:r>
        <w:t xml:space="preserve">; </w:t>
      </w:r>
      <w:r>
        <w:fldChar w:fldCharType="begin" w:fldLock="1"/>
      </w:r>
      <w:r w:rsidR="000A5F41">
        <w:instrText>ADDIN CSL_CITATION {"citationItems":[{"id":"ITEM-1","itemData":{"DOI":"10.9734/ijpss/2024/v36i54583","abstract":"Soil health and appropriate nutrient management are critical components of sustainable agriculture, influencing crop yield, environmental sustainability, and overall food security. The ability of soil to function as a living ecosystem is referred to as soil health. supports plant and animal life while protecting the environment. It refers to how physical, chemical, and biological activity interact in the soil. Mineral matter, organic matter, water, and air are all critical components of soil health, and each contributes to plant growth. Soil health indicators include physical, chemical, and biological factors that help assess the soil's state. For optimal soil health, these indicators must be balanced. However, there are significant issues to address, such as decreased soil organic matter, declining soil fertility due to nutrient deficits, physical soil degradation, and chemical soil degradation caused by excessive chemical use. Practices for sustainable soil management are critical for addressing these concerns. Balanced fertilization, organic matter incorporation, crop rotation, cover cropping, reduced tillage, and precision nutrient delivery are examples of these. Mitigating issues such as nutrient pollution, soil erosion, and soil deterioration is critical to maintaining agriculture's long-term viability.","author":[{"dropping-particle":"","family":"Pandao","given":"Manish R.","non-dropping-particle":"","parse-names":false,"suffix":""},{"dropping-particle":"","family":"Thakare","given":"Akshay A.","non-dropping-particle":"","parse-names":false,"suffix":""},{"dropping-particle":"","family":"Choudhari","given":"Rupeshkumar J.","non-dropping-particle":"","parse-names":false,"suffix":""},{"dropping-particle":"","family":"Navghare","given":"Nagesh R.","non-dropping-particle":"","parse-names":false,"suffix":""},{"dropping-particle":"","family":"Sirsat","given":"Dhananjay D.","non-dropping-particle":"","parse-names":false,"suffix":""},{"dropping-particle":"","family":"Rathod","given":"Sindhu R.","non-dropping-particle":"","parse-names":false,"suffix":""}],"container-title":"International Journal of Plant &amp; Soil Science","id":"ITEM-1","issued":{"date-parts":[["2024"]]},"title":"Soil health and nutrient management","type":"article-journal"},"uris":["http://www.mendeley.com/documents/?uuid=a2720e88-2a12-447f-8a6a-2a8cfc6946d8","http://www.mendeley.com/documents/?uuid=30ad9aff-3d99-4d90-9868-2cf131df359b"]}],"mendeley":{"formattedCitation":"(Pandao et al., 2024)","manualFormatting":"Pandao et al., 2024)","plainTextFormattedCitation":"(Pandao et al., 2024)","previouslyFormattedCitation":"(Pandao et al., 2024)"},"properties":{"noteIndex":0},"schema":"https://github.com/citation-style-language/schema/raw/master/csl-citation.json"}</w:instrText>
      </w:r>
      <w:r>
        <w:fldChar w:fldCharType="separate"/>
      </w:r>
      <w:r w:rsidRPr="00952D81">
        <w:rPr>
          <w:noProof/>
        </w:rPr>
        <w:t>Pandao et al., 2024)</w:t>
      </w:r>
      <w:r>
        <w:fldChar w:fldCharType="end"/>
      </w:r>
    </w:p>
    <w:p w14:paraId="115E615F" w14:textId="77777777" w:rsidR="00952D81" w:rsidRDefault="00952D81" w:rsidP="002731DD">
      <w:pPr>
        <w:jc w:val="both"/>
      </w:pPr>
    </w:p>
    <w:p w14:paraId="2EA3E92A" w14:textId="114C1B4A" w:rsidR="002731DD" w:rsidRDefault="002731DD" w:rsidP="006F115F">
      <w:pPr>
        <w:spacing w:after="160"/>
        <w:jc w:val="both"/>
      </w:pPr>
      <w:r>
        <w:t xml:space="preserve">In this era of advanced technology and globalization, humans are becoming more intelligent in developing and implementing technology in our food industry.  A lot of </w:t>
      </w:r>
      <w:r w:rsidR="008C7D2B">
        <w:t>inventions</w:t>
      </w:r>
      <w:r>
        <w:t xml:space="preserve"> were </w:t>
      </w:r>
      <w:r w:rsidR="008C7D2B">
        <w:t>made</w:t>
      </w:r>
      <w:r>
        <w:t xml:space="preserve"> to </w:t>
      </w:r>
      <w:r w:rsidR="006E6FC9">
        <w:t xml:space="preserve">meet </w:t>
      </w:r>
      <w:r>
        <w:t xml:space="preserve">the demand for food and fight food security and sustainability </w:t>
      </w:r>
      <w:r w:rsidR="008C7D2B">
        <w:t>issues</w:t>
      </w:r>
      <w:r>
        <w:t xml:space="preserve">. As time </w:t>
      </w:r>
      <w:r w:rsidR="008C7D2B">
        <w:t>went</w:t>
      </w:r>
      <w:r>
        <w:t xml:space="preserve"> by, </w:t>
      </w:r>
      <w:r w:rsidR="006E6FC9">
        <w:t xml:space="preserve">the </w:t>
      </w:r>
      <w:r>
        <w:t xml:space="preserve">community realized that </w:t>
      </w:r>
      <w:r w:rsidR="006E6FC9">
        <w:t xml:space="preserve">the </w:t>
      </w:r>
      <w:r>
        <w:t xml:space="preserve">modern </w:t>
      </w:r>
      <w:r w:rsidR="00CF3217">
        <w:t xml:space="preserve">agricultural </w:t>
      </w:r>
      <w:r>
        <w:t xml:space="preserve">system </w:t>
      </w:r>
      <w:r w:rsidR="006E6FC9">
        <w:t xml:space="preserve">has </w:t>
      </w:r>
      <w:r>
        <w:t xml:space="preserve">bad side </w:t>
      </w:r>
      <w:r w:rsidR="008C7D2B">
        <w:t>effects</w:t>
      </w:r>
      <w:r>
        <w:t xml:space="preserve"> </w:t>
      </w:r>
      <w:r w:rsidR="008063BC">
        <w:t xml:space="preserve">on </w:t>
      </w:r>
      <w:r>
        <w:t xml:space="preserve">the environment and our health. </w:t>
      </w:r>
      <w:r w:rsidR="006E6FC9">
        <w:t xml:space="preserve">The </w:t>
      </w:r>
      <w:r>
        <w:t>CAS involved the use of chemical</w:t>
      </w:r>
      <w:r w:rsidR="006E6FC9">
        <w:t>s</w:t>
      </w:r>
      <w:r>
        <w:t xml:space="preserve">, </w:t>
      </w:r>
      <w:proofErr w:type="gramStart"/>
      <w:r>
        <w:t xml:space="preserve">opening </w:t>
      </w:r>
      <w:r w:rsidR="006E6FC9">
        <w:t>up</w:t>
      </w:r>
      <w:proofErr w:type="gramEnd"/>
      <w:r w:rsidR="006E6FC9">
        <w:t xml:space="preserve"> </w:t>
      </w:r>
      <w:r>
        <w:t>new area</w:t>
      </w:r>
      <w:r w:rsidR="006E6FC9">
        <w:t>s</w:t>
      </w:r>
      <w:r>
        <w:t>, soil infertility</w:t>
      </w:r>
      <w:r w:rsidR="006E6FC9">
        <w:t>,</w:t>
      </w:r>
      <w:r>
        <w:t xml:space="preserve"> etc. </w:t>
      </w:r>
      <w:r w:rsidRPr="00C40DCC">
        <w:t xml:space="preserve">The </w:t>
      </w:r>
      <w:r w:rsidR="008C7D2B" w:rsidRPr="00C40DCC">
        <w:t>practice</w:t>
      </w:r>
      <w:r w:rsidRPr="00C40DCC">
        <w:t xml:space="preserve"> of permaculture offers many benefits, some of which include improvements to a person's health and social life, as well as improvements to the environment, food security, and resilience </w:t>
      </w:r>
      <w:r w:rsidR="006F115F">
        <w:fldChar w:fldCharType="begin" w:fldLock="1"/>
      </w:r>
      <w:r w:rsidR="0008648E">
        <w:instrText>ADDIN CSL_CITATION {"citationItems":[{"id":"ITEM-1","itemData":{"DOI":"10.1111/pbi.13383","ISSN":"14677652","PMID":"32271968","abstract":"Over the last three decades, the development of new genome editing techniques, such as ODM, TALENs, ZFNs and the CRISPR-Cas system, has led to significant progress in the field of plant and animal breeding. The CRISPR-Cas system is the most versatile genome editing tool discovered in the history of molecular biology because it can be used to alter diverse genomes (e.g. genomes from both plants and animals) including human genomes with unprecedented ease, accuracy and high efficiency. The recent development and scope of CRISPR-Cas system have raised new regulatory challenges around the world due to moral, ethical, safety and technical concerns associated with its applications in pre-clinical and clinical research, biomedicine and agriculture. Here, we review the art, applications and potential risks of CRISPR-Cas system in genome editing. We also highlight the patent and ethical issues of this technology along with regulatory frameworks established by various nations to regulate CRISPR-Cas-modified organisms/products.","author":[{"dropping-particle":"","family":"Zhang","given":"Debin","non-dropping-particle":"","parse-names":false,"suffix":""},{"dropping-particle":"","family":"Hussain","given":"Amjad","non-dropping-particle":"","parse-names":false,"suffix":""},{"dropping-particle":"","family":"Manghwar","given":"Hakim","non-dropping-particle":"","parse-names":false,"suffix":""},{"dropping-particle":"","family":"Xie","given":"Kabin","non-dropping-particle":"","parse-names":false,"suffix":""},{"dropping-particle":"","family":"Xie","given":"Shengsong","non-dropping-particle":"","parse-names":false,"suffix":""},{"dropping-particle":"","family":"Zhao","given":"Shuhong","non-dropping-particle":"","parse-names":false,"suffix":""},{"dropping-particle":"","family":"Larkin","given":"Robert M.","non-dropping-particle":"","parse-names":false,"suffix":""},{"dropping-particle":"","family":"Qing","given":"Ping","non-dropping-particle":"","parse-names":false,"suffix":""},{"dropping-particle":"","family":"Jin","given":"Shuangxia","non-dropping-particle":"","parse-names":false,"suffix":""},{"dropping-particle":"","family":"Ding","given":"Fang","non-dropping-particle":"","parse-names":false,"suffix":""}],"container-title":"Plant Biotechnology Journal","id":"ITEM-1","issued":{"date-parts":[["2020"]]},"title":"Genome editing with the CRISPR-Cas system: an art, ethics and global regulatory perspective","type":"article"},"uris":["http://www.mendeley.com/documents/?uuid=4a4a7660-3eb0-4bcf-a4de-8f10682cfff3","http://www.mendeley.com/documents/?uuid=b4a7d68c-39bc-477d-8a3b-8e4e121b9b25","http://www.mendeley.com/documents/?uuid=015d2fe9-fc09-4a1d-afb2-765dc1307c17"]}],"mendeley":{"formattedCitation":"(D. Zhang et al., 2020)","plainTextFormattedCitation":"(D. Zhang et al., 2020)","previouslyFormattedCitation":"(D. Zhang et al., 2020)"},"properties":{"noteIndex":0},"schema":"https://github.com/citation-style-language/schema/raw/master/csl-citation.json"}</w:instrText>
      </w:r>
      <w:r w:rsidR="006F115F">
        <w:fldChar w:fldCharType="separate"/>
      </w:r>
      <w:r w:rsidR="0008648E" w:rsidRPr="0008648E">
        <w:rPr>
          <w:noProof/>
        </w:rPr>
        <w:t>(D. Zhang et al., 2020)</w:t>
      </w:r>
      <w:r w:rsidR="006F115F">
        <w:fldChar w:fldCharType="end"/>
      </w:r>
      <w:r w:rsidRPr="00C40DCC">
        <w:t>.</w:t>
      </w:r>
      <w:r w:rsidRPr="002A3399">
        <w:t xml:space="preserve"> </w:t>
      </w:r>
    </w:p>
    <w:p w14:paraId="6134C407" w14:textId="2FBF989C" w:rsidR="002731DD" w:rsidRDefault="002731DD" w:rsidP="006F115F">
      <w:pPr>
        <w:spacing w:after="160"/>
        <w:jc w:val="both"/>
      </w:pPr>
      <w:r w:rsidRPr="00AB7951">
        <w:t xml:space="preserve">Permaculture is a catch-all term for a wide range of </w:t>
      </w:r>
      <w:r w:rsidR="008C7D2B" w:rsidRPr="00AB7951">
        <w:t>practices</w:t>
      </w:r>
      <w:r w:rsidRPr="00AB7951">
        <w:t xml:space="preserve"> and systems that improve the way soil and plants interact with each other. It makes good use of different ecological functions to improve ecosystem health and offer a wide range of ecosystem services</w:t>
      </w:r>
      <w:r w:rsidR="00B0190A">
        <w:t xml:space="preserve"> </w:t>
      </w:r>
      <w:r w:rsidR="00B0190A">
        <w:fldChar w:fldCharType="begin" w:fldLock="1"/>
      </w:r>
      <w:r w:rsidR="00F530FF">
        <w:instrText>ADDIN CSL_CITATION {"citationItems":[{"id":"ITEM-1","itemData":{"DOI":"10.3390/su11082219","ISSN":"20711050","abstract":"Feeding a growing global population using conventional agricultural practices is leading to adverse environmental impacts. There is a call for alternative forms of agriculture that address social, economic, and environmental aspects of sustainability. Permaculture is a holistic design framework that incorporates sustainable agricultural practices, potentially improving livelihoods. This study looked at the challenges and benefits of permaculture in improving rural livelihoods in Zimbabwe and South Africa. We used semi-structured interviews to collect data. Permaculture contributed over 40% to total income for participants in both countries. However, permaculture was not the dominant source of income and periodically straddled multiple livelihood strategies. The main benefits of permaculture were identified as improved human health, increased resilience to environmental changes, and reduction of input costs. The key challenges included high labour input, infestation of pests and diseases, and lack of knowledge on permaculture practices. Although permaculture presents significant challenges, its integration with other forms of sustainable agricultural practices can contribute to improved rural livelihoods.","author":[{"dropping-particle":"","family":"Didarali","given":"Zahra","non-dropping-particle":"","parse-names":false,"suffix":""},{"dropping-particle":"","family":"Gambiza","given":"James","non-dropping-particle":"","parse-names":false,"suffix":""}],"container-title":"Sustainability","id":"ITEM-1","issue":"8","issued":{"date-parts":[["2019"]]},"page":"2-19","title":"Permaculture: Challenges and benefits in improving rural livelihoods in South Africa and Zimbabwe","type":"article-journal","volume":"11"},"uris":["http://www.mendeley.com/documents/?uuid=e268739e-0fd6-4921-a610-664df6bfa1d0"]}],"mendeley":{"formattedCitation":"(Didarali &amp; Gambiza, 2019)","plainTextFormattedCitation":"(Didarali &amp; Gambiza, 2019)","previouslyFormattedCitation":"(Didarali &amp; Gambiza, 2019)"},"properties":{"noteIndex":0},"schema":"https://github.com/citation-style-language/schema/raw/master/csl-citation.json"}</w:instrText>
      </w:r>
      <w:r w:rsidR="00B0190A">
        <w:fldChar w:fldCharType="separate"/>
      </w:r>
      <w:r w:rsidR="00B0190A" w:rsidRPr="00B0190A">
        <w:rPr>
          <w:noProof/>
        </w:rPr>
        <w:t>(Didarali &amp; Gambiza, 2019)</w:t>
      </w:r>
      <w:r w:rsidR="00B0190A">
        <w:fldChar w:fldCharType="end"/>
      </w:r>
      <w:r>
        <w:t xml:space="preserve">. </w:t>
      </w:r>
      <w:r w:rsidRPr="0093774A">
        <w:t>The idea behind permaculture is not only for natural systems to work well, but also for activities to work together and improve human health and well-being. It is based on a few ethics and principles to encourage sustainable farming, which in turn encourages diverse and resilient agroecosystems</w:t>
      </w:r>
      <w:r w:rsidR="001B7554">
        <w:t xml:space="preserve"> </w:t>
      </w:r>
      <w:r w:rsidR="001B7554">
        <w:fldChar w:fldCharType="begin" w:fldLock="1"/>
      </w:r>
      <w:r w:rsidR="00F530FF">
        <w:instrText>ADDIN CSL_CITATION {"citationItems":[{"id":"ITEM-1","itemData":{"DOI":"10.1007/s13165-020-00281-8","ISSN":"18794246","abstract":"The term ‘Permaculture’ (PC) refers to a theory about diversified farming systems, based on an ethical attitude (worldview) and a practical design process, guided by 12 principles and flanked by a holistic sustainability concept. Invented in the wake of Australia’s socio-political ‘back-to-the-land’ aspirations of the 1970s, PC has since developed and grown into a diverse international grassroot movement. It can be considered a rural as well as an urban socio-cultural phenomenon that revolves around non-commercial gardening, for example urban community projects, or around farming for self-sufficiency, for instance in eco-villages. This paper intends to investigate which aspects of PC may be scalable to commercial farming whilst identifying PC aspects already implemented in commercial (organic) agriculture (OA). It analyses a current business case led by a German wholesaler of organic produce who worked in cooperation with a German supermarket chain to create the first nationwide PC label. To this end, the paper describes the degree of overlap between two organic farming certification schemes and the case study. As opposed to certified OA, PC is less prescriptive, using a deductive and inductive approach instead. It may expand scope and flexibility required for farm redesign towards improved resilience, reaching out to the landscape level. The productiveness of PC in commercial settings needs to be established further, such as best practices in soil regeneration and monitoring as well as the reduction of soil losses, or the valuation of added ecosystem services such as promotion of (agro-)biodiversity.","author":[{"dropping-particle":"","family":"Fiebrig","given":"Immo","non-dropping-particle":"","parse-names":false,"suffix":""},{"dropping-particle":"","family":"Zikeli","given":"Sabine","non-dropping-particle":"","parse-names":false,"suffix":""},{"dropping-particle":"","family":"Bach","given":"Sonja","non-dropping-particle":"","parse-names":false,"suffix":""},{"dropping-particle":"","family":"Gruber","given":"Sabine","non-dropping-particle":"","parse-names":false,"suffix":""}],"container-title":"Organic Agriculture","id":"ITEM-1","issued":{"date-parts":[["2020"]]},"title":"Perspectives on permaculture for commercial farming: aspirations and realities","type":"article-journal"},"uris":["http://www.mendeley.com/documents/?uuid=3c9f3c7f-807b-4653-aa55-be5a812f9a05","http://www.mendeley.com/documents/?uuid=fb4e4acd-d9b2-4fca-b145-b69cb4e84b47","http://www.mendeley.com/documents/?uuid=c6b48659-d96f-4d0f-ba1d-caf29a7c1971"]}],"mendeley":{"formattedCitation":"(Fiebrig et al., 2020)","plainTextFormattedCitation":"(Fiebrig et al., 2020)","previouslyFormattedCitation":"(Fiebrig et al., 2020)"},"properties":{"noteIndex":0},"schema":"https://github.com/citation-style-language/schema/raw/master/csl-citation.json"}</w:instrText>
      </w:r>
      <w:r w:rsidR="001B7554">
        <w:fldChar w:fldCharType="separate"/>
      </w:r>
      <w:r w:rsidR="001B7554" w:rsidRPr="001B7554">
        <w:rPr>
          <w:noProof/>
        </w:rPr>
        <w:t>(Fiebrig et al., 2020)</w:t>
      </w:r>
      <w:r w:rsidR="001B7554">
        <w:fldChar w:fldCharType="end"/>
      </w:r>
      <w:r w:rsidR="001B7554">
        <w:t>.</w:t>
      </w:r>
      <w:r w:rsidRPr="002A3399">
        <w:t xml:space="preserve"> </w:t>
      </w:r>
      <w:r w:rsidRPr="00A829F4">
        <w:t xml:space="preserve">People have been paying a lot of attention to the growth of the world's population and the rise </w:t>
      </w:r>
      <w:proofErr w:type="gramStart"/>
      <w:r w:rsidRPr="00A829F4">
        <w:t>of</w:t>
      </w:r>
      <w:proofErr w:type="gramEnd"/>
      <w:r w:rsidRPr="00A829F4">
        <w:t xml:space="preserve"> </w:t>
      </w:r>
      <w:r w:rsidR="006E6FC9" w:rsidRPr="00A829F4">
        <w:t>agricultur</w:t>
      </w:r>
      <w:r w:rsidR="006E6FC9">
        <w:t>al</w:t>
      </w:r>
      <w:r w:rsidR="006E6FC9" w:rsidRPr="00A829F4">
        <w:t xml:space="preserve"> </w:t>
      </w:r>
      <w:r w:rsidRPr="00A829F4">
        <w:t xml:space="preserve">production for most of the last two decades. </w:t>
      </w:r>
      <w:proofErr w:type="gramStart"/>
      <w:r w:rsidRPr="00A829F4">
        <w:t>Both of these</w:t>
      </w:r>
      <w:proofErr w:type="gramEnd"/>
      <w:r w:rsidRPr="00A829F4">
        <w:t xml:space="preserve"> trends have the potential to threaten social, economic, and environmental sustainability. </w:t>
      </w:r>
    </w:p>
    <w:p w14:paraId="40511D3B" w14:textId="204ADD4F" w:rsidR="002731DD" w:rsidRDefault="002731DD" w:rsidP="009B5ED3">
      <w:pPr>
        <w:jc w:val="both"/>
      </w:pPr>
      <w:r>
        <w:t xml:space="preserve">In spite of this, there are only a few studies on permaculture that have been conducted in Malaysia, which has resulted in a knowledge gap regarding the design and structural characteristics of permaculture implementation </w:t>
      </w:r>
      <w:r w:rsidR="009B5ED3">
        <w:fldChar w:fldCharType="begin" w:fldLock="1"/>
      </w:r>
      <w:r w:rsidR="00F530FF">
        <w:instrText>ADDIN CSL_CITATION {"citationItems":[{"id":"ITEM-1","itemData":{"abstract":"The practice of Permaculture as living concept have long been introduced and practiced around the world. Perrmaculture in Malaysia however, is still at infant level while the community is having minimal awareness and resulted into insignificant permaculture practices by the community especially in urban area. This paper intends to investigate the potential of Permaculture as a way of urban life and integrate it in designing urban residential landscape in Malaysia. In general, landscape design to date is in favor of planting ornamental plants and shade trees. This study on the other hand, encourages planting edible crops and fruit tree give more value and benefits for consumer apart from being aesthetically pleasing and shady. Data collection investigates the level of awareness and knowledge of the specified community towards permaculture and their acceptance to implement in their urban residence landscape. A case study is conducted at Denai Alam of Shah Alam, Selangor Malaysia. Denai Alam is an upscale urban residence and surrounded with an ample green space. Results of the study inform that some of the residences have already started their own edible garden in their backyard. Therefore the idea of introducing Permaculture into urban residential and community is likely positive. However, it is yet to see a full scale implementation of permaculture where; urban permaculture to incorporate aspects such as greywater treatment, spiral herb gardens, and small vegetable gardens. These practices could take place on a rooftop, balcony, or top of a parking garage, or in an empty parking lot. This would create a lot more “green space” in the downtown or city landscape. On the next scale, of the size of a back yard or so, food forests could be created. Berms and swales are a common design practice in permaculture, because the swale provides water retention and percolation into the soil, and the berm acts as a raised bed for gardening.","author":[{"dropping-particle":"","family":"Ismail","given":"Nor Atiah","non-dropping-particle":"","parse-names":false,"suffix":""},{"dropping-particle":"","family":"Affendi","given":"Syuriana Mohd","non-dropping-particle":"","parse-names":false,"suffix":""}],"container-title":"Research Journal of Fisheries and Hydrobiology","id":"ITEM-1","issue":"14","issued":{"date-parts":[["2015"]]},"page":"6-10","title":"Awareness and acceptability of permaculture in a residential landscape design: A case study of Denai Alam community.","type":"article-journal","volume":"10"},"uris":["http://www.mendeley.com/documents/?uuid=92e61527-467c-4423-b06b-fbe80dbd3ef7","http://www.mendeley.com/documents/?uuid=7795689f-f1e8-4c20-b7cb-95f9def364cb"]}],"mendeley":{"formattedCitation":"(Ismail &amp; Affendi, 2015)","plainTextFormattedCitation":"(Ismail &amp; Affendi, 2015)","previouslyFormattedCitation":"(Ismail &amp; Affendi, 2015)"},"properties":{"noteIndex":0},"schema":"https://github.com/citation-style-language/schema/raw/master/csl-citation.json"}</w:instrText>
      </w:r>
      <w:r w:rsidR="009B5ED3">
        <w:fldChar w:fldCharType="separate"/>
      </w:r>
      <w:r w:rsidR="009B5ED3" w:rsidRPr="009B5ED3">
        <w:rPr>
          <w:noProof/>
        </w:rPr>
        <w:t>(Ismail &amp; Affendi, 2015)</w:t>
      </w:r>
      <w:r w:rsidR="009B5ED3">
        <w:fldChar w:fldCharType="end"/>
      </w:r>
      <w:r>
        <w:t xml:space="preserve">. These characteristics demonstrate how the system can </w:t>
      </w:r>
      <w:proofErr w:type="gramStart"/>
      <w:r>
        <w:t>actually contribute</w:t>
      </w:r>
      <w:proofErr w:type="gramEnd"/>
      <w:r>
        <w:t xml:space="preserve"> to the food security of households. The purpose of this study was to </w:t>
      </w:r>
      <w:r w:rsidR="006E6FC9">
        <w:t xml:space="preserve">examine permaculture </w:t>
      </w:r>
      <w:r>
        <w:t>in Malaysia</w:t>
      </w:r>
      <w:r w:rsidR="008063BC">
        <w:t>. H</w:t>
      </w:r>
      <w:r>
        <w:t xml:space="preserve">owever, </w:t>
      </w:r>
      <w:r w:rsidR="006E6FC9">
        <w:t xml:space="preserve">it </w:t>
      </w:r>
      <w:r>
        <w:t xml:space="preserve">is still at </w:t>
      </w:r>
      <w:r w:rsidR="006E6FC9">
        <w:t xml:space="preserve">an </w:t>
      </w:r>
      <w:r>
        <w:t>infant level</w:t>
      </w:r>
      <w:r w:rsidR="006E6FC9">
        <w:t>,</w:t>
      </w:r>
      <w:r>
        <w:t xml:space="preserve"> </w:t>
      </w:r>
      <w:r w:rsidR="006E6FC9">
        <w:t xml:space="preserve">with </w:t>
      </w:r>
      <w:r>
        <w:t>the community having minimal awareness</w:t>
      </w:r>
      <w:r w:rsidR="008063BC">
        <w:t>,</w:t>
      </w:r>
      <w:r>
        <w:t xml:space="preserve"> result</w:t>
      </w:r>
      <w:r w:rsidR="006E6FC9">
        <w:t>ing in</w:t>
      </w:r>
      <w:r>
        <w:t xml:space="preserve"> insignificant permaculture practices by the community</w:t>
      </w:r>
      <w:r w:rsidR="006E6FC9">
        <w:t>,</w:t>
      </w:r>
      <w:r>
        <w:t xml:space="preserve"> especially in urban area</w:t>
      </w:r>
      <w:r w:rsidR="006E6FC9">
        <w:t>s</w:t>
      </w:r>
      <w:r>
        <w:t xml:space="preserve"> </w:t>
      </w:r>
      <w:r w:rsidR="009B5ED3">
        <w:fldChar w:fldCharType="begin" w:fldLock="1"/>
      </w:r>
      <w:r w:rsidR="00F530FF">
        <w:instrText>ADDIN CSL_CITATION {"citationItems":[{"id":"ITEM-1","itemData":{"DOI":"10.1504/IJEWM.2022.10032752","ISSN":"14789868","abstract":"The objective of this paper is to employ an evidence-based intervention through permaculture practices on island tourism in Mabul, Semporna Sabah. Through the trash to cash initiative conducted over a span of two years in Mabul, this paper aims to identify the best practices and limitations of permaculture practice on an island, as well as to uncover lessons for future pursuits. This intervention was conducted in the Borneo Jungle River Island Tours Sdn. Bhd company for two years to identify usable permaculture methods for island-based lodges. A case study design was chosen for this purpose as it allows numbers of small in-depth cases conducted throughout the course of two years. These cases were studied in a real-life context, applying permaculture principles while observing how they influence and are influenced by users. Using permaculture principles, a total of ten different initiatives were coined and tested on-site. Top initiatives included: 1) collection of air-conditioner water; 2) composting; 3) environmental education. The major managerial challenges found were: 1) receptiveness of the initiative by workers; 2) change of mindset; 3) top-down initiatives. Borneo Jungle successfully reduced its costs and waste through this initiative.","author":[{"dropping-particle":"","family":"Siow","given":"May Ling","non-dropping-particle":"","parse-names":false,"suffix":""},{"dropping-particle":"","family":"Ramachandran","given":"Sridar","non-dropping-particle":"","parse-names":false,"suffix":""},{"dropping-particle":"","family":"Maizan","given":"Kamarul Ariffin","non-dropping-particle":"","parse-names":false,"suffix":""}],"container-title":"International Journal of Environment and Waste Management","id":"ITEM-1","issued":{"date-parts":[["2022"]]},"title":"Trash to cash through permaculture for sustainable island tourism: the case of Semporna, Sabah, Malaysia","type":"article-journal"},"uris":["http://www.mendeley.com/documents/?uuid=989bc8c0-1ab5-478e-a791-a27dadc487ee","http://www.mendeley.com/documents/?uuid=d6f06c96-b885-465d-8741-ba50c0fbde4e","http://www.mendeley.com/documents/?uuid=a1d218e3-ba7b-4f7a-9b09-7bb1e6c2b7c1"]}],"mendeley":{"formattedCitation":"(Siow et al., 2022)","plainTextFormattedCitation":"(Siow et al., 2022)","previouslyFormattedCitation":"(Siow et al., 2022)"},"properties":{"noteIndex":0},"schema":"https://github.com/citation-style-language/schema/raw/master/csl-citation.json"}</w:instrText>
      </w:r>
      <w:r w:rsidR="009B5ED3">
        <w:fldChar w:fldCharType="separate"/>
      </w:r>
      <w:r w:rsidR="009B5ED3" w:rsidRPr="009B5ED3">
        <w:rPr>
          <w:noProof/>
        </w:rPr>
        <w:t>(Siow et al., 2022)</w:t>
      </w:r>
      <w:r w:rsidR="009B5ED3">
        <w:fldChar w:fldCharType="end"/>
      </w:r>
      <w:r>
        <w:t>.</w:t>
      </w:r>
    </w:p>
    <w:p w14:paraId="083DE116" w14:textId="77777777" w:rsidR="009B5ED3" w:rsidRDefault="009B5ED3" w:rsidP="009B5ED3">
      <w:pPr>
        <w:jc w:val="both"/>
      </w:pPr>
    </w:p>
    <w:p w14:paraId="3086F8E4" w14:textId="04E11B2C" w:rsidR="00837758" w:rsidRDefault="006E6FC9" w:rsidP="00837758">
      <w:pPr>
        <w:spacing w:after="160"/>
        <w:jc w:val="both"/>
      </w:pPr>
      <w:proofErr w:type="gramStart"/>
      <w:r>
        <w:t>In</w:t>
      </w:r>
      <w:r w:rsidRPr="00FC466D">
        <w:t xml:space="preserve"> </w:t>
      </w:r>
      <w:r w:rsidR="002731DD" w:rsidRPr="00FC466D">
        <w:t>order to</w:t>
      </w:r>
      <w:proofErr w:type="gramEnd"/>
      <w:r w:rsidR="002731DD" w:rsidRPr="00FC466D">
        <w:t xml:space="preserve"> fill the knowledge gap, this </w:t>
      </w:r>
      <w:r w:rsidR="002731DD">
        <w:t>observation</w:t>
      </w:r>
      <w:r w:rsidR="002731DD" w:rsidRPr="00FC466D">
        <w:t xml:space="preserve"> </w:t>
      </w:r>
      <w:r>
        <w:t xml:space="preserve">was </w:t>
      </w:r>
      <w:r w:rsidR="002731DD">
        <w:t xml:space="preserve">conducted to </w:t>
      </w:r>
      <w:r>
        <w:t xml:space="preserve">determine </w:t>
      </w:r>
      <w:r w:rsidR="002731DD">
        <w:t xml:space="preserve">whether cost and </w:t>
      </w:r>
      <w:r w:rsidR="00CF5466">
        <w:t>knowledge</w:t>
      </w:r>
      <w:r w:rsidR="002731DD" w:rsidRPr="00FC466D">
        <w:t xml:space="preserve"> influence the </w:t>
      </w:r>
      <w:r w:rsidR="002731DD">
        <w:t xml:space="preserve">awareness of vegetable </w:t>
      </w:r>
      <w:r w:rsidR="002731DD" w:rsidRPr="00FC466D">
        <w:t xml:space="preserve">farmers in Perlis </w:t>
      </w:r>
      <w:r w:rsidR="002731DD">
        <w:t>in adopting</w:t>
      </w:r>
      <w:r w:rsidR="002731DD" w:rsidRPr="00FC466D">
        <w:t xml:space="preserve"> a permaculture strategy. It will be feasible to encourage farmers to adopt permaculture gardening by offering a clear interpretation, as well as a better grasp of the cost and comprehension, if this </w:t>
      </w:r>
      <w:r w:rsidR="002731DD">
        <w:t>research</w:t>
      </w:r>
      <w:r w:rsidR="002731DD" w:rsidRPr="00FC466D">
        <w:t xml:space="preserve"> is addressed. Therefore, methods of permaculture offer a wide variety of benefits, such as enhancing human health, making communities more resistant to the effects of environmental change, and reducing the amount of money spent on </w:t>
      </w:r>
      <w:r w:rsidR="00346BDA" w:rsidRPr="00FC466D">
        <w:t>input</w:t>
      </w:r>
      <w:r>
        <w:t>s</w:t>
      </w:r>
      <w:r w:rsidR="002731DD" w:rsidRPr="00FC466D">
        <w:t xml:space="preserve"> </w:t>
      </w:r>
      <w:r w:rsidR="00837758">
        <w:fldChar w:fldCharType="begin" w:fldLock="1"/>
      </w:r>
      <w:r w:rsidR="000A5F41">
        <w:instrText>ADDIN CSL_CITATION {"citationItems":[{"id":"ITEM-1","itemData":{"DOI":"10.34079/2226-2822-2023-13-26-38-44","ISSN":"22262822","abstract":"The purpose of this article is to summarize both the advantages and problems of implementing the concept of permaculture management and to develop recommendations for its implementation and improvement, particularly in agriculture. Research methodology. The goal set in the article was achieved using the following research methods: logical generalization and scientific abstraction, structural analysis, analytical method. The results. Permaculture can be noticed in contradiction of the intensive agricultural system, which ultimately keeps soil unfit for agricultural purpose, slowly decreasing the amount of soil ground appropriate for human tenancy. One of the important methods is to help alleviate the type of climatic alteration in developing a sustainable food scheme on account of sustainable permaculture and agriculture. Sustainable permaculture and agriculture is a vital factor that is progressively increasing its impact in the permaculture and agriculture field. It helps in achieving sustainability in the permaculture and agricultural system. Permaculture management can be explained as approach for managing land and natural resources for developing regenerative agriculture, rewilding and community resilience. This study assesses the sustainable permaculture and agriculture system and its history and its significance. This study focuses on efficiency of permaculture management for achieving sustainability in agricultural. Practical significance of research results. The practical use of the proposed theoretical and applied approaches to the formation and implementation of the concept of permaculture management will allow to increase the efficiency of agricultural management and provide the population with food. Рermaculture management is necessary for brining sustainability in agriculture in terms of ensuring seed security as well as maintaining nutrition content in food resource for meeting nutritional requirements of community. Permaculture allow incorporation of diversity in food in terms of fostering cultivation of crops that are less famous and poorly cultivated for ensuring supply food resources for all communities. The major usefulness of permaculture is identified as, improved flexibility to environmental alterations, and enhanced human health and lessening of input expenditure. Sustainable agriculture helps to care for the surroundings and protect the earth's base of important natural resources. It also helps in developing and sustaining the pr…","author":[{"dropping-particle":"","family":"Rangra","given":"Nishant","non-dropping-particle":"","parse-names":false,"suffix":""}],"container-title":"Vìsnik Marìupolʹsʹkogo deržavnogo unìversitetu Serìâ Ekonomìka","id":"ITEM-1","issued":{"date-parts":[["2023"]]},"title":"Sustainablility and its benefits through permaculture and agriculture management","type":"article-journal"},"uris":["http://www.mendeley.com/documents/?uuid=f3bb1a19-7ee9-4b85-9b1e-05b53f68b183","http://www.mendeley.com/documents/?uuid=6241f1a3-90c1-46d4-ab29-134c1e2f479f","http://www.mendeley.com/documents/?uuid=200b9843-8d47-47c3-9520-a10524d0e254"]}],"mendeley":{"formattedCitation":"(Rangra, 2023)","plainTextFormattedCitation":"(Rangra, 2023)","previouslyFormattedCitation":"(Rangra, 2023)"},"properties":{"noteIndex":0},"schema":"https://github.com/citation-style-language/schema/raw/master/csl-citation.json"}</w:instrText>
      </w:r>
      <w:r w:rsidR="00837758">
        <w:fldChar w:fldCharType="separate"/>
      </w:r>
      <w:r w:rsidR="00837758" w:rsidRPr="00837758">
        <w:rPr>
          <w:noProof/>
        </w:rPr>
        <w:t>(Rangra, 2023)</w:t>
      </w:r>
      <w:r w:rsidR="00837758">
        <w:fldChar w:fldCharType="end"/>
      </w:r>
      <w:r w:rsidR="008063BC">
        <w:t>.</w:t>
      </w:r>
    </w:p>
    <w:p w14:paraId="06692122" w14:textId="207DC42A" w:rsidR="00B93CF4" w:rsidRDefault="00837758" w:rsidP="000A5F41">
      <w:pPr>
        <w:spacing w:after="160"/>
        <w:jc w:val="both"/>
      </w:pPr>
      <w:r>
        <w:t>F</w:t>
      </w:r>
      <w:r w:rsidR="002731DD">
        <w:t xml:space="preserve">ive years from 2023, </w:t>
      </w:r>
      <w:r w:rsidR="006E6FC9">
        <w:t>the Malaysian government</w:t>
      </w:r>
      <w:r w:rsidR="002731DD">
        <w:t xml:space="preserve"> predicted that </w:t>
      </w:r>
      <w:r w:rsidR="006E6FC9">
        <w:t xml:space="preserve">the </w:t>
      </w:r>
      <w:r w:rsidR="002731DD">
        <w:t>agrifood industry will expand and develop</w:t>
      </w:r>
      <w:r w:rsidR="006E6FC9">
        <w:t>,</w:t>
      </w:r>
      <w:r w:rsidR="002731DD">
        <w:t xml:space="preserve"> such as the involvement of technology, </w:t>
      </w:r>
      <w:r w:rsidR="008063BC">
        <w:t xml:space="preserve">increasing </w:t>
      </w:r>
      <w:r w:rsidR="002731DD">
        <w:t>knowledge among farmer</w:t>
      </w:r>
      <w:r w:rsidR="006E6FC9">
        <w:t>s</w:t>
      </w:r>
      <w:r w:rsidR="008063BC">
        <w:t>,</w:t>
      </w:r>
      <w:r w:rsidR="000A5F41">
        <w:t xml:space="preserve"> and</w:t>
      </w:r>
      <w:r w:rsidR="002731DD">
        <w:t xml:space="preserve"> </w:t>
      </w:r>
      <w:r w:rsidR="008063BC">
        <w:t xml:space="preserve">allocating </w:t>
      </w:r>
      <w:r w:rsidR="002731DD">
        <w:t xml:space="preserve">funds for </w:t>
      </w:r>
      <w:r w:rsidR="006E6FC9">
        <w:t xml:space="preserve">the </w:t>
      </w:r>
      <w:r w:rsidR="002731DD">
        <w:t>agriculture sector.</w:t>
      </w:r>
      <w:r w:rsidR="000A5F41">
        <w:t xml:space="preserve"> </w:t>
      </w:r>
      <w:r w:rsidR="000A5F41" w:rsidRPr="000A5F41">
        <w:t>Government efforts to strengthen the agriculture industry can be observed through ongoing policy improvements under Malaysia’s Agricultural Policy framework. As the global population continues to grow and advancements in the global food system are expected, it becomes increasingly important to understand permaculture practices and promote their adoption within agricultural systems. Therefore, this study focuses on farmers’ knowledge and the cost-related factors that influence the adoption of permaculture principles in Perlis.</w:t>
      </w:r>
    </w:p>
    <w:p w14:paraId="5A065AAD" w14:textId="77777777" w:rsidR="00B93CF4" w:rsidRDefault="00B93CF4" w:rsidP="00B93CF4">
      <w:pPr>
        <w:ind w:firstLine="720"/>
        <w:jc w:val="both"/>
      </w:pPr>
    </w:p>
    <w:p w14:paraId="3E74CA8E" w14:textId="77C99A94" w:rsidR="00137FCE" w:rsidRPr="00DC5419" w:rsidRDefault="00E93EB1" w:rsidP="00DE375C">
      <w:pPr>
        <w:pStyle w:val="Heading1"/>
        <w:spacing w:before="0" w:after="0"/>
        <w:rPr>
          <w:color w:val="auto"/>
        </w:rPr>
      </w:pPr>
      <w:r>
        <w:rPr>
          <w:color w:val="auto"/>
        </w:rPr>
        <w:t xml:space="preserve">LITERATURE REVIEW </w:t>
      </w:r>
    </w:p>
    <w:p w14:paraId="59FADD61" w14:textId="77777777" w:rsidR="00DE375C" w:rsidRPr="00DC5419" w:rsidRDefault="00DE375C" w:rsidP="00DE375C"/>
    <w:p w14:paraId="52D4891C" w14:textId="3126D8CF" w:rsidR="00A650A8" w:rsidRPr="008212D3" w:rsidRDefault="00E93EB1" w:rsidP="00A650A8">
      <w:pPr>
        <w:spacing w:after="240"/>
        <w:jc w:val="both"/>
        <w:rPr>
          <w:b/>
          <w:bCs/>
          <w:color w:val="000000" w:themeColor="text1"/>
          <w:sz w:val="24"/>
          <w:szCs w:val="24"/>
        </w:rPr>
      </w:pPr>
      <w:r w:rsidRPr="008212D3">
        <w:rPr>
          <w:b/>
          <w:bCs/>
          <w:color w:val="000000" w:themeColor="text1"/>
          <w:sz w:val="24"/>
          <w:szCs w:val="24"/>
        </w:rPr>
        <w:t>Permaculture</w:t>
      </w:r>
    </w:p>
    <w:p w14:paraId="22D36553" w14:textId="110A6AC6" w:rsidR="00E93EB1" w:rsidRDefault="00E93EB1" w:rsidP="004606C4">
      <w:pPr>
        <w:jc w:val="both"/>
      </w:pPr>
      <w:r>
        <w:t xml:space="preserve">The term "permaculture" refers to a farming method that is designed to mimic the functioning of natural ecosystems. The </w:t>
      </w:r>
      <w:r w:rsidR="008C7D2B">
        <w:t>practice</w:t>
      </w:r>
      <w:r>
        <w:t xml:space="preserve"> of permaculture is both self-sustaining and capable of regenerating itself </w:t>
      </w:r>
      <w:r w:rsidR="000A5F41">
        <w:fldChar w:fldCharType="begin" w:fldLock="1"/>
      </w:r>
      <w:r w:rsidR="00647E33">
        <w:instrText>ADDIN CSL_CITATION {"citationItems":[{"id":"ITEM-1","itemData":{"DOI":"10.1007/s13593-013-0181-6","ISSN":"17730155","abstract":"Agroecology is a promising alternative to industrial agriculture, with the potential to avoid the negative social and ecological consequences of input-intensive production. Transitioning to agroecological production is, however, a complex project that requires diverse contributions from the outside of scientific institutions. Agroecologists therefore collaborate with traditional producers and agroecological movements. Permaculture is one such agroecological movement, with a broad international distribution and a unique approach to system design. Despite a high public profile, permaculture has remained relatively isolated from scientific research. Though the potential contribution of permaculture to agroecological transition is great, it is limited by this isolation from science, as well as from oversimplifying claims, and the lack of a clear definition. Here, we review scientific and popular permaculture literature. A systematic review discusses quantitative bibliometric data, including keyword analysis. A qualitative review identifies and assesses major themes, proposals, and claims. The manuscript follows a stratified definition of permaculture as design system, best practice framework, worldview, and movement. The major points of our analysis are as follows: (1) Principles and topics largely complement and even extend principles and topics found in the agroecological literature. (2) Distinctive approaches to perennial polyculture, water management, and the importance of agroecosystem configuration exceed what is documented in the scientific literature and thus suggest promising avenues of inquiry. (3) Discussions of practice consistently underplay the complexity, challenges, and risks that producers face in developing diversified and integrated production systems. (4) The movement is mobilizing diverse forms of social support for sustainability, in geographically diverse locations. (5) And scholarship in permaculture has always been a diverse marginal sector, but is growing. © 2013 INRA and Springer-Verlag France.","author":[{"dropping-particle":"","family":"Ferguson","given":"Rafter Sass","non-dropping-particle":"","parse-names":false,"suffix":""},{"dropping-particle":"","family":"Lovell","given":"Sarah Taylor","non-dropping-particle":"","parse-names":false,"suffix":""}],"container-title":"Agronomy for Sustainable Development","id":"ITEM-1","issued":{"date-parts":[["2014"]]},"title":"Permaculture for agroecology: Design, movement, practice, and worldview. A review","type":"article"},"uris":["http://www.mendeley.com/documents/?uuid=a7191133-897b-49f9-9955-bb3f98195e25","http://www.mendeley.com/documents/?uuid=76847380-8714-48d7-a8e3-b798f8016299"]}],"mendeley":{"formattedCitation":"(Ferguson &amp; Lovell, 2014)","plainTextFormattedCitation":"(Ferguson &amp; Lovell, 2014)","previouslyFormattedCitation":"(Ferguson &amp; Lovell, 2014)"},"properties":{"noteIndex":0},"schema":"https://github.com/citation-style-language/schema/raw/master/csl-citation.json"}</w:instrText>
      </w:r>
      <w:r w:rsidR="000A5F41">
        <w:fldChar w:fldCharType="separate"/>
      </w:r>
      <w:r w:rsidR="000A5F41" w:rsidRPr="000A5F41">
        <w:rPr>
          <w:noProof/>
        </w:rPr>
        <w:t>(Ferguson &amp; Lovell, 2014)</w:t>
      </w:r>
      <w:r w:rsidR="000A5F41">
        <w:fldChar w:fldCharType="end"/>
      </w:r>
      <w:r>
        <w:t xml:space="preserve">. </w:t>
      </w:r>
      <w:r w:rsidRPr="00FF096E">
        <w:t>Although it was first created in a rural environment, permaculture is now a global grassroots movement that focuses on the environmentally responsible planning and construction of human settlements in both rural and urban settings</w:t>
      </w:r>
      <w:r>
        <w:t xml:space="preserve"> </w:t>
      </w:r>
      <w:r w:rsidR="00F530FF">
        <w:fldChar w:fldCharType="begin" w:fldLock="1"/>
      </w:r>
      <w:r w:rsidR="00CF432A">
        <w:instrText>ADDIN CSL_CITATION {"citationItems":[{"id":"ITEM-1","itemData":{"DOI":"10.1002/agj2.20814","ISSN":"14350645","abstract":"A growing world population and increases in food and energy consumption have placed production agriculture in a difficult situation. The rapid growth in food production through specialized operations such as monoculture cropping systems has aligned to satisfy increases in demand for food and fiber. However, its adverse impacts on natural resources pose huge challenges for the sustainability of food production. The situation is direr for developing countries or rural regions of the world due to the limited resources available to farming communities in these regions. To avoid production agriculture being at the proverbial crossroads we suggest an alternate approach. One that involves the sustainable use of natural resources without adverse environmental impacts by relying less on production inputs whether it be agrochemicals or machineries. We examined the extent to which regenerative agriculture, permaculture, and smart technology have evolved in response to sustainable agricultural production, agricultural decision support system, and overall global food security. Collectively, regenerative agriculture and permaculture are semi-closed holistic systems approach designed to reduce or eliminate dependence on external inputs (e.g., chemicals) which restores and maintains natural systems (e.g., soil quality, biodiversity, and ecosystem services). We suggest that fully embracing modern regenerative agriculture as well as integrated permaculture will improve soil health, ecosystem biodiversity, land and resource conservation, agricultural sustainability, and food security. Identifying and implementing practices towards regenerative agriculture, integrated permaculture, digital agriculture, and sustainable agricultural management utilizing modern agricultural technologies infused with data science (artificial intelligence [AI] or machine learning [ML]) is critical.","author":[{"dropping-particle":"","family":"McLennon","given":"Everald","non-dropping-particle":"","parse-names":false,"suffix":""},{"dropping-particle":"","family":"Dari","given":"Biswanath","non-dropping-particle":"","parse-names":false,"suffix":""},{"dropping-particle":"","family":"Jha","given":"Gaurav","non-dropping-particle":"","parse-names":false,"suffix":""},{"dropping-particle":"","family":"Sihi","given":"Debjani","non-dropping-particle":"","parse-names":false,"suffix":""},{"dropping-particle":"","family":"Kankarla","given":"Vanaja","non-dropping-particle":"","parse-names":false,"suffix":""}],"container-title":"Agronomy Journal","id":"ITEM-1","issued":{"date-parts":[["2021"]]},"title":"Regenerative agriculture and integrative permaculture for sustainable and technology driven global food production and security","type":"article-journal"},"uris":["http://www.mendeley.com/documents/?uuid=fb478419-57f0-4b3d-a98f-59c0930267c6","http://www.mendeley.com/documents/?uuid=21a083db-4e1d-4f69-b114-d30da2319ebe"]}],"mendeley":{"formattedCitation":"(McLennon et al., 2021)","plainTextFormattedCitation":"(McLennon et al., 2021)","previouslyFormattedCitation":"(McLennon et al., 2021)"},"properties":{"noteIndex":0},"schema":"https://github.com/citation-style-language/schema/raw/master/csl-citation.json"}</w:instrText>
      </w:r>
      <w:r w:rsidR="00F530FF">
        <w:fldChar w:fldCharType="separate"/>
      </w:r>
      <w:r w:rsidR="00F530FF" w:rsidRPr="00F530FF">
        <w:rPr>
          <w:noProof/>
        </w:rPr>
        <w:t>(McLennon et al., 2021)</w:t>
      </w:r>
      <w:r w:rsidR="00F530FF">
        <w:fldChar w:fldCharType="end"/>
      </w:r>
      <w:r w:rsidR="00F530FF">
        <w:t>.</w:t>
      </w:r>
    </w:p>
    <w:p w14:paraId="19FB3001" w14:textId="77777777" w:rsidR="00293234" w:rsidRDefault="00293234" w:rsidP="004606C4">
      <w:pPr>
        <w:jc w:val="both"/>
      </w:pPr>
    </w:p>
    <w:p w14:paraId="22E2F35A" w14:textId="5ACEACA0" w:rsidR="00E93EB1" w:rsidRDefault="00E93EB1" w:rsidP="004606C4">
      <w:pPr>
        <w:jc w:val="both"/>
        <w:rPr>
          <w:color w:val="EE0000"/>
        </w:rPr>
      </w:pPr>
      <w:r w:rsidRPr="00FF096E">
        <w:t xml:space="preserve">The meaning of the term "permaculture" shifts depending on the source and develops more with the passage of time. The progenitors of permaculture define it as "an integrated, dynamic system of perennial or self-perpetuating plant and animal species valuable to man" in the paper that served as the movement's founding document </w:t>
      </w:r>
      <w:r w:rsidR="00647E33">
        <w:fldChar w:fldCharType="begin" w:fldLock="1"/>
      </w:r>
      <w:r w:rsidR="00180318">
        <w:instrText>ADDIN CSL_CITATION {"citationItems":[{"id":"ITEM-1","itemData":{"DOI":"10.1017/s0376892900007384","ISSN":"0376-8929","author":[{"dropping-particle":"","family":"Simmons","given":"Ian G.","non-dropping-particle":"","parse-names":false,"suffix":""}],"container-title":"Environmental Conservation","id":"ITEM-1","issued":{"date-parts":[["1980"]]},"title":"Permaculture One: A Perennial Agriculture for Human Settlement, by B. Mollison &amp; David Holmgren. Corgi Books, London, UK &amp; Melbourne, Australia: vii + 128 pp., 28 × 21.7 × 0.9 cm, paperbound, $Aust. 4.95, $NZ.5.50, 1978.","type":"article-journal"},"uris":["http://www.mendeley.com/documents/?uuid=0f56226f-8541-4fb4-ad58-807f50137f98","http://www.mendeley.com/documents/?uuid=253ffec4-6776-4e14-84b6-6d9f6d0a7345"]}],"mendeley":{"formattedCitation":"(Simmons, 1980)","plainTextFormattedCitation":"(Simmons, 1980)","previouslyFormattedCitation":"(Simmons, 1980)"},"properties":{"noteIndex":0},"schema":"https://github.com/citation-style-language/schema/raw/master/csl-citation.json"}</w:instrText>
      </w:r>
      <w:r w:rsidR="00647E33">
        <w:fldChar w:fldCharType="separate"/>
      </w:r>
      <w:r w:rsidR="00647E33" w:rsidRPr="00647E33">
        <w:rPr>
          <w:noProof/>
        </w:rPr>
        <w:t>(Simmons, 1980)</w:t>
      </w:r>
      <w:r w:rsidR="00647E33">
        <w:fldChar w:fldCharType="end"/>
      </w:r>
      <w:r w:rsidR="00647E33">
        <w:t>.</w:t>
      </w:r>
      <w:r w:rsidRPr="00CF432A">
        <w:rPr>
          <w:color w:val="EE0000"/>
        </w:rPr>
        <w:t xml:space="preserve"> </w:t>
      </w:r>
      <w:r w:rsidR="00180318">
        <w:t xml:space="preserve">Later, </w:t>
      </w:r>
      <w:r w:rsidR="00180318">
        <w:fldChar w:fldCharType="begin" w:fldLock="1"/>
      </w:r>
      <w:r w:rsidR="00904CAB">
        <w:instrText>ADDIN CSL_CITATION {"citationItems":[{"id":"ITEM-1","itemData":{"abstract":"David Holmgren (born 1955) is an Australian environmental designer, ecological educator and writer. He is best known as one of the co-originators of the permaculture concept with Bill Mollison.","author":[{"dropping-particle":"","family":"David","given":"Holmgren","non-dropping-particle":"","parse-names":false,"suffix":""}],"container-title":"Planet Savers: 301 Extraordinary Environmentalists","id":"ITEM-1","issued":{"date-parts":[["2014"]]},"title":"Permaculture principles &amp; pathways beyond sustainability","type":"article-journal"},"uris":["http://www.mendeley.com/documents/?uuid=8a3ac9b3-3000-4986-a7d1-d7ebc40438e4"]}],"mendeley":{"formattedCitation":"(David, 2014)","manualFormatting":"David (2014)","plainTextFormattedCitation":"(David, 2014)","previouslyFormattedCitation":"(David, 2014)"},"properties":{"noteIndex":0},"schema":"https://github.com/citation-style-language/schema/raw/master/csl-citation.json"}</w:instrText>
      </w:r>
      <w:r w:rsidR="00180318">
        <w:fldChar w:fldCharType="separate"/>
      </w:r>
      <w:r w:rsidR="00180318" w:rsidRPr="00180318">
        <w:rPr>
          <w:noProof/>
        </w:rPr>
        <w:t xml:space="preserve">David </w:t>
      </w:r>
      <w:r w:rsidR="00180318">
        <w:rPr>
          <w:noProof/>
        </w:rPr>
        <w:t>(</w:t>
      </w:r>
      <w:r w:rsidR="00180318" w:rsidRPr="00180318">
        <w:rPr>
          <w:noProof/>
        </w:rPr>
        <w:t>2014)</w:t>
      </w:r>
      <w:r w:rsidR="00180318">
        <w:fldChar w:fldCharType="end"/>
      </w:r>
      <w:r w:rsidRPr="00FF096E">
        <w:t xml:space="preserve"> expanded his definition of permaculture to encompass broader issues of human settlement while still keeping the emphasis on agriculture: "Consciously designed landscapes that mimic the patterns and relationships found in nature, while yielding an abundance of food, </w:t>
      </w:r>
      <w:proofErr w:type="spellStart"/>
      <w:r w:rsidRPr="00FF096E">
        <w:t>fibre</w:t>
      </w:r>
      <w:proofErr w:type="spellEnd"/>
      <w:r w:rsidRPr="00FF096E">
        <w:t xml:space="preserve">, and energy for </w:t>
      </w:r>
      <w:r w:rsidR="008063BC">
        <w:t xml:space="preserve">the </w:t>
      </w:r>
      <w:r w:rsidRPr="00FF096E">
        <w:t>provision of local needs</w:t>
      </w:r>
      <w:r w:rsidR="006E6FC9">
        <w:t>.</w:t>
      </w:r>
      <w:r w:rsidRPr="00FF096E">
        <w:t>"</w:t>
      </w:r>
    </w:p>
    <w:p w14:paraId="6F3132E9" w14:textId="77777777" w:rsidR="000A5F41" w:rsidRPr="00FF096E" w:rsidRDefault="000A5F41" w:rsidP="00E93EB1">
      <w:pPr>
        <w:jc w:val="both"/>
      </w:pPr>
    </w:p>
    <w:p w14:paraId="6090F312" w14:textId="0B64C957" w:rsidR="000D77CB" w:rsidRDefault="000D77CB" w:rsidP="00904CAB">
      <w:pPr>
        <w:jc w:val="both"/>
      </w:pPr>
      <w:r w:rsidRPr="004B7EB6">
        <w:t>According to Ali</w:t>
      </w:r>
      <w:r>
        <w:t xml:space="preserve"> </w:t>
      </w:r>
      <w:r w:rsidRPr="004B7EB6">
        <w:t xml:space="preserve">et al. (2015), permaculture in Malaysia is still at an infant level, and the population has only a </w:t>
      </w:r>
      <w:r w:rsidR="008063BC" w:rsidRPr="004B7EB6">
        <w:t>minim</w:t>
      </w:r>
      <w:r w:rsidR="008063BC">
        <w:t>al</w:t>
      </w:r>
      <w:r w:rsidR="008063BC" w:rsidRPr="004B7EB6">
        <w:t xml:space="preserve"> </w:t>
      </w:r>
      <w:r w:rsidRPr="004B7EB6">
        <w:t>awareness of the concept, which has led to minor permaculture activities being carried out by the community, particularly in metropolitan areas.</w:t>
      </w:r>
      <w:r>
        <w:t xml:space="preserve"> </w:t>
      </w:r>
      <w:r w:rsidRPr="00A415C3">
        <w:t xml:space="preserve">People who lived in rural areas traditionally cultivated a </w:t>
      </w:r>
      <w:r w:rsidR="006E6FC9">
        <w:t>wide</w:t>
      </w:r>
      <w:r w:rsidR="006E6FC9" w:rsidRPr="00A415C3">
        <w:t xml:space="preserve"> </w:t>
      </w:r>
      <w:r w:rsidRPr="00A415C3">
        <w:t>variety of crops for their own personal use, primarily as a source of sustenance but also as a source of cash and medicine</w:t>
      </w:r>
      <w:r w:rsidR="006E6FC9">
        <w:t xml:space="preserve"> </w:t>
      </w:r>
      <w:r w:rsidR="00904CAB">
        <w:fldChar w:fldCharType="begin" w:fldLock="1"/>
      </w:r>
      <w:r w:rsidR="00E8517B">
        <w:instrText>ADDIN CSL_CITATION {"citationItems":[{"id":"ITEM-1","itemData":{"DOI":"10.1504/IJEWM.2022.10032752","ISSN":"14789868","abstract":"The objective of this paper is to employ an evidence-based intervention through permaculture practices on island tourism in Mabul, Semporna Sabah. Through the trash to cash initiative conducted over a span of two years in Mabul, this paper aims to identify the best practices and limitations of permaculture practice on an island, as well as to uncover lessons for future pursuits. This intervention was conducted in the Borneo Jungle River Island Tours Sdn. Bhd company for two years to identify usable permaculture methods for island-based lodges. A case study design was chosen for this purpose as it allows numbers of small in-depth cases conducted throughout the course of two years. These cases were studied in a real-life context, applying permaculture principles while observing how they influence and are influenced by users. Using permaculture principles, a total of ten different initiatives were coined and tested on-site. Top initiatives included: 1) collection of air-conditioner water; 2) composting; 3) environmental education. The major managerial challenges found were: 1) receptiveness of the initiative by workers; 2) change of mindset; 3) top-down initiatives. Borneo Jungle successfully reduced its costs and waste through this initiative.","author":[{"dropping-particle":"","family":"Siow","given":"May Ling","non-dropping-particle":"","parse-names":false,"suffix":""},{"dropping-particle":"","family":"Ramachandran","given":"Sridar","non-dropping-particle":"","parse-names":false,"suffix":""},{"dropping-particle":"","family":"Maizan","given":"Kamarul Ariffin","non-dropping-particle":"","parse-names":false,"suffix":""}],"container-title":"International Journal of Environment and Waste Management","id":"ITEM-1","issued":{"date-parts":[["2022"]]},"title":"Trash to cash through permaculture for sustainable island tourism: the case of Semporna, Sabah, Malaysia","type":"article-journal"},"uris":["http://www.mendeley.com/documents/?uuid=a1d218e3-ba7b-4f7a-9b09-7bb1e6c2b7c1"]}],"mendeley":{"formattedCitation":"(Siow et al., 2022)","plainTextFormattedCitation":"(Siow et al., 2022)","previouslyFormattedCitation":"(Siow et al., 2022)"},"properties":{"noteIndex":0},"schema":"https://github.com/citation-style-language/schema/raw/master/csl-citation.json"}</w:instrText>
      </w:r>
      <w:r w:rsidR="00904CAB">
        <w:fldChar w:fldCharType="separate"/>
      </w:r>
      <w:r w:rsidR="00904CAB" w:rsidRPr="00904CAB">
        <w:rPr>
          <w:noProof/>
        </w:rPr>
        <w:t>(Siow et al., 2022)</w:t>
      </w:r>
      <w:r w:rsidR="00904CAB">
        <w:fldChar w:fldCharType="end"/>
      </w:r>
      <w:r w:rsidRPr="00A415C3">
        <w:t xml:space="preserve">. This </w:t>
      </w:r>
      <w:r w:rsidR="008C7D2B" w:rsidRPr="00A415C3">
        <w:t>practice</w:t>
      </w:r>
      <w:r w:rsidRPr="00A415C3">
        <w:t xml:space="preserve"> has been passed down from generation to generation. They make use of traditional agricultural </w:t>
      </w:r>
      <w:r w:rsidR="008C7D2B" w:rsidRPr="00A415C3">
        <w:t>practices</w:t>
      </w:r>
      <w:r w:rsidRPr="00A415C3">
        <w:t xml:space="preserve"> that have been handed down from generation to generation</w:t>
      </w:r>
      <w:r w:rsidR="008063BC">
        <w:t>. H</w:t>
      </w:r>
      <w:r w:rsidR="006E6FC9">
        <w:t>owever,</w:t>
      </w:r>
      <w:r w:rsidRPr="00A415C3">
        <w:t xml:space="preserve"> in the past 10 years, </w:t>
      </w:r>
      <w:r w:rsidR="006E6FC9">
        <w:t>agricultural technology</w:t>
      </w:r>
      <w:r w:rsidRPr="00A415C3">
        <w:t xml:space="preserve"> has advanced and become more modern with the assistance of </w:t>
      </w:r>
      <w:r w:rsidR="008C7D2B" w:rsidRPr="00A415C3">
        <w:t>motorized</w:t>
      </w:r>
      <w:r w:rsidRPr="00A415C3">
        <w:t xml:space="preserve"> machinery, chemical </w:t>
      </w:r>
      <w:r w:rsidR="008C7D2B" w:rsidRPr="00A415C3">
        <w:t>fertilizers</w:t>
      </w:r>
      <w:r w:rsidRPr="00A415C3">
        <w:t xml:space="preserve">, and the most up-to-date pesticides. </w:t>
      </w:r>
    </w:p>
    <w:p w14:paraId="33C9F337" w14:textId="77777777" w:rsidR="000D77CB" w:rsidRDefault="000D77CB" w:rsidP="000D77CB">
      <w:pPr>
        <w:ind w:firstLine="720"/>
        <w:jc w:val="both"/>
      </w:pPr>
    </w:p>
    <w:p w14:paraId="794FE2AA" w14:textId="1A2C9F6C" w:rsidR="00E93EB1" w:rsidRPr="004606C4" w:rsidRDefault="000D77CB" w:rsidP="004606C4">
      <w:pPr>
        <w:jc w:val="both"/>
      </w:pPr>
      <w:r w:rsidRPr="00A415C3">
        <w:t xml:space="preserve">The production of agricultural goods stands to gain in a variety of ways from the application of this technology </w:t>
      </w:r>
      <w:r w:rsidR="00E8517B">
        <w:fldChar w:fldCharType="begin" w:fldLock="1"/>
      </w:r>
      <w:r w:rsidR="00E8517B">
        <w:instrText>ADDIN CSL_CITATION {"citationItems":[{"id":"ITEM-1","itemData":{"DOI":"10.3197/096327114X13851122269089","ISSN":"09632719","abstract":"This paper traces the origins of the concept of permaculture and discusses the sustainability of permaculture itself as a form of alternative agriculture. The principles of permaculture are shown to have many views and perspectives in common with Taoism and with Buddhist ecology and economics. The amalgamation of these Oriental traditions can be translated into the Kaya equation and beyond. It is argued that future permaculture movements should focus on revitalising the communitarian spirit of traditional farming villages instead of building intentional communal communities. The paper also calls for more aggressive environmental-policy measures that support permaculture and internalise the non-market value of reduced fossil-fuel energy consumption and waste recycling. © 2014 The White Horse Press.","author":[{"dropping-particle":"","family":"Suh","given":"Jungho","non-dropping-particle":"","parse-names":false,"suffix":""}],"container-title":"Environmental Values","id":"ITEM-1","issued":{"date-parts":[["2014"]]},"title":"Towards sustainable agricultural stewardship: Evolution and future directions of the permaculture concept","type":"article-journal"},"uris":["http://www.mendeley.com/documents/?uuid=68f0acfd-f8e4-432a-b290-2abf8f100bba"]}],"mendeley":{"formattedCitation":"(Suh, 2014)","plainTextFormattedCitation":"(Suh, 2014)","previouslyFormattedCitation":"(Suh, 2014)"},"properties":{"noteIndex":0},"schema":"https://github.com/citation-style-language/schema/raw/master/csl-citation.json"}</w:instrText>
      </w:r>
      <w:r w:rsidR="00E8517B">
        <w:fldChar w:fldCharType="separate"/>
      </w:r>
      <w:r w:rsidR="00E8517B" w:rsidRPr="00E8517B">
        <w:rPr>
          <w:noProof/>
        </w:rPr>
        <w:t>(Suh, 2014)</w:t>
      </w:r>
      <w:r w:rsidR="00E8517B">
        <w:fldChar w:fldCharType="end"/>
      </w:r>
      <w:r w:rsidRPr="00A415C3">
        <w:t xml:space="preserve">. </w:t>
      </w:r>
      <w:r w:rsidR="006E6FC9">
        <w:t>Nevertheless</w:t>
      </w:r>
      <w:r w:rsidRPr="00A415C3">
        <w:t xml:space="preserve">, the application of this modern technology has resulted in consequences that are </w:t>
      </w:r>
      <w:r w:rsidR="00E8517B" w:rsidRPr="00A415C3">
        <w:t>unfavorable</w:t>
      </w:r>
      <w:r w:rsidRPr="00A415C3">
        <w:t xml:space="preserve"> for both the standard of the goods that are manufactured and the state of the natural environment </w:t>
      </w:r>
      <w:r w:rsidR="00E8517B">
        <w:fldChar w:fldCharType="begin" w:fldLock="1"/>
      </w:r>
      <w:r w:rsidR="00E8517B">
        <w:instrText>ADDIN CSL_CITATION {"citationItems":[{"id":"ITEM-1","itemData":{"DOI":"10.1016/j.jafr.2022.100307","ISSN":"26661543","abstract":"The agricultural landscape is a public good to be preserved for long-term socio-economic and environmental effects. The agricultural landscape is preserved by the carrying out of agricultural activities. Through a empirical survey we examined how some young farmers in the countryside adopt conservation and resilience strategies. A common feature of the case studies examined is the adoption of photovoltaic energy production necessary for the performance of business activities. The method applied is that of the opportunity cost. The results of the research show that young farmers after graduation have returned to agriculture as they have an advantage in terms of opportunity costs compared to other economic activities. The production of clean energy, accompanied by agricultural activity, makes the company competitive and favors the conservation of agricultural landscapes.","author":[{"dropping-particle":"","family":"Sgroi","given":"Filippo","non-dropping-particle":"","parse-names":false,"suffix":""}],"container-title":"Journal of Agriculture and Food Research","id":"ITEM-1","issued":{"date-parts":[["2022"]]},"title":"The circular economy for resilience of the agricultural landscape and promotion of the sustainable agriculture and food systems","type":"article-journal"},"uris":["http://www.mendeley.com/documents/?uuid=d59462de-f56d-4660-995a-8c87456b273b","http://www.mendeley.com/documents/?uuid=0bd85678-63be-40ea-b5a5-b5f0a8d3067c"]}],"mendeley":{"formattedCitation":"(Sgroi, 2022)","plainTextFormattedCitation":"(Sgroi, 2022)","previouslyFormattedCitation":"(Sgroi, 2022)"},"properties":{"noteIndex":0},"schema":"https://github.com/citation-style-language/schema/raw/master/csl-citation.json"}</w:instrText>
      </w:r>
      <w:r w:rsidR="00E8517B">
        <w:fldChar w:fldCharType="separate"/>
      </w:r>
      <w:r w:rsidR="00E8517B" w:rsidRPr="00E8517B">
        <w:rPr>
          <w:noProof/>
        </w:rPr>
        <w:t>(Sgroi, 2022)</w:t>
      </w:r>
      <w:r w:rsidR="00E8517B">
        <w:fldChar w:fldCharType="end"/>
      </w:r>
      <w:r w:rsidRPr="00A415C3">
        <w:t xml:space="preserve">. They </w:t>
      </w:r>
      <w:proofErr w:type="gramStart"/>
      <w:r w:rsidRPr="00A415C3">
        <w:t>are able to</w:t>
      </w:r>
      <w:proofErr w:type="gramEnd"/>
      <w:r w:rsidRPr="00A415C3">
        <w:t xml:space="preserve"> collect agricultural produce throughout that season for a longer </w:t>
      </w:r>
      <w:proofErr w:type="gramStart"/>
      <w:r w:rsidR="00CF3217">
        <w:t>period</w:t>
      </w:r>
      <w:r w:rsidR="00CF3217" w:rsidRPr="00A415C3">
        <w:t xml:space="preserve"> </w:t>
      </w:r>
      <w:r w:rsidRPr="00A415C3">
        <w:t>of time</w:t>
      </w:r>
      <w:proofErr w:type="gramEnd"/>
      <w:r w:rsidRPr="00A415C3">
        <w:t xml:space="preserve">, but they are unable to manufacture items that are of high quality, healthy, and safe to eat at the same time. In light of this, the use of a permaculture strategy within the context of a sustainable landscape is of the utmost importance in the agricultural sector of today </w:t>
      </w:r>
      <w:r w:rsidR="00E8517B">
        <w:fldChar w:fldCharType="begin" w:fldLock="1"/>
      </w:r>
      <w:r w:rsidR="00B10C6F">
        <w:instrText>ADDIN CSL_CITATION {"citationItems":[{"id":"ITEM-1","itemData":{"DOI":"10.1002/agj2.20814","ISSN":"14350645","abstract":"A growing world population and increases in food and energy consumption have placed production agriculture in a difficult situation. The rapid growth in food production through specialized operations such as monoculture cropping systems has aligned to satisfy increases in demand for food and fiber. However, its adverse impacts on natural resources pose huge challenges for the sustainability of food production. The situation is direr for developing countries or rural regions of the world due to the limited resources available to farming communities in these regions. To avoid production agriculture being at the proverbial crossroads we suggest an alternate approach. One that involves the sustainable use of natural resources without adverse environmental impacts by relying less on production inputs whether it be agrochemicals or machineries. We examined the extent to which regenerative agriculture, permaculture, and smart technology have evolved in response to sustainable agricultural production, agricultural decision support system, and overall global food security. Collectively, regenerative agriculture and permaculture are semi-closed holistic systems approach designed to reduce or eliminate dependence on external inputs (e.g., chemicals) which restores and maintains natural systems (e.g., soil quality, biodiversity, and ecosystem services). We suggest that fully embracing modern regenerative agriculture as well as integrated permaculture will improve soil health, ecosystem biodiversity, land and resource conservation, agricultural sustainability, and food security. Identifying and implementing practices towards regenerative agriculture, integrated permaculture, digital agriculture, and sustainable agricultural management utilizing modern agricultural technologies infused with data science (artificial intelligence [AI] or machine learning [ML]) is critical.","author":[{"dropping-particle":"","family":"McLennon","given":"Everald","non-dropping-particle":"","parse-names":false,"suffix":""},{"dropping-particle":"","family":"Dari","given":"Biswanath","non-dropping-particle":"","parse-names":false,"suffix":""},{"dropping-particle":"","family":"Jha","given":"Gaurav","non-dropping-particle":"","parse-names":false,"suffix":""},{"dropping-particle":"","family":"Sihi","given":"Debjani","non-dropping-particle":"","parse-names":false,"suffix":""},{"dropping-particle":"","family":"Kankarla","given":"Vanaja","non-dropping-particle":"","parse-names":false,"suffix":""}],"container-title":"Agronomy Journal","id":"ITEM-1","issued":{"date-parts":[["2021"]]},"title":"Regenerative agriculture and integrative permaculture for sustainable and technology driven global food production and security","type":"article-journal"},"uris":["http://www.mendeley.com/documents/?uuid=21a083db-4e1d-4f69-b114-d30da2319ebe"]}],"mendeley":{"formattedCitation":"(McLennon et al., 2021)","plainTextFormattedCitation":"(McLennon et al., 2021)","previouslyFormattedCitation":"(McLennon et al., 2021)"},"properties":{"noteIndex":0},"schema":"https://github.com/citation-style-language/schema/raw/master/csl-citation.json"}</w:instrText>
      </w:r>
      <w:r w:rsidR="00E8517B">
        <w:fldChar w:fldCharType="separate"/>
      </w:r>
      <w:r w:rsidR="00E8517B" w:rsidRPr="00E8517B">
        <w:rPr>
          <w:noProof/>
        </w:rPr>
        <w:t>(McLennon et al., 2021)</w:t>
      </w:r>
      <w:r w:rsidR="00E8517B">
        <w:fldChar w:fldCharType="end"/>
      </w:r>
      <w:r w:rsidRPr="00A415C3">
        <w:t xml:space="preserve">. It is feasible to keep agricultural fields and the environment around them in a sustainable state, and </w:t>
      </w:r>
      <w:proofErr w:type="gramStart"/>
      <w:r w:rsidRPr="00A415C3">
        <w:t>as a consequence</w:t>
      </w:r>
      <w:proofErr w:type="gramEnd"/>
      <w:r w:rsidRPr="00A415C3">
        <w:t xml:space="preserve">, the agricultural products that are produced </w:t>
      </w:r>
      <w:proofErr w:type="gramStart"/>
      <w:r w:rsidRPr="00A415C3">
        <w:t>have a higher</w:t>
      </w:r>
      <w:proofErr w:type="gramEnd"/>
      <w:r w:rsidRPr="00A415C3">
        <w:t xml:space="preserve"> quality, are cleaner, are healthier, and are safer to consume.</w:t>
      </w:r>
    </w:p>
    <w:p w14:paraId="5FE29B35" w14:textId="77777777" w:rsidR="00E8517B" w:rsidRPr="007C0B02" w:rsidRDefault="00E8517B" w:rsidP="00E8517B">
      <w:pPr>
        <w:pStyle w:val="Heading2"/>
        <w:rPr>
          <w:rFonts w:ascii="Times New Roman" w:hAnsi="Times New Roman" w:cs="Times New Roman"/>
          <w:color w:val="000000" w:themeColor="text1"/>
          <w:sz w:val="24"/>
          <w:szCs w:val="24"/>
        </w:rPr>
      </w:pPr>
      <w:bookmarkStart w:id="2" w:name="_Toc142870826"/>
      <w:r w:rsidRPr="007C0B02">
        <w:rPr>
          <w:rFonts w:ascii="Times New Roman" w:hAnsi="Times New Roman" w:cs="Times New Roman"/>
          <w:color w:val="000000" w:themeColor="text1"/>
          <w:sz w:val="24"/>
          <w:szCs w:val="24"/>
        </w:rPr>
        <w:t>Vegetables for Permaculture</w:t>
      </w:r>
      <w:bookmarkEnd w:id="2"/>
    </w:p>
    <w:p w14:paraId="29143861" w14:textId="24921B92" w:rsidR="00E8517B" w:rsidRDefault="00E8517B" w:rsidP="00E8517B">
      <w:pPr>
        <w:jc w:val="both"/>
      </w:pPr>
      <w:r w:rsidRPr="00E63541">
        <w:t>Between the years 20</w:t>
      </w:r>
      <w:r>
        <w:t>19</w:t>
      </w:r>
      <w:r w:rsidRPr="00E63541">
        <w:t xml:space="preserve"> </w:t>
      </w:r>
      <w:r w:rsidR="006E6FC9">
        <w:t>and</w:t>
      </w:r>
      <w:r w:rsidR="006E6FC9" w:rsidRPr="00E63541">
        <w:t xml:space="preserve"> </w:t>
      </w:r>
      <w:r w:rsidRPr="00E63541">
        <w:t>20</w:t>
      </w:r>
      <w:r>
        <w:t>22</w:t>
      </w:r>
      <w:r w:rsidRPr="00E63541">
        <w:t>, there was a rise in the agricultural area</w:t>
      </w:r>
      <w:r>
        <w:t xml:space="preserve"> in </w:t>
      </w:r>
      <w:r w:rsidR="00B10C6F">
        <w:t>terms</w:t>
      </w:r>
      <w:r>
        <w:t xml:space="preserve"> of area harvested</w:t>
      </w:r>
      <w:r w:rsidR="006E6FC9">
        <w:t>,</w:t>
      </w:r>
      <w:r>
        <w:t xml:space="preserve"> with </w:t>
      </w:r>
      <w:r w:rsidR="006E6FC9">
        <w:t>an increase</w:t>
      </w:r>
      <w:r>
        <w:t xml:space="preserve"> of 1.38%.</w:t>
      </w:r>
      <w:r w:rsidRPr="00E63541">
        <w:t xml:space="preserve"> </w:t>
      </w:r>
      <w:r>
        <w:t xml:space="preserve">This </w:t>
      </w:r>
      <w:r w:rsidR="006E6FC9">
        <w:t xml:space="preserve">indicates </w:t>
      </w:r>
      <w:r>
        <w:t xml:space="preserve">that </w:t>
      </w:r>
      <w:r w:rsidR="006E6FC9">
        <w:t xml:space="preserve">the </w:t>
      </w:r>
      <w:r>
        <w:t xml:space="preserve">area of </w:t>
      </w:r>
      <w:r w:rsidR="00B10C6F">
        <w:t>agriculture</w:t>
      </w:r>
      <w:r>
        <w:t xml:space="preserve"> increases </w:t>
      </w:r>
      <w:r w:rsidR="006E6FC9">
        <w:t>over</w:t>
      </w:r>
      <w:r>
        <w:t xml:space="preserve"> time. </w:t>
      </w:r>
      <w:r w:rsidRPr="00E63541">
        <w:t xml:space="preserve">Vegetables, with their high water and fertilizer efficiency, are more profitable to grow than other crops due to the high cost of urban land. They are also advantageous in that they have a particular nutritional value, and they do not require any additional processing after they have been harvested. Because their life cycles are so short, vegetables can very quickly meet the needs of rising populations. </w:t>
      </w:r>
    </w:p>
    <w:p w14:paraId="6A8BAD98" w14:textId="77777777" w:rsidR="00E8517B" w:rsidRDefault="00E8517B" w:rsidP="00E8517B">
      <w:pPr>
        <w:jc w:val="both"/>
      </w:pPr>
    </w:p>
    <w:p w14:paraId="07C3B6CF" w14:textId="14386F35" w:rsidR="00E8517B" w:rsidRPr="00915017" w:rsidRDefault="00E8517B" w:rsidP="00E8517B">
      <w:pPr>
        <w:jc w:val="both"/>
        <w:rPr>
          <w:color w:val="EE0000"/>
        </w:rPr>
      </w:pPr>
      <w:r w:rsidRPr="00E63541">
        <w:t xml:space="preserve">For instance, after a disaster, many vegetable species can be harvested just 60–90 days after sowing, and this </w:t>
      </w:r>
      <w:r w:rsidRPr="00E15644">
        <w:t xml:space="preserve">time frame can be reduced even further when the plants are grown from seedlings </w:t>
      </w:r>
      <w:r w:rsidR="00B10C6F" w:rsidRPr="00E15644">
        <w:fldChar w:fldCharType="begin" w:fldLock="1"/>
      </w:r>
      <w:r w:rsidR="00915017" w:rsidRPr="00E15644">
        <w:instrText>ADDIN CSL_CITATION {"citationItems":[{"id":"ITEM-1","itemData":{"DOI":"10.5304/jafscd.2010.012.010","abstract":"Multistakeholder processes are increasingly considered to be an important element of policy design, action planning, and implementation. By involving a broad base of stakeholders, municipal authorities are more likely to develop policies and programs that will meet the needs of both the municipality and its constituents, and are thus more inclusive and successful in their implementation. Because of its multisectoral character, with impacts on land use planning, health, food security, and economic development, among others, urban agriculture development calls for the involvement of multiple stakeholders, including individuals, and groups and organizations from both nongovernmental as well","author":[{"dropping-particle":"","family":"Dubbeling","given":"Marielle","non-dropping-particle":"","parse-names":false,"suffix":""},{"dropping-particle":"","family":"Merzthal","given":"Gunther","non-dropping-particle":"","parse-names":false,"suffix":""}],"container-title":"Journal of Agriculture, Food Systems, and Community Development","id":"ITEM-1","issued":{"date-parts":[["2010"]]},"title":"Multistakeholder policy formulation and action planning for urban agriculture in Lima, Peru","type":"article-journal"},"uris":["http://www.mendeley.com/documents/?uuid=119efc96-5622-4f86-a4f2-e390d45dbd25","http://www.mendeley.com/documents/?uuid=7c6df9f0-fc97-4ddd-a513-c426ff764e0a"]}],"mendeley":{"formattedCitation":"(Dubbeling &amp; Merzthal, 2010)","plainTextFormattedCitation":"(Dubbeling &amp; Merzthal, 2010)","previouslyFormattedCitation":"(Dubbeling &amp; Merzthal, 2010)"},"properties":{"noteIndex":0},"schema":"https://github.com/citation-style-language/schema/raw/master/csl-citation.json"}</w:instrText>
      </w:r>
      <w:r w:rsidR="00B10C6F" w:rsidRPr="00E15644">
        <w:fldChar w:fldCharType="separate"/>
      </w:r>
      <w:r w:rsidR="00B10C6F" w:rsidRPr="00E15644">
        <w:rPr>
          <w:noProof/>
        </w:rPr>
        <w:t>(Dubbeling &amp; Merzthal, 2010)</w:t>
      </w:r>
      <w:r w:rsidR="00B10C6F" w:rsidRPr="00E15644">
        <w:fldChar w:fldCharType="end"/>
      </w:r>
      <w:r w:rsidRPr="00E15644">
        <w:t xml:space="preserve">. </w:t>
      </w:r>
      <w:r w:rsidR="006E6FC9">
        <w:t>As a result</w:t>
      </w:r>
      <w:r w:rsidRPr="00E15644">
        <w:t>, urban horticulture is a system that can react reasonably quickly, which is especially useful after a breakdown in the food supply chains caused by trade isolation</w:t>
      </w:r>
      <w:r w:rsidR="00E15644" w:rsidRPr="00E15644">
        <w:t xml:space="preserve">. </w:t>
      </w:r>
      <w:r w:rsidR="00E15644" w:rsidRPr="00E15644">
        <w:fldChar w:fldCharType="begin" w:fldLock="1"/>
      </w:r>
      <w:r w:rsidR="008212D3">
        <w:instrText>ADDIN CSL_CITATION {"citationItems":[{"id":"ITEM-1","itemData":{"DOI":"10.1079/cabireviews.2024.0053","ISSN":"17498848","abstract":"With the increasing migration of people to urban areas, the demand for extra, fresh, and healthy food in cities has escalated manyfold. Further, anthropogenic activities, high rise buildings, and unplanned construction in urban areas are increasing urban heat. Therefore, the objective of this study is to review the salient features and constraints of urban agriculture, in addition to illustrating traditional and modern approaches, and policies used worldwide to promote the urban agriculture (UA). Urban agriculture is a key component of sustainable urban development that plays a pivotal role in combating food security and malnutrition in peri-urban and urban areas by growing different fruits, vegetables, mushrooms, herbs, flowering and ornamental plants in urban dwellings for food and aesthetic purposes. UA often combines with other functions like urban greening, biodiversity, waste recycling, environmental disaster reduction, CO2 absorption, urban heat island reduction, recreational benefits, contributing to the circular economy and UN sustainable development goals (SDGs). Plants in UA are grown in vacant open spaces, rooftops, balconies and containers, resulting in urban organic harvest by fostering income and health improvement. The concept of UA is being utilized efficiently in many countries. However, there is still a need to promote UA by arranging community gatherings and school students, creating awareness and capacity building through education and training. Growers need to be connected to land and open spaces, enhancing value addition in UA and formulating supportive policies to foster Agri-tourism in urban farms to making it a successful initiative. Recent innovative research ideas and new technological developments such as artificial intelligence (AI), internet of things (IoT), automation and mechanization in UA are opening new avenues for quality food production in urban areas for sustainable cities.","author":[{"dropping-particle":"","family":"Khan","given":"Muhammad Mumtaz","non-dropping-particle":"","parse-names":false,"suffix":""},{"dropping-particle":"","family":"Younis","given":"Adnan","non-dropping-particle":"","parse-names":false,"suffix":""},{"dropping-particle":"","family":"Akram","given":"Muhammad Tahir","non-dropping-particle":"","parse-names":false,"suffix":""},{"dropping-particle":"","family":"Ijaz","given":"M. Muzzamil","non-dropping-particle":"","parse-names":false,"suffix":""},{"dropping-particle":"","family":"Al-Sadi","given":"Abdullah M.","non-dropping-particle":"","parse-names":false,"suffix":""}],"container-title":"CAB Reviews: Perspectives in Agriculture, Veterinary Science, Nutrition and Natural Resources","id":"ITEM-1","issued":{"date-parts":[["2024"]]},"title":"Feeding the cities: Urban agriculture for food security and sustainability of urban areas","type":"article"},"uris":["http://www.mendeley.com/documents/?uuid=2f313f64-80e3-49b4-9956-ca01b1c032ce","http://www.mendeley.com/documents/?uuid=8d3efc37-fa4d-480b-9aff-017a9ef39fa4"]}],"mendeley":{"formattedCitation":"(M. M. Khan et al., 2024)","plainTextFormattedCitation":"(M. M. Khan et al., 2024)","previouslyFormattedCitation":"(M. M. Khan et al., 2024)"},"properties":{"noteIndex":0},"schema":"https://github.com/citation-style-language/schema/raw/master/csl-citation.json"}</w:instrText>
      </w:r>
      <w:r w:rsidR="00E15644" w:rsidRPr="00E15644">
        <w:fldChar w:fldCharType="separate"/>
      </w:r>
      <w:r w:rsidR="00E15644" w:rsidRPr="00E15644">
        <w:rPr>
          <w:noProof/>
        </w:rPr>
        <w:t>(M. M. Khan et al., 2024)</w:t>
      </w:r>
      <w:r w:rsidR="00E15644" w:rsidRPr="00E15644">
        <w:fldChar w:fldCharType="end"/>
      </w:r>
      <w:r w:rsidR="008063BC">
        <w:t>.</w:t>
      </w:r>
    </w:p>
    <w:p w14:paraId="1B4FF75B" w14:textId="77777777" w:rsidR="00E8517B" w:rsidRDefault="00E8517B" w:rsidP="00E8517B">
      <w:pPr>
        <w:jc w:val="both"/>
      </w:pPr>
    </w:p>
    <w:p w14:paraId="7A48E74E" w14:textId="6B94E6B2" w:rsidR="00E8517B" w:rsidRDefault="00E8517B" w:rsidP="00E8517B">
      <w:pPr>
        <w:jc w:val="both"/>
      </w:pPr>
      <w:r w:rsidRPr="00E63541">
        <w:lastRenderedPageBreak/>
        <w:t xml:space="preserve">It has been reported by </w:t>
      </w:r>
      <w:r w:rsidR="00BF1829">
        <w:fldChar w:fldCharType="begin" w:fldLock="1"/>
      </w:r>
      <w:r w:rsidR="00BF1829">
        <w:instrText>ADDIN CSL_CITATION {"citationItems":[{"id":"ITEM-1","itemData":{"DOI":"10.5304/jafscd.2010.012.010","abstract":"Multistakeholder processes are increasingly considered to be an important element of policy design, action planning, and implementation. By involving a broad base of stakeholders, municipal authorities are more likely to develop policies and programs that will meet the needs of both the municipality and its constituents, and are thus more inclusive and successful in their implementation. Because of its multisectoral character, with impacts on land use planning, health, food security, and economic development, among others, urban agriculture development calls for the involvement of multiple stakeholders, including individuals, and groups and organizations from both nongovernmental as well","author":[{"dropping-particle":"","family":"Dubbeling","given":"Marielle","non-dropping-particle":"","parse-names":false,"suffix":""},{"dropping-particle":"","family":"Merzthal","given":"Gunther","non-dropping-particle":"","parse-names":false,"suffix":""}],"container-title":"Journal of Agriculture, Food Systems, and Community Development","id":"ITEM-1","issued":{"date-parts":[["2010"]]},"title":"Multistakeholder policy formulation and action planning for urban agriculture in Lima, Peru","type":"article-journal"},"uris":["http://www.mendeley.com/documents/?uuid=119efc96-5622-4f86-a4f2-e390d45dbd25","http://www.mendeley.com/documents/?uuid=7c6df9f0-fc97-4ddd-a513-c426ff764e0a"]}],"mendeley":{"formattedCitation":"(Dubbeling &amp; Merzthal, 2010)","manualFormatting":"Dubbeling and Merzthal (2010)","plainTextFormattedCitation":"(Dubbeling &amp; Merzthal, 2010)","previouslyFormattedCitation":"(Dubbeling &amp; Merzthal, 2010)"},"properties":{"noteIndex":0},"schema":"https://github.com/citation-style-language/schema/raw/master/csl-citation.json"}</w:instrText>
      </w:r>
      <w:r w:rsidR="00BF1829">
        <w:fldChar w:fldCharType="separate"/>
      </w:r>
      <w:r w:rsidR="00BF1829" w:rsidRPr="00B10C6F">
        <w:rPr>
          <w:noProof/>
        </w:rPr>
        <w:t xml:space="preserve">Dubbeling </w:t>
      </w:r>
      <w:r w:rsidR="00BF1829">
        <w:rPr>
          <w:noProof/>
        </w:rPr>
        <w:t>and</w:t>
      </w:r>
      <w:r w:rsidR="00BF1829" w:rsidRPr="00B10C6F">
        <w:rPr>
          <w:noProof/>
        </w:rPr>
        <w:t xml:space="preserve"> Merzthal</w:t>
      </w:r>
      <w:r w:rsidR="00BF1829">
        <w:rPr>
          <w:noProof/>
        </w:rPr>
        <w:t xml:space="preserve"> (</w:t>
      </w:r>
      <w:r w:rsidR="00BF1829" w:rsidRPr="00B10C6F">
        <w:rPr>
          <w:noProof/>
        </w:rPr>
        <w:t>2010)</w:t>
      </w:r>
      <w:r w:rsidR="00BF1829">
        <w:fldChar w:fldCharType="end"/>
      </w:r>
      <w:r w:rsidR="0008648E">
        <w:t xml:space="preserve"> </w:t>
      </w:r>
      <w:r w:rsidRPr="00E63541">
        <w:t xml:space="preserve">and </w:t>
      </w:r>
      <w:r w:rsidR="00BF1829">
        <w:fldChar w:fldCharType="begin" w:fldLock="1"/>
      </w:r>
      <w:r w:rsidR="00BF1829">
        <w:instrText>ADDIN CSL_CITATION {"citationItems":[{"id":"ITEM-1","itemData":{"DOI":"10.1007/s13593-013-0143-z","ISSN":"17740746","abstract":"The year 2007 marked a critical event in the world history. For the first time, more than half of the world population now lives in cities. In many developing countries, the urbanization process goes along with increasing urban poverty and polluted environment, growing food insecurity and malnutrition, especially for children, pregnant and lactating women; and increasing unemployment. Urban agriculture represents an opportunity for improving food supply, health conditions, local economy, social integration, and environmental sustainability altogether. Urban agriculture is present throughout the world in a diversity of farming systems. Urban dwellers ranging 25-30 % are involved worldwide in the agro-food sector. Urban agriculture will gain in recognition for its benefits and services because urban population and rural-urban migration are increasing. The actual scarcity of knowledge on urban agriculture has somehow hindered the relevance of this activity. Here, we review the social, cultural, technical, economic, environmental, and political factors affecting urban agriculture with examples taken in East Asia, South America, or East Africa. We discuss the definition, benefits, and limitations of urban agriculture. Food security benefit of urban agriculture is evidenced by 100-200 million urban farmers worldwide providing the city markets with fresh horticultural goods. Urban agriculture favors social improvement since the poors spend up to 85 % of their income in food purchase and most urban farmers belong to poorest populations. Sociologically urban farming favors both social inclusion and reduction of gender inequalities, as 65 % of urban farmers are women. Urban agriculture has ecological benefits by reducing the city waste, improving urban biodiversity and air quality, and overall reducing the environmental impact related to both food transport and storage. The production of horticultural goods shows the main benefits of urban agriculture. Fruit and vegetable crops give high yields, up to 50 kg m-2 year-1, a more efficient use of agricultural inputs, high added value, and rapidly perishable products that can easily substitute the rural production in the local market. Urban horticulture is the most competitive branch of urban farming due to the high cost of urban land and with the need of high water- and fertilizer-use efficiency. Traditional urban horticulture systems are classified in four types: allotment and family gardens, simplified extensive sy…","author":[{"dropping-particle":"","family":"Orsini","given":"Francesco","non-dropping-particle":"","parse-names":false,"suffix":""},{"dropping-particle":"","family":"Kahane","given":"Remi","non-dropping-particle":"","parse-names":false,"suffix":""},{"dropping-particle":"","family":"Nono-Womdim","given":"Remi","non-dropping-particle":"","parse-names":false,"suffix":""},{"dropping-particle":"","family":"Gianquinto","given":"Giorgio","non-dropping-particle":"","parse-names":false,"suffix":""}],"container-title":"Agronomy for Sustainable Development","id":"ITEM-1","issued":{"date-parts":[["2013"]]},"title":"Urban agriculture in the developing world: A review","type":"article"},"uris":["http://www.mendeley.com/documents/?uuid=19559ca8-ff35-4620-97df-47b44aff5236","http://www.mendeley.com/documents/?uuid=8f8bedb8-02ea-4bfe-a888-70847e3d7bb5"]}],"mendeley":{"formattedCitation":"(Orsini et al., 2013)","manualFormatting":"Orsini et al. (2013)","plainTextFormattedCitation":"(Orsini et al., 2013)","previouslyFormattedCitation":"(Orsini et al., 2013)"},"properties":{"noteIndex":0},"schema":"https://github.com/citation-style-language/schema/raw/master/csl-citation.json"}</w:instrText>
      </w:r>
      <w:r w:rsidR="00BF1829">
        <w:fldChar w:fldCharType="separate"/>
      </w:r>
      <w:r w:rsidR="00BF1829" w:rsidRPr="00BF1829">
        <w:rPr>
          <w:noProof/>
        </w:rPr>
        <w:t xml:space="preserve">Orsini et al. </w:t>
      </w:r>
      <w:r w:rsidR="00BF1829">
        <w:rPr>
          <w:noProof/>
        </w:rPr>
        <w:t>(</w:t>
      </w:r>
      <w:r w:rsidR="00BF1829" w:rsidRPr="00BF1829">
        <w:rPr>
          <w:noProof/>
        </w:rPr>
        <w:t>2013)</w:t>
      </w:r>
      <w:r w:rsidR="00BF1829">
        <w:fldChar w:fldCharType="end"/>
      </w:r>
      <w:r w:rsidRPr="00E63541">
        <w:t xml:space="preserve"> that it is possible to achieve a yield of up to 50 kg per year on only 1 m</w:t>
      </w:r>
      <w:r w:rsidRPr="00633384">
        <w:rPr>
          <w:vertAlign w:val="superscript"/>
        </w:rPr>
        <w:t>2</w:t>
      </w:r>
      <w:r w:rsidRPr="00E63541">
        <w:t xml:space="preserve"> of land while growing fruit and vegetables. This is an exceptionally high yield when compared to other types of crops. People in the area have access to fresh veggies thanks to the farm, which also helps to make the </w:t>
      </w:r>
      <w:r w:rsidR="008C7D2B" w:rsidRPr="00E63541">
        <w:t>neighborhood</w:t>
      </w:r>
      <w:r w:rsidRPr="00E63541">
        <w:t xml:space="preserve"> greener and more engaged. </w:t>
      </w:r>
    </w:p>
    <w:p w14:paraId="1B144B32" w14:textId="77777777" w:rsidR="00BF1829" w:rsidRDefault="00BF1829" w:rsidP="00BF1829">
      <w:pPr>
        <w:jc w:val="both"/>
      </w:pPr>
    </w:p>
    <w:p w14:paraId="59DE9FCF" w14:textId="2D55B732" w:rsidR="00E8517B" w:rsidRDefault="00E8517B" w:rsidP="00BF1829">
      <w:pPr>
        <w:jc w:val="both"/>
      </w:pPr>
      <w:r w:rsidRPr="00E63541">
        <w:t xml:space="preserve">In addition to this, community gardening helps to build </w:t>
      </w:r>
      <w:r w:rsidR="008C7D2B" w:rsidRPr="00E63541">
        <w:t>neighborhoods</w:t>
      </w:r>
      <w:r w:rsidRPr="00E63541">
        <w:t xml:space="preserve"> and encourages individuals to engage in activities outside </w:t>
      </w:r>
      <w:r w:rsidR="00BF1829">
        <w:fldChar w:fldCharType="begin" w:fldLock="1"/>
      </w:r>
      <w:r w:rsidR="00BF1829">
        <w:instrText>ADDIN CSL_CITATION {"citationItems":[{"id":"ITEM-1","itemData":{"DOI":"10.1007/s13593-014-0273-y","ISSN":"17730155","abstract":"Global food production faces great challenges in the future. With a future world population of 9.6 billion by 2050, rising urbanization, decreasing arable land, and weather extremes due to climate change, global agriculture is under pressure. While today over 50 % of the world population live in cities, by 2030, the number will rise to 70 %. In addition, global emissions have to be kept in mind. Currently, agriculture accounts for around 20–30 % of global greenhouse gas emissions. Shifting food production to locations with high demands reduces emissions and mitigates climate change. Urban horticulture increases global food production by exploiting new locations for cultivation. However, higher land prices and urban pollution constrain urban horticulture. In this paper, we review different urban cultivation systems throughout the world. Our main findings from ecological, economical, and social aspects are: (1) Urban horticulture activities are increasing globally with at least 100 million people involved worldwide. With potential yields of up to 50 kg per m&lt;sup&gt;2&lt;/sup&gt; per year and more, vegetable production is the most significant component of urban food production which contributes to global food security. (2) Organoponic and other low-input systems will continue to play an important role for a sustainable and secure food production in the future. (3) Despite the resource efficiency of indoor farming systems, they are still very expensive. (4) Integrating urban horticulture into educational and social programs improves nutrition and food security. Overlaying these, new technologies in horticultural research need to be adopted for urban horticulture to increase future efficiency and productivity. To enhance sustainability, urban horticulture has to be integrated into the urban planning process and supported through policies. However, future food production should not be “local at any price,” but rather committed to increase sustainability.","author":[{"dropping-particle":"","family":"Eigenbrod","given":"Christine","non-dropping-particle":"","parse-names":false,"suffix":""},{"dropping-particle":"","family":"Gruda","given":"Nazim","non-dropping-particle":"","parse-names":false,"suffix":""}],"container-title":"Agronomy for Sustainable Development","id":"ITEM-1","issue":"2","issued":{"date-parts":[["2015"]]},"page":"483-498","title":"Urban vegetable for food security in cities. A review","type":"article","volume":"35"},"uris":["http://www.mendeley.com/documents/?uuid=09f3f990-1e50-4750-a044-78e8bd60c5eb"]}],"mendeley":{"formattedCitation":"(Eigenbrod &amp; Gruda, 2015)","plainTextFormattedCitation":"(Eigenbrod &amp; Gruda, 2015)","previouslyFormattedCitation":"(Eigenbrod &amp; Gruda, 2015)"},"properties":{"noteIndex":0},"schema":"https://github.com/citation-style-language/schema/raw/master/csl-citation.json"}</w:instrText>
      </w:r>
      <w:r w:rsidR="00BF1829">
        <w:fldChar w:fldCharType="separate"/>
      </w:r>
      <w:r w:rsidR="00BF1829" w:rsidRPr="00BF1829">
        <w:rPr>
          <w:noProof/>
        </w:rPr>
        <w:t>(Eigenbrod &amp; Gruda, 2015)</w:t>
      </w:r>
      <w:r w:rsidR="00BF1829">
        <w:fldChar w:fldCharType="end"/>
      </w:r>
      <w:r>
        <w:t>.</w:t>
      </w:r>
      <w:r w:rsidRPr="00E63541">
        <w:t xml:space="preserve"> A review </w:t>
      </w:r>
      <w:r w:rsidR="006E6FC9">
        <w:t>of 485 studies shows that t</w:t>
      </w:r>
      <w:r w:rsidRPr="00E63541">
        <w:t>he amount of land that is currently being used for global cereal production in developing countries is approximately ten times the amount of land that is being used by cities across the world, whereas the amount of land that is being used for global vegetable production is roughly equivalent to that which is occupied by cities. This leads to the assumption that vegetables are ideal for urban growing, both for high-tech equipment and for the self-supply of poor urban people, and that urban horticulture has the ability to achieve a certain degree of self-sufficiency</w:t>
      </w:r>
      <w:r>
        <w:t xml:space="preserve"> </w:t>
      </w:r>
      <w:r w:rsidR="00915017">
        <w:fldChar w:fldCharType="begin" w:fldLock="1"/>
      </w:r>
      <w:r w:rsidR="00BF1829">
        <w:instrText>ADDIN CSL_CITATION {"citationItems":[{"id":"ITEM-1","itemData":{"DOI":"10.52162/3.2021117","abstract":"The Covid-19 pandemic is a global health crisis that has hit more than 100 countries including Taiwan. The agricultural sector is one of the sectors that has experienced the impact of the Covid-19 pandemic. One of the strategies and efforts that can solve it is food self-sufficiency through increasing production, diversifying local food, and developing sustainable agriculture. While in the process to achieve food self-sufficiency, there are also many challenges like intensive farming. Therefore, an effort is needed to improve the environment, the quality, and the safety of agriculture products through ecological balance. Permaculture is the system that uses natural principles between humans to live more productive with their environment. Through this concept, practitioners can be more productive with their environment. The study aims to analyze the implementation of permaculture design for food self-sufficiency on farm in eastern Taiwan. This study was used qualitative methods through interviews, participant observation, field notes, documentation to collect data. The result that practitioners integrate several designs based on principles and ethics of permaculture, including providing their food, fruit, vegetables, and livestock products. Practitioners also integrate elements into a multi-functional design, creative ideas to solve the problem that they face and make these efforts a challenge for them, such as bird kites and eagle poles for rice paddy pest problems. Thus, the concept of permaculture has been proven to increase productivity, harmony, and sustainability with the environment through the use of natural principles and human life.","author":[{"dropping-particle":"","family":"Sukmarani","given":"Elok","non-dropping-particle":"","parse-names":false,"suffix":""},{"dropping-particle":"","family":"Tsai","given":"Jiehn-Fu","non-dropping-particle":"","parse-names":false,"suffix":""}],"container-title":"Indonesian Scholars Scientific Summit Taiwan Proceeding","id":"ITEM-1","issued":{"date-parts":[["2021"]]},"title":"Implementation of Permaculture Design to Achieve Food Self-Sufficiency in Mood Forest Farm, Hualien County, Eastern Taiwan","type":"article-journal"},"uris":["http://www.mendeley.com/documents/?uuid=0ec1312c-aed5-412f-889c-f002364bae23","http://www.mendeley.com/documents/?uuid=dad97242-db41-4943-a06f-0d26c32738d4"]}],"mendeley":{"formattedCitation":"(Sukmarani &amp; Tsai, 2021)","plainTextFormattedCitation":"(Sukmarani &amp; Tsai, 2021)","previouslyFormattedCitation":"(Sukmarani &amp; Tsai, 2021)"},"properties":{"noteIndex":0},"schema":"https://github.com/citation-style-language/schema/raw/master/csl-citation.json"}</w:instrText>
      </w:r>
      <w:r w:rsidR="00915017">
        <w:fldChar w:fldCharType="separate"/>
      </w:r>
      <w:r w:rsidR="00915017" w:rsidRPr="00915017">
        <w:rPr>
          <w:noProof/>
        </w:rPr>
        <w:t>(Sukmarani &amp; Tsai, 2021)</w:t>
      </w:r>
      <w:r w:rsidR="00915017">
        <w:fldChar w:fldCharType="end"/>
      </w:r>
      <w:r w:rsidRPr="00E63541">
        <w:t xml:space="preserve">. </w:t>
      </w:r>
    </w:p>
    <w:p w14:paraId="67C5F0DA" w14:textId="480951A8" w:rsidR="00E8517B" w:rsidRPr="00E15644" w:rsidRDefault="00E8517B" w:rsidP="00E8517B">
      <w:pPr>
        <w:pStyle w:val="Heading2"/>
        <w:rPr>
          <w:rStyle w:val="Heading2Char"/>
          <w:rFonts w:ascii="Times New Roman" w:eastAsia="Arial" w:hAnsi="Times New Roman"/>
          <w:b/>
          <w:bCs/>
          <w:color w:val="000000" w:themeColor="text1"/>
          <w:sz w:val="24"/>
          <w:szCs w:val="24"/>
        </w:rPr>
      </w:pPr>
      <w:bookmarkStart w:id="3" w:name="_Toc142870827"/>
      <w:r w:rsidRPr="00E15644">
        <w:rPr>
          <w:rStyle w:val="Heading2Char"/>
          <w:rFonts w:ascii="Times New Roman" w:eastAsia="Arial" w:hAnsi="Times New Roman"/>
          <w:b/>
          <w:bCs/>
          <w:color w:val="000000" w:themeColor="text1"/>
          <w:sz w:val="24"/>
          <w:szCs w:val="24"/>
        </w:rPr>
        <w:t>Cost</w:t>
      </w:r>
      <w:bookmarkEnd w:id="3"/>
    </w:p>
    <w:p w14:paraId="6F8C87B2" w14:textId="5DF7AA75" w:rsidR="00BF1829" w:rsidRDefault="00E8517B" w:rsidP="00BF1829">
      <w:pPr>
        <w:jc w:val="both"/>
      </w:pPr>
      <w:r>
        <w:t>The use of more empowered agricultural influence in urban and semi-urban</w:t>
      </w:r>
      <w:r w:rsidR="008063BC">
        <w:t xml:space="preserve"> </w:t>
      </w:r>
      <w:r>
        <w:t xml:space="preserve">developing areas became </w:t>
      </w:r>
      <w:r w:rsidR="006E6FC9">
        <w:t xml:space="preserve">a </w:t>
      </w:r>
      <w:r>
        <w:t xml:space="preserve">leverage to increase </w:t>
      </w:r>
      <w:r w:rsidR="00BF1829">
        <w:t>the local</w:t>
      </w:r>
      <w:r>
        <w:t xml:space="preserve"> economy, which in turn boosted the economy of the nation.</w:t>
      </w:r>
      <w:r w:rsidR="00BF1829">
        <w:t xml:space="preserve"> </w:t>
      </w:r>
      <w:r>
        <w:t xml:space="preserve">There is potential for widespread adoption of permaculture </w:t>
      </w:r>
      <w:r w:rsidR="00BF1829">
        <w:t>practices</w:t>
      </w:r>
      <w:r>
        <w:t xml:space="preserve"> in nations of varying income levels. The permaculture model achieves the ideal harmony between ecological, economic, and social considerations, which leads to even more environmentally responsible patterns of consumption on a global scale</w:t>
      </w:r>
      <w:r w:rsidR="0039166F">
        <w:t xml:space="preserve"> </w:t>
      </w:r>
      <w:r w:rsidR="0039166F">
        <w:fldChar w:fldCharType="begin" w:fldLock="1"/>
      </w:r>
      <w:r w:rsidR="0078464C">
        <w:instrText>ADDIN CSL_CITATION {"citationItems":[{"id":"ITEM-1","itemData":{"DOI":"10.1109/HNICEM54116.2021.9732051","ISBN":"9781665401678","abstract":"Permaculture is a land management and regenerative agriculture that is the integration of technological advancement and the natural agricultural ecosystems. It is usually manifested in green architecture and balcony gardens in an urban area. However, peri-urban geographical regions are those situated in between urban and rural areas that are experiencing the impacts of modernizing community and conventional farming. This study discusses the technological drivers making intelligent permaculture ecosystems and applications, the current issues and challenges in this emerging agricultural and horticultural scheme, and a set of future directives in intelligent permaculture ecosystems in a tropical and maritime climatic setting. Based on the systematic analysis, this study had established a guideline that compliance to UN sustainable development goals, controlled environment engineering, and planting of fruit-bearing trees and vegetables in sidewalks can solve the issues of public knowledge, ecological stability and environmental sustainability, profitability issue, and technological constraints concerning intelligent permaculture systems.","author":[{"dropping-particle":"","family":"Concepcion","given":"Ronnie","non-dropping-particle":"","parse-names":false,"suffix":""},{"dropping-particle":"","family":"Esguerra","given":"Bennyvic Joyce","non-dropping-particle":"","parse-names":false,"suffix":""},{"dropping-particle":"","family":"Mendigoria","given":"Christan Hail","non-dropping-particle":"","parse-names":false,"suffix":""},{"dropping-particle":"","family":"Aquino","given":"Heinrick","non-dropping-particle":"","parse-names":false,"suffix":""},{"dropping-particle":"","family":"Alajas","given":"Oliver John","non-dropping-particle":"","parse-names":false,"suffix":""},{"dropping-particle":"","family":"Francisco","given":"Kate","non-dropping-particle":"","parse-names":false,"suffix":""},{"dropping-particle":"","family":"Montanez","given":"John Joshua","non-dropping-particle":"","parse-names":false,"suffix":""},{"dropping-particle":"","family":"Bandala","given":"Argel","non-dropping-particle":"","parse-names":false,"suffix":""},{"dropping-particle":"","family":"Dadios","given":"Elmer","non-dropping-particle":"","parse-names":false,"suffix":""}],"container-title":"2021 IEEE 13th International Conference on Humanoid, Nanotechnology, Information Technology, Communication and Control, Environment, and Management, HNICEM 2021","id":"ITEM-1","issued":{"date-parts":[["2021"]]},"title":"Intelligent permaculture: A Sustainable and profitable practice for tropical and maritime climate urban and peri-urban agricultural ecosystems","type":"paper-conference"},"uris":["http://www.mendeley.com/documents/?uuid=f3f3a26e-250f-4de0-b903-8f1af7686567"]}],"mendeley":{"formattedCitation":"(Concepcion et al., 2021)","plainTextFormattedCitation":"(Concepcion et al., 2021)","previouslyFormattedCitation":"(Concepcion et al., 2021)"},"properties":{"noteIndex":0},"schema":"https://github.com/citation-style-language/schema/raw/master/csl-citation.json"}</w:instrText>
      </w:r>
      <w:r w:rsidR="0039166F">
        <w:fldChar w:fldCharType="separate"/>
      </w:r>
      <w:r w:rsidR="0039166F" w:rsidRPr="0039166F">
        <w:rPr>
          <w:noProof/>
        </w:rPr>
        <w:t>(Concepcion et al., 2021)</w:t>
      </w:r>
      <w:r w:rsidR="0039166F">
        <w:fldChar w:fldCharType="end"/>
      </w:r>
      <w:r w:rsidR="00BF1829">
        <w:t>.</w:t>
      </w:r>
    </w:p>
    <w:p w14:paraId="7F412186" w14:textId="070B293D" w:rsidR="00E8517B" w:rsidRDefault="00E8517B" w:rsidP="00BF1829">
      <w:pPr>
        <w:jc w:val="both"/>
      </w:pPr>
    </w:p>
    <w:p w14:paraId="1BACC33C" w14:textId="01532CD0" w:rsidR="00244065" w:rsidRDefault="00244065" w:rsidP="00BF1829">
      <w:pPr>
        <w:jc w:val="both"/>
      </w:pPr>
      <w:r w:rsidRPr="00244065">
        <w:t xml:space="preserve">It is recommended that permaculture practices be integrated with commercial agriculture approaches </w:t>
      </w:r>
      <w:proofErr w:type="gramStart"/>
      <w:r w:rsidRPr="00244065">
        <w:t>in order to</w:t>
      </w:r>
      <w:proofErr w:type="gramEnd"/>
      <w:r w:rsidRPr="00244065">
        <w:t xml:space="preserve"> create more sustainable and resilient farming systems. Research </w:t>
      </w:r>
      <w:r>
        <w:t xml:space="preserve">by </w:t>
      </w:r>
      <w:r>
        <w:fldChar w:fldCharType="begin" w:fldLock="1"/>
      </w:r>
      <w:r w:rsidR="00BD54FB">
        <w:instrText>ADDIN CSL_CITATION {"citationItems":[{"id":"ITEM-1","itemData":{"DOI":"10.9734/jsrr/2024/v30i31871","abstract":"Potential of integrating traditional agricultural techniques with modern farming practices in India, aiming to forge a path towards sustainable agriculture. Recognizing the multifaceted challenges faced by the agricultural sector, including environmental degradation, climate change, and socio-economic disparities, the paper explores the synergistic potential of blending age-old wisdom with contemporary agricultural advancements. The analysis begins with a historical overview of traditional Indian agricultural practices, such as crop rotation, terracing, polyculture, and the use of organic manures, underscoring their inherent sustainability and ecological harmony. Modern farming techniques, including mechanization, the use of chemical fertilizers and pesticides, genetically modified organisms (GMOs), and precision agriculture, are examined for their advancements and limitations, particularly concerning environmental and economic impacts. The core of the review focuses on the integration of these two paradigms, emphasizing the rationale behind such a merger, which includes enhancing sustainability, increasing biodiversity, and improving soil health. A series of case studies from various Indian states illustrate successful examples of this integration, including agroforestry, organic farming, and permaculture practices. The paper also addresses the challenges and barriers to integration, highlighting sociocultural factors, economic constraints, policy and regulatory issues, and hurdles in knowledge and technology transfer. Looking forward, it outlines the future directions and research needs in this domain, emphasizing the critical role of policy and government support, the necessity for targeted education and awareness programs for farmers and consumers, and identifying research gaps. The paper concludes by affirming the viability and necessity of integrating traditional and modern farming practices in India, advocating for a model of agriculture that is sustainable, resilient, and inclusive, catering to the needs of the present while safeguarding resources for future generations.","author":[{"dropping-particle":"","family":"Sekhar","given":"M.","non-dropping-particle":"","parse-names":false,"suffix":""},{"dropping-particle":"","family":"Rastogi","given":"Mausmi","non-dropping-particle":"","parse-names":false,"suffix":""},{"dropping-particle":"","family":"Rajesh C M","given":"","non-dropping-particle":"","parse-names":false,"suffix":""},{"dropping-particle":"","family":"Saikanth","given":"D R K","non-dropping-particle":"","parse-names":false,"suffix":""},{"dropping-particle":"","family":"Rout","given":"Sandeep","non-dropping-particle":"","parse-names":false,"suffix":""},{"dropping-particle":"","family":"Kumar","given":"Saurabh","non-dropping-particle":"","parse-names":false,"suffix":""},{"dropping-particle":"","family":"Patel","given":"Amit Kumar","non-dropping-particle":"","parse-names":false,"suffix":""}],"container-title":"Journal of Scientific Research and Reports","id":"ITEM-1","issued":{"date-parts":[["2024"]]},"title":"Exploring traditional agricultural techniques integrated with modern farming for a sustainable future : A review","type":"article-journal"},"uris":["http://www.mendeley.com/documents/?uuid=cd69f2b4-d195-497e-91c5-e03c0bf2281a"]}],"mendeley":{"formattedCitation":"(Sekhar et al., 2024)","manualFormatting":"Sekhar et al. (2024)","plainTextFormattedCitation":"(Sekhar et al., 2024)","previouslyFormattedCitation":"(Sekhar et al., 2024)"},"properties":{"noteIndex":0},"schema":"https://github.com/citation-style-language/schema/raw/master/csl-citation.json"}</w:instrText>
      </w:r>
      <w:r>
        <w:fldChar w:fldCharType="separate"/>
      </w:r>
      <w:r w:rsidRPr="00244065">
        <w:rPr>
          <w:noProof/>
        </w:rPr>
        <w:t>Sekhar et al.</w:t>
      </w:r>
      <w:r>
        <w:rPr>
          <w:noProof/>
        </w:rPr>
        <w:t xml:space="preserve"> (</w:t>
      </w:r>
      <w:r w:rsidRPr="00244065">
        <w:rPr>
          <w:noProof/>
        </w:rPr>
        <w:t>2024)</w:t>
      </w:r>
      <w:r>
        <w:fldChar w:fldCharType="end"/>
      </w:r>
      <w:r>
        <w:t xml:space="preserve"> </w:t>
      </w:r>
      <w:r w:rsidRPr="00244065">
        <w:t xml:space="preserve">has </w:t>
      </w:r>
      <w:r w:rsidR="006E6FC9">
        <w:t>demonstrated</w:t>
      </w:r>
      <w:r w:rsidR="006E6FC9" w:rsidRPr="00244065">
        <w:t xml:space="preserve"> </w:t>
      </w:r>
      <w:r w:rsidRPr="00244065">
        <w:t xml:space="preserve">that combining traditional ecological practices with modern agricultural methods can improve environmental, economic, and social outcomes while enhancing biodiversity, soil health, and long-term farm resilience. The successful implementation of this approach also depends heavily on government support, public awareness, education, and participatory training programs that help farmers and communities better understand the value of permaculture and sustainable agriculture </w:t>
      </w:r>
      <w:r w:rsidR="00BD54FB">
        <w:fldChar w:fldCharType="begin" w:fldLock="1"/>
      </w:r>
      <w:r w:rsidR="00BD54FB">
        <w:instrText>ADDIN CSL_CITATION {"citationItems":[{"id":"ITEM-1","itemData":{"DOI":"10.1186/s40068-025-00395-6","ISSN":"21932697","abstract":"Agroecological practices are essential for sustainable agriculture, enhancing biodiversity, and soil health, and reducing chemical inputs while increasing climate resilience. This comprehensive bibliometric study (1981–2024) examines 376 publications, using co-word map analysis and network visualization to uncover clusters of research topics such as adoption, application, and sustainable agriculture. It highlights the interconnectedness of agroecology-related concepts and tracks the evolution of research interests, providing valuable insights for policymakers to inform strategic decisions. The analysis suggests that supportive policies for agroecology, driven by social movements, farmers’ organizations, and academics, could include financial incentives, subsidies, and grants, as well as education and training programs. Investments in research and development, improved market access, and sustainable land management are also crucial. Implementing collaborative governance, capacity building, robust monitoring and evaluation systems, public awareness campaigns, and integrating agroecological principles into broader policies can create a conducive environment for resilient and sustainable farming systems.","author":[{"dropping-particle":"","family":"Chimi","given":"Pierre Marie","non-dropping-particle":"","parse-names":false,"suffix":""},{"dropping-particle":"","family":"Fobane","given":"Jean Louis","non-dropping-particle":"","parse-names":false,"suffix":""},{"dropping-particle":"","family":"Onguene","given":"Ecclésiaste Marien Ambombo","non-dropping-particle":"","parse-names":false,"suffix":""},{"dropping-particle":"","family":"Nkoué","given":"Baruch Batamack","non-dropping-particle":"","parse-names":false,"suffix":""},{"dropping-particle":"","family":"Kamdem","given":"Michele Elodie Kouoguem","non-dropping-particle":"","parse-names":false,"suffix":""},{"dropping-particle":"","family":"Pokam","given":"Eusebe Ydelphonse Nyonce","non-dropping-particle":"","parse-names":false,"suffix":""},{"dropping-particle":"","family":"Djoumbi","given":"Bienvenu Léonnel Tchonang","non-dropping-particle":"","parse-names":false,"suffix":""},{"dropping-particle":"","family":"Yonga","given":"Guillaine","non-dropping-particle":"","parse-names":false,"suffix":""},{"dropping-particle":"","family":"Dikoume","given":"Angele Marie Ngon","non-dropping-particle":"","parse-names":false,"suffix":""},{"dropping-particle":"","family":"Abdel","given":"Karimou Ngamsou","non-dropping-particle":"","parse-names":false,"suffix":""},{"dropping-particle":"","family":"Mala","given":"Armand William","non-dropping-particle":"","parse-names":false,"suffix":""}],"container-title":"Environmental Systems Research","id":"ITEM-1","issued":{"date-parts":[["2025"]]},"title":"A bibliometric analysis of agroecological practices: trends, impacts, and future directions","type":"article"},"uris":["http://www.mendeley.com/documents/?uuid=965e8d16-319f-42fe-af85-0a5963e681dc","http://www.mendeley.com/documents/?uuid=ec098eaf-443b-4abf-bbfd-82c312281180"]}],"mendeley":{"formattedCitation":"(Chimi et al., 2025)","manualFormatting":"(Chimi et al., 2025","plainTextFormattedCitation":"(Chimi et al., 2025)","previouslyFormattedCitation":"(Chimi et al., 2025)"},"properties":{"noteIndex":0},"schema":"https://github.com/citation-style-language/schema/raw/master/csl-citation.json"}</w:instrText>
      </w:r>
      <w:r w:rsidR="00BD54FB">
        <w:fldChar w:fldCharType="separate"/>
      </w:r>
      <w:r w:rsidR="00BD54FB" w:rsidRPr="00BD54FB">
        <w:rPr>
          <w:noProof/>
        </w:rPr>
        <w:t>(Chimi et al., 2025</w:t>
      </w:r>
      <w:r w:rsidR="00BD54FB">
        <w:fldChar w:fldCharType="end"/>
      </w:r>
      <w:r w:rsidR="00BD54FB">
        <w:t xml:space="preserve">; </w:t>
      </w:r>
      <w:r w:rsidR="00BD54FB">
        <w:fldChar w:fldCharType="begin" w:fldLock="1"/>
      </w:r>
      <w:r w:rsidR="00906C8D">
        <w:instrText>ADDIN CSL_CITATION {"citationItems":[{"id":"ITEM-1","itemData":{"DOI":"10.9734/jeai/2025/v47i23281","abstract":"Participatory approaches in agricultural extension have revolutionized knowledge dissemination by fostering collaborative learning, farmer empowerment, and the co-creation of context-specific innovations. Unlike traditional top-down extension models, participatory methodologies emphasize mutual learning, where farmers, researchers, and extension agents engage in dynamic exchanges to develop adaptive and sustainable agricultural practices. These approaches have proven effective in promoting climate-smart agriculture, integrated pest management, soil and water conservation, and agroecological transitions, ensuring resilience in the face of environmental and socio-economic challenges. The implementation of participatory extension faces significant barriers, including institutional rigidity, policy constraints, resource limitations, socio-cultural biases, and gaps in extension agent training. Addressing these challenges requires strategic interventions such as policy reforms to institutionalize participatory models, strengthening public-private partnerships to leverage financial and technical expertise, and investing in digital technologies to enhance accessibility and knowledge-sharing. The integration of artificial intelligence, big data analytics, and mobile-based advisory services has further expanded the potential of participatory extension, enabling real-time decision-making and personalized agricultural advisories. Future must prioritize farmer-led innovation networks, climate-resilient extension models, and participatory market linkages to ensure holistic agricultural development. Fostering multi-stakeholder collaboration among governments, research institutions, NGOs, and farmer organizations is critical to scaling up participatory extension services. Expanding the role of community-driven agroforestry, sustainable land management, and localized climate adaptation strategies will further enhance the impact of participatory agricultural extension. Ultimately, participatory approaches offer a sustainable and inclusive pathway for agricultural transformation, ensuring that extension services are responsive to farmer needs, environmentally sound, and economically viable. By integrating participatory methodologies with emerging agricultural technologies and policy support, the future of agricultural extension can effectively empower smallholder farmers, improve food security, and promote long-term sustainability in global agriculture systems.","author":[{"dropping-particle":"","family":"Prajapati","given":"Chandra Shekhar","non-dropping-particle":"","parse-names":false,"suffix":""},{"dropping-particle":"","family":"Priya","given":"N Krishna","non-dropping-particle":"","parse-names":false,"suffix":""},{"dropping-particle":"","family":"Bishnoi","given":"Shobhana","non-dropping-particle":"","parse-names":false,"suffix":""},{"dropping-particle":"","family":"Vishwakarma","given":"Santosh Kumar","non-dropping-particle":"","parse-names":false,"suffix":""},{"dropping-particle":"","family":"Buvaneswari","given":"K.","non-dropping-particle":"","parse-names":false,"suffix":""},{"dropping-particle":"","family":"Shastri","given":"Sakshi","non-dropping-particle":"","parse-names":false,"suffix":""},{"dropping-particle":"","family":"Tripathi","given":"Somdutt","non-dropping-particle":"","parse-names":false,"suffix":""},{"dropping-particle":"","family":"Jadhav","given":"Abhishek","non-dropping-particle":"","parse-names":false,"suffix":""}],"container-title":"Journal of Experimental Agriculture International","id":"ITEM-1","issued":{"date-parts":[["2025"]]},"title":"The role of participatory approaches in modern agricultural extension: Bridging knowledge gaps for sustainable farming practices","type":"article-journal"},"uris":["http://www.mendeley.com/documents/?uuid=efd73ae8-f300-48be-816a-b021d51daa54"]}],"mendeley":{"formattedCitation":"(Prajapati et al., 2025)","manualFormatting":"Prajapati et al., 2025)","plainTextFormattedCitation":"(Prajapati et al., 2025)","previouslyFormattedCitation":"(Prajapati et al., 2025)"},"properties":{"noteIndex":0},"schema":"https://github.com/citation-style-language/schema/raw/master/csl-citation.json"}</w:instrText>
      </w:r>
      <w:r w:rsidR="00BD54FB">
        <w:fldChar w:fldCharType="separate"/>
      </w:r>
      <w:r w:rsidR="00BD54FB" w:rsidRPr="00BD54FB">
        <w:rPr>
          <w:noProof/>
        </w:rPr>
        <w:t>Prajapati et al., 2025)</w:t>
      </w:r>
      <w:r w:rsidR="00BD54FB">
        <w:fldChar w:fldCharType="end"/>
      </w:r>
      <w:r w:rsidR="00BD54FB">
        <w:t>.</w:t>
      </w:r>
    </w:p>
    <w:p w14:paraId="579EF639" w14:textId="77777777" w:rsidR="0039166F" w:rsidRPr="00FF096E" w:rsidRDefault="0039166F" w:rsidP="00BF1829">
      <w:pPr>
        <w:jc w:val="both"/>
      </w:pPr>
    </w:p>
    <w:p w14:paraId="45B17296" w14:textId="6EEAE706" w:rsidR="00A53AC0" w:rsidRDefault="00906C8D" w:rsidP="00906C8D">
      <w:pPr>
        <w:pStyle w:val="NoSpacing"/>
        <w:rPr>
          <w:sz w:val="22"/>
          <w:lang w:val="en-MY"/>
        </w:rPr>
      </w:pPr>
      <w:r w:rsidRPr="00A53AC0">
        <w:rPr>
          <w:sz w:val="22"/>
          <w:lang w:val="en-MY"/>
        </w:rPr>
        <w:t xml:space="preserve">Reduced energy consumption and increased recycling of materials are widely recognized as two major contributions of permaculture to sustainable agriculture. Permaculture systems are designed to minimize external inputs, recycle waste, conserve energy, and utilize renewable resources efficiently, thereby supporting ecological sustainability and resilience </w:t>
      </w:r>
      <w:r w:rsidRPr="00A53AC0">
        <w:rPr>
          <w:sz w:val="22"/>
        </w:rPr>
        <w:fldChar w:fldCharType="begin" w:fldLock="1"/>
      </w:r>
      <w:r w:rsidRPr="00A53AC0">
        <w:rPr>
          <w:sz w:val="22"/>
        </w:rPr>
        <w:instrText>ADDIN CSL_CITATION {"citationItems":[{"id":"ITEM-1","itemData":{"DOI":"10.55041/ijsrem27511","abstract":"Permaculture, a combination of permanent and agricultural concepts, is a unique approach to sustainable agriculture, livestock, gardening, and life. Permaculture considers the movement of the natural system important. This knowledge can be applied to designing ecosystems that meet human needs without deteriorating natural habitats. Plants, landscapes, animals, humans and structures are integrated into cooperative systems where one element's benefits benefit others. Permaculture can be easily maintained with minimal labour, energy and materials once implemented. Recycle waste reduces pollution. It uses useful and highly profitable species that meet human needs. Permaculture is stable and resistant, and because the system is designed to be varied, even if an element fails, the system is still viable. Key Words: sustainability, energy consumption, ecology, patterns, habitats, renewable resources, diversity, natural systems","author":[{"dropping-particle":"","family":"BG","given":"Vinutha","non-dropping-particle":"","parse-names":false,"suffix":""}],"container-title":"International Journal for Scientific Research in Engineering and Management","id":"ITEM-1","issued":{"date-parts":[["2023"]]},"title":"Permaculture - A sustainable farming approach","type":"article-journal"},"uris":["http://www.mendeley.com/documents/?uuid=8851b332-78f3-4f00-b0e2-2150f01de18b"]}],"mendeley":{"formattedCitation":"(BG, 2023)","manualFormatting":"(BG, 2023","plainTextFormattedCitation":"(BG, 2023)","previouslyFormattedCitation":"(BG, 2023)"},"properties":{"noteIndex":0},"schema":"https://github.com/citation-style-language/schema/raw/master/csl-citation.json"}</w:instrText>
      </w:r>
      <w:r w:rsidRPr="00A53AC0">
        <w:rPr>
          <w:sz w:val="22"/>
        </w:rPr>
        <w:fldChar w:fldCharType="separate"/>
      </w:r>
      <w:r w:rsidRPr="00A53AC0">
        <w:rPr>
          <w:noProof/>
          <w:sz w:val="22"/>
        </w:rPr>
        <w:t>(BG, 2023</w:t>
      </w:r>
      <w:r w:rsidRPr="00A53AC0">
        <w:rPr>
          <w:sz w:val="22"/>
        </w:rPr>
        <w:fldChar w:fldCharType="end"/>
      </w:r>
      <w:r w:rsidRPr="00A53AC0">
        <w:rPr>
          <w:sz w:val="22"/>
          <w:lang w:val="en-MY"/>
        </w:rPr>
        <w:t xml:space="preserve">; </w:t>
      </w:r>
      <w:r w:rsidRPr="00A53AC0">
        <w:rPr>
          <w:sz w:val="22"/>
          <w:lang w:val="en-MY"/>
        </w:rPr>
        <w:fldChar w:fldCharType="begin" w:fldLock="1"/>
      </w:r>
      <w:r w:rsidRPr="00A53AC0">
        <w:rPr>
          <w:sz w:val="22"/>
          <w:lang w:val="en-MY"/>
        </w:rPr>
        <w:instrText>ADDIN CSL_CITATION {"citationItems":[{"id":"ITEM-1","itemData":{"DOI":"10.1002/agj2.20814","ISSN":"14350645","abstract":"A growing world population and increases in food and energy consumption have placed production agriculture in a difficult situation. The rapid growth in food production through specialized operations such as monoculture cropping systems has aligned to satisfy increases in demand for food and fiber. However, its adverse impacts on natural resources pose huge challenges for the sustainability of food production. The situation is direr for developing countries or rural regions of the world due to the limited resources available to farming communities in these regions. To avoid production agriculture being at the proverbial crossroads we suggest an alternate approach. One that involves the sustainable use of natural resources without adverse environmental impacts by relying less on production inputs whether it be agrochemicals or machineries. We examined the extent to which regenerative agriculture, permaculture, and smart technology have evolved in response to sustainable agricultural production, agricultural decision support system, and overall global food security. Collectively, regenerative agriculture and permaculture are semi-closed holistic systems approach designed to reduce or eliminate dependence on external inputs (e.g., chemicals) which restores and maintains natural systems (e.g., soil quality, biodiversity, and ecosystem services). We suggest that fully embracing modern regenerative agriculture as well as integrated permaculture will improve soil health, ecosystem biodiversity, land and resource conservation, agricultural sustainability, and food security. Identifying and implementing practices towards regenerative agriculture, integrated permaculture, digital agriculture, and sustainable agricultural management utilizing modern agricultural technologies infused with data science (artificial intelligence [AI] or machine learning [ML]) is critical.","author":[{"dropping-particle":"","family":"McLennon","given":"Everald","non-dropping-particle":"","parse-names":false,"suffix":""},{"dropping-particle":"","family":"Dari","given":"Biswanath","non-dropping-particle":"","parse-names":false,"suffix":""},{"dropping-particle":"","family":"Jha","given":"Gaurav","non-dropping-particle":"","parse-names":false,"suffix":""},{"dropping-particle":"","family":"Sihi","given":"Debjani","non-dropping-particle":"","parse-names":false,"suffix":""},{"dropping-particle":"","family":"Kankarla","given":"Vanaja","non-dropping-particle":"","parse-names":false,"suffix":""}],"container-title":"Agronomy Journal","id":"ITEM-1","issued":{"date-parts":[["2021"]]},"title":"Regenerative agriculture and integrative permaculture for sustainable and technology driven global food production and security","type":"article-journal"},"uris":["http://www.mendeley.com/documents/?uuid=21a083db-4e1d-4f69-b114-d30da2319ebe"]}],"mendeley":{"formattedCitation":"(McLennon et al., 2021)","plainTextFormattedCitation":"(McLennon et al., 2021)","previouslyFormattedCitation":"(McLennon et al., 2021)"},"properties":{"noteIndex":0},"schema":"https://github.com/citation-style-language/schema/raw/master/csl-citation.json"}</w:instrText>
      </w:r>
      <w:r w:rsidRPr="00A53AC0">
        <w:rPr>
          <w:sz w:val="22"/>
          <w:lang w:val="en-MY"/>
        </w:rPr>
        <w:fldChar w:fldCharType="separate"/>
      </w:r>
      <w:r w:rsidRPr="00A53AC0">
        <w:rPr>
          <w:noProof/>
          <w:sz w:val="22"/>
          <w:lang w:val="en-MY"/>
        </w:rPr>
        <w:t>McLennon et al., 2021)</w:t>
      </w:r>
      <w:r w:rsidRPr="00A53AC0">
        <w:rPr>
          <w:sz w:val="22"/>
          <w:lang w:val="en-MY"/>
        </w:rPr>
        <w:fldChar w:fldCharType="end"/>
      </w:r>
      <w:r w:rsidRPr="00A53AC0">
        <w:rPr>
          <w:sz w:val="22"/>
          <w:lang w:val="en-MY"/>
        </w:rPr>
        <w:t xml:space="preserve">. Because permaculture reduces dependence on synthetic fertilizers and chemical pesticides, it is often considered a cost-effective farming system, particularly for small-scale and resource-limited farmers </w:t>
      </w:r>
      <w:r w:rsidRPr="00A53AC0">
        <w:rPr>
          <w:sz w:val="22"/>
        </w:rPr>
        <w:fldChar w:fldCharType="begin" w:fldLock="1"/>
      </w:r>
      <w:r w:rsidRPr="00A53AC0">
        <w:rPr>
          <w:sz w:val="22"/>
        </w:rPr>
        <w:instrText>ADDIN CSL_CITATION {"citationItems":[{"id":"ITEM-1","itemData":{"DOI":"10.3390/su11082219","ISSN":"20711050","abstract":"Feeding a growing global population using conventional agricultural practices is leading to adverse environmental impacts. There is a call for alternative forms of agriculture that address social, economic, and environmental aspects of sustainability. Permaculture is a holistic design framework that incorporates sustainable agricultural practices, potentially improving livelihoods. This study looked at the challenges and benefits of permaculture in improving rural livelihoods in Zimbabwe and South Africa. We used semi-structured interviews to collect data. Permaculture contributed over 40% to total income for participants in both countries. However, permaculture was not the dominant source of income and periodically straddled multiple livelihood strategies. The main benefits of permaculture were identified as improved human health, increased resilience to environmental changes, and reduction of input costs. The key challenges included high labour input, infestation of pests and diseases, and lack of knowledge on permaculture practices. Although permaculture presents significant challenges, its integration with other forms of sustainable agricultural practices can contribute to improved rural livelihoods.","author":[{"dropping-particle":"","family":"Didarali","given":"Zahra","non-dropping-particle":"","parse-names":false,"suffix":""},{"dropping-particle":"","family":"Gambiza","given":"James","non-dropping-particle":"","parse-names":false,"suffix":""}],"container-title":"Sustainability","id":"ITEM-1","issue":"8","issued":{"date-parts":[["2019"]]},"page":"2-19","title":"Permaculture: Challenges and benefits in improving rural livelihoods in South Africa and Zimbabwe","type":"article-journal","volume":"11"},"uris":["http://www.mendeley.com/documents/?uuid=e268739e-0fd6-4921-a610-664df6bfa1d0"]}],"mendeley":{"formattedCitation":"(Didarali &amp; Gambiza, 2019)","plainTextFormattedCitation":"(Didarali &amp; Gambiza, 2019)","previouslyFormattedCitation":"(Didarali &amp; Gambiza, 2019)"},"properties":{"noteIndex":0},"schema":"https://github.com/citation-style-language/schema/raw/master/csl-citation.json"}</w:instrText>
      </w:r>
      <w:r w:rsidRPr="00A53AC0">
        <w:rPr>
          <w:sz w:val="22"/>
        </w:rPr>
        <w:fldChar w:fldCharType="separate"/>
      </w:r>
      <w:r w:rsidRPr="00A53AC0">
        <w:rPr>
          <w:noProof/>
          <w:sz w:val="22"/>
        </w:rPr>
        <w:t>(Didarali &amp; Gambiza, 2019)</w:t>
      </w:r>
      <w:r w:rsidRPr="00A53AC0">
        <w:rPr>
          <w:sz w:val="22"/>
        </w:rPr>
        <w:fldChar w:fldCharType="end"/>
      </w:r>
      <w:r w:rsidRPr="00A53AC0">
        <w:rPr>
          <w:sz w:val="22"/>
        </w:rPr>
        <w:t>.</w:t>
      </w:r>
      <w:r w:rsidR="00A53AC0">
        <w:rPr>
          <w:sz w:val="22"/>
        </w:rPr>
        <w:t xml:space="preserve"> </w:t>
      </w:r>
      <w:r w:rsidRPr="00A53AC0">
        <w:rPr>
          <w:sz w:val="22"/>
          <w:lang w:val="en-MY"/>
        </w:rPr>
        <w:t xml:space="preserve">In addition, permaculture design methods encourage the strategic use of plants and ecological relationships to improve environmental quality, conserve resources, and support healthier living environments </w:t>
      </w:r>
      <w:r w:rsidRPr="00A53AC0">
        <w:rPr>
          <w:sz w:val="22"/>
          <w:lang w:val="en-MY"/>
        </w:rPr>
        <w:fldChar w:fldCharType="begin" w:fldLock="1"/>
      </w:r>
      <w:r w:rsidRPr="00A53AC0">
        <w:rPr>
          <w:sz w:val="22"/>
          <w:lang w:val="en-MY"/>
        </w:rPr>
        <w:instrText>ADDIN CSL_CITATION {"citationItems":[{"id":"ITEM-1","itemData":{"DOI":"10.1016/j.heliyon.2023.e15899","ISSN":"24058440","abstract":"As the adverse consequences of the industrial/modern agricultural framework, which encompasses high-input agrarian production and intensive cultivation, are increasing, an alternative is essential. Permaculture is a bunch of sustainable practices that incorporate an assortment of components and promote comprehensive and multi-polycultures including perennial plants, high degrees of biodiversity, crop-animal integration, whole watershed management, and self-sustaining on-site energy production, all of which straightforwardly affect the sustainable approach and promote ecological parameters. This case study attempts to better comprehend the local knowledge in terms of planning and fostering a permaculture system that considers their work, culture, and environmental concerns. In particular, this research focuses on the combined ideology, actual practices, and co-opting nature of three Nepalese permaculturists. The current study employs the notion of imaginaries to comprehend how permaculture may supplant the present agricultural system. Therefore, the study promotes and urges agricultural actioners to create profound and emotional associations with the planet, as well as their creativity and imagination, to impact good natural change.","author":[{"dropping-particle":"","family":"Yadav","given":"Shubh Pravat Singh","non-dropping-particle":"","parse-names":false,"suffix":""},{"dropping-particle":"","family":"Lahutiya","given":"Vivek","non-dropping-particle":"","parse-names":false,"suffix":""},{"dropping-particle":"","family":"Ghimire","given":"Netra Prasad","non-dropping-particle":"","parse-names":false,"suffix":""},{"dropping-particle":"","family":"Yadav","given":"Bishnu","non-dropping-particle":"","parse-names":false,"suffix":""},{"dropping-particle":"","family":"Paudel","given":"Prava","non-dropping-particle":"","parse-names":false,"suffix":""}],"container-title":"Heliyon","id":"ITEM-1","issued":{"date-parts":[["2023"]]},"title":"Exploring innovation for sustainable agriculture: A systematic case study of permaculture in Nepal","type":"article-journal"},"uris":["http://www.mendeley.com/documents/?uuid=80433c36-472b-4433-abb9-4e2896aa5d66","http://www.mendeley.com/documents/?uuid=ce08febc-ec83-4f42-8e65-a4b7699a7b28"]}],"mendeley":{"formattedCitation":"(Yadav et al., 2023)","plainTextFormattedCitation":"(Yadav et al., 2023)","previouslyFormattedCitation":"(Yadav et al., 2023)"},"properties":{"noteIndex":0},"schema":"https://github.com/citation-style-language/schema/raw/master/csl-citation.json"}</w:instrText>
      </w:r>
      <w:r w:rsidRPr="00A53AC0">
        <w:rPr>
          <w:sz w:val="22"/>
          <w:lang w:val="en-MY"/>
        </w:rPr>
        <w:fldChar w:fldCharType="separate"/>
      </w:r>
      <w:r w:rsidRPr="00A53AC0">
        <w:rPr>
          <w:noProof/>
          <w:sz w:val="22"/>
          <w:lang w:val="en-MY"/>
        </w:rPr>
        <w:t>(Yadav et al., 2023)</w:t>
      </w:r>
      <w:r w:rsidRPr="00A53AC0">
        <w:rPr>
          <w:sz w:val="22"/>
          <w:lang w:val="en-MY"/>
        </w:rPr>
        <w:fldChar w:fldCharType="end"/>
      </w:r>
      <w:r w:rsidRPr="00A53AC0">
        <w:rPr>
          <w:sz w:val="22"/>
          <w:lang w:val="en-MY"/>
        </w:rPr>
        <w:t xml:space="preserve">. </w:t>
      </w:r>
    </w:p>
    <w:p w14:paraId="7BF7DF27" w14:textId="77777777" w:rsidR="00A53AC0" w:rsidRDefault="00A53AC0" w:rsidP="00906C8D">
      <w:pPr>
        <w:pStyle w:val="NoSpacing"/>
        <w:rPr>
          <w:sz w:val="22"/>
          <w:lang w:val="en-MY"/>
        </w:rPr>
      </w:pPr>
    </w:p>
    <w:p w14:paraId="30CB7286" w14:textId="44ADCB9D" w:rsidR="00906C8D" w:rsidRPr="00A53AC0" w:rsidRDefault="00906C8D" w:rsidP="00906C8D">
      <w:pPr>
        <w:pStyle w:val="NoSpacing"/>
        <w:rPr>
          <w:sz w:val="22"/>
          <w:lang w:val="en-MY"/>
        </w:rPr>
      </w:pPr>
      <w:r w:rsidRPr="00A53AC0">
        <w:rPr>
          <w:sz w:val="22"/>
          <w:lang w:val="en-MY"/>
        </w:rPr>
        <w:t xml:space="preserve">Permaculture is fundamentally an organic farming approach that seeks to maximize the efficient use of available resources without relying on synthetic chemical inputs </w:t>
      </w:r>
      <w:r w:rsidRPr="00A53AC0">
        <w:rPr>
          <w:sz w:val="22"/>
          <w:lang w:val="en-MY"/>
        </w:rPr>
        <w:fldChar w:fldCharType="begin" w:fldLock="1"/>
      </w:r>
      <w:r w:rsidRPr="00A53AC0">
        <w:rPr>
          <w:sz w:val="22"/>
          <w:lang w:val="en-MY"/>
        </w:rPr>
        <w:instrText>ADDIN CSL_CITATION {"citationItems":[{"id":"ITEM-1","itemData":{"DOI":"10.36348/sjls.2024.v09i07.009","ISSN":"2415623X","abstract":"Agriculture is not merely a science it is an art of living which greatly influence each and every minute sector of the nature. Balancing the needs of a growing global population with the demands of biological diversity necessitates significant changes in how humans produce food at the primary level. When the ever-growing population created a global problem starvation, India moved towards green revolution in late 1960s by using high yielding potential varieties, modern machinery, synthetic pesticides as well as fertilizers. The pattern of unethical resource (land) use drags the ecosystem to its edges of tolerance. Permaculture, being a holistic approach of sustainability with its advanced ideologies pave a way for the environmental sustainability. This wholesome concept, with its worldwide ethical designing practices and core principles acts as a potential approach for diversified sustainable agriculture and a salient solution for varied ecological problems. This review highlights the basic structural framework, core principles and designing processes of permaculture and its role in ecological and agricultural sustainability.","author":[{"dropping-particle":"","family":"Pr","given":"Alakendu","non-dropping-particle":"","parse-names":false,"suffix":""},{"dropping-particle":"","family":"Afiya","given":"RS","non-dropping-particle":"","parse-names":false,"suffix":""},{"dropping-particle":"","family":"Senthilkumar","given":"S","non-dropping-particle":"","parse-names":false,"suffix":""},{"dropping-particle":"","family":"Manivannan","given":"S","non-dropping-particle":"","parse-names":false,"suffix":""}],"container-title":"Haya: The Saudi Journal of Life Sciences","id":"ITEM-1","issued":{"date-parts":[["2024"]]},"title":"Permaculture: A sustainable farming approach for modern era","type":"article-journal"},"uris":["http://www.mendeley.com/documents/?uuid=297e989c-b113-4dfd-b848-541edaa3d3db"]}],"mendeley":{"formattedCitation":"(Pr et al., 2024)","plainTextFormattedCitation":"(Pr et al., 2024)","previouslyFormattedCitation":"(Pr et al., 2024)"},"properties":{"noteIndex":0},"schema":"https://github.com/citation-style-language/schema/raw/master/csl-citation.json"}</w:instrText>
      </w:r>
      <w:r w:rsidRPr="00A53AC0">
        <w:rPr>
          <w:sz w:val="22"/>
          <w:lang w:val="en-MY"/>
        </w:rPr>
        <w:fldChar w:fldCharType="separate"/>
      </w:r>
      <w:r w:rsidRPr="00A53AC0">
        <w:rPr>
          <w:noProof/>
          <w:sz w:val="22"/>
          <w:lang w:val="en-MY"/>
        </w:rPr>
        <w:t>(Pr et al., 2024)</w:t>
      </w:r>
      <w:r w:rsidRPr="00A53AC0">
        <w:rPr>
          <w:sz w:val="22"/>
          <w:lang w:val="en-MY"/>
        </w:rPr>
        <w:fldChar w:fldCharType="end"/>
      </w:r>
      <w:r w:rsidRPr="00A53AC0">
        <w:rPr>
          <w:sz w:val="22"/>
          <w:lang w:val="en-MY"/>
        </w:rPr>
        <w:t xml:space="preserve">. One of the core principles of permaculture emphasizes the use and value of renewable resources to develop sustainable agricultural systems </w:t>
      </w:r>
      <w:r w:rsidRPr="00A53AC0">
        <w:rPr>
          <w:sz w:val="22"/>
          <w:lang w:val="en-MY"/>
        </w:rPr>
        <w:fldChar w:fldCharType="begin" w:fldLock="1"/>
      </w:r>
      <w:r w:rsidRPr="00A53AC0">
        <w:rPr>
          <w:sz w:val="22"/>
          <w:lang w:val="en-MY"/>
        </w:rPr>
        <w:instrText>ADDIN CSL_CITATION {"citationItems":[{"id":"ITEM-1","itemData":{"DOI":"10.3390/su10093218","ISSN":"20711050","abstract":"Modern industrial agriculture is largely responsible for environmental problems, such as biodiversity loss, soil degradation, and alteration of biogeochemical cycles or greenhouse gas emission. Agroecology, as a scientific discipline as well as an agricultural practice and movement, emerged as a response to these problems, with the goal to create a more sustainable agriculture. Another response was the emergence of permaculture, a design system based on design principles, as well as a framework for the methods of ecosystem mimicry and complex system optimization. Its emphasis, being on a conscious design of agroecosystems, is the major difference to other alternative agricultural approaches. Agroecology has been a scientific discipline for a few decades already, but only recently have design principles for the reorganization of faming systems been formulated, whereas permaculture practitioners have long been using design principles without them ever being scrutinized. Here, we review the scientific literature to evaluate the scientific basis for the design principles proposed by permaculture co-originator, David Holmgren. Scientific evidence for all twelve principles will be presented. Even though permaculture principles describing the structure of favorable agroecosystems were quite similar to the agroecological approach, permaculture in addition provides principles to guide the design, implementation, and maintenance of resilient agroecological systems.","author":[{"dropping-particle":"","family":"Krebs","given":"Julius","non-dropping-particle":"","parse-names":false,"suffix":""},{"dropping-particle":"","family":"Bach","given":"Sonja","non-dropping-particle":"","parse-names":false,"suffix":""}],"container-title":"Sustainability (Switzerland)","id":"ITEM-1","issued":{"date-parts":[["2018"]]},"title":"Permaculture-scientific evidence of principles for the agroecological design of farming systems","type":"article"},"uris":["http://www.mendeley.com/documents/?uuid=562aacb8-20a1-4a16-bdfe-c8ad167a259f","http://www.mendeley.com/documents/?uuid=f5cc06da-d041-4700-bc00-34f8fd7adea2"]}],"mendeley":{"formattedCitation":"(Krebs &amp; Bach, 2018)","plainTextFormattedCitation":"(Krebs &amp; Bach, 2018)","previouslyFormattedCitation":"(Krebs &amp; Bach, 2018)"},"properties":{"noteIndex":0},"schema":"https://github.com/citation-style-language/schema/raw/master/csl-citation.json"}</w:instrText>
      </w:r>
      <w:r w:rsidRPr="00A53AC0">
        <w:rPr>
          <w:sz w:val="22"/>
          <w:lang w:val="en-MY"/>
        </w:rPr>
        <w:fldChar w:fldCharType="separate"/>
      </w:r>
      <w:r w:rsidRPr="00A53AC0">
        <w:rPr>
          <w:noProof/>
          <w:sz w:val="22"/>
          <w:lang w:val="en-MY"/>
        </w:rPr>
        <w:t>(Krebs &amp; Bach, 2018)</w:t>
      </w:r>
      <w:r w:rsidRPr="00A53AC0">
        <w:rPr>
          <w:sz w:val="22"/>
          <w:lang w:val="en-MY"/>
        </w:rPr>
        <w:fldChar w:fldCharType="end"/>
      </w:r>
      <w:r w:rsidRPr="00A53AC0">
        <w:rPr>
          <w:sz w:val="22"/>
          <w:lang w:val="en-MY"/>
        </w:rPr>
        <w:t>.</w:t>
      </w:r>
      <w:r w:rsidR="00A53AC0">
        <w:rPr>
          <w:sz w:val="22"/>
          <w:lang w:val="en-MY"/>
        </w:rPr>
        <w:t xml:space="preserve"> </w:t>
      </w:r>
      <w:r w:rsidRPr="00A53AC0">
        <w:rPr>
          <w:sz w:val="22"/>
          <w:lang w:val="en-MY"/>
        </w:rPr>
        <w:t xml:space="preserve">The use of biological fertilizers, such as green manure and compost, can improve soil fertility, enhance microbial activity, and increase agricultural productivity while remaining environmentally friendly </w:t>
      </w:r>
      <w:r w:rsidRPr="00A53AC0">
        <w:rPr>
          <w:sz w:val="22"/>
          <w:lang w:val="en-MY"/>
        </w:rPr>
        <w:fldChar w:fldCharType="begin" w:fldLock="1"/>
      </w:r>
      <w:r w:rsidR="00A53AC0" w:rsidRPr="00A53AC0">
        <w:rPr>
          <w:sz w:val="22"/>
          <w:lang w:val="en-MY"/>
        </w:rPr>
        <w:instrText>ADDIN CSL_CITATION {"citationItems":[{"id":"ITEM-1","itemData":{"DOI":"10.3389/fpls.2024.1437911","ISSN":"1664462X","author":[{"dropping-particle":"","family":"Pesaresi","given":"Paolo","non-dropping-particle":"","parse-names":false,"suffix":""},{"dropping-particle":"","family":"Loit","given":"Evelin","non-dropping-particle":"","parse-names":false,"suffix":""}],"container-title":"Frontiers in Plant Science","id":"ITEM-1","issued":{"date-parts":[["2024"]]},"title":"Editorial: Options for transition of land towards intensive and sustainable agricultural systems, volume II","type":"article"},"uris":["http://www.mendeley.com/documents/?uuid=23c43816-dbfe-4e1d-ad07-a494686a0276","http://www.mendeley.com/documents/?uuid=76084f4c-b694-4bb6-aa88-ea2d02da5e93"]}],"mendeley":{"formattedCitation":"(Pesaresi &amp; Loit, 2024)","manualFormatting":"(Pesaresi &amp; Loit, 2024","plainTextFormattedCitation":"(Pesaresi &amp; Loit, 2024)","previouslyFormattedCitation":"(Pesaresi &amp; Loit, 2024)"},"properties":{"noteIndex":0},"schema":"https://github.com/citation-style-language/schema/raw/master/csl-citation.json"}</w:instrText>
      </w:r>
      <w:r w:rsidRPr="00A53AC0">
        <w:rPr>
          <w:sz w:val="22"/>
          <w:lang w:val="en-MY"/>
        </w:rPr>
        <w:fldChar w:fldCharType="separate"/>
      </w:r>
      <w:r w:rsidRPr="00A53AC0">
        <w:rPr>
          <w:noProof/>
          <w:sz w:val="22"/>
          <w:lang w:val="en-MY"/>
        </w:rPr>
        <w:t>(Pesaresi &amp; Loit, 2024</w:t>
      </w:r>
      <w:r w:rsidRPr="00A53AC0">
        <w:rPr>
          <w:sz w:val="22"/>
          <w:lang w:val="en-MY"/>
        </w:rPr>
        <w:fldChar w:fldCharType="end"/>
      </w:r>
      <w:r w:rsidRPr="00A53AC0">
        <w:rPr>
          <w:sz w:val="22"/>
          <w:lang w:val="en-MY"/>
        </w:rPr>
        <w:t xml:space="preserve">; </w:t>
      </w:r>
      <w:r w:rsidR="00A53AC0" w:rsidRPr="00A53AC0">
        <w:rPr>
          <w:sz w:val="22"/>
          <w:lang w:val="en-MY"/>
        </w:rPr>
        <w:fldChar w:fldCharType="begin" w:fldLock="1"/>
      </w:r>
      <w:r w:rsidR="00780D14">
        <w:rPr>
          <w:sz w:val="22"/>
          <w:lang w:val="en-MY"/>
        </w:rPr>
        <w:instrText>ADDIN CSL_CITATION {"citationItems":[{"id":"ITEM-1","itemData":{"DOI":"10.3126/ijasbt.v7i2.24647","abstract":"Our study primarily focused on permaculture for sustained agriculture. Permaculture can be a best alternative for modern industrial and commercial based agriculture which has given a good yield at present but, it is deteriorating soil quality and other environmental aspects. More ever it can lead to a global threat in the future due to overuse and somewhere due to unutilized resources which may give rise to the food and economic insecurity. By compiling the different literatures, we reviewed that permaculture enriches soil quality by increasing organic matter in soil thus increasing water retention capacity, infiltration, nutrient availability, microbial activities and decreasing the erosion. Thus, it increases physical, chemical and biological properties of soil. It provides food and economic safety by providing diverse crops, increasing yield and income of farm andproviding least cost inputs with increasing output. It is an efficient in terms of resource use as it utilizes renewable resources and makes connections like a web among resources. This review can be useful information for students, research topic for permaculturists for making it smoother and other environmental enthusiast. Int. J. Appl. Sci. Biotechnol. Vol 7(2): 167-173","author":[{"dropping-particle":"","family":"Bhandari","given":"Devashish","non-dropping-particle":"","parse-names":false,"suffix":""},{"dropping-particle":"","family":"Bista","given":"Bishal","non-dropping-particle":"","parse-names":false,"suffix":""}],"container-title":"International Journal of Applied Sciences and Biotechnology","id":"ITEM-1","issued":{"date-parts":[["2019"]]},"title":"Permaculture: A key driver for sustainable agriculture in Nepal","type":"article-journal"},"uris":["http://www.mendeley.com/documents/?uuid=108a80e3-d96e-49a7-86a4-947307ad3838"]}],"mendeley":{"formattedCitation":"(Bhandari &amp; Bista, 2019)","manualFormatting":"Bhandari &amp; Bista, 2019)","plainTextFormattedCitation":"(Bhandari &amp; Bista, 2019)","previouslyFormattedCitation":"(Bhandari &amp; Bista, 2019)"},"properties":{"noteIndex":0},"schema":"https://github.com/citation-style-language/schema/raw/master/csl-citation.json"}</w:instrText>
      </w:r>
      <w:r w:rsidR="00A53AC0" w:rsidRPr="00A53AC0">
        <w:rPr>
          <w:sz w:val="22"/>
          <w:lang w:val="en-MY"/>
        </w:rPr>
        <w:fldChar w:fldCharType="separate"/>
      </w:r>
      <w:r w:rsidR="00A53AC0" w:rsidRPr="00A53AC0">
        <w:rPr>
          <w:noProof/>
          <w:sz w:val="22"/>
          <w:lang w:val="en-MY"/>
        </w:rPr>
        <w:t>Bhandari &amp; Bista, 2019)</w:t>
      </w:r>
      <w:r w:rsidR="00A53AC0" w:rsidRPr="00A53AC0">
        <w:rPr>
          <w:sz w:val="22"/>
          <w:lang w:val="en-MY"/>
        </w:rPr>
        <w:fldChar w:fldCharType="end"/>
      </w:r>
      <w:r w:rsidRPr="00A53AC0">
        <w:rPr>
          <w:sz w:val="22"/>
          <w:lang w:val="en-MY"/>
        </w:rPr>
        <w:t>.</w:t>
      </w:r>
    </w:p>
    <w:p w14:paraId="13ADEFEF" w14:textId="77777777" w:rsidR="00E15644" w:rsidRDefault="00E15644" w:rsidP="008212D3">
      <w:pPr>
        <w:pStyle w:val="NoSpacing"/>
      </w:pPr>
    </w:p>
    <w:p w14:paraId="251871D0" w14:textId="5A6923C5" w:rsidR="00E8517B" w:rsidRPr="008212D3" w:rsidRDefault="00E8517B" w:rsidP="008212D3">
      <w:pPr>
        <w:pStyle w:val="NoSpacing"/>
        <w:rPr>
          <w:sz w:val="22"/>
        </w:rPr>
      </w:pPr>
      <w:r w:rsidRPr="008212D3">
        <w:rPr>
          <w:sz w:val="22"/>
        </w:rPr>
        <w:t xml:space="preserve">As a consequence of this, it unquestionably makes a contribution to a reliable and effective production cycle, in particular through the enhancement of soil fertility and levels of organic carbon, the mitigation of soil erosion, and the promotion of a greater variety of soil microorganisms </w:t>
      </w:r>
      <w:r w:rsidR="0039166F" w:rsidRPr="008212D3">
        <w:rPr>
          <w:sz w:val="22"/>
        </w:rPr>
        <w:fldChar w:fldCharType="begin" w:fldLock="1"/>
      </w:r>
      <w:r w:rsidR="0078464C" w:rsidRPr="008212D3">
        <w:rPr>
          <w:sz w:val="22"/>
        </w:rPr>
        <w:instrText>ADDIN CSL_CITATION {"citationItems":[{"id":"ITEM-1","itemData":{"DOI":"10.3390/su132112196","ISSN":"20711050","abstract":"Using wastewater accumulating around rural waterpoints to irrigate community gardens, borehole-garden permaculture (BGP) presents a method of sustainable water management. BGP also presents public health benefits through the removal of stagnant water around boreholes, key Malaria breeding grounds, and through providing year-round food to supplement diets. By analysing a dataset of over 100,000 cases, this research examines the awareness and adoption of BGP across Malawi. Generalised linear models identified significant variables influencing BGP awareness and uptake revealing that socioeconomic, biophysical and waterpoint-specific variables influenced both the awareness and adoption of BGP. BGP had low uptake in Malawi with only 2.4% of communities surveyed practising BGP while 43.0% of communities were aware of BGP. Communities in areas with unreliable rainfall and high malaria susceptibility had low BGP awareness despite BGP being particularly beneficial to these communities. This work suggests that future work in the promotion of BGP should focus their efforts within these areas. Furthermore, this work highlights the value of community networks in knowledge sharing and suggests that such social capital could be further used by NGOs and the Government of Malawi in the promotion of BGP and other sustainable practices.","author":[{"dropping-particle":"","family":"Hinton","given":"Rebekah G.K.","non-dropping-particle":"","parse-names":false,"suffix":""},{"dropping-particle":"","family":"Macleod","given":"Christopher J.A.","non-dropping-particle":"","parse-names":false,"suffix":""},{"dropping-particle":"","family":"Troldborg","given":"Mads","non-dropping-particle":"","parse-names":false,"suffix":""},{"dropping-particle":"","family":"Wanangwa","given":"Gift","non-dropping-particle":"","parse-names":false,"suffix":""},{"dropping-particle":"","family":"Kanjaye","given":"Modesta","non-dropping-particle":"","parse-names":false,"suffix":""},{"dropping-particle":"","family":"Mbalame","given":"Emma","non-dropping-particle":"","parse-names":false,"suffix":""},{"dropping-particle":"","family":"Mleta","given":"Prince","non-dropping-particle":"","parse-names":false,"suffix":""},{"dropping-particle":"","family":"Harawa","given":"Kettie","non-dropping-particle":"","parse-names":false,"suffix":""},{"dropping-particle":"","family":"Kumwenda","given":"Steve","non-dropping-particle":"","parse-names":false,"suffix":""},{"dropping-particle":"","family":"Kalin","given":"Robert M.","non-dropping-particle":"","parse-names":false,"suffix":""}],"container-title":"Sustainability (Switzerland)","id":"ITEM-1","issue":"21","issued":{"date-parts":[["2021"]]},"page":"1-25","title":"Factors influencing the awareness and adoption of borehole-garden permaculture in malawi: Lessons for the promotion of sustainable practices","type":"article-journal","volume":"13"},"uris":["http://www.mendeley.com/documents/?uuid=ff7648de-aeb5-4b41-97b4-114ffa5b9150"]}],"mendeley":{"formattedCitation":"(Hinton et al., 2021)","plainTextFormattedCitation":"(Hinton et al., 2021)","previouslyFormattedCitation":"(Hinton et al., 2021)"},"properties":{"noteIndex":0},"schema":"https://github.com/citation-style-language/schema/raw/master/csl-citation.json"}</w:instrText>
      </w:r>
      <w:r w:rsidR="0039166F" w:rsidRPr="008212D3">
        <w:rPr>
          <w:sz w:val="22"/>
        </w:rPr>
        <w:fldChar w:fldCharType="separate"/>
      </w:r>
      <w:r w:rsidR="0039166F" w:rsidRPr="008212D3">
        <w:rPr>
          <w:noProof/>
          <w:sz w:val="22"/>
        </w:rPr>
        <w:t>(Hinton et al., 2021)</w:t>
      </w:r>
      <w:r w:rsidR="0039166F" w:rsidRPr="008212D3">
        <w:rPr>
          <w:sz w:val="22"/>
        </w:rPr>
        <w:fldChar w:fldCharType="end"/>
      </w:r>
      <w:r w:rsidRPr="008212D3">
        <w:rPr>
          <w:sz w:val="22"/>
        </w:rPr>
        <w:t xml:space="preserve">. Permaculture methods, in which only a </w:t>
      </w:r>
      <w:r w:rsidR="006E6FC9">
        <w:rPr>
          <w:sz w:val="22"/>
        </w:rPr>
        <w:t>small</w:t>
      </w:r>
      <w:r w:rsidR="006E6FC9" w:rsidRPr="008212D3">
        <w:rPr>
          <w:sz w:val="22"/>
        </w:rPr>
        <w:t xml:space="preserve"> </w:t>
      </w:r>
      <w:r w:rsidRPr="008212D3">
        <w:rPr>
          <w:sz w:val="22"/>
        </w:rPr>
        <w:t xml:space="preserve">amount of man-made chemicals is used, are often relatively equivalent to organic methods and conventional methods, both of which demand significant </w:t>
      </w:r>
      <w:r w:rsidRPr="008212D3">
        <w:rPr>
          <w:sz w:val="22"/>
        </w:rPr>
        <w:lastRenderedPageBreak/>
        <w:t>financial investment. This information will prove to be very helpful to farmers who have a restricted number of resources.</w:t>
      </w:r>
    </w:p>
    <w:p w14:paraId="25D6B68B" w14:textId="77777777" w:rsidR="0039166F" w:rsidRDefault="0039166F" w:rsidP="0039166F">
      <w:pPr>
        <w:pStyle w:val="NoSpacing"/>
        <w:ind w:firstLine="720"/>
      </w:pPr>
    </w:p>
    <w:p w14:paraId="5DF2D20B" w14:textId="6E3F2090" w:rsidR="00E8517B" w:rsidRPr="007C0B02" w:rsidRDefault="0008648E" w:rsidP="00E8517B">
      <w:pPr>
        <w:pStyle w:val="Heading2"/>
        <w:rPr>
          <w:rFonts w:ascii="Times New Roman" w:hAnsi="Times New Roman" w:cs="Times New Roman"/>
          <w:color w:val="000000" w:themeColor="text1"/>
        </w:rPr>
      </w:pPr>
      <w:r>
        <w:rPr>
          <w:rFonts w:ascii="Times New Roman" w:hAnsi="Times New Roman" w:cs="Times New Roman"/>
          <w:color w:val="000000" w:themeColor="text1"/>
        </w:rPr>
        <w:t>Knowledge</w:t>
      </w:r>
    </w:p>
    <w:p w14:paraId="50BDFE0A" w14:textId="4C61CAE9" w:rsidR="0008648E" w:rsidRPr="00535210" w:rsidRDefault="00E8517B" w:rsidP="0008648E">
      <w:pPr>
        <w:pStyle w:val="NoSpacing"/>
      </w:pPr>
      <w:r w:rsidRPr="0008648E">
        <w:rPr>
          <w:sz w:val="22"/>
        </w:rPr>
        <w:t xml:space="preserve">One of permaculture's defining features is an emphasis on learning by doing. The emphasis shifts back and forth between knowing and being afraid. In an ideal world, there would be a set of minimum experiences that must be recognised intellectually. Once this is understood, there are a plethora of methods and experiments that may be performed to further one's comprehension. To practise permaculture, one must have both fear and understanding </w:t>
      </w:r>
      <w:r w:rsidR="008212D3" w:rsidRPr="0008648E">
        <w:rPr>
          <w:sz w:val="22"/>
        </w:rPr>
        <w:fldChar w:fldCharType="begin" w:fldLock="1"/>
      </w:r>
      <w:r w:rsidR="0008648E" w:rsidRPr="0008648E">
        <w:rPr>
          <w:sz w:val="22"/>
        </w:rPr>
        <w:instrText>ADDIN CSL_CITATION {"citationItems":[{"id":"ITEM-1","itemData":{"DOI":"10.4995/HEAd23.2023.16365","ISBN":"9788413960852","ISSN":"26035871","abstract":"General education (GE) plays a critical role in university education. It embraces a broad intellectual pursuit through the study of and reflection on liberal arts, science knowledge, and real-world situations. The inspiring yet challenging common-core GE foundation course UGFN1000 In Dialogue with Nature, which requires students to study science classics, was launched at CUHK in 2012. To enhance students' learning of the selected science classics, such as Origin of Species and Silent Spring, co-curriculum experiential learning practice in permaculture was designed and employed. This paper illustrates the design of the pre-session preparation, practice sessions, and post-session reflection. It provides a practical and insightful reference to educators interested in developing experiential learning through permaculture in GE and beyond.","author":[{"dropping-particle":"","family":"Li","given":"Ming","non-dropping-particle":"","parse-names":false,"suffix":""}],"container-title":"International Conference on Higher Education Advances","id":"ITEM-1","issued":{"date-parts":[["2023"]]},"title":"Designing co-curriculum experiential learning practice in permaculture for studying science classics","type":"paper-conference"},"uris":["http://www.mendeley.com/documents/?uuid=7d4b3a41-c355-456f-8849-f5406a0e8167","http://www.mendeley.com/documents/?uuid=79e989ba-f605-469f-b95f-9165c6fba09c"]}],"mendeley":{"formattedCitation":"(Li, 2023)","plainTextFormattedCitation":"(Li, 2023)","previouslyFormattedCitation":"(Li, 2023)"},"properties":{"noteIndex":0},"schema":"https://github.com/citation-style-language/schema/raw/master/csl-citation.json"}</w:instrText>
      </w:r>
      <w:r w:rsidR="008212D3" w:rsidRPr="0008648E">
        <w:rPr>
          <w:sz w:val="22"/>
        </w:rPr>
        <w:fldChar w:fldCharType="separate"/>
      </w:r>
      <w:r w:rsidR="008212D3" w:rsidRPr="0008648E">
        <w:rPr>
          <w:noProof/>
          <w:sz w:val="22"/>
        </w:rPr>
        <w:t>(Li, 2023)</w:t>
      </w:r>
      <w:r w:rsidR="008212D3" w:rsidRPr="0008648E">
        <w:rPr>
          <w:sz w:val="22"/>
        </w:rPr>
        <w:fldChar w:fldCharType="end"/>
      </w:r>
      <w:r w:rsidRPr="0008648E">
        <w:rPr>
          <w:sz w:val="22"/>
        </w:rPr>
        <w:t xml:space="preserve">. </w:t>
      </w:r>
      <w:r w:rsidRPr="00535210">
        <w:rPr>
          <w:sz w:val="22"/>
        </w:rPr>
        <w:t xml:space="preserve">Food sovereignty, not food security, should be the focus of political action. That calls for a comprehensive understanding of the food system, which leads to the dramatic societal shift advocated by the Degrowth movement. In this regard, the permaculture approach can be a valuable resource </w:t>
      </w:r>
      <w:r w:rsidR="0008648E" w:rsidRPr="00535210">
        <w:rPr>
          <w:sz w:val="22"/>
        </w:rPr>
        <w:fldChar w:fldCharType="begin" w:fldLock="1"/>
      </w:r>
      <w:r w:rsidR="00535210" w:rsidRPr="00535210">
        <w:rPr>
          <w:sz w:val="22"/>
        </w:rPr>
        <w:instrText>ADDIN CSL_CITATION {"citationItems":[{"id":"ITEM-1","itemData":{"DOI":"10.3390/su16229675","ISSN":"20711050","abstract":"This paper reviews, compares, and critically evaluates two broad groups of sustainable agriculture models: “sustainable agriculture” and “sustainable agrifood systems”. The “sustainable agriculture” models—comprising organic farming, regenerative agriculture, climate-smart agriculture, carbon-capture agriculture, and nature-based solutions—focus primarily on improving ecological sustainability through farm-level practices. These models emphasize reducing external, industrial inputs, enhancing biodiversity, and promoting climate resilience, relying on technological and market-based solutions to address environmental concerns. On the other hand, the “sustainable agrifood systems” models—agroecology, alternative food networks, and permaculture—offer more ambitious visions of systemic transformation. These approaches not only seek to implement environmentally sound practices but also aim to reconfigure the broader food system by challenging corporate power, promoting local governance, fostering food sovereignty, and prioritizing social justice. Grounded in grassroots movements, these models emphasize social justice and economic viability in addition to ecological sustainability. This paper’s contribution lies in its comparative analysis of the wide array of sustainable alternatives, highlighting both their strengths and limitations. Adopting an agrarian political economy perspective, it critiques the former camp for limited engagement with structural issues inherent in capitalist agriculture and the latter camp for underplaying the importance of industrial agriculture for national development in the Global South.","author":[{"dropping-particle":"","family":"Zhang","given":"Qian Forrest","non-dropping-particle":"","parse-names":false,"suffix":""}],"container-title":"Sustainability (Switzerland)","id":"ITEM-1","issued":{"date-parts":[["2024"]]},"title":"From sustainable agriculture to sustainable agrifood systems: A comparative review of alternative models","type":"article"},"uris":["http://www.mendeley.com/documents/?uuid=0ec4b454-6c98-43a9-8b0e-2c5843ac9aad"]}],"mendeley":{"formattedCitation":"(Q. F. Zhang, 2024)","manualFormatting":"(Q. F. Zhang, 2024;","plainTextFormattedCitation":"(Q. F. Zhang, 2024)","previouslyFormattedCitation":"(Q. F. Zhang, 2024)"},"properties":{"noteIndex":0},"schema":"https://github.com/citation-style-language/schema/raw/master/csl-citation.json"}</w:instrText>
      </w:r>
      <w:r w:rsidR="0008648E" w:rsidRPr="00535210">
        <w:rPr>
          <w:sz w:val="22"/>
        </w:rPr>
        <w:fldChar w:fldCharType="separate"/>
      </w:r>
      <w:r w:rsidR="0008648E" w:rsidRPr="00535210">
        <w:rPr>
          <w:noProof/>
          <w:sz w:val="22"/>
        </w:rPr>
        <w:t>(Q. F. Zhang, 2024;</w:t>
      </w:r>
      <w:r w:rsidR="0008648E" w:rsidRPr="00535210">
        <w:rPr>
          <w:sz w:val="22"/>
        </w:rPr>
        <w:fldChar w:fldCharType="end"/>
      </w:r>
      <w:r w:rsidR="0008648E" w:rsidRPr="00535210">
        <w:rPr>
          <w:sz w:val="22"/>
        </w:rPr>
        <w:t xml:space="preserve"> </w:t>
      </w:r>
      <w:r w:rsidR="0008648E" w:rsidRPr="00535210">
        <w:rPr>
          <w:sz w:val="22"/>
        </w:rPr>
        <w:fldChar w:fldCharType="begin" w:fldLock="1"/>
      </w:r>
      <w:r w:rsidR="00535210" w:rsidRPr="00535210">
        <w:rPr>
          <w:sz w:val="22"/>
        </w:rPr>
        <w:instrText>ADDIN CSL_CITATION {"citationItems":[{"id":"ITEM-1","itemData":{"DOI":"10.3389/fsufs.2024.1450321","ISSN":"2571581X","abstract":"Food sovereignty, as defined by the comprehensive definition offered in the 2007 Nyéléni Forum, encompasses essential action lines for transforming a food system based on food sovereignty principles. Understanding how current food system initiatives align with these principles is essential for identifying the necessary processes of change to drive this transformation. This study aimed to consolidate the contributions of advancements in food sovereignty to the existing literature. A systematic literature review was conducted to achieve this, analyzing 250 papers published between 2008 and 2023. The focus was on the research methods employed by the authors, food initiatives within the domains of food sovereignty, and the key drivers of a food system rooted in food sovereignty principles. The findings revealed that approximately 36% of the studies utilized interviews, surveys, and questionnaires for data collection, while 34% concentrated on targeted fieldwork through case studies. Around 19% of the studies involved in-depth interaction with specific groups, and just under 10% employed document analysis methods. The most extensively discussed domain was the use of agroecological management practices for food production, followed by the valuation of traditional knowledge, the promotion of social justice and equity, self-determination through the transformation of economic and political institutions, and the localization of food production and consumption. The food initiatives outlined overarching goals within each domain of food sovereignty, with three common goals identified across these domains: food security and consumption, environmental stewardship, and crisis preparedness. Furthermore, 29 drivers of a food system based on the domains of food sovereignty were identified, encompassing networks and a holistic approach present in all 5 domains. The study also highlights the implications for supporters of food sovereignty within the context of the identified goals of the food initiatives.","author":[{"dropping-particle":"","family":"Rivera","given":"Igor","non-dropping-particle":"","parse-names":false,"suffix":""},{"dropping-particle":"","family":"Díaz de León","given":"Denise","non-dropping-particle":"","parse-names":false,"suffix":""},{"dropping-particle":"","family":"Pérez-Salazar","given":"María del Rosario","non-dropping-particle":"","parse-names":false,"suffix":""}],"container-title":"Frontiers in Sustainable Food Systems","id":"ITEM-1","issued":{"date-parts":[["2024"]]},"title":"Drivers of the food system based on food sovereignty domains: An integrative systematic literature review","type":"article"},"uris":["http://www.mendeley.com/documents/?uuid=936d4000-df3c-4156-b61b-4e11b9569b73"]}],"mendeley":{"formattedCitation":"(Rivera et al., 2024)","manualFormatting":"Rivera et al., 2024)","plainTextFormattedCitation":"(Rivera et al., 2024)","previouslyFormattedCitation":"(Rivera et al., 2024)"},"properties":{"noteIndex":0},"schema":"https://github.com/citation-style-language/schema/raw/master/csl-citation.json"}</w:instrText>
      </w:r>
      <w:r w:rsidR="0008648E" w:rsidRPr="00535210">
        <w:rPr>
          <w:sz w:val="22"/>
        </w:rPr>
        <w:fldChar w:fldCharType="separate"/>
      </w:r>
      <w:r w:rsidR="0008648E" w:rsidRPr="00535210">
        <w:rPr>
          <w:noProof/>
          <w:sz w:val="22"/>
        </w:rPr>
        <w:t>Rivera et al., 2024)</w:t>
      </w:r>
      <w:r w:rsidR="0008648E" w:rsidRPr="00535210">
        <w:rPr>
          <w:sz w:val="22"/>
        </w:rPr>
        <w:fldChar w:fldCharType="end"/>
      </w:r>
      <w:r w:rsidR="0008648E" w:rsidRPr="00535210">
        <w:rPr>
          <w:sz w:val="22"/>
        </w:rPr>
        <w:t>.</w:t>
      </w:r>
    </w:p>
    <w:p w14:paraId="12BB51E9" w14:textId="77777777" w:rsidR="0008648E" w:rsidRDefault="0008648E" w:rsidP="0008648E">
      <w:pPr>
        <w:pStyle w:val="NoSpacing"/>
      </w:pPr>
    </w:p>
    <w:p w14:paraId="2C7C1191" w14:textId="00A633C4" w:rsidR="0008648E" w:rsidRPr="00535210" w:rsidRDefault="00E8517B" w:rsidP="0008648E">
      <w:pPr>
        <w:pStyle w:val="NoSpacing"/>
        <w:rPr>
          <w:sz w:val="22"/>
        </w:rPr>
      </w:pPr>
      <w:r w:rsidRPr="00535210">
        <w:rPr>
          <w:sz w:val="22"/>
        </w:rPr>
        <w:t xml:space="preserve">The traditional belief that nature was intended to be used </w:t>
      </w:r>
      <w:r w:rsidR="006E6FC9">
        <w:rPr>
          <w:sz w:val="22"/>
        </w:rPr>
        <w:t>sparing</w:t>
      </w:r>
      <w:r w:rsidR="006E6FC9" w:rsidRPr="00535210">
        <w:rPr>
          <w:sz w:val="22"/>
        </w:rPr>
        <w:t xml:space="preserve">ly </w:t>
      </w:r>
      <w:r w:rsidRPr="00535210">
        <w:rPr>
          <w:sz w:val="22"/>
        </w:rPr>
        <w:t xml:space="preserve">is often linked to permaculture, making it </w:t>
      </w:r>
      <w:proofErr w:type="gramStart"/>
      <w:r w:rsidRPr="00535210">
        <w:rPr>
          <w:sz w:val="22"/>
        </w:rPr>
        <w:t>all the more</w:t>
      </w:r>
      <w:proofErr w:type="gramEnd"/>
      <w:r w:rsidRPr="00535210">
        <w:rPr>
          <w:sz w:val="22"/>
        </w:rPr>
        <w:t xml:space="preserve"> crucial that people acquire an awareness of these methods. Acceptance has grown for the concept that people need to live in harmony with the natural world rather than destroying it via exploitation. Permaculture is one farming system that can aid in maintaining cultural norms and values in the agricultural industry. </w:t>
      </w:r>
      <w:r w:rsidR="006E6FC9" w:rsidRPr="006E6FC9">
        <w:rPr>
          <w:sz w:val="22"/>
          <w:lang w:val="en"/>
        </w:rPr>
        <w:t>Moreover</w:t>
      </w:r>
      <w:r w:rsidR="006E6FC9">
        <w:rPr>
          <w:sz w:val="22"/>
          <w:lang w:val="en"/>
        </w:rPr>
        <w:t xml:space="preserve">, </w:t>
      </w:r>
      <w:r w:rsidR="006E6FC9">
        <w:rPr>
          <w:sz w:val="22"/>
        </w:rPr>
        <w:t>b</w:t>
      </w:r>
      <w:r w:rsidRPr="00535210">
        <w:rPr>
          <w:sz w:val="22"/>
        </w:rPr>
        <w:t xml:space="preserve">ecause permaculture practises allow farmers to rediscover "traditional" farming ways, they should be widely adopted. </w:t>
      </w:r>
      <w:r w:rsidR="006E6FC9">
        <w:rPr>
          <w:sz w:val="22"/>
        </w:rPr>
        <w:t xml:space="preserve">Nonetheless, </w:t>
      </w:r>
      <w:r w:rsidRPr="00535210">
        <w:rPr>
          <w:sz w:val="22"/>
        </w:rPr>
        <w:t xml:space="preserve">most farmers have a hard time figuring out how to implement permaculture methods. In the same way that smallholder farmers in impoverished countries adopt permaculture because it allows them to integrate their knowledge of traditional farming practises with that of their own people, so may developed </w:t>
      </w:r>
      <w:r w:rsidR="0008648E" w:rsidRPr="00535210">
        <w:rPr>
          <w:sz w:val="22"/>
        </w:rPr>
        <w:fldChar w:fldCharType="begin" w:fldLock="1"/>
      </w:r>
      <w:r w:rsidR="0008648E" w:rsidRPr="00535210">
        <w:rPr>
          <w:sz w:val="22"/>
        </w:rPr>
        <w:instrText>ADDIN CSL_CITATION {"citationItems":[{"id":"ITEM-1","itemData":{"DOI":"10.3390/su11082219","ISSN":"20711050","abstract":"Feeding a growing global population using conventional agricultural practices is leading to adverse environmental impacts. There is a call for alternative forms of agriculture that address social, economic, and environmental aspects of sustainability. Permaculture is a holistic design framework that incorporates sustainable agricultural practices, potentially improving livelihoods. This study looked at the challenges and benefits of permaculture in improving rural livelihoods in Zimbabwe and South Africa. We used semi-structured interviews to collect data. Permaculture contributed over 40% to total income for participants in both countries. However, permaculture was not the dominant source of income and periodically straddled multiple livelihood strategies. The main benefits of permaculture were identified as improved human health, increased resilience to environmental changes, and reduction of input costs. The key challenges included high labour input, infestation of pests and diseases, and lack of knowledge on permaculture practices. Although permaculture presents significant challenges, its integration with other forms of sustainable agricultural practices can contribute to improved rural livelihoods.","author":[{"dropping-particle":"","family":"Didarali","given":"Zahra","non-dropping-particle":"","parse-names":false,"suffix":""},{"dropping-particle":"","family":"Gambiza","given":"James","non-dropping-particle":"","parse-names":false,"suffix":""}],"container-title":"Sustainability","id":"ITEM-1","issue":"8","issued":{"date-parts":[["2019"]]},"page":"2-19","title":"Permaculture: Challenges and benefits in improving rural livelihoods in South Africa and Zimbabwe","type":"article-journal","volume":"11"},"uris":["http://www.mendeley.com/documents/?uuid=e268739e-0fd6-4921-a610-664df6bfa1d0"]}],"mendeley":{"formattedCitation":"(Didarali &amp; Gambiza, 2019)","plainTextFormattedCitation":"(Didarali &amp; Gambiza, 2019)","previouslyFormattedCitation":"(Didarali &amp; Gambiza, 2019)"},"properties":{"noteIndex":0},"schema":"https://github.com/citation-style-language/schema/raw/master/csl-citation.json"}</w:instrText>
      </w:r>
      <w:r w:rsidR="0008648E" w:rsidRPr="00535210">
        <w:rPr>
          <w:sz w:val="22"/>
        </w:rPr>
        <w:fldChar w:fldCharType="separate"/>
      </w:r>
      <w:r w:rsidR="0008648E" w:rsidRPr="00535210">
        <w:rPr>
          <w:noProof/>
          <w:sz w:val="22"/>
        </w:rPr>
        <w:t>(Didarali &amp; Gambiza, 2019)</w:t>
      </w:r>
      <w:r w:rsidR="0008648E" w:rsidRPr="00535210">
        <w:rPr>
          <w:sz w:val="22"/>
        </w:rPr>
        <w:fldChar w:fldCharType="end"/>
      </w:r>
      <w:r w:rsidR="0008648E" w:rsidRPr="00535210">
        <w:rPr>
          <w:sz w:val="22"/>
        </w:rPr>
        <w:t>.</w:t>
      </w:r>
    </w:p>
    <w:p w14:paraId="512098B1" w14:textId="2EBAB36E" w:rsidR="00E8517B" w:rsidRPr="00535210" w:rsidRDefault="00E8517B" w:rsidP="0008648E">
      <w:pPr>
        <w:pStyle w:val="NoSpacing"/>
        <w:rPr>
          <w:sz w:val="22"/>
        </w:rPr>
      </w:pPr>
    </w:p>
    <w:p w14:paraId="373A00DB" w14:textId="031C8E85" w:rsidR="00535210" w:rsidRPr="00535210" w:rsidRDefault="00535210" w:rsidP="00535210">
      <w:pPr>
        <w:spacing w:after="240"/>
        <w:jc w:val="both"/>
        <w:rPr>
          <w:color w:val="000000" w:themeColor="text1"/>
          <w:lang w:val="en-MY"/>
        </w:rPr>
      </w:pPr>
      <w:r w:rsidRPr="00535210">
        <w:rPr>
          <w:color w:val="000000" w:themeColor="text1"/>
          <w:lang w:val="en-MY"/>
        </w:rPr>
        <w:t xml:space="preserve">Smallholder farmers, particularly in Malaysia, continue to face significant structural challenges such as limited institutional support, unstable markets, and inadequate access to agricultural knowledge and resources </w:t>
      </w:r>
      <w:r w:rsidRPr="00535210">
        <w:rPr>
          <w:color w:val="000000" w:themeColor="text1"/>
          <w:lang w:val="en-MY"/>
        </w:rPr>
        <w:fldChar w:fldCharType="begin" w:fldLock="1"/>
      </w:r>
      <w:r w:rsidRPr="00535210">
        <w:rPr>
          <w:color w:val="000000" w:themeColor="text1"/>
          <w:lang w:val="en-MY"/>
        </w:rPr>
        <w:instrText>ADDIN CSL_CITATION {"citationItems":[{"id":"ITEM-1","itemData":{"DOI":"10.18063/ESP.V8.I1.1574","ISSN":"24248975","abstract":"This systematic review article focuses on the wellbeing, challenges and issues faced by smallholder plantation farmers in Malaysia. Malaysia’s smallholder plantation farmers come from diverse backgrounds and contribute significantly to the nation’s economy. In spite of this, their plantations are not immune from constraints that influence their survival as well as their economic well-being. Additionally, several reports indicate that various efforts and support have been made by stakeholders to improve the situation, but to no avail, since there are still issues and challenges in place despite more than a decade of implementation. Hence, this study aims to systematically identify these challenges and issues faced by the smallholder plantation farmers in Malaysia. Through four steps of systematic review process, 23 related articles from 2010–2022 were analyzed. Eight categories have been identified to be the challenges faced by the smallholder plantation farmers and were grouped into two different categories. The categories and subcategories namely formal challenges include quality of government aid, unresolved land ownership issue among the smallholders, unstable market price and harming of environmental sustainability and the informal challenges include reluctant of young generation in smallholding plantation, lack of related knowledge in plantation, lack of finance stability and cultivation issues. With two main categories, the challenges and issues have been more clarified and seemlier manageable for their wellbeing. Furthermore, a number of recommendations were mentioned in this study for future research.","author":[{"dropping-particle":"","family":"Abiddin","given":"Norhasni Zainal","non-dropping-particle":"","parse-names":false,"suffix":""},{"dropping-particle":"","family":"Ghazali","given":"Mohd Fauzi Mohd","non-dropping-particle":"","parse-names":false,"suffix":""},{"dropping-particle":"","family":"Yahya","given":"Shahrul Izad","non-dropping-particle":"","parse-names":false,"suffix":""},{"dropping-particle":"","family":"Jantan","given":"Norazlan","non-dropping-particle":"","parse-names":false,"suffix":""},{"dropping-particle":"","family":"Halim","given":"Nabila Husna Abdul","non-dropping-particle":"","parse-names":false,"suffix":""}],"container-title":"Environment and Social Psychology","id":"ITEM-1","issued":{"date-parts":[["2023"]]},"title":"Exploring the wellbeing and challenges faced by smallholder plantation farmers in Malaysia: A systematic review","type":"article"},"uris":["http://www.mendeley.com/documents/?uuid=e261bbba-5da2-4eae-9d65-349f24b5a082","http://www.mendeley.com/documents/?uuid=66c01056-bdb0-4061-93db-1c3fda836d95"]}],"mendeley":{"formattedCitation":"(Abiddin et al., 2023)","manualFormatting":"(Abiddin et al., 2023","plainTextFormattedCitation":"(Abiddin et al., 2023)","previouslyFormattedCitation":"(Abiddin et al., 2023)"},"properties":{"noteIndex":0},"schema":"https://github.com/citation-style-language/schema/raw/master/csl-citation.json"}</w:instrText>
      </w:r>
      <w:r w:rsidRPr="00535210">
        <w:rPr>
          <w:color w:val="000000" w:themeColor="text1"/>
          <w:lang w:val="en-MY"/>
        </w:rPr>
        <w:fldChar w:fldCharType="separate"/>
      </w:r>
      <w:r w:rsidRPr="00535210">
        <w:rPr>
          <w:noProof/>
          <w:color w:val="000000" w:themeColor="text1"/>
          <w:lang w:val="en-MY"/>
        </w:rPr>
        <w:t>(Abiddin et al., 2023</w:t>
      </w:r>
      <w:r w:rsidRPr="00535210">
        <w:rPr>
          <w:color w:val="000000" w:themeColor="text1"/>
          <w:lang w:val="en-MY"/>
        </w:rPr>
        <w:fldChar w:fldCharType="end"/>
      </w:r>
      <w:r w:rsidRPr="00535210">
        <w:rPr>
          <w:color w:val="000000" w:themeColor="text1"/>
          <w:lang w:val="en-MY"/>
        </w:rPr>
        <w:t xml:space="preserve">; </w:t>
      </w:r>
      <w:r w:rsidRPr="00535210">
        <w:rPr>
          <w:color w:val="000000" w:themeColor="text1"/>
          <w:lang w:val="en-MY"/>
        </w:rPr>
        <w:fldChar w:fldCharType="begin" w:fldLock="1"/>
      </w:r>
      <w:r w:rsidRPr="00535210">
        <w:rPr>
          <w:color w:val="000000" w:themeColor="text1"/>
          <w:lang w:val="en-MY"/>
        </w:rPr>
        <w:instrText>ADDIN CSL_CITATION {"citationItems":[{"id":"ITEM-1","itemData":{"DOI":"10.3390/su15043123","ISSN":"20711050","abstract":"Oil palm smallholder farmers are among the key players and are mostly affected by social challenges to the sustainability of the oil palm sector in Malaysia. Previous literature reviews showed a lack of social studies compared to studies of the economy and environment regarding the sustainability of the oil palm industry. Therefore, a systematic literature review focused on the context of social issues and challenges reported by Malaysian oil palm smallholder farmers is presented. The PRISMA standard is applied as the foundation for the systematic literature review writing procedure. A total of 12 papers were chosen out of 340 from Web of Science, Scopus, and Google Scholar. They covered three themes, including (i) attitudes, (ii) education, and (iii) the welfare of oil palm smallholder farmers. This systematic literature review has revealed that the social issues and challenges are closely related to the respondents’ demographics, such as the study location, the level of education, and the size of the plantations managed by smallholder farmers. This paper provides an up-to-date review of the social issues and challenges that oil palm smallholder farmers in Malaysia have encountered, as well as insights into future research on critical societal issues and challenges that demand attention and efforts towards improvement.","author":[{"dropping-particle":"","family":"Siti-Dina","given":"Razman Pahri","non-dropping-particle":"","parse-names":false,"suffix":""},{"dropping-particle":"","family":"Er","given":"Ah Choy","non-dropping-particle":"","parse-names":false,"suffix":""},{"dropping-particle":"","family":"Cheah","given":"Wai Yan","non-dropping-particle":"","parse-names":false,"suffix":""}],"container-title":"Sustainability (Switzerland)","id":"ITEM-1","issued":{"date-parts":[["2023"]]},"title":"Social issues and challenges among oil palm smallholder farmers in Malaysia: Systematic literature review","type":"article"},"uris":["http://www.mendeley.com/documents/?uuid=d584b871-ff61-4006-b1df-4c0b1e636f1c"]}],"mendeley":{"formattedCitation":"(Siti-Dina et al., 2023)","manualFormatting":"Siti-Dina et al., 2023)","plainTextFormattedCitation":"(Siti-Dina et al., 2023)","previouslyFormattedCitation":"(Siti-Dina et al., 2023)"},"properties":{"noteIndex":0},"schema":"https://github.com/citation-style-language/schema/raw/master/csl-citation.json"}</w:instrText>
      </w:r>
      <w:r w:rsidRPr="00535210">
        <w:rPr>
          <w:color w:val="000000" w:themeColor="text1"/>
          <w:lang w:val="en-MY"/>
        </w:rPr>
        <w:fldChar w:fldCharType="separate"/>
      </w:r>
      <w:r w:rsidRPr="00535210">
        <w:rPr>
          <w:noProof/>
          <w:color w:val="000000" w:themeColor="text1"/>
          <w:lang w:val="en-MY"/>
        </w:rPr>
        <w:t>Siti-Dina et al., 2023)</w:t>
      </w:r>
      <w:r w:rsidRPr="00535210">
        <w:rPr>
          <w:color w:val="000000" w:themeColor="text1"/>
          <w:lang w:val="en-MY"/>
        </w:rPr>
        <w:fldChar w:fldCharType="end"/>
      </w:r>
      <w:r w:rsidRPr="00535210">
        <w:rPr>
          <w:color w:val="000000" w:themeColor="text1"/>
          <w:lang w:val="en-MY"/>
        </w:rPr>
        <w:t xml:space="preserve">. Farmers’ quality of life can be improved when they are provided with greater access to agricultural information, extension services, and market knowledge, as these resources contribute to empowerment and productivity </w:t>
      </w:r>
      <w:r w:rsidRPr="00535210">
        <w:rPr>
          <w:color w:val="000000" w:themeColor="text1"/>
          <w:lang w:val="en-MY"/>
        </w:rPr>
        <w:fldChar w:fldCharType="begin" w:fldLock="1"/>
      </w:r>
      <w:r>
        <w:rPr>
          <w:color w:val="000000" w:themeColor="text1"/>
          <w:lang w:val="en-MY"/>
        </w:rPr>
        <w:instrText>ADDIN CSL_CITATION {"citationItems":[{"id":"ITEM-1","itemData":{"DOI":"10.1002/isd2.12134","ISSN":"16814835","abstract":"While farmers sell their crops, middlemen provide a linkage between them, markets and buyers. Middlemen have good knowledge of working conditions of markets and have access to agricultural market information. Due to poor access to markets and agricultural market information by smallholders, there is a feeling that middlemen benefit more while farmers sell their crops. Good access to markets and market information may help farmers bypass middlemen while selling crops and thus benefit more. Thus, it is best to improve the informational capabilities (ICs) of farmers in agricultural marketing. Thus, this research measured ICs of farmers accessing market information, through a program NINAYO, while selling their crops. The research utilized the informational, psychological, social, and economic dimensions of the empowerment framework in identifying capability indicators to formulate survey questions. Data were collected from smallholders in six regions in Tanzania. The analysis utilized measures of life satisfaction and results showed that about half of the variation in the dependent variable, satisfaction with capabilities, was explained by the model. Backward elimination analysis confirmed that life satisfaction is multidimensional. Robustness test confirmed a positive relationship between satisfaction and capabilities. Overall, results confirmed ICs are multidimensions, their improvement empowers farmers in agricultural marketing.","author":[{"dropping-particle":"","family":"Magesa","given":"Mawazo M.","non-dropping-particle":"","parse-names":false,"suffix":""},{"dropping-particle":"","family":"Michael","given":"Kisangiri","non-dropping-particle":"","parse-names":false,"suffix":""},{"dropping-particle":"","family":"Ko","given":"Jesuk","non-dropping-particle":"","parse-names":false,"suffix":""}],"container-title":"Electronic Journal of Information Systems in Developing Countries","id":"ITEM-1","issued":{"date-parts":[["2020"]]},"title":"Access and use of agricultural market information by smallholder farmers: Measuring informational capabilities","type":"article-journal"},"uris":["http://www.mendeley.com/documents/?uuid=cf88e293-81f8-43d0-be94-a782570f25b2","http://www.mendeley.com/documents/?uuid=3ad70698-fd51-405b-be1c-ad7e995bd3de"]}],"mendeley":{"formattedCitation":"(Magesa et al., 2020)","plainTextFormattedCitation":"(Magesa et al., 2020)","previouslyFormattedCitation":"(Magesa et al., 2020)"},"properties":{"noteIndex":0},"schema":"https://github.com/citation-style-language/schema/raw/master/csl-citation.json"}</w:instrText>
      </w:r>
      <w:r w:rsidRPr="00535210">
        <w:rPr>
          <w:color w:val="000000" w:themeColor="text1"/>
          <w:lang w:val="en-MY"/>
        </w:rPr>
        <w:fldChar w:fldCharType="separate"/>
      </w:r>
      <w:r w:rsidRPr="00535210">
        <w:rPr>
          <w:noProof/>
          <w:color w:val="000000" w:themeColor="text1"/>
          <w:lang w:val="en-MY"/>
        </w:rPr>
        <w:t>(Magesa et al., 2020)</w:t>
      </w:r>
      <w:r w:rsidRPr="00535210">
        <w:rPr>
          <w:color w:val="000000" w:themeColor="text1"/>
          <w:lang w:val="en-MY"/>
        </w:rPr>
        <w:fldChar w:fldCharType="end"/>
      </w:r>
      <w:r w:rsidRPr="00535210">
        <w:rPr>
          <w:color w:val="000000" w:themeColor="text1"/>
          <w:lang w:val="en-MY"/>
        </w:rPr>
        <w:t xml:space="preserve">. Participatory agricultural programmes that include workshops, site inspections, technical assistance, and hands-on training have been </w:t>
      </w:r>
      <w:r w:rsidR="006E6FC9">
        <w:rPr>
          <w:color w:val="000000" w:themeColor="text1"/>
          <w:lang w:val="en-MY"/>
        </w:rPr>
        <w:t>indicated</w:t>
      </w:r>
      <w:r w:rsidR="006E6FC9" w:rsidRPr="00535210">
        <w:rPr>
          <w:color w:val="000000" w:themeColor="text1"/>
          <w:lang w:val="en-MY"/>
        </w:rPr>
        <w:t xml:space="preserve"> </w:t>
      </w:r>
      <w:r w:rsidRPr="00535210">
        <w:rPr>
          <w:color w:val="000000" w:themeColor="text1"/>
          <w:lang w:val="en-MY"/>
        </w:rPr>
        <w:t xml:space="preserve">to help farmers adopt sustainable and agroecological farming practices more effectively </w:t>
      </w:r>
      <w:r>
        <w:rPr>
          <w:color w:val="000000" w:themeColor="text1"/>
          <w:lang w:val="en-MY"/>
        </w:rPr>
        <w:fldChar w:fldCharType="begin" w:fldLock="1"/>
      </w:r>
      <w:r>
        <w:rPr>
          <w:color w:val="000000" w:themeColor="text1"/>
          <w:lang w:val="en-MY"/>
        </w:rPr>
        <w:instrText>ADDIN CSL_CITATION {"citationItems":[{"id":"ITEM-1","itemData":{"DOI":"10.1080/21683565.2022.2095731","ISSN":"21683573","author":[{"dropping-particle":"","family":"Gliessman","given":"Steve","non-dropping-particle":"","parse-names":false,"suffix":""}],"container-title":"Agroecology and Sustainable Food Systems","id":"ITEM-1","issued":{"date-parts":[["2022"]]},"title":"Can agricultural extension be of service to agroecology?","type":"article"},"uris":["http://www.mendeley.com/documents/?uuid=802c1ac8-9cc3-4ca1-a10e-60e2c3c59fce","http://www.mendeley.com/documents/?uuid=a12f451b-af52-4080-881e-5303948b80c4"]}],"mendeley":{"formattedCitation":"(Gliessman, 2022)","plainTextFormattedCitation":"(Gliessman, 2022)","previouslyFormattedCitation":"(Gliessman, 2022)"},"properties":{"noteIndex":0},"schema":"https://github.com/citation-style-language/schema/raw/master/csl-citation.json"}</w:instrText>
      </w:r>
      <w:r>
        <w:rPr>
          <w:color w:val="000000" w:themeColor="text1"/>
          <w:lang w:val="en-MY"/>
        </w:rPr>
        <w:fldChar w:fldCharType="separate"/>
      </w:r>
      <w:r w:rsidRPr="00535210">
        <w:rPr>
          <w:noProof/>
          <w:color w:val="000000" w:themeColor="text1"/>
          <w:lang w:val="en-MY"/>
        </w:rPr>
        <w:t>(Gliessman, 2022)</w:t>
      </w:r>
      <w:r>
        <w:rPr>
          <w:color w:val="000000" w:themeColor="text1"/>
          <w:lang w:val="en-MY"/>
        </w:rPr>
        <w:fldChar w:fldCharType="end"/>
      </w:r>
      <w:r w:rsidRPr="00535210">
        <w:rPr>
          <w:color w:val="000000" w:themeColor="text1"/>
          <w:lang w:val="en-MY"/>
        </w:rPr>
        <w:t xml:space="preserve">. Through such training and knowledge-sharing initiatives, farmers become more confident and better equipped to experiment with permaculture methods on their own farms </w:t>
      </w:r>
      <w:r>
        <w:rPr>
          <w:color w:val="000000" w:themeColor="text1"/>
          <w:lang w:val="en-MY"/>
        </w:rPr>
        <w:fldChar w:fldCharType="begin" w:fldLock="1"/>
      </w:r>
      <w:r w:rsidR="00244065">
        <w:rPr>
          <w:color w:val="000000" w:themeColor="text1"/>
          <w:lang w:val="en-MY"/>
        </w:rPr>
        <w:instrText>ADDIN CSL_CITATION {"citationItems":[{"id":"ITEM-1","itemData":{"DOI":"10.4148/2831-5960.1485","abstract":"Sub-Saharan Africa has been identified as having the potential to experience a swift and impactful increase in the adoption of climate-smart agricultural (CSA) practices. However, it is important to recognize that cultural factors among social groups modulate and influence knowledge dissemination processes and adoption patterns. This study seeks to provide insight to these perspectives by examining the relationship between knowledge transfer and culture among sub-Saharan African smallholder farmers' adoption of CSA. We implemented the case study methodology to analyze 12 cases from Ethiopia and Zimbabwe. The results indicated that high power distance in both regions affects the efficacy of top-down approaches, indicating a necessary shift towards more participatory methods that involve diverse smallholder farmers in the diffusion of CSA practices. In addition, when the regional culture is predominantly collectivist, it facilitates the diffusion of knowledge among smallholder groups, but it also limits the diffusion of innovation when the initial adoption experience is negative. The findings highlighted the significant role of cultural dimensions in the knowledge transfer process related to adopting CSA practices. Future research and practice should be designed with culture in mind, including direct measurement of culture within adoption contexts to accelerate the adoption rate of CSA.","author":[{"dropping-particle":"","family":"Orton","given":"Ginger","non-dropping-particle":"","parse-names":false,"suffix":""},{"dropping-particle":"","family":"Lee","given":"Chin-Ling","non-dropping-particle":"","parse-names":false,"suffix":""}],"container-title":"Journal of International Agricultural and Extension Education","id":"ITEM-1","issued":{"date-parts":[["2025"]]},"title":"Culturally informed knowledge transfer toward climate-smart agriculture adoption: Insights from smallholder farmers in Ethiopia and Zimbabwe","type":"article-journal"},"uris":["http://www.mendeley.com/documents/?uuid=feb94f22-12e8-48b9-ac65-69bc86078677"]}],"mendeley":{"formattedCitation":"(Orton &amp; Lee, 2025)","plainTextFormattedCitation":"(Orton &amp; Lee, 2025)","previouslyFormattedCitation":"(Orton &amp; Lee, 2025)"},"properties":{"noteIndex":0},"schema":"https://github.com/citation-style-language/schema/raw/master/csl-citation.json"}</w:instrText>
      </w:r>
      <w:r>
        <w:rPr>
          <w:color w:val="000000" w:themeColor="text1"/>
          <w:lang w:val="en-MY"/>
        </w:rPr>
        <w:fldChar w:fldCharType="separate"/>
      </w:r>
      <w:r w:rsidRPr="00535210">
        <w:rPr>
          <w:noProof/>
          <w:color w:val="000000" w:themeColor="text1"/>
          <w:lang w:val="en-MY"/>
        </w:rPr>
        <w:t>(Orton &amp; Lee, 2025)</w:t>
      </w:r>
      <w:r>
        <w:rPr>
          <w:color w:val="000000" w:themeColor="text1"/>
          <w:lang w:val="en-MY"/>
        </w:rPr>
        <w:fldChar w:fldCharType="end"/>
      </w:r>
      <w:r>
        <w:rPr>
          <w:color w:val="000000" w:themeColor="text1"/>
          <w:lang w:val="en-MY"/>
        </w:rPr>
        <w:t>.</w:t>
      </w:r>
    </w:p>
    <w:p w14:paraId="4D6474BA" w14:textId="4972C3F6" w:rsidR="00AE6896" w:rsidRPr="00DC5419" w:rsidRDefault="00AE6896" w:rsidP="00A650A8">
      <w:pPr>
        <w:jc w:val="both"/>
        <w:rPr>
          <w:rFonts w:asciiTheme="minorBidi" w:hAnsiTheme="minorBidi" w:cstheme="minorBidi"/>
          <w:b/>
          <w:bCs/>
          <w:sz w:val="24"/>
          <w:szCs w:val="24"/>
        </w:rPr>
      </w:pPr>
      <w:r w:rsidRPr="00DC5419">
        <w:rPr>
          <w:rFonts w:asciiTheme="minorBidi" w:hAnsiTheme="minorBidi" w:cstheme="minorBidi"/>
          <w:b/>
          <w:bCs/>
          <w:sz w:val="24"/>
          <w:szCs w:val="24"/>
        </w:rPr>
        <w:t>METHODOLOGY</w:t>
      </w:r>
    </w:p>
    <w:p w14:paraId="48EE45DE" w14:textId="4B038C4F" w:rsidR="0049115B" w:rsidRDefault="006455AB" w:rsidP="0071139F">
      <w:pPr>
        <w:pStyle w:val="BodyText"/>
        <w:widowControl w:val="0"/>
        <w:autoSpaceDE w:val="0"/>
        <w:autoSpaceDN w:val="0"/>
        <w:spacing w:beforeLines="100" w:before="240" w:afterLines="100" w:after="240"/>
        <w:ind w:right="108"/>
        <w:jc w:val="both"/>
        <w:rPr>
          <w:rFonts w:asciiTheme="majorBidi" w:hAnsiTheme="majorBidi" w:cstheme="majorBidi"/>
          <w:lang w:val="en-MY"/>
        </w:rPr>
      </w:pPr>
      <w:r w:rsidRPr="006455AB">
        <w:rPr>
          <w:rFonts w:asciiTheme="majorBidi" w:hAnsiTheme="majorBidi" w:cstheme="majorBidi"/>
          <w:lang w:val="en-MY"/>
        </w:rPr>
        <w:t>The population in this study is the</w:t>
      </w:r>
      <w:r>
        <w:rPr>
          <w:rFonts w:asciiTheme="majorBidi" w:hAnsiTheme="majorBidi" w:cstheme="majorBidi"/>
          <w:lang w:val="en-MY"/>
        </w:rPr>
        <w:t xml:space="preserve"> vegetable </w:t>
      </w:r>
      <w:r w:rsidRPr="006455AB">
        <w:rPr>
          <w:rFonts w:asciiTheme="majorBidi" w:hAnsiTheme="majorBidi" w:cstheme="majorBidi"/>
          <w:lang w:val="en-MY"/>
        </w:rPr>
        <w:t>farmer</w:t>
      </w:r>
      <w:r>
        <w:rPr>
          <w:rFonts w:asciiTheme="majorBidi" w:hAnsiTheme="majorBidi" w:cstheme="majorBidi"/>
          <w:lang w:val="en-MY"/>
        </w:rPr>
        <w:t>s</w:t>
      </w:r>
      <w:r w:rsidRPr="006455AB">
        <w:rPr>
          <w:rFonts w:asciiTheme="majorBidi" w:hAnsiTheme="majorBidi" w:cstheme="majorBidi"/>
          <w:lang w:val="en-MY"/>
        </w:rPr>
        <w:t xml:space="preserve"> in Perlis</w:t>
      </w:r>
      <w:r>
        <w:rPr>
          <w:rFonts w:asciiTheme="majorBidi" w:hAnsiTheme="majorBidi" w:cstheme="majorBidi"/>
          <w:lang w:val="en-MY"/>
        </w:rPr>
        <w:t xml:space="preserve"> from 7 districts</w:t>
      </w:r>
      <w:r w:rsidR="006E6FC9">
        <w:rPr>
          <w:rFonts w:asciiTheme="majorBidi" w:hAnsiTheme="majorBidi" w:cstheme="majorBidi"/>
          <w:lang w:val="en-MY"/>
        </w:rPr>
        <w:t>,</w:t>
      </w:r>
      <w:r>
        <w:rPr>
          <w:rFonts w:asciiTheme="majorBidi" w:hAnsiTheme="majorBidi" w:cstheme="majorBidi"/>
          <w:lang w:val="en-MY"/>
        </w:rPr>
        <w:t xml:space="preserve"> namely </w:t>
      </w:r>
      <w:proofErr w:type="spellStart"/>
      <w:r>
        <w:rPr>
          <w:rFonts w:asciiTheme="majorBidi" w:hAnsiTheme="majorBidi" w:cstheme="majorBidi"/>
          <w:lang w:val="en-MY"/>
        </w:rPr>
        <w:t>Beseri</w:t>
      </w:r>
      <w:proofErr w:type="spellEnd"/>
      <w:r>
        <w:rPr>
          <w:rFonts w:asciiTheme="majorBidi" w:hAnsiTheme="majorBidi" w:cstheme="majorBidi"/>
          <w:lang w:val="en-MY"/>
        </w:rPr>
        <w:t xml:space="preserve">, </w:t>
      </w:r>
      <w:proofErr w:type="spellStart"/>
      <w:r>
        <w:rPr>
          <w:rFonts w:asciiTheme="majorBidi" w:hAnsiTheme="majorBidi" w:cstheme="majorBidi"/>
          <w:lang w:val="en-MY"/>
        </w:rPr>
        <w:t>Bintong</w:t>
      </w:r>
      <w:proofErr w:type="spellEnd"/>
      <w:r>
        <w:rPr>
          <w:rFonts w:asciiTheme="majorBidi" w:hAnsiTheme="majorBidi" w:cstheme="majorBidi"/>
          <w:lang w:val="en-MY"/>
        </w:rPr>
        <w:t xml:space="preserve">, </w:t>
      </w:r>
      <w:r w:rsidRPr="0071139F">
        <w:rPr>
          <w:rFonts w:asciiTheme="majorBidi" w:hAnsiTheme="majorBidi" w:cstheme="majorBidi"/>
          <w:lang w:val="en-MY"/>
        </w:rPr>
        <w:t xml:space="preserve">Mata Ayer, Padang Siding, Paya, </w:t>
      </w:r>
      <w:proofErr w:type="spellStart"/>
      <w:r w:rsidRPr="0071139F">
        <w:rPr>
          <w:rFonts w:asciiTheme="majorBidi" w:hAnsiTheme="majorBidi" w:cstheme="majorBidi"/>
          <w:lang w:val="en-MY"/>
        </w:rPr>
        <w:t>Chuping</w:t>
      </w:r>
      <w:proofErr w:type="spellEnd"/>
      <w:r w:rsidR="008063BC">
        <w:rPr>
          <w:rFonts w:asciiTheme="majorBidi" w:hAnsiTheme="majorBidi" w:cstheme="majorBidi"/>
          <w:lang w:val="en-MY"/>
        </w:rPr>
        <w:t>,</w:t>
      </w:r>
      <w:r w:rsidRPr="0071139F">
        <w:rPr>
          <w:rFonts w:asciiTheme="majorBidi" w:hAnsiTheme="majorBidi" w:cstheme="majorBidi"/>
          <w:lang w:val="en-MY"/>
        </w:rPr>
        <w:t xml:space="preserve"> and Titi Tinggi.  There </w:t>
      </w:r>
      <w:proofErr w:type="gramStart"/>
      <w:r w:rsidRPr="0071139F">
        <w:rPr>
          <w:rFonts w:asciiTheme="majorBidi" w:hAnsiTheme="majorBidi" w:cstheme="majorBidi"/>
          <w:lang w:val="en-MY"/>
        </w:rPr>
        <w:t>are</w:t>
      </w:r>
      <w:proofErr w:type="gramEnd"/>
      <w:r w:rsidRPr="0071139F">
        <w:rPr>
          <w:rFonts w:asciiTheme="majorBidi" w:hAnsiTheme="majorBidi" w:cstheme="majorBidi"/>
          <w:lang w:val="en-MY"/>
        </w:rPr>
        <w:t xml:space="preserve"> </w:t>
      </w:r>
      <w:r w:rsidR="006E6FC9">
        <w:rPr>
          <w:rFonts w:asciiTheme="majorBidi" w:hAnsiTheme="majorBidi" w:cstheme="majorBidi"/>
          <w:lang w:val="en-MY"/>
        </w:rPr>
        <w:t xml:space="preserve">a </w:t>
      </w:r>
      <w:r w:rsidRPr="0071139F">
        <w:rPr>
          <w:rFonts w:asciiTheme="majorBidi" w:hAnsiTheme="majorBidi" w:cstheme="majorBidi"/>
          <w:lang w:val="en-MY"/>
        </w:rPr>
        <w:t xml:space="preserve">total of 141 farmers registered under </w:t>
      </w:r>
      <w:r w:rsidR="006E6FC9">
        <w:rPr>
          <w:rFonts w:asciiTheme="majorBidi" w:hAnsiTheme="majorBidi" w:cstheme="majorBidi"/>
          <w:lang w:val="en-MY"/>
        </w:rPr>
        <w:t xml:space="preserve">the </w:t>
      </w:r>
      <w:bookmarkStart w:id="4" w:name="_Hlk231478147"/>
      <w:r w:rsidRPr="0071139F">
        <w:rPr>
          <w:rFonts w:asciiTheme="majorBidi" w:hAnsiTheme="majorBidi" w:cstheme="majorBidi"/>
          <w:lang w:val="en-MY"/>
        </w:rPr>
        <w:t>DOA</w:t>
      </w:r>
      <w:bookmarkEnd w:id="4"/>
      <w:r w:rsidRPr="0071139F">
        <w:rPr>
          <w:rFonts w:asciiTheme="majorBidi" w:hAnsiTheme="majorBidi" w:cstheme="majorBidi"/>
          <w:lang w:val="en-MY"/>
        </w:rPr>
        <w:t xml:space="preserve"> Perlis as </w:t>
      </w:r>
      <w:r w:rsidR="006E6FC9">
        <w:rPr>
          <w:rFonts w:asciiTheme="majorBidi" w:hAnsiTheme="majorBidi" w:cstheme="majorBidi"/>
          <w:lang w:val="en-MY"/>
        </w:rPr>
        <w:t xml:space="preserve">of the </w:t>
      </w:r>
      <w:r w:rsidRPr="0071139F">
        <w:rPr>
          <w:rFonts w:asciiTheme="majorBidi" w:hAnsiTheme="majorBidi" w:cstheme="majorBidi"/>
          <w:lang w:val="en-MY"/>
        </w:rPr>
        <w:t>end of 202</w:t>
      </w:r>
      <w:r w:rsidR="00B45A75" w:rsidRPr="0071139F">
        <w:rPr>
          <w:rFonts w:asciiTheme="majorBidi" w:hAnsiTheme="majorBidi" w:cstheme="majorBidi"/>
          <w:lang w:val="en-MY"/>
        </w:rPr>
        <w:t>3</w:t>
      </w:r>
      <w:r w:rsidRPr="0071139F">
        <w:rPr>
          <w:rFonts w:asciiTheme="majorBidi" w:hAnsiTheme="majorBidi" w:cstheme="majorBidi"/>
          <w:lang w:val="en-MY"/>
        </w:rPr>
        <w:t>. Five vegetable farm area</w:t>
      </w:r>
      <w:r w:rsidR="006E6FC9">
        <w:rPr>
          <w:rFonts w:asciiTheme="majorBidi" w:hAnsiTheme="majorBidi" w:cstheme="majorBidi"/>
          <w:lang w:val="en-MY"/>
        </w:rPr>
        <w:t>s have</w:t>
      </w:r>
      <w:r w:rsidRPr="0071139F">
        <w:rPr>
          <w:rFonts w:asciiTheme="majorBidi" w:hAnsiTheme="majorBidi" w:cstheme="majorBidi"/>
          <w:lang w:val="en-MY"/>
        </w:rPr>
        <w:t xml:space="preserve"> been selected for this study</w:t>
      </w:r>
      <w:r w:rsidR="006E6FC9">
        <w:rPr>
          <w:rFonts w:asciiTheme="majorBidi" w:hAnsiTheme="majorBidi" w:cstheme="majorBidi"/>
          <w:lang w:val="en-MY"/>
        </w:rPr>
        <w:t>,</w:t>
      </w:r>
      <w:r w:rsidRPr="0071139F">
        <w:rPr>
          <w:rFonts w:asciiTheme="majorBidi" w:hAnsiTheme="majorBidi" w:cstheme="majorBidi"/>
          <w:lang w:val="en-MY"/>
        </w:rPr>
        <w:t xml:space="preserve"> which are </w:t>
      </w:r>
      <w:proofErr w:type="spellStart"/>
      <w:r w:rsidRPr="0071139F">
        <w:rPr>
          <w:rFonts w:asciiTheme="majorBidi" w:hAnsiTheme="majorBidi" w:cstheme="majorBidi"/>
          <w:lang w:val="en-MY"/>
        </w:rPr>
        <w:t>Beseri</w:t>
      </w:r>
      <w:proofErr w:type="spellEnd"/>
      <w:r w:rsidRPr="0071139F">
        <w:rPr>
          <w:rFonts w:asciiTheme="majorBidi" w:hAnsiTheme="majorBidi" w:cstheme="majorBidi"/>
          <w:lang w:val="en-MY"/>
        </w:rPr>
        <w:t xml:space="preserve">, </w:t>
      </w:r>
      <w:proofErr w:type="spellStart"/>
      <w:r w:rsidRPr="0071139F">
        <w:rPr>
          <w:rFonts w:asciiTheme="majorBidi" w:hAnsiTheme="majorBidi" w:cstheme="majorBidi"/>
          <w:lang w:val="en-MY"/>
        </w:rPr>
        <w:t>Bintong</w:t>
      </w:r>
      <w:proofErr w:type="spellEnd"/>
      <w:r w:rsidRPr="0071139F">
        <w:rPr>
          <w:rFonts w:asciiTheme="majorBidi" w:hAnsiTheme="majorBidi" w:cstheme="majorBidi"/>
          <w:lang w:val="en-MY"/>
        </w:rPr>
        <w:t>, Mata Ayer, Padang Siding</w:t>
      </w:r>
      <w:r w:rsidR="008063BC">
        <w:rPr>
          <w:rFonts w:asciiTheme="majorBidi" w:hAnsiTheme="majorBidi" w:cstheme="majorBidi"/>
          <w:lang w:val="en-MY"/>
        </w:rPr>
        <w:t>,</w:t>
      </w:r>
      <w:r w:rsidRPr="0071139F">
        <w:rPr>
          <w:rFonts w:asciiTheme="majorBidi" w:hAnsiTheme="majorBidi" w:cstheme="majorBidi"/>
          <w:lang w:val="en-MY"/>
        </w:rPr>
        <w:t xml:space="preserve"> and Paya</w:t>
      </w:r>
      <w:r w:rsidR="006E6FC9">
        <w:rPr>
          <w:rFonts w:asciiTheme="majorBidi" w:hAnsiTheme="majorBidi" w:cstheme="majorBidi"/>
          <w:lang w:val="en-MY"/>
        </w:rPr>
        <w:t>,</w:t>
      </w:r>
      <w:r w:rsidRPr="0071139F">
        <w:rPr>
          <w:rFonts w:asciiTheme="majorBidi" w:hAnsiTheme="majorBidi" w:cstheme="majorBidi"/>
          <w:lang w:val="en-MY"/>
        </w:rPr>
        <w:t xml:space="preserve"> using cluster sampling. Thus, the sample of this study is 52 farmers chosen from the </w:t>
      </w:r>
      <w:r w:rsidR="006E6FC9">
        <w:rPr>
          <w:rFonts w:asciiTheme="majorBidi" w:hAnsiTheme="majorBidi" w:cstheme="majorBidi"/>
          <w:lang w:val="en-MY"/>
        </w:rPr>
        <w:t>DOA</w:t>
      </w:r>
      <w:r w:rsidRPr="0071139F">
        <w:rPr>
          <w:rFonts w:asciiTheme="majorBidi" w:hAnsiTheme="majorBidi" w:cstheme="majorBidi"/>
          <w:lang w:val="en-MY"/>
        </w:rPr>
        <w:t xml:space="preserve"> of Perlis. According to</w:t>
      </w:r>
      <w:r w:rsidR="00780D14">
        <w:rPr>
          <w:rFonts w:asciiTheme="majorBidi" w:hAnsiTheme="majorBidi" w:cstheme="majorBidi"/>
          <w:lang w:val="en-MY"/>
        </w:rPr>
        <w:t xml:space="preserve"> </w:t>
      </w:r>
      <w:r w:rsidR="00780D14">
        <w:rPr>
          <w:rFonts w:asciiTheme="majorBidi" w:hAnsiTheme="majorBidi" w:cstheme="majorBidi"/>
          <w:lang w:val="en-MY"/>
        </w:rPr>
        <w:fldChar w:fldCharType="begin" w:fldLock="1"/>
      </w:r>
      <w:r w:rsidR="004A1E3E">
        <w:rPr>
          <w:rFonts w:asciiTheme="majorBidi" w:hAnsiTheme="majorBidi" w:cstheme="majorBidi"/>
          <w:lang w:val="en-MY"/>
        </w:rPr>
        <w:instrText>ADDIN CSL_CITATION {"citationItems":[{"id":"ITEM-1","itemData":{"ISSN":"1991-8178","abstract":"Post-Election Behavior is a new definition to be introduced in this study which has not been widely used before. There is debate among scholars who do not agree whether voters respond to the events of the past more than the future, or vice versa. In the marketing field, it has been proven and widely accepted that after the purchase decision had been made, it does not end there, it will continue to affect consumer behavior. Even from a theoretical perspective, the study of post purchase process provides a better understanding on role of past experience (satisfaction or dissatisfaction) in determining the future purchase decisions. However, there are deficiencies in existing voting theories. This study attempts to provide a variation of what happens after an election or what is known as post-election. This is something new which have not been studied and used before. This study applies Hirschman (1970) as the basis framework of the study. The main goal of this study is to determine the usefulness and effectiveness of the model in the context of Post-Election Behavior. Based on factor analysisperformed onthe items in thedependent variableofthe Post Voting Behavior, findings from these testsprovide thre emajor components that are Exit,Voice and Loyalty Response.These findingsare in lineandsupportthemodelproposed byHirchman(1970) wherethere are threemajor componentsExit, Voice andLoyalty. This findingalso supportsthatmodelHirchman(1970) is relevant whereit is widely used as the basisformost of the studiesin the review ofPost-Purchase Behaviorandseveralother areas in thefield of marketing. ©","author":[{"dropping-particle":"","family":"Halim","given":"Fairol","non-dropping-particle":"","parse-names":false,"suffix":""},{"dropping-particle":"","family":"Ishak","given":"Mohamed","non-dropping-particle":"","parse-names":false,"suffix":""}],"container-title":"Australian Journal of Basic and Applied Sciences","id":"ITEM-1","issue":"12","issued":{"date-parts":[["2014"]]},"page":"67-75","title":"Post election behavior? Is it possible? A framework based on Hirschman (1970) model","type":"article-journal","volume":"8"},"uris":["http://www.mendeley.com/documents/?uuid=c785468c-a1d7-4f29-884f-ab23c3764fd5"]}],"mendeley":{"formattedCitation":"(Halim &amp; Ishak, 2014)","manualFormatting":"Halim and Ishak (2014)","plainTextFormattedCitation":"(Halim &amp; Ishak, 2014)","previouslyFormattedCitation":"(Halim &amp; Ishak, 2014)"},"properties":{"noteIndex":0},"schema":"https://github.com/citation-style-language/schema/raw/master/csl-citation.json"}</w:instrText>
      </w:r>
      <w:r w:rsidR="00780D14">
        <w:rPr>
          <w:rFonts w:asciiTheme="majorBidi" w:hAnsiTheme="majorBidi" w:cstheme="majorBidi"/>
          <w:lang w:val="en-MY"/>
        </w:rPr>
        <w:fldChar w:fldCharType="separate"/>
      </w:r>
      <w:r w:rsidR="00780D14" w:rsidRPr="00780D14">
        <w:rPr>
          <w:rFonts w:asciiTheme="majorBidi" w:hAnsiTheme="majorBidi" w:cstheme="majorBidi"/>
          <w:noProof/>
          <w:lang w:val="en-MY"/>
        </w:rPr>
        <w:t xml:space="preserve">Halim </w:t>
      </w:r>
      <w:r w:rsidR="00780D14">
        <w:rPr>
          <w:rFonts w:asciiTheme="majorBidi" w:hAnsiTheme="majorBidi" w:cstheme="majorBidi"/>
          <w:noProof/>
          <w:lang w:val="en-MY"/>
        </w:rPr>
        <w:t xml:space="preserve">and </w:t>
      </w:r>
      <w:r w:rsidR="00780D14" w:rsidRPr="00780D14">
        <w:rPr>
          <w:rFonts w:asciiTheme="majorBidi" w:hAnsiTheme="majorBidi" w:cstheme="majorBidi"/>
          <w:noProof/>
          <w:lang w:val="en-MY"/>
        </w:rPr>
        <w:t xml:space="preserve">Ishak </w:t>
      </w:r>
      <w:r w:rsidR="00780D14">
        <w:rPr>
          <w:rFonts w:asciiTheme="majorBidi" w:hAnsiTheme="majorBidi" w:cstheme="majorBidi"/>
          <w:noProof/>
          <w:lang w:val="en-MY"/>
        </w:rPr>
        <w:t>(</w:t>
      </w:r>
      <w:r w:rsidR="00780D14" w:rsidRPr="00780D14">
        <w:rPr>
          <w:rFonts w:asciiTheme="majorBidi" w:hAnsiTheme="majorBidi" w:cstheme="majorBidi"/>
          <w:noProof/>
          <w:lang w:val="en-MY"/>
        </w:rPr>
        <w:t>2014)</w:t>
      </w:r>
      <w:r w:rsidR="00780D14">
        <w:rPr>
          <w:rFonts w:asciiTheme="majorBidi" w:hAnsiTheme="majorBidi" w:cstheme="majorBidi"/>
          <w:lang w:val="en-MY"/>
        </w:rPr>
        <w:fldChar w:fldCharType="end"/>
      </w:r>
      <w:r w:rsidR="00780D14">
        <w:rPr>
          <w:rFonts w:asciiTheme="majorBidi" w:hAnsiTheme="majorBidi" w:cstheme="majorBidi"/>
          <w:lang w:val="en-MY"/>
        </w:rPr>
        <w:t xml:space="preserve">, </w:t>
      </w:r>
      <w:r w:rsidRPr="0071139F">
        <w:rPr>
          <w:rFonts w:asciiTheme="majorBidi" w:hAnsiTheme="majorBidi" w:cstheme="majorBidi"/>
          <w:lang w:val="en-MY"/>
        </w:rPr>
        <w:t xml:space="preserve">it is noted that a sample size that </w:t>
      </w:r>
      <w:r w:rsidR="006E6FC9" w:rsidRPr="0071139F">
        <w:rPr>
          <w:rFonts w:asciiTheme="majorBidi" w:hAnsiTheme="majorBidi" w:cstheme="majorBidi"/>
          <w:lang w:val="en-MY"/>
        </w:rPr>
        <w:t>f</w:t>
      </w:r>
      <w:r w:rsidR="006E6FC9">
        <w:rPr>
          <w:rFonts w:asciiTheme="majorBidi" w:hAnsiTheme="majorBidi" w:cstheme="majorBidi"/>
          <w:lang w:val="en-MY"/>
        </w:rPr>
        <w:t>alls</w:t>
      </w:r>
      <w:r w:rsidR="006E6FC9" w:rsidRPr="0071139F">
        <w:rPr>
          <w:rFonts w:asciiTheme="majorBidi" w:hAnsiTheme="majorBidi" w:cstheme="majorBidi"/>
          <w:lang w:val="en-MY"/>
        </w:rPr>
        <w:t xml:space="preserve"> </w:t>
      </w:r>
      <w:r w:rsidRPr="0071139F">
        <w:rPr>
          <w:rFonts w:asciiTheme="majorBidi" w:hAnsiTheme="majorBidi" w:cstheme="majorBidi"/>
          <w:lang w:val="en-MY"/>
        </w:rPr>
        <w:t xml:space="preserve">somewhere between 30 </w:t>
      </w:r>
      <w:r w:rsidR="006E6FC9">
        <w:rPr>
          <w:rFonts w:asciiTheme="majorBidi" w:hAnsiTheme="majorBidi" w:cstheme="majorBidi"/>
          <w:lang w:val="en-MY"/>
        </w:rPr>
        <w:t>and</w:t>
      </w:r>
      <w:r w:rsidR="006E6FC9" w:rsidRPr="0071139F">
        <w:rPr>
          <w:rFonts w:asciiTheme="majorBidi" w:hAnsiTheme="majorBidi" w:cstheme="majorBidi"/>
          <w:lang w:val="en-MY"/>
        </w:rPr>
        <w:t xml:space="preserve"> </w:t>
      </w:r>
      <w:r w:rsidRPr="0071139F">
        <w:rPr>
          <w:rFonts w:asciiTheme="majorBidi" w:hAnsiTheme="majorBidi" w:cstheme="majorBidi"/>
          <w:lang w:val="en-MY"/>
        </w:rPr>
        <w:t xml:space="preserve">500 would be suitable for most of the research. This sample size offers enough information to meet the study's goals, even though it may restrict the findings' applicability to a larger population. </w:t>
      </w:r>
    </w:p>
    <w:p w14:paraId="7C6D6827" w14:textId="29526BA7" w:rsidR="0049115B" w:rsidRDefault="0049115B" w:rsidP="0071139F">
      <w:pPr>
        <w:pStyle w:val="BodyText"/>
        <w:widowControl w:val="0"/>
        <w:autoSpaceDE w:val="0"/>
        <w:autoSpaceDN w:val="0"/>
        <w:spacing w:beforeLines="100" w:before="240" w:afterLines="100" w:after="240"/>
        <w:ind w:right="108"/>
        <w:jc w:val="both"/>
        <w:rPr>
          <w:rFonts w:asciiTheme="majorBidi" w:hAnsiTheme="majorBidi" w:cstheme="majorBidi"/>
          <w:lang w:val="en-MY"/>
        </w:rPr>
      </w:pPr>
      <w:r>
        <w:rPr>
          <w:noProof/>
        </w:rPr>
        <w:lastRenderedPageBreak/>
        <w:drawing>
          <wp:anchor distT="0" distB="0" distL="114300" distR="114300" simplePos="0" relativeHeight="251663360" behindDoc="1" locked="0" layoutInCell="1" allowOverlap="1" wp14:anchorId="001F0845" wp14:editId="4890EA7F">
            <wp:simplePos x="0" y="0"/>
            <wp:positionH relativeFrom="margin">
              <wp:align>right</wp:align>
            </wp:positionH>
            <wp:positionV relativeFrom="paragraph">
              <wp:posOffset>213331</wp:posOffset>
            </wp:positionV>
            <wp:extent cx="5590540" cy="3531870"/>
            <wp:effectExtent l="0" t="0" r="0" b="0"/>
            <wp:wrapTight wrapText="bothSides">
              <wp:wrapPolygon edited="0">
                <wp:start x="0" y="0"/>
                <wp:lineTo x="0" y="21437"/>
                <wp:lineTo x="21492" y="21437"/>
                <wp:lineTo x="21492" y="0"/>
                <wp:lineTo x="0" y="0"/>
              </wp:wrapPolygon>
            </wp:wrapTight>
            <wp:docPr id="1378847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9837"/>
                    <a:stretch>
                      <a:fillRect/>
                    </a:stretch>
                  </pic:blipFill>
                  <pic:spPr bwMode="auto">
                    <a:xfrm>
                      <a:off x="0" y="0"/>
                      <a:ext cx="5590540" cy="3531870"/>
                    </a:xfrm>
                    <a:prstGeom prst="rect">
                      <a:avLst/>
                    </a:prstGeom>
                    <a:solidFill>
                      <a:schemeClr val="tx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A680" w14:textId="3D215D38" w:rsidR="0049115B" w:rsidRDefault="008453F8" w:rsidP="008453F8">
      <w:pPr>
        <w:pStyle w:val="BodyText"/>
        <w:widowControl w:val="0"/>
        <w:autoSpaceDE w:val="0"/>
        <w:autoSpaceDN w:val="0"/>
        <w:spacing w:beforeLines="100" w:before="240" w:afterLines="100" w:after="240"/>
        <w:ind w:right="108"/>
        <w:jc w:val="center"/>
        <w:rPr>
          <w:rFonts w:asciiTheme="majorBidi" w:hAnsiTheme="majorBidi" w:cstheme="majorBidi"/>
          <w:lang w:val="en-MY"/>
        </w:rPr>
      </w:pPr>
      <w:r>
        <w:rPr>
          <w:rFonts w:asciiTheme="majorBidi" w:hAnsiTheme="majorBidi" w:cstheme="majorBidi"/>
          <w:lang w:val="en-MY"/>
        </w:rPr>
        <w:t>Figure 1: Map of Perlis</w:t>
      </w:r>
    </w:p>
    <w:p w14:paraId="1ECE913F" w14:textId="77777777" w:rsidR="008453F8" w:rsidRDefault="008453F8" w:rsidP="0071139F">
      <w:pPr>
        <w:pStyle w:val="BodyText"/>
        <w:widowControl w:val="0"/>
        <w:autoSpaceDE w:val="0"/>
        <w:autoSpaceDN w:val="0"/>
        <w:spacing w:beforeLines="100" w:before="240" w:afterLines="100" w:after="240"/>
        <w:ind w:right="108"/>
        <w:jc w:val="both"/>
        <w:rPr>
          <w:rFonts w:asciiTheme="majorBidi" w:hAnsiTheme="majorBidi" w:cstheme="majorBidi"/>
          <w:lang w:val="en-MY"/>
        </w:rPr>
      </w:pPr>
    </w:p>
    <w:p w14:paraId="1D6F9ACD" w14:textId="77777777" w:rsidR="008453F8" w:rsidRDefault="008453F8" w:rsidP="0071139F">
      <w:pPr>
        <w:pStyle w:val="BodyText"/>
        <w:widowControl w:val="0"/>
        <w:autoSpaceDE w:val="0"/>
        <w:autoSpaceDN w:val="0"/>
        <w:spacing w:beforeLines="100" w:before="240" w:afterLines="100" w:after="240"/>
        <w:ind w:right="108"/>
        <w:jc w:val="both"/>
        <w:rPr>
          <w:rFonts w:asciiTheme="majorBidi" w:hAnsiTheme="majorBidi" w:cstheme="majorBidi"/>
          <w:lang w:val="en-MY"/>
        </w:rPr>
      </w:pPr>
    </w:p>
    <w:p w14:paraId="5A8A5426" w14:textId="3526398D" w:rsidR="006455AB" w:rsidRPr="0071139F" w:rsidRDefault="006455AB" w:rsidP="00731317">
      <w:pPr>
        <w:pStyle w:val="BodyText"/>
        <w:widowControl w:val="0"/>
        <w:autoSpaceDE w:val="0"/>
        <w:autoSpaceDN w:val="0"/>
        <w:spacing w:beforeLines="100" w:before="240" w:afterLines="100" w:after="240"/>
        <w:ind w:right="108"/>
        <w:jc w:val="both"/>
        <w:rPr>
          <w:rFonts w:asciiTheme="majorBidi" w:hAnsiTheme="majorBidi" w:cstheme="majorBidi"/>
          <w:lang w:val="en-MY"/>
        </w:rPr>
      </w:pPr>
      <w:r w:rsidRPr="0071139F">
        <w:rPr>
          <w:rFonts w:asciiTheme="majorBidi" w:hAnsiTheme="majorBidi" w:cstheme="majorBidi"/>
          <w:lang w:val="en-MY"/>
        </w:rPr>
        <w:t>The data collection method used in this study is a direct questionnaire</w:t>
      </w:r>
      <w:r w:rsidR="00780D14">
        <w:rPr>
          <w:rFonts w:asciiTheme="majorBidi" w:hAnsiTheme="majorBidi" w:cstheme="majorBidi"/>
          <w:lang w:val="en-MY"/>
        </w:rPr>
        <w:t xml:space="preserve"> that was modified from</w:t>
      </w:r>
      <w:r w:rsidR="00780D14" w:rsidRPr="00535210">
        <w:fldChar w:fldCharType="begin" w:fldLock="1"/>
      </w:r>
      <w:r w:rsidR="00780D14">
        <w:instrText>ADDIN CSL_CITATION {"citationItems":[{"id":"ITEM-1","itemData":{"DOI":"10.3390/su11082219","ISSN":"20711050","abstract":"Feeding a growing global population using conventional agricultural practices is leading to adverse environmental impacts. There is a call for alternative forms of agriculture that address social, economic, and environmental aspects of sustainability. Permaculture is a holistic design framework that incorporates sustainable agricultural practices, potentially improving livelihoods. This study looked at the challenges and benefits of permaculture in improving rural livelihoods in Zimbabwe and South Africa. We used semi-structured interviews to collect data. Permaculture contributed over 40% to total income for participants in both countries. However, permaculture was not the dominant source of income and periodically straddled multiple livelihood strategies. The main benefits of permaculture were identified as improved human health, increased resilience to environmental changes, and reduction of input costs. The key challenges included high labour input, infestation of pests and diseases, and lack of knowledge on permaculture practices. Although permaculture presents significant challenges, its integration with other forms of sustainable agricultural practices can contribute to improved rural livelihoods.","author":[{"dropping-particle":"","family":"Didarali","given":"Zahra","non-dropping-particle":"","parse-names":false,"suffix":""},{"dropping-particle":"","family":"Gambiza","given":"James","non-dropping-particle":"","parse-names":false,"suffix":""}],"container-title":"Sustainability","id":"ITEM-1","issue":"8","issued":{"date-parts":[["2019"]]},"page":"2-19","title":"Permaculture: Challenges and benefits in improving rural livelihoods in South Africa and Zimbabwe","type":"article-journal","volume":"11"},"uris":["http://www.mendeley.com/documents/?uuid=e268739e-0fd6-4921-a610-664df6bfa1d0"]}],"mendeley":{"formattedCitation":"(Didarali &amp; Gambiza, 2019)","manualFormatting":" Didarali and Gambiza (2019)","plainTextFormattedCitation":"(Didarali &amp; Gambiza, 2019)","previouslyFormattedCitation":"(Didarali &amp; Gambiza, 2019)"},"properties":{"noteIndex":0},"schema":"https://github.com/citation-style-language/schema/raw/master/csl-citation.json"}</w:instrText>
      </w:r>
      <w:r w:rsidR="00780D14" w:rsidRPr="00535210">
        <w:fldChar w:fldCharType="separate"/>
      </w:r>
      <w:r w:rsidR="00780D14">
        <w:rPr>
          <w:noProof/>
        </w:rPr>
        <w:t xml:space="preserve"> </w:t>
      </w:r>
      <w:r w:rsidR="00780D14" w:rsidRPr="00535210">
        <w:rPr>
          <w:noProof/>
        </w:rPr>
        <w:t xml:space="preserve">Didarali </w:t>
      </w:r>
      <w:r w:rsidR="00780D14">
        <w:rPr>
          <w:noProof/>
        </w:rPr>
        <w:t>and</w:t>
      </w:r>
      <w:r w:rsidR="00780D14" w:rsidRPr="00535210">
        <w:rPr>
          <w:noProof/>
        </w:rPr>
        <w:t xml:space="preserve"> Gambiza</w:t>
      </w:r>
      <w:r w:rsidR="00780D14">
        <w:rPr>
          <w:noProof/>
        </w:rPr>
        <w:t xml:space="preserve"> (</w:t>
      </w:r>
      <w:r w:rsidR="00780D14" w:rsidRPr="00535210">
        <w:rPr>
          <w:noProof/>
        </w:rPr>
        <w:t>2019)</w:t>
      </w:r>
      <w:r w:rsidR="00780D14" w:rsidRPr="00535210">
        <w:fldChar w:fldCharType="end"/>
      </w:r>
      <w:r w:rsidRPr="0071139F">
        <w:rPr>
          <w:rFonts w:asciiTheme="majorBidi" w:hAnsiTheme="majorBidi" w:cstheme="majorBidi"/>
          <w:lang w:val="en-MY"/>
        </w:rPr>
        <w:t>. The questionnaire</w:t>
      </w:r>
      <w:r w:rsidR="0071139F" w:rsidRPr="0071139F">
        <w:rPr>
          <w:rFonts w:asciiTheme="majorBidi" w:hAnsiTheme="majorBidi" w:cstheme="majorBidi"/>
          <w:lang w:val="en-MY"/>
        </w:rPr>
        <w:t xml:space="preserve"> </w:t>
      </w:r>
      <w:r w:rsidRPr="0071139F">
        <w:rPr>
          <w:rFonts w:asciiTheme="majorBidi" w:hAnsiTheme="majorBidi" w:cstheme="majorBidi"/>
          <w:lang w:val="en-MY"/>
        </w:rPr>
        <w:t xml:space="preserve">consists of five sections </w:t>
      </w:r>
      <w:r w:rsidR="006E6FC9">
        <w:rPr>
          <w:rFonts w:asciiTheme="majorBidi" w:hAnsiTheme="majorBidi" w:cstheme="majorBidi"/>
          <w:lang w:val="en-MY"/>
        </w:rPr>
        <w:t>as</w:t>
      </w:r>
      <w:r w:rsidRPr="0071139F">
        <w:rPr>
          <w:rFonts w:asciiTheme="majorBidi" w:hAnsiTheme="majorBidi" w:cstheme="majorBidi"/>
          <w:lang w:val="en-MY"/>
        </w:rPr>
        <w:t xml:space="preserve"> stated in Table 1 below. In the first section, the respondent was asked some questions on the demographic profile</w:t>
      </w:r>
      <w:r w:rsidR="008063BC">
        <w:rPr>
          <w:rFonts w:asciiTheme="majorBidi" w:hAnsiTheme="majorBidi" w:cstheme="majorBidi"/>
          <w:lang w:val="en-MY"/>
        </w:rPr>
        <w:t>,</w:t>
      </w:r>
      <w:r w:rsidRPr="0071139F">
        <w:rPr>
          <w:rFonts w:asciiTheme="majorBidi" w:hAnsiTheme="majorBidi" w:cstheme="majorBidi"/>
          <w:lang w:val="en-MY"/>
        </w:rPr>
        <w:t xml:space="preserve"> such as gender, age, marital status, occupation, race, highest education level, living area, and monthly income. In the second section, the respondent was asked some question</w:t>
      </w:r>
      <w:r w:rsidR="006E6FC9">
        <w:rPr>
          <w:rFonts w:asciiTheme="majorBidi" w:hAnsiTheme="majorBidi" w:cstheme="majorBidi"/>
          <w:lang w:val="en-MY"/>
        </w:rPr>
        <w:t>s</w:t>
      </w:r>
      <w:r w:rsidRPr="0071139F">
        <w:rPr>
          <w:rFonts w:asciiTheme="majorBidi" w:hAnsiTheme="majorBidi" w:cstheme="majorBidi"/>
          <w:lang w:val="en-MY"/>
        </w:rPr>
        <w:t xml:space="preserve"> regarding the knowledge of</w:t>
      </w:r>
      <w:r w:rsidR="0071139F" w:rsidRPr="0071139F">
        <w:rPr>
          <w:rFonts w:asciiTheme="majorBidi" w:hAnsiTheme="majorBidi" w:cstheme="majorBidi"/>
          <w:lang w:val="en-MY"/>
        </w:rPr>
        <w:t xml:space="preserve"> vegetable </w:t>
      </w:r>
      <w:r w:rsidRPr="0071139F">
        <w:rPr>
          <w:rFonts w:asciiTheme="majorBidi" w:hAnsiTheme="majorBidi" w:cstheme="majorBidi"/>
          <w:lang w:val="en-MY"/>
        </w:rPr>
        <w:t xml:space="preserve">farmers towards permaculture practices. In the </w:t>
      </w:r>
      <w:r w:rsidR="0071139F" w:rsidRPr="0071139F">
        <w:rPr>
          <w:rFonts w:asciiTheme="majorBidi" w:hAnsiTheme="majorBidi" w:cstheme="majorBidi"/>
          <w:lang w:val="en-MY"/>
        </w:rPr>
        <w:t>third</w:t>
      </w:r>
      <w:r w:rsidRPr="0071139F">
        <w:rPr>
          <w:rFonts w:asciiTheme="majorBidi" w:hAnsiTheme="majorBidi" w:cstheme="majorBidi"/>
          <w:lang w:val="en-MY"/>
        </w:rPr>
        <w:t xml:space="preserve"> section, the respondent was asked </w:t>
      </w:r>
      <w:r w:rsidR="006E6FC9">
        <w:rPr>
          <w:rFonts w:asciiTheme="majorBidi" w:hAnsiTheme="majorBidi" w:cstheme="majorBidi"/>
          <w:lang w:val="en-MY"/>
        </w:rPr>
        <w:t>about</w:t>
      </w:r>
      <w:r w:rsidR="006E6FC9" w:rsidRPr="0071139F">
        <w:rPr>
          <w:rFonts w:asciiTheme="majorBidi" w:hAnsiTheme="majorBidi" w:cstheme="majorBidi"/>
          <w:lang w:val="en-MY"/>
        </w:rPr>
        <w:t xml:space="preserve"> </w:t>
      </w:r>
      <w:r w:rsidRPr="0071139F">
        <w:rPr>
          <w:rFonts w:asciiTheme="majorBidi" w:hAnsiTheme="majorBidi" w:cstheme="majorBidi"/>
          <w:lang w:val="en-MY"/>
        </w:rPr>
        <w:t>the cost</w:t>
      </w:r>
      <w:r w:rsidR="006E6FC9">
        <w:rPr>
          <w:rFonts w:asciiTheme="majorBidi" w:hAnsiTheme="majorBidi" w:cstheme="majorBidi"/>
          <w:lang w:val="en-MY"/>
        </w:rPr>
        <w:t>s</w:t>
      </w:r>
      <w:r w:rsidRPr="0071139F">
        <w:rPr>
          <w:rFonts w:asciiTheme="majorBidi" w:hAnsiTheme="majorBidi" w:cstheme="majorBidi"/>
          <w:lang w:val="en-MY"/>
        </w:rPr>
        <w:t xml:space="preserve"> related to permaculture. In the last section, the respondent was asked about their awareness </w:t>
      </w:r>
      <w:r w:rsidR="008063BC">
        <w:rPr>
          <w:rFonts w:asciiTheme="majorBidi" w:hAnsiTheme="majorBidi" w:cstheme="majorBidi"/>
          <w:lang w:val="en-MY"/>
        </w:rPr>
        <w:t>of</w:t>
      </w:r>
      <w:r w:rsidR="008063BC" w:rsidRPr="0071139F">
        <w:rPr>
          <w:rFonts w:asciiTheme="majorBidi" w:hAnsiTheme="majorBidi" w:cstheme="majorBidi"/>
          <w:lang w:val="en-MY"/>
        </w:rPr>
        <w:t xml:space="preserve"> </w:t>
      </w:r>
      <w:r w:rsidRPr="0071139F">
        <w:rPr>
          <w:rFonts w:asciiTheme="majorBidi" w:hAnsiTheme="majorBidi" w:cstheme="majorBidi"/>
          <w:lang w:val="en-MY"/>
        </w:rPr>
        <w:t xml:space="preserve">permaculture practices. Using a 5-point Likert scale, the respondents </w:t>
      </w:r>
      <w:r w:rsidR="006E6FC9" w:rsidRPr="0071139F">
        <w:rPr>
          <w:rFonts w:asciiTheme="majorBidi" w:hAnsiTheme="majorBidi" w:cstheme="majorBidi"/>
          <w:lang w:val="en-MY"/>
        </w:rPr>
        <w:t>w</w:t>
      </w:r>
      <w:r w:rsidR="006E6FC9">
        <w:rPr>
          <w:rFonts w:asciiTheme="majorBidi" w:hAnsiTheme="majorBidi" w:cstheme="majorBidi"/>
          <w:lang w:val="en-MY"/>
        </w:rPr>
        <w:t>ere</w:t>
      </w:r>
      <w:r w:rsidR="006E6FC9" w:rsidRPr="0071139F">
        <w:rPr>
          <w:rFonts w:asciiTheme="majorBidi" w:hAnsiTheme="majorBidi" w:cstheme="majorBidi"/>
          <w:lang w:val="en-MY"/>
        </w:rPr>
        <w:t xml:space="preserve"> </w:t>
      </w:r>
      <w:r w:rsidRPr="0071139F">
        <w:rPr>
          <w:rFonts w:asciiTheme="majorBidi" w:hAnsiTheme="majorBidi" w:cstheme="majorBidi"/>
          <w:lang w:val="en-MY"/>
        </w:rPr>
        <w:t>asked to score each statement according to its perceived relevance (1 = strongly disagree and 5 = strongly agree).</w:t>
      </w:r>
      <w:r w:rsidR="00731317" w:rsidRPr="00731317">
        <w:t xml:space="preserve"> </w:t>
      </w:r>
      <w:r w:rsidR="00731317" w:rsidRPr="00731317">
        <w:rPr>
          <w:rFonts w:asciiTheme="majorBidi" w:hAnsiTheme="majorBidi" w:cstheme="majorBidi"/>
        </w:rPr>
        <w:t>Statistical Package for the Social Sciences</w:t>
      </w:r>
      <w:r w:rsidR="00731317">
        <w:rPr>
          <w:rFonts w:asciiTheme="majorBidi" w:hAnsiTheme="majorBidi" w:cstheme="majorBidi"/>
        </w:rPr>
        <w:t xml:space="preserve"> (</w:t>
      </w:r>
      <w:r w:rsidRPr="0071139F">
        <w:rPr>
          <w:rFonts w:asciiTheme="majorBidi" w:hAnsiTheme="majorBidi" w:cstheme="majorBidi"/>
          <w:lang w:val="en-MY"/>
        </w:rPr>
        <w:t>SPSS</w:t>
      </w:r>
      <w:r w:rsidR="00731317">
        <w:rPr>
          <w:rFonts w:asciiTheme="majorBidi" w:hAnsiTheme="majorBidi" w:cstheme="majorBidi"/>
          <w:lang w:val="en-MY"/>
        </w:rPr>
        <w:t>)</w:t>
      </w:r>
      <w:r w:rsidRPr="0071139F">
        <w:rPr>
          <w:rFonts w:asciiTheme="majorBidi" w:hAnsiTheme="majorBidi" w:cstheme="majorBidi"/>
          <w:lang w:val="en-MY"/>
        </w:rPr>
        <w:t xml:space="preserve"> software was used to conduct frequency analysis, reliability analysis, correlation analysis</w:t>
      </w:r>
      <w:r w:rsidR="008063BC">
        <w:rPr>
          <w:rFonts w:asciiTheme="majorBidi" w:hAnsiTheme="majorBidi" w:cstheme="majorBidi"/>
          <w:lang w:val="en-MY"/>
        </w:rPr>
        <w:t>,</w:t>
      </w:r>
      <w:r w:rsidRPr="0071139F">
        <w:rPr>
          <w:rFonts w:asciiTheme="majorBidi" w:hAnsiTheme="majorBidi" w:cstheme="majorBidi"/>
          <w:lang w:val="en-MY"/>
        </w:rPr>
        <w:t xml:space="preserve"> and regression analysis.</w:t>
      </w:r>
    </w:p>
    <w:p w14:paraId="18555840" w14:textId="3F756F6E" w:rsidR="00B66A37" w:rsidRPr="0071139F" w:rsidRDefault="00B66A37" w:rsidP="0071139F">
      <w:pPr>
        <w:pStyle w:val="BodyText"/>
        <w:widowControl w:val="0"/>
        <w:autoSpaceDE w:val="0"/>
        <w:autoSpaceDN w:val="0"/>
        <w:spacing w:beforeLines="100" w:before="240" w:afterLines="100" w:after="240"/>
        <w:ind w:right="108"/>
        <w:jc w:val="center"/>
        <w:rPr>
          <w:rFonts w:asciiTheme="minorBidi" w:hAnsiTheme="minorBidi" w:cstheme="minorBidi"/>
          <w:sz w:val="18"/>
          <w:szCs w:val="18"/>
          <w:lang w:val="en-MY"/>
        </w:rPr>
      </w:pPr>
      <w:r w:rsidRPr="0071139F">
        <w:rPr>
          <w:rFonts w:asciiTheme="minorBidi" w:hAnsiTheme="minorBidi" w:cstheme="minorBidi"/>
          <w:sz w:val="18"/>
          <w:szCs w:val="18"/>
          <w:lang w:val="en-MY"/>
        </w:rPr>
        <w:t xml:space="preserve">Table 1: Instruments of </w:t>
      </w:r>
      <w:r w:rsidR="006E6FC9">
        <w:rPr>
          <w:rFonts w:asciiTheme="minorBidi" w:hAnsiTheme="minorBidi" w:cstheme="minorBidi"/>
          <w:sz w:val="18"/>
          <w:szCs w:val="18"/>
          <w:lang w:val="en-MY"/>
        </w:rPr>
        <w:t>S</w:t>
      </w:r>
      <w:r w:rsidRPr="0071139F">
        <w:rPr>
          <w:rFonts w:asciiTheme="minorBidi" w:hAnsiTheme="minorBidi" w:cstheme="minorBidi"/>
          <w:sz w:val="18"/>
          <w:szCs w:val="18"/>
          <w:lang w:val="en-MY"/>
        </w:rPr>
        <w:t xml:space="preserve">ections in the </w:t>
      </w:r>
      <w:r w:rsidR="006E6FC9">
        <w:rPr>
          <w:rFonts w:asciiTheme="minorBidi" w:hAnsiTheme="minorBidi" w:cstheme="minorBidi"/>
          <w:sz w:val="18"/>
          <w:szCs w:val="18"/>
          <w:lang w:val="en-MY"/>
        </w:rPr>
        <w:t>Q</w:t>
      </w:r>
      <w:r w:rsidRPr="0071139F">
        <w:rPr>
          <w:rFonts w:asciiTheme="minorBidi" w:hAnsiTheme="minorBidi" w:cstheme="minorBidi"/>
          <w:sz w:val="18"/>
          <w:szCs w:val="18"/>
          <w:lang w:val="en-MY"/>
        </w:rPr>
        <w:t>uestionnaire</w:t>
      </w:r>
    </w:p>
    <w:tbl>
      <w:tblPr>
        <w:tblStyle w:val="TableGrid"/>
        <w:tblW w:w="0" w:type="auto"/>
        <w:jc w:val="center"/>
        <w:tblLook w:val="04A0" w:firstRow="1" w:lastRow="0" w:firstColumn="1" w:lastColumn="0" w:noHBand="0" w:noVBand="1"/>
      </w:tblPr>
      <w:tblGrid>
        <w:gridCol w:w="817"/>
        <w:gridCol w:w="2478"/>
      </w:tblGrid>
      <w:tr w:rsidR="00B66A37" w:rsidRPr="0071139F" w14:paraId="3FDA3294" w14:textId="77777777" w:rsidTr="00882095">
        <w:trPr>
          <w:jc w:val="center"/>
        </w:trPr>
        <w:tc>
          <w:tcPr>
            <w:tcW w:w="0" w:type="auto"/>
          </w:tcPr>
          <w:p w14:paraId="1D2750AA" w14:textId="77777777" w:rsidR="00B66A37" w:rsidRPr="0071139F" w:rsidRDefault="00B66A37" w:rsidP="0071139F">
            <w:pPr>
              <w:jc w:val="center"/>
              <w:rPr>
                <w:rFonts w:asciiTheme="minorBidi" w:hAnsiTheme="minorBidi" w:cstheme="minorBidi"/>
                <w:sz w:val="18"/>
                <w:szCs w:val="18"/>
              </w:rPr>
            </w:pPr>
            <w:r w:rsidRPr="0071139F">
              <w:rPr>
                <w:rFonts w:asciiTheme="minorBidi" w:hAnsiTheme="minorBidi" w:cstheme="minorBidi"/>
                <w:sz w:val="18"/>
                <w:szCs w:val="18"/>
              </w:rPr>
              <w:t>Section</w:t>
            </w:r>
          </w:p>
        </w:tc>
        <w:tc>
          <w:tcPr>
            <w:tcW w:w="0" w:type="auto"/>
          </w:tcPr>
          <w:p w14:paraId="084E5331" w14:textId="77777777" w:rsidR="00B66A37" w:rsidRPr="0071139F" w:rsidRDefault="00B66A37" w:rsidP="0071139F">
            <w:pPr>
              <w:jc w:val="center"/>
              <w:rPr>
                <w:rFonts w:asciiTheme="minorBidi" w:hAnsiTheme="minorBidi" w:cstheme="minorBidi"/>
                <w:sz w:val="18"/>
                <w:szCs w:val="18"/>
              </w:rPr>
            </w:pPr>
            <w:r w:rsidRPr="0071139F">
              <w:rPr>
                <w:rFonts w:asciiTheme="minorBidi" w:hAnsiTheme="minorBidi" w:cstheme="minorBidi"/>
                <w:sz w:val="18"/>
                <w:szCs w:val="18"/>
              </w:rPr>
              <w:t>Title</w:t>
            </w:r>
          </w:p>
        </w:tc>
      </w:tr>
      <w:tr w:rsidR="00B66A37" w:rsidRPr="0071139F" w14:paraId="5E6DEFCC" w14:textId="77777777" w:rsidTr="00882095">
        <w:trPr>
          <w:jc w:val="center"/>
        </w:trPr>
        <w:tc>
          <w:tcPr>
            <w:tcW w:w="0" w:type="auto"/>
          </w:tcPr>
          <w:p w14:paraId="30D31EF3" w14:textId="77777777" w:rsidR="00B66A37" w:rsidRPr="0071139F" w:rsidRDefault="00B66A37" w:rsidP="0071139F">
            <w:pPr>
              <w:jc w:val="center"/>
              <w:rPr>
                <w:rFonts w:asciiTheme="minorBidi" w:hAnsiTheme="minorBidi" w:cstheme="minorBidi"/>
                <w:sz w:val="18"/>
                <w:szCs w:val="18"/>
              </w:rPr>
            </w:pPr>
            <w:r w:rsidRPr="0071139F">
              <w:rPr>
                <w:rFonts w:asciiTheme="minorBidi" w:hAnsiTheme="minorBidi" w:cstheme="minorBidi"/>
                <w:sz w:val="18"/>
                <w:szCs w:val="18"/>
              </w:rPr>
              <w:t>A</w:t>
            </w:r>
          </w:p>
        </w:tc>
        <w:tc>
          <w:tcPr>
            <w:tcW w:w="0" w:type="auto"/>
          </w:tcPr>
          <w:p w14:paraId="2E57192F" w14:textId="77777777" w:rsidR="00B66A37" w:rsidRPr="0071139F" w:rsidRDefault="00B66A37" w:rsidP="0071139F">
            <w:pPr>
              <w:rPr>
                <w:rFonts w:asciiTheme="minorBidi" w:hAnsiTheme="minorBidi" w:cstheme="minorBidi"/>
                <w:sz w:val="18"/>
                <w:szCs w:val="18"/>
              </w:rPr>
            </w:pPr>
            <w:r w:rsidRPr="0071139F">
              <w:rPr>
                <w:rFonts w:asciiTheme="minorBidi" w:hAnsiTheme="minorBidi" w:cstheme="minorBidi"/>
                <w:sz w:val="18"/>
                <w:szCs w:val="18"/>
              </w:rPr>
              <w:t>Demographic</w:t>
            </w:r>
          </w:p>
        </w:tc>
      </w:tr>
      <w:tr w:rsidR="0027509A" w:rsidRPr="0071139F" w14:paraId="5A6946C8" w14:textId="77777777" w:rsidTr="00882095">
        <w:trPr>
          <w:jc w:val="center"/>
        </w:trPr>
        <w:tc>
          <w:tcPr>
            <w:tcW w:w="0" w:type="auto"/>
          </w:tcPr>
          <w:p w14:paraId="4ABCDCD4" w14:textId="13CD4B23" w:rsidR="0027509A" w:rsidRPr="0071139F" w:rsidRDefault="0027509A" w:rsidP="00882095">
            <w:pPr>
              <w:jc w:val="center"/>
              <w:rPr>
                <w:rFonts w:asciiTheme="minorBidi" w:hAnsiTheme="minorBidi" w:cstheme="minorBidi"/>
                <w:sz w:val="18"/>
                <w:szCs w:val="18"/>
              </w:rPr>
            </w:pPr>
            <w:r w:rsidRPr="0071139F">
              <w:rPr>
                <w:rFonts w:asciiTheme="minorBidi" w:hAnsiTheme="minorBidi" w:cstheme="minorBidi"/>
                <w:sz w:val="18"/>
                <w:szCs w:val="18"/>
              </w:rPr>
              <w:t>B</w:t>
            </w:r>
          </w:p>
        </w:tc>
        <w:tc>
          <w:tcPr>
            <w:tcW w:w="0" w:type="auto"/>
          </w:tcPr>
          <w:p w14:paraId="4A7089F5" w14:textId="1740A522" w:rsidR="0027509A" w:rsidRPr="0071139F" w:rsidRDefault="0027509A" w:rsidP="00882095">
            <w:pPr>
              <w:rPr>
                <w:rFonts w:asciiTheme="minorBidi" w:hAnsiTheme="minorBidi" w:cstheme="minorBidi"/>
                <w:sz w:val="18"/>
                <w:szCs w:val="18"/>
              </w:rPr>
            </w:pPr>
            <w:r w:rsidRPr="0071139F">
              <w:rPr>
                <w:rFonts w:asciiTheme="minorBidi" w:hAnsiTheme="minorBidi" w:cstheme="minorBidi"/>
                <w:sz w:val="18"/>
                <w:szCs w:val="18"/>
              </w:rPr>
              <w:t xml:space="preserve">Awareness </w:t>
            </w:r>
            <w:r w:rsidR="006E6FC9" w:rsidRPr="0071139F">
              <w:rPr>
                <w:rFonts w:asciiTheme="minorBidi" w:hAnsiTheme="minorBidi" w:cstheme="minorBidi"/>
                <w:sz w:val="18"/>
                <w:szCs w:val="18"/>
              </w:rPr>
              <w:t>o</w:t>
            </w:r>
            <w:r w:rsidR="006E6FC9">
              <w:rPr>
                <w:rFonts w:asciiTheme="minorBidi" w:hAnsiTheme="minorBidi" w:cstheme="minorBidi"/>
                <w:sz w:val="18"/>
                <w:szCs w:val="18"/>
              </w:rPr>
              <w:t>f</w:t>
            </w:r>
            <w:r w:rsidR="006E6FC9" w:rsidRPr="0071139F">
              <w:rPr>
                <w:rFonts w:asciiTheme="minorBidi" w:hAnsiTheme="minorBidi" w:cstheme="minorBidi"/>
                <w:sz w:val="18"/>
                <w:szCs w:val="18"/>
              </w:rPr>
              <w:t xml:space="preserve"> </w:t>
            </w:r>
            <w:r w:rsidRPr="0071139F">
              <w:rPr>
                <w:rFonts w:asciiTheme="minorBidi" w:hAnsiTheme="minorBidi" w:cstheme="minorBidi"/>
                <w:sz w:val="18"/>
                <w:szCs w:val="18"/>
              </w:rPr>
              <w:t xml:space="preserve">Permaculture </w:t>
            </w:r>
          </w:p>
        </w:tc>
      </w:tr>
      <w:tr w:rsidR="0027509A" w:rsidRPr="0071139F" w14:paraId="619F3552" w14:textId="77777777" w:rsidTr="00882095">
        <w:trPr>
          <w:jc w:val="center"/>
        </w:trPr>
        <w:tc>
          <w:tcPr>
            <w:tcW w:w="0" w:type="auto"/>
          </w:tcPr>
          <w:p w14:paraId="0FA5DAE7" w14:textId="55D5431C" w:rsidR="0027509A" w:rsidRPr="0071139F" w:rsidRDefault="0027509A" w:rsidP="00882095">
            <w:pPr>
              <w:jc w:val="center"/>
              <w:rPr>
                <w:rFonts w:asciiTheme="minorBidi" w:hAnsiTheme="minorBidi" w:cstheme="minorBidi"/>
                <w:sz w:val="18"/>
                <w:szCs w:val="18"/>
              </w:rPr>
            </w:pPr>
            <w:r w:rsidRPr="0071139F">
              <w:rPr>
                <w:rFonts w:asciiTheme="minorBidi" w:hAnsiTheme="minorBidi" w:cstheme="minorBidi"/>
                <w:sz w:val="18"/>
                <w:szCs w:val="18"/>
              </w:rPr>
              <w:t>C</w:t>
            </w:r>
          </w:p>
        </w:tc>
        <w:tc>
          <w:tcPr>
            <w:tcW w:w="0" w:type="auto"/>
          </w:tcPr>
          <w:p w14:paraId="68CB7D9F" w14:textId="260BB87C" w:rsidR="0027509A" w:rsidRPr="0071139F" w:rsidRDefault="0027509A" w:rsidP="00882095">
            <w:pPr>
              <w:rPr>
                <w:rFonts w:asciiTheme="minorBidi" w:hAnsiTheme="minorBidi" w:cstheme="minorBidi"/>
                <w:sz w:val="18"/>
                <w:szCs w:val="18"/>
              </w:rPr>
            </w:pPr>
            <w:r w:rsidRPr="0071139F">
              <w:rPr>
                <w:rFonts w:asciiTheme="minorBidi" w:hAnsiTheme="minorBidi" w:cstheme="minorBidi"/>
                <w:sz w:val="18"/>
                <w:szCs w:val="18"/>
              </w:rPr>
              <w:t xml:space="preserve">Cost </w:t>
            </w:r>
            <w:r w:rsidR="006E6FC9" w:rsidRPr="0071139F">
              <w:rPr>
                <w:rFonts w:asciiTheme="minorBidi" w:hAnsiTheme="minorBidi" w:cstheme="minorBidi"/>
                <w:sz w:val="18"/>
                <w:szCs w:val="18"/>
              </w:rPr>
              <w:t>o</w:t>
            </w:r>
            <w:r w:rsidR="006E6FC9">
              <w:rPr>
                <w:rFonts w:asciiTheme="minorBidi" w:hAnsiTheme="minorBidi" w:cstheme="minorBidi"/>
                <w:sz w:val="18"/>
                <w:szCs w:val="18"/>
              </w:rPr>
              <w:t>f</w:t>
            </w:r>
            <w:r w:rsidR="006E6FC9" w:rsidRPr="0071139F">
              <w:rPr>
                <w:rFonts w:asciiTheme="minorBidi" w:hAnsiTheme="minorBidi" w:cstheme="minorBidi"/>
                <w:sz w:val="18"/>
                <w:szCs w:val="18"/>
              </w:rPr>
              <w:t xml:space="preserve"> </w:t>
            </w:r>
            <w:r w:rsidRPr="0071139F">
              <w:rPr>
                <w:rFonts w:asciiTheme="minorBidi" w:hAnsiTheme="minorBidi" w:cstheme="minorBidi"/>
                <w:sz w:val="18"/>
                <w:szCs w:val="18"/>
              </w:rPr>
              <w:t>Permaculture</w:t>
            </w:r>
          </w:p>
        </w:tc>
      </w:tr>
      <w:tr w:rsidR="00B66A37" w:rsidRPr="0071139F" w14:paraId="5031A1CC" w14:textId="77777777" w:rsidTr="00882095">
        <w:trPr>
          <w:jc w:val="center"/>
        </w:trPr>
        <w:tc>
          <w:tcPr>
            <w:tcW w:w="0" w:type="auto"/>
          </w:tcPr>
          <w:p w14:paraId="3A954924" w14:textId="1433AC3F" w:rsidR="00B66A37" w:rsidRPr="0071139F" w:rsidRDefault="0027509A" w:rsidP="00882095">
            <w:pPr>
              <w:jc w:val="center"/>
              <w:rPr>
                <w:rFonts w:asciiTheme="minorBidi" w:hAnsiTheme="minorBidi" w:cstheme="minorBidi"/>
                <w:sz w:val="18"/>
                <w:szCs w:val="18"/>
              </w:rPr>
            </w:pPr>
            <w:r w:rsidRPr="0071139F">
              <w:rPr>
                <w:rFonts w:asciiTheme="minorBidi" w:hAnsiTheme="minorBidi" w:cstheme="minorBidi"/>
                <w:sz w:val="18"/>
                <w:szCs w:val="18"/>
              </w:rPr>
              <w:t>D</w:t>
            </w:r>
          </w:p>
        </w:tc>
        <w:tc>
          <w:tcPr>
            <w:tcW w:w="0" w:type="auto"/>
          </w:tcPr>
          <w:p w14:paraId="0C23B05D" w14:textId="4F55977C" w:rsidR="00B66A37" w:rsidRPr="0071139F" w:rsidRDefault="00B66A37" w:rsidP="00882095">
            <w:pPr>
              <w:rPr>
                <w:rFonts w:asciiTheme="minorBidi" w:hAnsiTheme="minorBidi" w:cstheme="minorBidi"/>
                <w:sz w:val="18"/>
                <w:szCs w:val="18"/>
              </w:rPr>
            </w:pPr>
            <w:r w:rsidRPr="0071139F">
              <w:rPr>
                <w:rFonts w:asciiTheme="minorBidi" w:hAnsiTheme="minorBidi" w:cstheme="minorBidi"/>
                <w:sz w:val="18"/>
                <w:szCs w:val="18"/>
              </w:rPr>
              <w:t xml:space="preserve">Knowledge </w:t>
            </w:r>
            <w:r w:rsidR="0027509A" w:rsidRPr="0071139F">
              <w:rPr>
                <w:rFonts w:asciiTheme="minorBidi" w:hAnsiTheme="minorBidi" w:cstheme="minorBidi"/>
                <w:sz w:val="18"/>
                <w:szCs w:val="18"/>
              </w:rPr>
              <w:t>on Permaculture</w:t>
            </w:r>
          </w:p>
        </w:tc>
      </w:tr>
    </w:tbl>
    <w:p w14:paraId="10849E3A" w14:textId="77777777" w:rsidR="0049115B" w:rsidRDefault="0049115B" w:rsidP="00087F17">
      <w:pPr>
        <w:pBdr>
          <w:top w:val="nil"/>
          <w:left w:val="nil"/>
          <w:bottom w:val="nil"/>
          <w:right w:val="nil"/>
          <w:between w:val="nil"/>
        </w:pBdr>
        <w:tabs>
          <w:tab w:val="left" w:pos="270"/>
        </w:tabs>
        <w:spacing w:after="200" w:line="276" w:lineRule="auto"/>
        <w:rPr>
          <w:rFonts w:ascii="Arial" w:eastAsia="Arial" w:hAnsi="Arial" w:cs="Arial"/>
          <w:b/>
          <w:color w:val="000000"/>
          <w:sz w:val="24"/>
          <w:szCs w:val="24"/>
        </w:rPr>
      </w:pPr>
    </w:p>
    <w:p w14:paraId="07A253EA" w14:textId="77777777" w:rsidR="00DC54BA" w:rsidRDefault="00DC54BA" w:rsidP="00087F17">
      <w:pPr>
        <w:pBdr>
          <w:top w:val="nil"/>
          <w:left w:val="nil"/>
          <w:bottom w:val="nil"/>
          <w:right w:val="nil"/>
          <w:between w:val="nil"/>
        </w:pBdr>
        <w:tabs>
          <w:tab w:val="left" w:pos="270"/>
        </w:tabs>
        <w:spacing w:after="200" w:line="276" w:lineRule="auto"/>
        <w:rPr>
          <w:rFonts w:ascii="Arial" w:eastAsia="Arial" w:hAnsi="Arial" w:cs="Arial"/>
          <w:b/>
          <w:color w:val="000000"/>
          <w:sz w:val="24"/>
          <w:szCs w:val="24"/>
        </w:rPr>
      </w:pPr>
    </w:p>
    <w:p w14:paraId="54BEEC0E" w14:textId="77777777" w:rsidR="00DC54BA" w:rsidRDefault="00DC54BA" w:rsidP="00087F17">
      <w:pPr>
        <w:pBdr>
          <w:top w:val="nil"/>
          <w:left w:val="nil"/>
          <w:bottom w:val="nil"/>
          <w:right w:val="nil"/>
          <w:between w:val="nil"/>
        </w:pBdr>
        <w:tabs>
          <w:tab w:val="left" w:pos="270"/>
        </w:tabs>
        <w:spacing w:after="200" w:line="276" w:lineRule="auto"/>
        <w:rPr>
          <w:rFonts w:ascii="Arial" w:eastAsia="Arial" w:hAnsi="Arial" w:cs="Arial"/>
          <w:b/>
          <w:color w:val="000000"/>
          <w:sz w:val="24"/>
          <w:szCs w:val="24"/>
        </w:rPr>
      </w:pPr>
    </w:p>
    <w:p w14:paraId="3B233AF5" w14:textId="77777777" w:rsidR="00DC54BA" w:rsidRDefault="00DC54BA" w:rsidP="00087F17">
      <w:pPr>
        <w:pBdr>
          <w:top w:val="nil"/>
          <w:left w:val="nil"/>
          <w:bottom w:val="nil"/>
          <w:right w:val="nil"/>
          <w:between w:val="nil"/>
        </w:pBdr>
        <w:tabs>
          <w:tab w:val="left" w:pos="270"/>
        </w:tabs>
        <w:spacing w:after="200" w:line="276" w:lineRule="auto"/>
        <w:rPr>
          <w:rFonts w:ascii="Arial" w:eastAsia="Arial" w:hAnsi="Arial" w:cs="Arial"/>
          <w:b/>
          <w:color w:val="000000"/>
          <w:sz w:val="24"/>
          <w:szCs w:val="24"/>
        </w:rPr>
      </w:pPr>
    </w:p>
    <w:p w14:paraId="4734D813" w14:textId="24FB1D72" w:rsidR="00087F17" w:rsidRDefault="006E6FC9" w:rsidP="00087F17">
      <w:pPr>
        <w:pBdr>
          <w:top w:val="nil"/>
          <w:left w:val="nil"/>
          <w:bottom w:val="nil"/>
          <w:right w:val="nil"/>
          <w:between w:val="nil"/>
        </w:pBdr>
        <w:tabs>
          <w:tab w:val="left" w:pos="270"/>
        </w:tabs>
        <w:spacing w:after="200" w:line="276" w:lineRule="auto"/>
        <w:rPr>
          <w:rFonts w:ascii="Arial" w:eastAsia="Arial" w:hAnsi="Arial" w:cs="Arial"/>
          <w:b/>
          <w:color w:val="000000"/>
          <w:sz w:val="24"/>
          <w:szCs w:val="24"/>
        </w:rPr>
      </w:pPr>
      <w:r>
        <w:rPr>
          <w:rFonts w:ascii="Arial" w:eastAsia="Arial" w:hAnsi="Arial" w:cs="Arial"/>
          <w:b/>
          <w:color w:val="000000"/>
          <w:sz w:val="24"/>
          <w:szCs w:val="24"/>
        </w:rPr>
        <w:lastRenderedPageBreak/>
        <w:t>R</w:t>
      </w:r>
      <w:r w:rsidR="00087F17">
        <w:rPr>
          <w:rFonts w:ascii="Arial" w:eastAsia="Arial" w:hAnsi="Arial" w:cs="Arial"/>
          <w:b/>
          <w:color w:val="000000"/>
          <w:sz w:val="24"/>
          <w:szCs w:val="24"/>
        </w:rPr>
        <w:t>ESULTS AND DISCUSSIONS</w:t>
      </w:r>
    </w:p>
    <w:p w14:paraId="515232C2" w14:textId="77777777" w:rsidR="00087F17" w:rsidRDefault="00087F17" w:rsidP="00087F17">
      <w:pPr>
        <w:rPr>
          <w:rFonts w:ascii="Arial" w:hAnsi="Arial" w:cs="Arial"/>
          <w:b/>
          <w:bCs/>
          <w:lang w:eastAsia="en-US"/>
        </w:rPr>
      </w:pPr>
      <w:r>
        <w:rPr>
          <w:rFonts w:ascii="Arial" w:hAnsi="Arial" w:cs="Arial"/>
          <w:b/>
          <w:bCs/>
          <w:lang w:eastAsia="en-US"/>
        </w:rPr>
        <w:t>Frequency Analysis</w:t>
      </w:r>
    </w:p>
    <w:p w14:paraId="59721EDB" w14:textId="77777777" w:rsidR="00087F17" w:rsidRDefault="00087F17" w:rsidP="00087F17">
      <w:pPr>
        <w:rPr>
          <w:rFonts w:ascii="Arial" w:hAnsi="Arial" w:cs="Arial"/>
          <w:b/>
          <w:bCs/>
          <w:lang w:eastAsia="en-US"/>
        </w:rPr>
      </w:pPr>
    </w:p>
    <w:p w14:paraId="63BD5180" w14:textId="2AB12A31" w:rsidR="00D54C88" w:rsidRDefault="00D54C88" w:rsidP="00D54C88">
      <w:pPr>
        <w:spacing w:after="160"/>
        <w:jc w:val="both"/>
        <w:rPr>
          <w:rFonts w:eastAsia="DengXian"/>
          <w:kern w:val="2"/>
          <w:lang w:val="en-MY"/>
          <w14:ligatures w14:val="standardContextual"/>
        </w:rPr>
      </w:pPr>
      <w:r w:rsidRPr="00A7770B">
        <w:rPr>
          <w:rFonts w:eastAsia="DengXian"/>
          <w:kern w:val="2"/>
          <w:lang w:val="en-MY"/>
          <w14:ligatures w14:val="standardContextual"/>
        </w:rPr>
        <w:t xml:space="preserve">Table 2 </w:t>
      </w:r>
      <w:r w:rsidRPr="00EE2DC9">
        <w:rPr>
          <w:rFonts w:eastAsia="DengXian"/>
          <w:kern w:val="2"/>
          <w:lang w:val="en-MY"/>
          <w14:ligatures w14:val="standardContextual"/>
        </w:rPr>
        <w:t>explains</w:t>
      </w:r>
      <w:r w:rsidRPr="005F73E2">
        <w:rPr>
          <w:rFonts w:eastAsia="DengXian"/>
          <w:kern w:val="2"/>
          <w:lang w:val="en-MY"/>
          <w14:ligatures w14:val="standardContextual"/>
        </w:rPr>
        <w:t xml:space="preserve"> and summarizes the demographic profile of the </w:t>
      </w:r>
      <w:r>
        <w:rPr>
          <w:rFonts w:eastAsia="DengXian"/>
          <w:kern w:val="2"/>
          <w:lang w:val="en-MY"/>
          <w14:ligatures w14:val="standardContextual"/>
        </w:rPr>
        <w:t xml:space="preserve">vegetable </w:t>
      </w:r>
      <w:r w:rsidRPr="005F73E2">
        <w:rPr>
          <w:rFonts w:eastAsia="DengXian"/>
          <w:kern w:val="2"/>
          <w:lang w:val="en-MY"/>
          <w14:ligatures w14:val="standardContextual"/>
        </w:rPr>
        <w:t xml:space="preserve">farmers in the </w:t>
      </w:r>
      <w:r>
        <w:rPr>
          <w:rFonts w:eastAsia="DengXian"/>
          <w:kern w:val="2"/>
          <w:lang w:val="en-MY"/>
          <w14:ligatures w14:val="standardContextual"/>
        </w:rPr>
        <w:t>five</w:t>
      </w:r>
      <w:r w:rsidRPr="005F73E2">
        <w:rPr>
          <w:rFonts w:eastAsia="DengXian"/>
          <w:kern w:val="2"/>
          <w:lang w:val="en-MY"/>
          <w14:ligatures w14:val="standardContextual"/>
        </w:rPr>
        <w:t xml:space="preserve"> </w:t>
      </w:r>
      <w:r>
        <w:rPr>
          <w:rFonts w:eastAsia="DengXian"/>
          <w:kern w:val="2"/>
          <w:lang w:val="en-MY"/>
          <w14:ligatures w14:val="standardContextual"/>
        </w:rPr>
        <w:t xml:space="preserve">locations </w:t>
      </w:r>
      <w:r w:rsidRPr="005F73E2">
        <w:rPr>
          <w:rFonts w:eastAsia="DengXian"/>
          <w:kern w:val="2"/>
          <w:lang w:val="en-MY"/>
          <w14:ligatures w14:val="standardContextual"/>
        </w:rPr>
        <w:t>that had responded</w:t>
      </w:r>
      <w:r>
        <w:rPr>
          <w:rFonts w:eastAsia="DengXian"/>
          <w:kern w:val="2"/>
          <w:lang w:val="en-MY"/>
          <w14:ligatures w14:val="standardContextual"/>
        </w:rPr>
        <w:t>. A total of 52 respondents participated in the study, with the majority being male (96.2%), while female respondents accounted for only 3.8%. In term</w:t>
      </w:r>
      <w:r w:rsidR="006E6FC9">
        <w:rPr>
          <w:rFonts w:eastAsia="DengXian"/>
          <w:kern w:val="2"/>
          <w:lang w:val="en-MY"/>
          <w14:ligatures w14:val="standardContextual"/>
        </w:rPr>
        <w:t>s</w:t>
      </w:r>
      <w:r>
        <w:rPr>
          <w:rFonts w:eastAsia="DengXian"/>
          <w:kern w:val="2"/>
          <w:lang w:val="en-MY"/>
          <w14:ligatures w14:val="standardContextual"/>
        </w:rPr>
        <w:t xml:space="preserve"> of age, most respondents were aged between 51</w:t>
      </w:r>
      <w:r w:rsidR="008063BC">
        <w:rPr>
          <w:rFonts w:eastAsia="DengXian"/>
          <w:kern w:val="2"/>
          <w:lang w:val="en-MY"/>
          <w14:ligatures w14:val="standardContextual"/>
        </w:rPr>
        <w:t xml:space="preserve"> and </w:t>
      </w:r>
      <w:r>
        <w:rPr>
          <w:rFonts w:eastAsia="DengXian"/>
          <w:kern w:val="2"/>
          <w:lang w:val="en-MY"/>
          <w14:ligatures w14:val="standardContextual"/>
        </w:rPr>
        <w:t>60 years (59.6%), followed by those aged 41-50 years (23.1%), 31-40 years (13.5%)</w:t>
      </w:r>
      <w:r w:rsidR="008063BC">
        <w:rPr>
          <w:rFonts w:eastAsia="DengXian"/>
          <w:kern w:val="2"/>
          <w:lang w:val="en-MY"/>
          <w14:ligatures w14:val="standardContextual"/>
        </w:rPr>
        <w:t>,</w:t>
      </w:r>
      <w:r>
        <w:rPr>
          <w:rFonts w:eastAsia="DengXian"/>
          <w:kern w:val="2"/>
          <w:lang w:val="en-MY"/>
          <w14:ligatures w14:val="standardContextual"/>
        </w:rPr>
        <w:t xml:space="preserve"> and a small proportion aged 20-30 years (3.8%). Most respondents were married (88.5%) and self-employed (42.3%) or retired (26.9%), indicating a sample largely composed of experienced individuals outside </w:t>
      </w:r>
      <w:r w:rsidR="006E6FC9">
        <w:rPr>
          <w:rFonts w:eastAsia="DengXian"/>
          <w:kern w:val="2"/>
          <w:lang w:val="en-MY"/>
          <w14:ligatures w14:val="standardContextual"/>
        </w:rPr>
        <w:t xml:space="preserve">the </w:t>
      </w:r>
      <w:r>
        <w:rPr>
          <w:rFonts w:eastAsia="DengXian"/>
          <w:kern w:val="2"/>
          <w:lang w:val="en-MY"/>
          <w14:ligatures w14:val="standardContextual"/>
        </w:rPr>
        <w:t>formal employment sector. The respondents had mainly secondary-level education (69.2%), suggesting moderate educational attainment within a relatively homogenous group.</w:t>
      </w:r>
      <w:r w:rsidR="00E44E48">
        <w:rPr>
          <w:rFonts w:eastAsia="DengXian"/>
          <w:kern w:val="2"/>
          <w:lang w:val="en-MY"/>
          <w14:ligatures w14:val="standardContextual"/>
        </w:rPr>
        <w:t xml:space="preserve"> </w:t>
      </w:r>
      <w:r>
        <w:rPr>
          <w:rFonts w:eastAsia="DengXian"/>
          <w:kern w:val="2"/>
          <w:lang w:val="en-MY"/>
          <w14:ligatures w14:val="standardContextual"/>
        </w:rPr>
        <w:t>In term</w:t>
      </w:r>
      <w:r w:rsidR="006E6FC9">
        <w:rPr>
          <w:rFonts w:eastAsia="DengXian"/>
          <w:kern w:val="2"/>
          <w:lang w:val="en-MY"/>
          <w14:ligatures w14:val="standardContextual"/>
        </w:rPr>
        <w:t>s</w:t>
      </w:r>
      <w:r>
        <w:rPr>
          <w:rFonts w:eastAsia="DengXian"/>
          <w:kern w:val="2"/>
          <w:lang w:val="en-MY"/>
          <w14:ligatures w14:val="standardContextual"/>
        </w:rPr>
        <w:t xml:space="preserve"> of socioeconomic background, over half of the respondents resided in urban areas (54.0%) and reported monthly incomes between RM1001-RM3000 (51.9%), reflecting a middle-lower income profile. Notably, the respondents demonstrated substantial experience, with the largest proportion reporting 15-25 years and more than 35 years of involvement (both 26.9%), reinforcing the maturity of the sample. </w:t>
      </w:r>
    </w:p>
    <w:p w14:paraId="3D217C77" w14:textId="69AC55AB" w:rsidR="00D54C88" w:rsidRDefault="00D54C88" w:rsidP="00B7149B">
      <w:pPr>
        <w:jc w:val="center"/>
        <w:rPr>
          <w:rFonts w:eastAsia="DengXian"/>
          <w:kern w:val="2"/>
          <w:lang w:val="en-MY"/>
          <w14:ligatures w14:val="standardContextual"/>
        </w:rPr>
      </w:pPr>
      <w:r w:rsidRPr="008C407A">
        <w:rPr>
          <w:rFonts w:asciiTheme="minorBidi" w:eastAsia="DengXian" w:hAnsiTheme="minorBidi" w:cstheme="minorBidi"/>
          <w:iCs/>
          <w:sz w:val="18"/>
          <w:szCs w:val="18"/>
          <w:lang w:val="en-MY"/>
        </w:rPr>
        <w:t xml:space="preserve">Table </w:t>
      </w:r>
      <w:r>
        <w:rPr>
          <w:rFonts w:asciiTheme="minorBidi" w:eastAsia="DengXian" w:hAnsiTheme="minorBidi" w:cstheme="minorBidi"/>
          <w:iCs/>
          <w:sz w:val="18"/>
          <w:szCs w:val="18"/>
          <w:lang w:val="en-MY"/>
        </w:rPr>
        <w:t>2</w:t>
      </w:r>
      <w:r w:rsidRPr="008C407A">
        <w:rPr>
          <w:rFonts w:asciiTheme="minorBidi" w:eastAsia="DengXian" w:hAnsiTheme="minorBidi" w:cstheme="minorBidi"/>
          <w:iCs/>
          <w:sz w:val="18"/>
          <w:szCs w:val="18"/>
          <w:lang w:val="en-MY"/>
        </w:rPr>
        <w:t xml:space="preserve">: Demographic Profile of </w:t>
      </w:r>
      <w:r w:rsidR="006E6FC9">
        <w:rPr>
          <w:rFonts w:asciiTheme="minorBidi" w:eastAsia="DengXian" w:hAnsiTheme="minorBidi" w:cstheme="minorBidi"/>
          <w:iCs/>
          <w:sz w:val="18"/>
          <w:szCs w:val="18"/>
          <w:lang w:val="en-MY"/>
        </w:rPr>
        <w:t>the Respondents</w:t>
      </w:r>
    </w:p>
    <w:tbl>
      <w:tblPr>
        <w:tblStyle w:val="TableGrid5"/>
        <w:tblW w:w="3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2253"/>
        <w:gridCol w:w="2254"/>
      </w:tblGrid>
      <w:tr w:rsidR="00D54C88" w:rsidRPr="008C407A" w14:paraId="78D6C587" w14:textId="77777777" w:rsidTr="00C122C1">
        <w:trPr>
          <w:jc w:val="center"/>
        </w:trPr>
        <w:tc>
          <w:tcPr>
            <w:tcW w:w="1667" w:type="pct"/>
            <w:tcBorders>
              <w:top w:val="single" w:sz="4" w:space="0" w:color="auto"/>
              <w:left w:val="single" w:sz="4" w:space="0" w:color="auto"/>
              <w:bottom w:val="single" w:sz="4" w:space="0" w:color="auto"/>
              <w:right w:val="single" w:sz="4" w:space="0" w:color="auto"/>
            </w:tcBorders>
            <w:vAlign w:val="center"/>
          </w:tcPr>
          <w:p w14:paraId="48B0AA49"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Demographic</w:t>
            </w:r>
          </w:p>
        </w:tc>
        <w:tc>
          <w:tcPr>
            <w:tcW w:w="1666" w:type="pct"/>
            <w:tcBorders>
              <w:top w:val="single" w:sz="4" w:space="0" w:color="auto"/>
              <w:left w:val="single" w:sz="4" w:space="0" w:color="auto"/>
              <w:bottom w:val="single" w:sz="4" w:space="0" w:color="auto"/>
              <w:right w:val="single" w:sz="4" w:space="0" w:color="auto"/>
            </w:tcBorders>
            <w:vAlign w:val="center"/>
          </w:tcPr>
          <w:p w14:paraId="3C81902E"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Frequency</w:t>
            </w:r>
          </w:p>
        </w:tc>
        <w:tc>
          <w:tcPr>
            <w:tcW w:w="1667" w:type="pct"/>
            <w:tcBorders>
              <w:top w:val="single" w:sz="4" w:space="0" w:color="auto"/>
              <w:left w:val="single" w:sz="4" w:space="0" w:color="auto"/>
              <w:bottom w:val="single" w:sz="4" w:space="0" w:color="auto"/>
              <w:right w:val="single" w:sz="4" w:space="0" w:color="auto"/>
            </w:tcBorders>
            <w:vAlign w:val="center"/>
          </w:tcPr>
          <w:p w14:paraId="5185107F"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Percentage</w:t>
            </w:r>
          </w:p>
        </w:tc>
      </w:tr>
      <w:tr w:rsidR="00D54C88" w:rsidRPr="008C407A" w14:paraId="511BD1B3" w14:textId="77777777" w:rsidTr="00C122C1">
        <w:trPr>
          <w:jc w:val="center"/>
        </w:trPr>
        <w:tc>
          <w:tcPr>
            <w:tcW w:w="5000" w:type="pct"/>
            <w:gridSpan w:val="3"/>
            <w:tcBorders>
              <w:top w:val="single" w:sz="4" w:space="0" w:color="auto"/>
              <w:left w:val="single" w:sz="4" w:space="0" w:color="auto"/>
              <w:right w:val="single" w:sz="4" w:space="0" w:color="auto"/>
            </w:tcBorders>
            <w:vAlign w:val="center"/>
          </w:tcPr>
          <w:p w14:paraId="6264D3BD"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Gender</w:t>
            </w:r>
          </w:p>
        </w:tc>
      </w:tr>
      <w:tr w:rsidR="00D54C88" w:rsidRPr="008C407A" w14:paraId="1B104958" w14:textId="77777777" w:rsidTr="00C122C1">
        <w:trPr>
          <w:jc w:val="center"/>
        </w:trPr>
        <w:tc>
          <w:tcPr>
            <w:tcW w:w="1667" w:type="pct"/>
            <w:tcBorders>
              <w:left w:val="single" w:sz="4" w:space="0" w:color="auto"/>
            </w:tcBorders>
            <w:vAlign w:val="center"/>
          </w:tcPr>
          <w:p w14:paraId="3348AA47"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Male</w:t>
            </w:r>
          </w:p>
        </w:tc>
        <w:tc>
          <w:tcPr>
            <w:tcW w:w="1666" w:type="pct"/>
            <w:vAlign w:val="center"/>
          </w:tcPr>
          <w:p w14:paraId="05B92F00"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50</w:t>
            </w:r>
          </w:p>
        </w:tc>
        <w:tc>
          <w:tcPr>
            <w:tcW w:w="1667" w:type="pct"/>
            <w:tcBorders>
              <w:right w:val="single" w:sz="4" w:space="0" w:color="auto"/>
            </w:tcBorders>
            <w:vAlign w:val="center"/>
          </w:tcPr>
          <w:p w14:paraId="2C4CD83C"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96.2</w:t>
            </w:r>
          </w:p>
        </w:tc>
      </w:tr>
      <w:tr w:rsidR="00D54C88" w:rsidRPr="008C407A" w14:paraId="29C93CC7" w14:textId="77777777" w:rsidTr="00C122C1">
        <w:trPr>
          <w:jc w:val="center"/>
        </w:trPr>
        <w:tc>
          <w:tcPr>
            <w:tcW w:w="1667" w:type="pct"/>
            <w:tcBorders>
              <w:left w:val="single" w:sz="4" w:space="0" w:color="auto"/>
            </w:tcBorders>
            <w:vAlign w:val="center"/>
          </w:tcPr>
          <w:p w14:paraId="5ADA7CC0"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Female</w:t>
            </w:r>
          </w:p>
        </w:tc>
        <w:tc>
          <w:tcPr>
            <w:tcW w:w="1666" w:type="pct"/>
            <w:vAlign w:val="center"/>
          </w:tcPr>
          <w:p w14:paraId="0AF0AC0B"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w:t>
            </w:r>
          </w:p>
        </w:tc>
        <w:tc>
          <w:tcPr>
            <w:tcW w:w="1667" w:type="pct"/>
            <w:tcBorders>
              <w:right w:val="single" w:sz="4" w:space="0" w:color="auto"/>
            </w:tcBorders>
            <w:vAlign w:val="center"/>
          </w:tcPr>
          <w:p w14:paraId="4E04D0C0"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3.8</w:t>
            </w:r>
          </w:p>
        </w:tc>
      </w:tr>
      <w:tr w:rsidR="00D54C88" w:rsidRPr="008C407A" w14:paraId="24ADFAEC" w14:textId="77777777" w:rsidTr="00C122C1">
        <w:trPr>
          <w:jc w:val="center"/>
        </w:trPr>
        <w:tc>
          <w:tcPr>
            <w:tcW w:w="1667" w:type="pct"/>
            <w:tcBorders>
              <w:left w:val="single" w:sz="4" w:space="0" w:color="auto"/>
              <w:bottom w:val="single" w:sz="4" w:space="0" w:color="auto"/>
            </w:tcBorders>
            <w:vAlign w:val="center"/>
          </w:tcPr>
          <w:p w14:paraId="282D6EC5"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Total</w:t>
            </w:r>
          </w:p>
        </w:tc>
        <w:tc>
          <w:tcPr>
            <w:tcW w:w="1666" w:type="pct"/>
            <w:tcBorders>
              <w:bottom w:val="single" w:sz="4" w:space="0" w:color="auto"/>
            </w:tcBorders>
            <w:vAlign w:val="center"/>
          </w:tcPr>
          <w:p w14:paraId="71FF3230"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52</w:t>
            </w:r>
          </w:p>
        </w:tc>
        <w:tc>
          <w:tcPr>
            <w:tcW w:w="1667" w:type="pct"/>
            <w:tcBorders>
              <w:bottom w:val="single" w:sz="4" w:space="0" w:color="auto"/>
              <w:right w:val="single" w:sz="4" w:space="0" w:color="auto"/>
            </w:tcBorders>
            <w:vAlign w:val="center"/>
          </w:tcPr>
          <w:p w14:paraId="6635453C"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100</w:t>
            </w:r>
            <w:r>
              <w:rPr>
                <w:rFonts w:asciiTheme="minorBidi" w:eastAsia="DengXian" w:hAnsiTheme="minorBidi"/>
                <w:sz w:val="18"/>
                <w:szCs w:val="18"/>
              </w:rPr>
              <w:t>.0</w:t>
            </w:r>
          </w:p>
        </w:tc>
      </w:tr>
      <w:tr w:rsidR="00D54C88" w:rsidRPr="008C407A" w14:paraId="62DA792D" w14:textId="77777777" w:rsidTr="00C122C1">
        <w:trPr>
          <w:jc w:val="center"/>
        </w:trPr>
        <w:tc>
          <w:tcPr>
            <w:tcW w:w="5000" w:type="pct"/>
            <w:gridSpan w:val="3"/>
            <w:tcBorders>
              <w:top w:val="single" w:sz="4" w:space="0" w:color="auto"/>
              <w:left w:val="single" w:sz="4" w:space="0" w:color="auto"/>
              <w:right w:val="single" w:sz="4" w:space="0" w:color="auto"/>
            </w:tcBorders>
            <w:vAlign w:val="center"/>
          </w:tcPr>
          <w:p w14:paraId="417FE755"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Age</w:t>
            </w:r>
          </w:p>
        </w:tc>
      </w:tr>
      <w:tr w:rsidR="00D54C88" w:rsidRPr="008C407A" w14:paraId="1E4C35B9" w14:textId="77777777" w:rsidTr="00C122C1">
        <w:trPr>
          <w:jc w:val="center"/>
        </w:trPr>
        <w:tc>
          <w:tcPr>
            <w:tcW w:w="1667" w:type="pct"/>
            <w:tcBorders>
              <w:left w:val="single" w:sz="4" w:space="0" w:color="auto"/>
            </w:tcBorders>
            <w:vAlign w:val="center"/>
          </w:tcPr>
          <w:p w14:paraId="72679042"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20-30</w:t>
            </w:r>
          </w:p>
        </w:tc>
        <w:tc>
          <w:tcPr>
            <w:tcW w:w="1666" w:type="pct"/>
            <w:vAlign w:val="center"/>
          </w:tcPr>
          <w:p w14:paraId="0A1616D0"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w:t>
            </w:r>
          </w:p>
        </w:tc>
        <w:tc>
          <w:tcPr>
            <w:tcW w:w="1667" w:type="pct"/>
            <w:tcBorders>
              <w:right w:val="single" w:sz="4" w:space="0" w:color="auto"/>
            </w:tcBorders>
            <w:vAlign w:val="center"/>
          </w:tcPr>
          <w:p w14:paraId="0C75CD28"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3.8</w:t>
            </w:r>
          </w:p>
        </w:tc>
      </w:tr>
      <w:tr w:rsidR="00D54C88" w:rsidRPr="008C407A" w14:paraId="46E98719" w14:textId="77777777" w:rsidTr="00C122C1">
        <w:trPr>
          <w:jc w:val="center"/>
        </w:trPr>
        <w:tc>
          <w:tcPr>
            <w:tcW w:w="1667" w:type="pct"/>
            <w:tcBorders>
              <w:left w:val="single" w:sz="4" w:space="0" w:color="auto"/>
            </w:tcBorders>
            <w:vAlign w:val="center"/>
          </w:tcPr>
          <w:p w14:paraId="6CB5CAE7"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31-40</w:t>
            </w:r>
          </w:p>
        </w:tc>
        <w:tc>
          <w:tcPr>
            <w:tcW w:w="1666" w:type="pct"/>
            <w:vAlign w:val="center"/>
          </w:tcPr>
          <w:p w14:paraId="1535F1D0"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7</w:t>
            </w:r>
          </w:p>
        </w:tc>
        <w:tc>
          <w:tcPr>
            <w:tcW w:w="1667" w:type="pct"/>
            <w:tcBorders>
              <w:right w:val="single" w:sz="4" w:space="0" w:color="auto"/>
            </w:tcBorders>
            <w:vAlign w:val="center"/>
          </w:tcPr>
          <w:p w14:paraId="518A6FA2"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13.5</w:t>
            </w:r>
          </w:p>
        </w:tc>
      </w:tr>
      <w:tr w:rsidR="00D54C88" w:rsidRPr="008C407A" w14:paraId="0DD1DDC6" w14:textId="77777777" w:rsidTr="00C122C1">
        <w:trPr>
          <w:jc w:val="center"/>
        </w:trPr>
        <w:tc>
          <w:tcPr>
            <w:tcW w:w="1667" w:type="pct"/>
            <w:tcBorders>
              <w:left w:val="single" w:sz="4" w:space="0" w:color="auto"/>
            </w:tcBorders>
            <w:vAlign w:val="center"/>
          </w:tcPr>
          <w:p w14:paraId="07F09D7B"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41-50</w:t>
            </w:r>
          </w:p>
        </w:tc>
        <w:tc>
          <w:tcPr>
            <w:tcW w:w="1666" w:type="pct"/>
            <w:vAlign w:val="center"/>
          </w:tcPr>
          <w:p w14:paraId="34D63187"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12</w:t>
            </w:r>
          </w:p>
        </w:tc>
        <w:tc>
          <w:tcPr>
            <w:tcW w:w="1667" w:type="pct"/>
            <w:tcBorders>
              <w:right w:val="single" w:sz="4" w:space="0" w:color="auto"/>
            </w:tcBorders>
            <w:vAlign w:val="center"/>
          </w:tcPr>
          <w:p w14:paraId="1836EA94"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23.1</w:t>
            </w:r>
          </w:p>
        </w:tc>
      </w:tr>
      <w:tr w:rsidR="00D54C88" w:rsidRPr="008C407A" w14:paraId="4DFF5C74" w14:textId="77777777" w:rsidTr="00C122C1">
        <w:trPr>
          <w:jc w:val="center"/>
        </w:trPr>
        <w:tc>
          <w:tcPr>
            <w:tcW w:w="1667" w:type="pct"/>
            <w:tcBorders>
              <w:left w:val="single" w:sz="4" w:space="0" w:color="auto"/>
            </w:tcBorders>
            <w:vAlign w:val="center"/>
          </w:tcPr>
          <w:p w14:paraId="4735BCA3"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51-60</w:t>
            </w:r>
          </w:p>
        </w:tc>
        <w:tc>
          <w:tcPr>
            <w:tcW w:w="1666" w:type="pct"/>
            <w:vAlign w:val="center"/>
          </w:tcPr>
          <w:p w14:paraId="73928C88"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31</w:t>
            </w:r>
          </w:p>
        </w:tc>
        <w:tc>
          <w:tcPr>
            <w:tcW w:w="1667" w:type="pct"/>
            <w:tcBorders>
              <w:right w:val="single" w:sz="4" w:space="0" w:color="auto"/>
            </w:tcBorders>
            <w:vAlign w:val="center"/>
          </w:tcPr>
          <w:p w14:paraId="58263D02"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59.6</w:t>
            </w:r>
          </w:p>
        </w:tc>
      </w:tr>
      <w:tr w:rsidR="00D54C88" w:rsidRPr="008C407A" w14:paraId="4D784E8B" w14:textId="77777777" w:rsidTr="00C122C1">
        <w:trPr>
          <w:jc w:val="center"/>
        </w:trPr>
        <w:tc>
          <w:tcPr>
            <w:tcW w:w="1667" w:type="pct"/>
            <w:tcBorders>
              <w:left w:val="single" w:sz="4" w:space="0" w:color="auto"/>
              <w:bottom w:val="single" w:sz="4" w:space="0" w:color="auto"/>
            </w:tcBorders>
            <w:vAlign w:val="center"/>
          </w:tcPr>
          <w:p w14:paraId="588AA91A"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Total</w:t>
            </w:r>
          </w:p>
        </w:tc>
        <w:tc>
          <w:tcPr>
            <w:tcW w:w="1666" w:type="pct"/>
            <w:tcBorders>
              <w:bottom w:val="single" w:sz="4" w:space="0" w:color="auto"/>
            </w:tcBorders>
            <w:vAlign w:val="center"/>
          </w:tcPr>
          <w:p w14:paraId="5A8637EA"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52</w:t>
            </w:r>
          </w:p>
        </w:tc>
        <w:tc>
          <w:tcPr>
            <w:tcW w:w="1667" w:type="pct"/>
            <w:tcBorders>
              <w:bottom w:val="single" w:sz="4" w:space="0" w:color="auto"/>
              <w:right w:val="single" w:sz="4" w:space="0" w:color="auto"/>
            </w:tcBorders>
            <w:vAlign w:val="center"/>
          </w:tcPr>
          <w:p w14:paraId="6A1BF44E"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100</w:t>
            </w:r>
            <w:r>
              <w:rPr>
                <w:rFonts w:asciiTheme="minorBidi" w:eastAsia="DengXian" w:hAnsiTheme="minorBidi"/>
                <w:sz w:val="18"/>
                <w:szCs w:val="18"/>
              </w:rPr>
              <w:t>.0</w:t>
            </w:r>
          </w:p>
        </w:tc>
      </w:tr>
      <w:tr w:rsidR="00D54C88" w:rsidRPr="008C407A" w14:paraId="4EADB7F9" w14:textId="77777777" w:rsidTr="00C122C1">
        <w:trPr>
          <w:jc w:val="center"/>
        </w:trPr>
        <w:tc>
          <w:tcPr>
            <w:tcW w:w="5000" w:type="pct"/>
            <w:gridSpan w:val="3"/>
            <w:tcBorders>
              <w:top w:val="single" w:sz="4" w:space="0" w:color="auto"/>
              <w:left w:val="single" w:sz="4" w:space="0" w:color="auto"/>
              <w:right w:val="single" w:sz="4" w:space="0" w:color="auto"/>
            </w:tcBorders>
            <w:vAlign w:val="center"/>
          </w:tcPr>
          <w:p w14:paraId="1B6A0E27"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Marital Status</w:t>
            </w:r>
          </w:p>
        </w:tc>
      </w:tr>
      <w:tr w:rsidR="00D54C88" w:rsidRPr="008C407A" w14:paraId="6E7C3D4F" w14:textId="77777777" w:rsidTr="00C122C1">
        <w:trPr>
          <w:jc w:val="center"/>
        </w:trPr>
        <w:tc>
          <w:tcPr>
            <w:tcW w:w="1667" w:type="pct"/>
            <w:tcBorders>
              <w:left w:val="single" w:sz="4" w:space="0" w:color="auto"/>
            </w:tcBorders>
            <w:vAlign w:val="center"/>
          </w:tcPr>
          <w:p w14:paraId="7977A212"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Single</w:t>
            </w:r>
          </w:p>
        </w:tc>
        <w:tc>
          <w:tcPr>
            <w:tcW w:w="1666" w:type="pct"/>
            <w:vAlign w:val="center"/>
          </w:tcPr>
          <w:p w14:paraId="7D918BD7"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6</w:t>
            </w:r>
          </w:p>
        </w:tc>
        <w:tc>
          <w:tcPr>
            <w:tcW w:w="1667" w:type="pct"/>
            <w:tcBorders>
              <w:right w:val="single" w:sz="4" w:space="0" w:color="auto"/>
            </w:tcBorders>
            <w:vAlign w:val="center"/>
          </w:tcPr>
          <w:p w14:paraId="53AEA852"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11.5</w:t>
            </w:r>
          </w:p>
        </w:tc>
      </w:tr>
      <w:tr w:rsidR="00D54C88" w:rsidRPr="008C407A" w14:paraId="1EB51302" w14:textId="77777777" w:rsidTr="00C122C1">
        <w:trPr>
          <w:jc w:val="center"/>
        </w:trPr>
        <w:tc>
          <w:tcPr>
            <w:tcW w:w="1667" w:type="pct"/>
            <w:tcBorders>
              <w:left w:val="single" w:sz="4" w:space="0" w:color="auto"/>
            </w:tcBorders>
            <w:vAlign w:val="center"/>
          </w:tcPr>
          <w:p w14:paraId="2F48F2A4"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Married</w:t>
            </w:r>
          </w:p>
        </w:tc>
        <w:tc>
          <w:tcPr>
            <w:tcW w:w="1666" w:type="pct"/>
            <w:vAlign w:val="center"/>
          </w:tcPr>
          <w:p w14:paraId="1C9149A2"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46</w:t>
            </w:r>
          </w:p>
        </w:tc>
        <w:tc>
          <w:tcPr>
            <w:tcW w:w="1667" w:type="pct"/>
            <w:tcBorders>
              <w:right w:val="single" w:sz="4" w:space="0" w:color="auto"/>
            </w:tcBorders>
            <w:vAlign w:val="center"/>
          </w:tcPr>
          <w:p w14:paraId="0CC28D58"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88.5</w:t>
            </w:r>
          </w:p>
        </w:tc>
      </w:tr>
      <w:tr w:rsidR="00D54C88" w:rsidRPr="008C407A" w14:paraId="44B86546" w14:textId="77777777" w:rsidTr="00C122C1">
        <w:trPr>
          <w:jc w:val="center"/>
        </w:trPr>
        <w:tc>
          <w:tcPr>
            <w:tcW w:w="1667" w:type="pct"/>
            <w:tcBorders>
              <w:left w:val="single" w:sz="4" w:space="0" w:color="auto"/>
              <w:bottom w:val="single" w:sz="4" w:space="0" w:color="auto"/>
            </w:tcBorders>
            <w:vAlign w:val="center"/>
          </w:tcPr>
          <w:p w14:paraId="23A6E362"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Total</w:t>
            </w:r>
          </w:p>
        </w:tc>
        <w:tc>
          <w:tcPr>
            <w:tcW w:w="1666" w:type="pct"/>
            <w:tcBorders>
              <w:bottom w:val="single" w:sz="4" w:space="0" w:color="auto"/>
            </w:tcBorders>
            <w:vAlign w:val="center"/>
          </w:tcPr>
          <w:p w14:paraId="546DEE28"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63</w:t>
            </w:r>
          </w:p>
        </w:tc>
        <w:tc>
          <w:tcPr>
            <w:tcW w:w="1667" w:type="pct"/>
            <w:tcBorders>
              <w:bottom w:val="single" w:sz="4" w:space="0" w:color="auto"/>
              <w:right w:val="single" w:sz="4" w:space="0" w:color="auto"/>
            </w:tcBorders>
            <w:vAlign w:val="center"/>
          </w:tcPr>
          <w:p w14:paraId="18566048"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100</w:t>
            </w:r>
          </w:p>
        </w:tc>
      </w:tr>
      <w:tr w:rsidR="00D54C88" w:rsidRPr="008C407A" w14:paraId="5DA2DBEA" w14:textId="77777777" w:rsidTr="00C122C1">
        <w:trPr>
          <w:jc w:val="center"/>
        </w:trPr>
        <w:tc>
          <w:tcPr>
            <w:tcW w:w="5000" w:type="pct"/>
            <w:gridSpan w:val="3"/>
            <w:tcBorders>
              <w:top w:val="single" w:sz="4" w:space="0" w:color="auto"/>
              <w:left w:val="single" w:sz="4" w:space="0" w:color="auto"/>
              <w:right w:val="single" w:sz="4" w:space="0" w:color="auto"/>
            </w:tcBorders>
            <w:vAlign w:val="center"/>
          </w:tcPr>
          <w:p w14:paraId="71121454"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Occupation</w:t>
            </w:r>
          </w:p>
        </w:tc>
      </w:tr>
      <w:tr w:rsidR="00D54C88" w:rsidRPr="008C407A" w14:paraId="78A2AD05" w14:textId="77777777" w:rsidTr="00C122C1">
        <w:trPr>
          <w:jc w:val="center"/>
        </w:trPr>
        <w:tc>
          <w:tcPr>
            <w:tcW w:w="1667" w:type="pct"/>
            <w:tcBorders>
              <w:left w:val="single" w:sz="4" w:space="0" w:color="auto"/>
            </w:tcBorders>
            <w:vAlign w:val="center"/>
          </w:tcPr>
          <w:p w14:paraId="4BDB9485"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Government</w:t>
            </w:r>
          </w:p>
        </w:tc>
        <w:tc>
          <w:tcPr>
            <w:tcW w:w="1666" w:type="pct"/>
            <w:vAlign w:val="center"/>
          </w:tcPr>
          <w:p w14:paraId="41DD9D77"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6</w:t>
            </w:r>
          </w:p>
        </w:tc>
        <w:tc>
          <w:tcPr>
            <w:tcW w:w="1667" w:type="pct"/>
            <w:tcBorders>
              <w:right w:val="single" w:sz="4" w:space="0" w:color="auto"/>
            </w:tcBorders>
            <w:vAlign w:val="center"/>
          </w:tcPr>
          <w:p w14:paraId="6DEEAE54"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11.5</w:t>
            </w:r>
          </w:p>
        </w:tc>
      </w:tr>
      <w:tr w:rsidR="00D54C88" w:rsidRPr="008C407A" w14:paraId="4B1E05B9" w14:textId="77777777" w:rsidTr="00C122C1">
        <w:trPr>
          <w:jc w:val="center"/>
        </w:trPr>
        <w:tc>
          <w:tcPr>
            <w:tcW w:w="1667" w:type="pct"/>
            <w:tcBorders>
              <w:left w:val="single" w:sz="4" w:space="0" w:color="auto"/>
            </w:tcBorders>
            <w:vAlign w:val="center"/>
          </w:tcPr>
          <w:p w14:paraId="13D49739"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Private</w:t>
            </w:r>
          </w:p>
        </w:tc>
        <w:tc>
          <w:tcPr>
            <w:tcW w:w="1666" w:type="pct"/>
            <w:vAlign w:val="center"/>
          </w:tcPr>
          <w:p w14:paraId="5DBA29AA"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10</w:t>
            </w:r>
          </w:p>
        </w:tc>
        <w:tc>
          <w:tcPr>
            <w:tcW w:w="1667" w:type="pct"/>
            <w:tcBorders>
              <w:right w:val="single" w:sz="4" w:space="0" w:color="auto"/>
            </w:tcBorders>
            <w:vAlign w:val="center"/>
          </w:tcPr>
          <w:p w14:paraId="49DD554B"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19.2</w:t>
            </w:r>
          </w:p>
        </w:tc>
      </w:tr>
      <w:tr w:rsidR="00D54C88" w:rsidRPr="008C407A" w14:paraId="56B5CFD1" w14:textId="77777777" w:rsidTr="00C122C1">
        <w:trPr>
          <w:jc w:val="center"/>
        </w:trPr>
        <w:tc>
          <w:tcPr>
            <w:tcW w:w="1667" w:type="pct"/>
            <w:tcBorders>
              <w:left w:val="single" w:sz="4" w:space="0" w:color="auto"/>
            </w:tcBorders>
            <w:vAlign w:val="center"/>
          </w:tcPr>
          <w:p w14:paraId="59CE5E20"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 xml:space="preserve">Self employed </w:t>
            </w:r>
          </w:p>
        </w:tc>
        <w:tc>
          <w:tcPr>
            <w:tcW w:w="1666" w:type="pct"/>
            <w:vAlign w:val="center"/>
          </w:tcPr>
          <w:p w14:paraId="5CFDDC3F"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22</w:t>
            </w:r>
          </w:p>
        </w:tc>
        <w:tc>
          <w:tcPr>
            <w:tcW w:w="1667" w:type="pct"/>
            <w:tcBorders>
              <w:right w:val="single" w:sz="4" w:space="0" w:color="auto"/>
            </w:tcBorders>
            <w:vAlign w:val="center"/>
          </w:tcPr>
          <w:p w14:paraId="11F748F0"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42.3</w:t>
            </w:r>
          </w:p>
        </w:tc>
      </w:tr>
      <w:tr w:rsidR="00D54C88" w:rsidRPr="008C407A" w14:paraId="30E7B977" w14:textId="77777777" w:rsidTr="00C122C1">
        <w:trPr>
          <w:jc w:val="center"/>
        </w:trPr>
        <w:tc>
          <w:tcPr>
            <w:tcW w:w="1667" w:type="pct"/>
            <w:tcBorders>
              <w:left w:val="single" w:sz="4" w:space="0" w:color="auto"/>
            </w:tcBorders>
            <w:vAlign w:val="center"/>
          </w:tcPr>
          <w:p w14:paraId="17F25A59"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 xml:space="preserve">Retired </w:t>
            </w:r>
          </w:p>
        </w:tc>
        <w:tc>
          <w:tcPr>
            <w:tcW w:w="1666" w:type="pct"/>
            <w:vAlign w:val="center"/>
          </w:tcPr>
          <w:p w14:paraId="4780BE81"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14</w:t>
            </w:r>
          </w:p>
        </w:tc>
        <w:tc>
          <w:tcPr>
            <w:tcW w:w="1667" w:type="pct"/>
            <w:tcBorders>
              <w:right w:val="single" w:sz="4" w:space="0" w:color="auto"/>
            </w:tcBorders>
            <w:vAlign w:val="center"/>
          </w:tcPr>
          <w:p w14:paraId="31194137"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26.9</w:t>
            </w:r>
          </w:p>
        </w:tc>
      </w:tr>
      <w:tr w:rsidR="00D54C88" w:rsidRPr="008C407A" w14:paraId="15739506" w14:textId="77777777" w:rsidTr="00C122C1">
        <w:trPr>
          <w:jc w:val="center"/>
        </w:trPr>
        <w:tc>
          <w:tcPr>
            <w:tcW w:w="1667" w:type="pct"/>
            <w:tcBorders>
              <w:left w:val="single" w:sz="4" w:space="0" w:color="auto"/>
              <w:bottom w:val="single" w:sz="4" w:space="0" w:color="auto"/>
            </w:tcBorders>
            <w:vAlign w:val="center"/>
          </w:tcPr>
          <w:p w14:paraId="44C2E5F1"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Total</w:t>
            </w:r>
          </w:p>
        </w:tc>
        <w:tc>
          <w:tcPr>
            <w:tcW w:w="1666" w:type="pct"/>
            <w:tcBorders>
              <w:bottom w:val="single" w:sz="4" w:space="0" w:color="auto"/>
            </w:tcBorders>
            <w:vAlign w:val="center"/>
          </w:tcPr>
          <w:p w14:paraId="03FC34FB"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52</w:t>
            </w:r>
          </w:p>
        </w:tc>
        <w:tc>
          <w:tcPr>
            <w:tcW w:w="1667" w:type="pct"/>
            <w:tcBorders>
              <w:bottom w:val="single" w:sz="4" w:space="0" w:color="auto"/>
              <w:right w:val="single" w:sz="4" w:space="0" w:color="auto"/>
            </w:tcBorders>
            <w:vAlign w:val="center"/>
          </w:tcPr>
          <w:p w14:paraId="7D894045"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100</w:t>
            </w:r>
            <w:r>
              <w:rPr>
                <w:rFonts w:asciiTheme="minorBidi" w:eastAsia="DengXian" w:hAnsiTheme="minorBidi"/>
                <w:sz w:val="18"/>
                <w:szCs w:val="18"/>
              </w:rPr>
              <w:t>.0</w:t>
            </w:r>
          </w:p>
        </w:tc>
      </w:tr>
      <w:tr w:rsidR="00D54C88" w:rsidRPr="008C407A" w14:paraId="786AB11D" w14:textId="77777777" w:rsidTr="00C122C1">
        <w:trPr>
          <w:jc w:val="center"/>
        </w:trPr>
        <w:tc>
          <w:tcPr>
            <w:tcW w:w="5000" w:type="pct"/>
            <w:gridSpan w:val="3"/>
            <w:tcBorders>
              <w:top w:val="single" w:sz="4" w:space="0" w:color="auto"/>
              <w:left w:val="single" w:sz="4" w:space="0" w:color="auto"/>
              <w:right w:val="single" w:sz="4" w:space="0" w:color="auto"/>
            </w:tcBorders>
            <w:vAlign w:val="center"/>
          </w:tcPr>
          <w:p w14:paraId="49AFCD7B"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Education level</w:t>
            </w:r>
          </w:p>
        </w:tc>
      </w:tr>
      <w:tr w:rsidR="00D54C88" w:rsidRPr="008C407A" w14:paraId="341CE84F" w14:textId="77777777" w:rsidTr="00C122C1">
        <w:trPr>
          <w:jc w:val="center"/>
        </w:trPr>
        <w:tc>
          <w:tcPr>
            <w:tcW w:w="1667" w:type="pct"/>
            <w:tcBorders>
              <w:left w:val="single" w:sz="4" w:space="0" w:color="auto"/>
            </w:tcBorders>
            <w:vAlign w:val="center"/>
          </w:tcPr>
          <w:p w14:paraId="30198B24"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Secondary</w:t>
            </w:r>
          </w:p>
        </w:tc>
        <w:tc>
          <w:tcPr>
            <w:tcW w:w="1666" w:type="pct"/>
            <w:vAlign w:val="center"/>
          </w:tcPr>
          <w:p w14:paraId="5EFBA33E"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36</w:t>
            </w:r>
          </w:p>
        </w:tc>
        <w:tc>
          <w:tcPr>
            <w:tcW w:w="1667" w:type="pct"/>
            <w:tcBorders>
              <w:right w:val="single" w:sz="4" w:space="0" w:color="auto"/>
            </w:tcBorders>
            <w:vAlign w:val="center"/>
          </w:tcPr>
          <w:p w14:paraId="76B26014"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69.2</w:t>
            </w:r>
          </w:p>
        </w:tc>
      </w:tr>
      <w:tr w:rsidR="00D54C88" w:rsidRPr="008C407A" w14:paraId="463F9D7C" w14:textId="77777777" w:rsidTr="00C122C1">
        <w:trPr>
          <w:jc w:val="center"/>
        </w:trPr>
        <w:tc>
          <w:tcPr>
            <w:tcW w:w="1667" w:type="pct"/>
            <w:tcBorders>
              <w:left w:val="single" w:sz="4" w:space="0" w:color="auto"/>
            </w:tcBorders>
            <w:vAlign w:val="center"/>
          </w:tcPr>
          <w:p w14:paraId="54090114"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IPTA or IPTS</w:t>
            </w:r>
          </w:p>
        </w:tc>
        <w:tc>
          <w:tcPr>
            <w:tcW w:w="1666" w:type="pct"/>
            <w:vAlign w:val="center"/>
          </w:tcPr>
          <w:p w14:paraId="787B490F"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15</w:t>
            </w:r>
          </w:p>
        </w:tc>
        <w:tc>
          <w:tcPr>
            <w:tcW w:w="1667" w:type="pct"/>
            <w:tcBorders>
              <w:right w:val="single" w:sz="4" w:space="0" w:color="auto"/>
            </w:tcBorders>
            <w:vAlign w:val="center"/>
          </w:tcPr>
          <w:p w14:paraId="2CAEBAC3"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28.8</w:t>
            </w:r>
          </w:p>
        </w:tc>
      </w:tr>
      <w:tr w:rsidR="00D54C88" w:rsidRPr="008C407A" w14:paraId="55FAFF54" w14:textId="77777777" w:rsidTr="00C122C1">
        <w:trPr>
          <w:jc w:val="center"/>
        </w:trPr>
        <w:tc>
          <w:tcPr>
            <w:tcW w:w="1667" w:type="pct"/>
            <w:tcBorders>
              <w:left w:val="single" w:sz="4" w:space="0" w:color="auto"/>
            </w:tcBorders>
            <w:vAlign w:val="center"/>
          </w:tcPr>
          <w:p w14:paraId="1189854D"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 xml:space="preserve">Others </w:t>
            </w:r>
          </w:p>
        </w:tc>
        <w:tc>
          <w:tcPr>
            <w:tcW w:w="1666" w:type="pct"/>
            <w:vAlign w:val="center"/>
          </w:tcPr>
          <w:p w14:paraId="63CB99FC"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w:t>
            </w:r>
          </w:p>
        </w:tc>
        <w:tc>
          <w:tcPr>
            <w:tcW w:w="1667" w:type="pct"/>
            <w:tcBorders>
              <w:right w:val="single" w:sz="4" w:space="0" w:color="auto"/>
            </w:tcBorders>
            <w:vAlign w:val="center"/>
          </w:tcPr>
          <w:p w14:paraId="14DF4F89"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1.9</w:t>
            </w:r>
          </w:p>
        </w:tc>
      </w:tr>
      <w:tr w:rsidR="00D54C88" w:rsidRPr="008C407A" w14:paraId="7EABF942" w14:textId="77777777" w:rsidTr="00C122C1">
        <w:trPr>
          <w:jc w:val="center"/>
        </w:trPr>
        <w:tc>
          <w:tcPr>
            <w:tcW w:w="1667" w:type="pct"/>
            <w:tcBorders>
              <w:left w:val="single" w:sz="4" w:space="0" w:color="auto"/>
              <w:bottom w:val="single" w:sz="4" w:space="0" w:color="auto"/>
            </w:tcBorders>
            <w:vAlign w:val="center"/>
          </w:tcPr>
          <w:p w14:paraId="19221B13"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Total</w:t>
            </w:r>
          </w:p>
        </w:tc>
        <w:tc>
          <w:tcPr>
            <w:tcW w:w="1666" w:type="pct"/>
            <w:tcBorders>
              <w:bottom w:val="single" w:sz="4" w:space="0" w:color="auto"/>
            </w:tcBorders>
            <w:vAlign w:val="center"/>
          </w:tcPr>
          <w:p w14:paraId="4C756E69"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52</w:t>
            </w:r>
          </w:p>
        </w:tc>
        <w:tc>
          <w:tcPr>
            <w:tcW w:w="1667" w:type="pct"/>
            <w:tcBorders>
              <w:bottom w:val="single" w:sz="4" w:space="0" w:color="auto"/>
              <w:right w:val="single" w:sz="4" w:space="0" w:color="auto"/>
            </w:tcBorders>
            <w:vAlign w:val="center"/>
          </w:tcPr>
          <w:p w14:paraId="50198910"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100</w:t>
            </w:r>
            <w:r>
              <w:rPr>
                <w:rFonts w:asciiTheme="minorBidi" w:eastAsia="DengXian" w:hAnsiTheme="minorBidi"/>
                <w:sz w:val="18"/>
                <w:szCs w:val="18"/>
              </w:rPr>
              <w:t>.0</w:t>
            </w:r>
          </w:p>
        </w:tc>
      </w:tr>
      <w:tr w:rsidR="00D54C88" w:rsidRPr="008C407A" w14:paraId="0C1D9FC4" w14:textId="77777777" w:rsidTr="00C122C1">
        <w:trPr>
          <w:jc w:val="center"/>
        </w:trPr>
        <w:tc>
          <w:tcPr>
            <w:tcW w:w="5000" w:type="pct"/>
            <w:gridSpan w:val="3"/>
            <w:tcBorders>
              <w:top w:val="single" w:sz="4" w:space="0" w:color="auto"/>
              <w:left w:val="single" w:sz="4" w:space="0" w:color="auto"/>
              <w:right w:val="single" w:sz="4" w:space="0" w:color="auto"/>
            </w:tcBorders>
            <w:vAlign w:val="center"/>
          </w:tcPr>
          <w:p w14:paraId="26866000"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Living area</w:t>
            </w:r>
          </w:p>
        </w:tc>
      </w:tr>
      <w:tr w:rsidR="00D54C88" w:rsidRPr="008C407A" w14:paraId="4619C3D1" w14:textId="77777777" w:rsidTr="00C122C1">
        <w:trPr>
          <w:jc w:val="center"/>
        </w:trPr>
        <w:tc>
          <w:tcPr>
            <w:tcW w:w="1667" w:type="pct"/>
            <w:tcBorders>
              <w:left w:val="single" w:sz="4" w:space="0" w:color="auto"/>
            </w:tcBorders>
            <w:vAlign w:val="center"/>
          </w:tcPr>
          <w:p w14:paraId="6786EBC8"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City</w:t>
            </w:r>
          </w:p>
        </w:tc>
        <w:tc>
          <w:tcPr>
            <w:tcW w:w="1666" w:type="pct"/>
            <w:vAlign w:val="center"/>
          </w:tcPr>
          <w:p w14:paraId="3E103FBB"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34</w:t>
            </w:r>
          </w:p>
        </w:tc>
        <w:tc>
          <w:tcPr>
            <w:tcW w:w="1667" w:type="pct"/>
            <w:tcBorders>
              <w:right w:val="single" w:sz="4" w:space="0" w:color="auto"/>
            </w:tcBorders>
            <w:vAlign w:val="center"/>
          </w:tcPr>
          <w:p w14:paraId="1069CE3D"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54.0</w:t>
            </w:r>
          </w:p>
        </w:tc>
      </w:tr>
      <w:tr w:rsidR="00D54C88" w:rsidRPr="008C407A" w14:paraId="2800AAFF" w14:textId="77777777" w:rsidTr="00C122C1">
        <w:trPr>
          <w:jc w:val="center"/>
        </w:trPr>
        <w:tc>
          <w:tcPr>
            <w:tcW w:w="1667" w:type="pct"/>
            <w:tcBorders>
              <w:left w:val="single" w:sz="4" w:space="0" w:color="auto"/>
            </w:tcBorders>
            <w:vAlign w:val="center"/>
          </w:tcPr>
          <w:p w14:paraId="6579F19B"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Rural</w:t>
            </w:r>
          </w:p>
        </w:tc>
        <w:tc>
          <w:tcPr>
            <w:tcW w:w="1666" w:type="pct"/>
            <w:vAlign w:val="center"/>
          </w:tcPr>
          <w:p w14:paraId="1236A87E"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19</w:t>
            </w:r>
          </w:p>
        </w:tc>
        <w:tc>
          <w:tcPr>
            <w:tcW w:w="1667" w:type="pct"/>
            <w:tcBorders>
              <w:right w:val="single" w:sz="4" w:space="0" w:color="auto"/>
            </w:tcBorders>
            <w:vAlign w:val="center"/>
          </w:tcPr>
          <w:p w14:paraId="55EAB3CD"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30.2</w:t>
            </w:r>
          </w:p>
        </w:tc>
      </w:tr>
      <w:tr w:rsidR="00D54C88" w:rsidRPr="008C407A" w14:paraId="74C73417" w14:textId="77777777" w:rsidTr="00C122C1">
        <w:trPr>
          <w:jc w:val="center"/>
        </w:trPr>
        <w:tc>
          <w:tcPr>
            <w:tcW w:w="1667" w:type="pct"/>
            <w:tcBorders>
              <w:left w:val="single" w:sz="4" w:space="0" w:color="auto"/>
            </w:tcBorders>
            <w:vAlign w:val="center"/>
          </w:tcPr>
          <w:p w14:paraId="3CACC537"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Suburbs</w:t>
            </w:r>
          </w:p>
        </w:tc>
        <w:tc>
          <w:tcPr>
            <w:tcW w:w="1666" w:type="pct"/>
            <w:vAlign w:val="center"/>
          </w:tcPr>
          <w:p w14:paraId="4B169AE2"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10</w:t>
            </w:r>
          </w:p>
        </w:tc>
        <w:tc>
          <w:tcPr>
            <w:tcW w:w="1667" w:type="pct"/>
            <w:tcBorders>
              <w:right w:val="single" w:sz="4" w:space="0" w:color="auto"/>
            </w:tcBorders>
            <w:vAlign w:val="center"/>
          </w:tcPr>
          <w:p w14:paraId="3D40AA04"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15.9</w:t>
            </w:r>
          </w:p>
        </w:tc>
      </w:tr>
      <w:tr w:rsidR="00D54C88" w:rsidRPr="008C407A" w14:paraId="66C75BF4" w14:textId="77777777" w:rsidTr="00C122C1">
        <w:trPr>
          <w:jc w:val="center"/>
        </w:trPr>
        <w:tc>
          <w:tcPr>
            <w:tcW w:w="1667" w:type="pct"/>
            <w:tcBorders>
              <w:left w:val="single" w:sz="4" w:space="0" w:color="auto"/>
              <w:bottom w:val="single" w:sz="4" w:space="0" w:color="auto"/>
            </w:tcBorders>
            <w:vAlign w:val="center"/>
          </w:tcPr>
          <w:p w14:paraId="192651FD"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Total</w:t>
            </w:r>
          </w:p>
        </w:tc>
        <w:tc>
          <w:tcPr>
            <w:tcW w:w="1666" w:type="pct"/>
            <w:tcBorders>
              <w:bottom w:val="single" w:sz="4" w:space="0" w:color="auto"/>
            </w:tcBorders>
            <w:vAlign w:val="center"/>
          </w:tcPr>
          <w:p w14:paraId="6E2425A8"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63</w:t>
            </w:r>
          </w:p>
        </w:tc>
        <w:tc>
          <w:tcPr>
            <w:tcW w:w="1667" w:type="pct"/>
            <w:tcBorders>
              <w:bottom w:val="single" w:sz="4" w:space="0" w:color="auto"/>
              <w:right w:val="single" w:sz="4" w:space="0" w:color="auto"/>
            </w:tcBorders>
            <w:vAlign w:val="center"/>
          </w:tcPr>
          <w:p w14:paraId="7BC59A8F"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100</w:t>
            </w:r>
            <w:r>
              <w:rPr>
                <w:rFonts w:asciiTheme="minorBidi" w:eastAsia="DengXian" w:hAnsiTheme="minorBidi"/>
                <w:sz w:val="18"/>
                <w:szCs w:val="18"/>
              </w:rPr>
              <w:t>.0</w:t>
            </w:r>
          </w:p>
        </w:tc>
      </w:tr>
      <w:tr w:rsidR="00D54C88" w:rsidRPr="008C407A" w14:paraId="1B108C7E" w14:textId="77777777" w:rsidTr="00C122C1">
        <w:trPr>
          <w:jc w:val="center"/>
        </w:trPr>
        <w:tc>
          <w:tcPr>
            <w:tcW w:w="5000" w:type="pct"/>
            <w:gridSpan w:val="3"/>
            <w:tcBorders>
              <w:top w:val="single" w:sz="4" w:space="0" w:color="auto"/>
              <w:left w:val="single" w:sz="4" w:space="0" w:color="auto"/>
              <w:right w:val="single" w:sz="4" w:space="0" w:color="auto"/>
            </w:tcBorders>
            <w:vAlign w:val="center"/>
          </w:tcPr>
          <w:p w14:paraId="091F9129"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Income</w:t>
            </w:r>
          </w:p>
        </w:tc>
      </w:tr>
      <w:tr w:rsidR="00D54C88" w:rsidRPr="008C407A" w14:paraId="178A5650" w14:textId="77777777" w:rsidTr="00C122C1">
        <w:trPr>
          <w:jc w:val="center"/>
        </w:trPr>
        <w:tc>
          <w:tcPr>
            <w:tcW w:w="1667" w:type="pct"/>
            <w:tcBorders>
              <w:left w:val="single" w:sz="4" w:space="0" w:color="auto"/>
            </w:tcBorders>
            <w:vAlign w:val="center"/>
          </w:tcPr>
          <w:p w14:paraId="64EA72E5"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&lt; RM1000</w:t>
            </w:r>
          </w:p>
        </w:tc>
        <w:tc>
          <w:tcPr>
            <w:tcW w:w="1666" w:type="pct"/>
            <w:vAlign w:val="center"/>
          </w:tcPr>
          <w:p w14:paraId="1146B314"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3</w:t>
            </w:r>
          </w:p>
        </w:tc>
        <w:tc>
          <w:tcPr>
            <w:tcW w:w="1667" w:type="pct"/>
            <w:tcBorders>
              <w:right w:val="single" w:sz="4" w:space="0" w:color="auto"/>
            </w:tcBorders>
            <w:vAlign w:val="center"/>
          </w:tcPr>
          <w:p w14:paraId="6050D1B7"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5.8</w:t>
            </w:r>
          </w:p>
        </w:tc>
      </w:tr>
      <w:tr w:rsidR="00D54C88" w:rsidRPr="008C407A" w14:paraId="4D7713F7" w14:textId="77777777" w:rsidTr="00C122C1">
        <w:trPr>
          <w:jc w:val="center"/>
        </w:trPr>
        <w:tc>
          <w:tcPr>
            <w:tcW w:w="1667" w:type="pct"/>
            <w:tcBorders>
              <w:left w:val="single" w:sz="4" w:space="0" w:color="auto"/>
            </w:tcBorders>
            <w:vAlign w:val="center"/>
          </w:tcPr>
          <w:p w14:paraId="311E0611"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RM1001 – RM3000</w:t>
            </w:r>
          </w:p>
        </w:tc>
        <w:tc>
          <w:tcPr>
            <w:tcW w:w="1666" w:type="pct"/>
            <w:vAlign w:val="center"/>
          </w:tcPr>
          <w:p w14:paraId="67DB8D32"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27</w:t>
            </w:r>
          </w:p>
        </w:tc>
        <w:tc>
          <w:tcPr>
            <w:tcW w:w="1667" w:type="pct"/>
            <w:tcBorders>
              <w:right w:val="single" w:sz="4" w:space="0" w:color="auto"/>
            </w:tcBorders>
            <w:vAlign w:val="center"/>
          </w:tcPr>
          <w:p w14:paraId="6CC49AE4"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51.9</w:t>
            </w:r>
          </w:p>
        </w:tc>
      </w:tr>
      <w:tr w:rsidR="00D54C88" w:rsidRPr="008C407A" w14:paraId="14D9CEBB" w14:textId="77777777" w:rsidTr="00C122C1">
        <w:trPr>
          <w:jc w:val="center"/>
        </w:trPr>
        <w:tc>
          <w:tcPr>
            <w:tcW w:w="1667" w:type="pct"/>
            <w:tcBorders>
              <w:left w:val="single" w:sz="4" w:space="0" w:color="auto"/>
            </w:tcBorders>
            <w:vAlign w:val="center"/>
          </w:tcPr>
          <w:p w14:paraId="6C45BD60"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RM3001 – RM6000</w:t>
            </w:r>
          </w:p>
        </w:tc>
        <w:tc>
          <w:tcPr>
            <w:tcW w:w="1666" w:type="pct"/>
            <w:vAlign w:val="center"/>
          </w:tcPr>
          <w:p w14:paraId="4A7EF320"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21</w:t>
            </w:r>
          </w:p>
        </w:tc>
        <w:tc>
          <w:tcPr>
            <w:tcW w:w="1667" w:type="pct"/>
            <w:tcBorders>
              <w:right w:val="single" w:sz="4" w:space="0" w:color="auto"/>
            </w:tcBorders>
            <w:vAlign w:val="center"/>
          </w:tcPr>
          <w:p w14:paraId="0341F828"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40.4</w:t>
            </w:r>
          </w:p>
        </w:tc>
      </w:tr>
      <w:tr w:rsidR="00D54C88" w:rsidRPr="008C407A" w14:paraId="17AF1C04" w14:textId="77777777" w:rsidTr="00C122C1">
        <w:trPr>
          <w:jc w:val="center"/>
        </w:trPr>
        <w:tc>
          <w:tcPr>
            <w:tcW w:w="1667" w:type="pct"/>
            <w:tcBorders>
              <w:left w:val="single" w:sz="4" w:space="0" w:color="auto"/>
            </w:tcBorders>
            <w:vAlign w:val="center"/>
          </w:tcPr>
          <w:p w14:paraId="02DC9842"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 xml:space="preserve">RM </w:t>
            </w:r>
            <w:r>
              <w:rPr>
                <w:rFonts w:asciiTheme="minorBidi" w:eastAsia="DengXian" w:hAnsiTheme="minorBidi"/>
                <w:sz w:val="18"/>
                <w:szCs w:val="18"/>
              </w:rPr>
              <w:t>6</w:t>
            </w:r>
            <w:r w:rsidRPr="008C407A">
              <w:rPr>
                <w:rFonts w:asciiTheme="minorBidi" w:eastAsia="DengXian" w:hAnsiTheme="minorBidi"/>
                <w:sz w:val="18"/>
                <w:szCs w:val="18"/>
              </w:rPr>
              <w:t>00</w:t>
            </w:r>
            <w:r>
              <w:rPr>
                <w:rFonts w:asciiTheme="minorBidi" w:eastAsia="DengXian" w:hAnsiTheme="minorBidi"/>
                <w:sz w:val="18"/>
                <w:szCs w:val="18"/>
              </w:rPr>
              <w:t>1 – RM9000</w:t>
            </w:r>
          </w:p>
        </w:tc>
        <w:tc>
          <w:tcPr>
            <w:tcW w:w="1666" w:type="pct"/>
            <w:vAlign w:val="center"/>
          </w:tcPr>
          <w:p w14:paraId="63C9C88F"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w:t>
            </w:r>
          </w:p>
        </w:tc>
        <w:tc>
          <w:tcPr>
            <w:tcW w:w="1667" w:type="pct"/>
            <w:tcBorders>
              <w:right w:val="single" w:sz="4" w:space="0" w:color="auto"/>
            </w:tcBorders>
            <w:vAlign w:val="center"/>
          </w:tcPr>
          <w:p w14:paraId="4F1FF2B6"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1.9</w:t>
            </w:r>
          </w:p>
        </w:tc>
      </w:tr>
      <w:tr w:rsidR="00D54C88" w:rsidRPr="008C407A" w14:paraId="51C7C2A5" w14:textId="77777777" w:rsidTr="00C122C1">
        <w:trPr>
          <w:jc w:val="center"/>
        </w:trPr>
        <w:tc>
          <w:tcPr>
            <w:tcW w:w="1667" w:type="pct"/>
            <w:tcBorders>
              <w:left w:val="single" w:sz="4" w:space="0" w:color="auto"/>
              <w:bottom w:val="single" w:sz="4" w:space="0" w:color="auto"/>
            </w:tcBorders>
            <w:vAlign w:val="center"/>
          </w:tcPr>
          <w:p w14:paraId="33D28E82"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Total</w:t>
            </w:r>
          </w:p>
        </w:tc>
        <w:tc>
          <w:tcPr>
            <w:tcW w:w="1666" w:type="pct"/>
            <w:tcBorders>
              <w:bottom w:val="single" w:sz="4" w:space="0" w:color="auto"/>
            </w:tcBorders>
            <w:vAlign w:val="center"/>
          </w:tcPr>
          <w:p w14:paraId="2FB1EEE3"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52</w:t>
            </w:r>
          </w:p>
        </w:tc>
        <w:tc>
          <w:tcPr>
            <w:tcW w:w="1667" w:type="pct"/>
            <w:tcBorders>
              <w:bottom w:val="single" w:sz="4" w:space="0" w:color="auto"/>
              <w:right w:val="single" w:sz="4" w:space="0" w:color="auto"/>
            </w:tcBorders>
            <w:vAlign w:val="center"/>
          </w:tcPr>
          <w:p w14:paraId="58265640" w14:textId="77777777" w:rsidR="00D54C88" w:rsidRPr="008C407A" w:rsidRDefault="00D54C88" w:rsidP="00B7149B">
            <w:pPr>
              <w:jc w:val="center"/>
              <w:rPr>
                <w:rFonts w:asciiTheme="minorBidi" w:eastAsia="DengXian" w:hAnsiTheme="minorBidi"/>
                <w:sz w:val="18"/>
                <w:szCs w:val="18"/>
              </w:rPr>
            </w:pPr>
            <w:r w:rsidRPr="008C407A">
              <w:rPr>
                <w:rFonts w:asciiTheme="minorBidi" w:eastAsia="DengXian" w:hAnsiTheme="minorBidi"/>
                <w:sz w:val="18"/>
                <w:szCs w:val="18"/>
              </w:rPr>
              <w:t>100</w:t>
            </w:r>
          </w:p>
        </w:tc>
      </w:tr>
      <w:tr w:rsidR="00D54C88" w:rsidRPr="008C407A" w14:paraId="142DD49A" w14:textId="77777777" w:rsidTr="00C122C1">
        <w:trPr>
          <w:jc w:val="center"/>
        </w:trPr>
        <w:tc>
          <w:tcPr>
            <w:tcW w:w="1667" w:type="pct"/>
            <w:tcBorders>
              <w:top w:val="single" w:sz="4" w:space="0" w:color="auto"/>
              <w:left w:val="single" w:sz="4" w:space="0" w:color="auto"/>
            </w:tcBorders>
            <w:vAlign w:val="center"/>
          </w:tcPr>
          <w:p w14:paraId="77831545" w14:textId="77777777" w:rsidR="00D54C88" w:rsidRPr="008C407A" w:rsidRDefault="00D54C88" w:rsidP="00B7149B">
            <w:pPr>
              <w:jc w:val="center"/>
              <w:rPr>
                <w:rFonts w:asciiTheme="minorBidi" w:eastAsia="DengXian" w:hAnsiTheme="minorBidi"/>
                <w:sz w:val="18"/>
                <w:szCs w:val="18"/>
              </w:rPr>
            </w:pPr>
          </w:p>
        </w:tc>
        <w:tc>
          <w:tcPr>
            <w:tcW w:w="1666" w:type="pct"/>
            <w:tcBorders>
              <w:top w:val="single" w:sz="4" w:space="0" w:color="auto"/>
            </w:tcBorders>
            <w:vAlign w:val="center"/>
          </w:tcPr>
          <w:p w14:paraId="7AD3F664" w14:textId="77777777" w:rsidR="00D54C88" w:rsidRDefault="00D54C88" w:rsidP="00B7149B">
            <w:pPr>
              <w:jc w:val="center"/>
              <w:rPr>
                <w:rFonts w:asciiTheme="minorBidi" w:eastAsia="DengXian" w:hAnsiTheme="minorBidi"/>
                <w:sz w:val="18"/>
                <w:szCs w:val="18"/>
              </w:rPr>
            </w:pPr>
            <w:r>
              <w:rPr>
                <w:rFonts w:asciiTheme="minorBidi" w:eastAsia="DengXian" w:hAnsiTheme="minorBidi"/>
                <w:sz w:val="18"/>
                <w:szCs w:val="18"/>
              </w:rPr>
              <w:t xml:space="preserve">Involvement </w:t>
            </w:r>
          </w:p>
        </w:tc>
        <w:tc>
          <w:tcPr>
            <w:tcW w:w="1667" w:type="pct"/>
            <w:tcBorders>
              <w:top w:val="single" w:sz="4" w:space="0" w:color="auto"/>
              <w:right w:val="single" w:sz="4" w:space="0" w:color="auto"/>
            </w:tcBorders>
            <w:vAlign w:val="center"/>
          </w:tcPr>
          <w:p w14:paraId="30A0641F" w14:textId="77777777" w:rsidR="00D54C88" w:rsidRPr="008C407A" w:rsidRDefault="00D54C88" w:rsidP="00B7149B">
            <w:pPr>
              <w:jc w:val="center"/>
              <w:rPr>
                <w:rFonts w:asciiTheme="minorBidi" w:eastAsia="DengXian" w:hAnsiTheme="minorBidi"/>
                <w:sz w:val="18"/>
                <w:szCs w:val="18"/>
              </w:rPr>
            </w:pPr>
          </w:p>
        </w:tc>
      </w:tr>
      <w:tr w:rsidR="00D54C88" w:rsidRPr="008C407A" w14:paraId="6E7DF04D" w14:textId="77777777" w:rsidTr="00C122C1">
        <w:trPr>
          <w:jc w:val="center"/>
        </w:trPr>
        <w:tc>
          <w:tcPr>
            <w:tcW w:w="1667" w:type="pct"/>
            <w:tcBorders>
              <w:left w:val="single" w:sz="4" w:space="0" w:color="auto"/>
            </w:tcBorders>
            <w:vAlign w:val="center"/>
          </w:tcPr>
          <w:p w14:paraId="3D41DB88"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 xml:space="preserve">Less than 5 years </w:t>
            </w:r>
          </w:p>
        </w:tc>
        <w:tc>
          <w:tcPr>
            <w:tcW w:w="1666" w:type="pct"/>
            <w:vAlign w:val="center"/>
          </w:tcPr>
          <w:p w14:paraId="228FC41A" w14:textId="77777777" w:rsidR="00D54C88" w:rsidRDefault="00D54C88" w:rsidP="00B7149B">
            <w:pPr>
              <w:jc w:val="center"/>
              <w:rPr>
                <w:rFonts w:asciiTheme="minorBidi" w:eastAsia="DengXian" w:hAnsiTheme="minorBidi"/>
                <w:sz w:val="18"/>
                <w:szCs w:val="18"/>
              </w:rPr>
            </w:pPr>
            <w:r>
              <w:rPr>
                <w:rFonts w:asciiTheme="minorBidi" w:eastAsia="DengXian" w:hAnsiTheme="minorBidi"/>
                <w:sz w:val="18"/>
                <w:szCs w:val="18"/>
              </w:rPr>
              <w:t>1</w:t>
            </w:r>
          </w:p>
        </w:tc>
        <w:tc>
          <w:tcPr>
            <w:tcW w:w="1667" w:type="pct"/>
            <w:tcBorders>
              <w:right w:val="single" w:sz="4" w:space="0" w:color="auto"/>
            </w:tcBorders>
            <w:vAlign w:val="center"/>
          </w:tcPr>
          <w:p w14:paraId="0062EF2B"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1.9</w:t>
            </w:r>
          </w:p>
        </w:tc>
      </w:tr>
      <w:tr w:rsidR="00D54C88" w:rsidRPr="008C407A" w14:paraId="6F18B69C" w14:textId="77777777" w:rsidTr="00C122C1">
        <w:trPr>
          <w:jc w:val="center"/>
        </w:trPr>
        <w:tc>
          <w:tcPr>
            <w:tcW w:w="1667" w:type="pct"/>
            <w:tcBorders>
              <w:left w:val="single" w:sz="4" w:space="0" w:color="auto"/>
            </w:tcBorders>
            <w:vAlign w:val="center"/>
          </w:tcPr>
          <w:p w14:paraId="7078B634"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5-15</w:t>
            </w:r>
          </w:p>
        </w:tc>
        <w:tc>
          <w:tcPr>
            <w:tcW w:w="1666" w:type="pct"/>
            <w:vAlign w:val="center"/>
          </w:tcPr>
          <w:p w14:paraId="61F2D742" w14:textId="77777777" w:rsidR="00D54C88" w:rsidRDefault="00D54C88" w:rsidP="00B7149B">
            <w:pPr>
              <w:jc w:val="center"/>
              <w:rPr>
                <w:rFonts w:asciiTheme="minorBidi" w:eastAsia="DengXian" w:hAnsiTheme="minorBidi"/>
                <w:sz w:val="18"/>
                <w:szCs w:val="18"/>
              </w:rPr>
            </w:pPr>
            <w:r>
              <w:rPr>
                <w:rFonts w:asciiTheme="minorBidi" w:eastAsia="DengXian" w:hAnsiTheme="minorBidi"/>
                <w:sz w:val="18"/>
                <w:szCs w:val="18"/>
              </w:rPr>
              <w:t>11</w:t>
            </w:r>
          </w:p>
        </w:tc>
        <w:tc>
          <w:tcPr>
            <w:tcW w:w="1667" w:type="pct"/>
            <w:tcBorders>
              <w:right w:val="single" w:sz="4" w:space="0" w:color="auto"/>
            </w:tcBorders>
            <w:vAlign w:val="center"/>
          </w:tcPr>
          <w:p w14:paraId="3C38EE3F"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21.2</w:t>
            </w:r>
          </w:p>
        </w:tc>
      </w:tr>
      <w:tr w:rsidR="00D54C88" w:rsidRPr="008C407A" w14:paraId="1CC953A1" w14:textId="77777777" w:rsidTr="00C122C1">
        <w:trPr>
          <w:jc w:val="center"/>
        </w:trPr>
        <w:tc>
          <w:tcPr>
            <w:tcW w:w="1667" w:type="pct"/>
            <w:tcBorders>
              <w:left w:val="single" w:sz="4" w:space="0" w:color="auto"/>
            </w:tcBorders>
            <w:vAlign w:val="center"/>
          </w:tcPr>
          <w:p w14:paraId="222262B4"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15-25</w:t>
            </w:r>
          </w:p>
        </w:tc>
        <w:tc>
          <w:tcPr>
            <w:tcW w:w="1666" w:type="pct"/>
            <w:vAlign w:val="center"/>
          </w:tcPr>
          <w:p w14:paraId="1C3159C0" w14:textId="77777777" w:rsidR="00D54C88" w:rsidRDefault="00D54C88" w:rsidP="00B7149B">
            <w:pPr>
              <w:jc w:val="center"/>
              <w:rPr>
                <w:rFonts w:asciiTheme="minorBidi" w:eastAsia="DengXian" w:hAnsiTheme="minorBidi"/>
                <w:sz w:val="18"/>
                <w:szCs w:val="18"/>
              </w:rPr>
            </w:pPr>
            <w:r>
              <w:rPr>
                <w:rFonts w:asciiTheme="minorBidi" w:eastAsia="DengXian" w:hAnsiTheme="minorBidi"/>
                <w:sz w:val="18"/>
                <w:szCs w:val="18"/>
              </w:rPr>
              <w:t>14</w:t>
            </w:r>
          </w:p>
        </w:tc>
        <w:tc>
          <w:tcPr>
            <w:tcW w:w="1667" w:type="pct"/>
            <w:tcBorders>
              <w:right w:val="single" w:sz="4" w:space="0" w:color="auto"/>
            </w:tcBorders>
            <w:vAlign w:val="center"/>
          </w:tcPr>
          <w:p w14:paraId="2C4CE3BB"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26.9</w:t>
            </w:r>
          </w:p>
        </w:tc>
      </w:tr>
      <w:tr w:rsidR="00D54C88" w:rsidRPr="008C407A" w14:paraId="57FD5AB8" w14:textId="77777777" w:rsidTr="00C122C1">
        <w:trPr>
          <w:jc w:val="center"/>
        </w:trPr>
        <w:tc>
          <w:tcPr>
            <w:tcW w:w="1667" w:type="pct"/>
            <w:tcBorders>
              <w:left w:val="single" w:sz="4" w:space="0" w:color="auto"/>
            </w:tcBorders>
            <w:vAlign w:val="center"/>
          </w:tcPr>
          <w:p w14:paraId="729A0108"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25-35</w:t>
            </w:r>
          </w:p>
        </w:tc>
        <w:tc>
          <w:tcPr>
            <w:tcW w:w="1666" w:type="pct"/>
            <w:vAlign w:val="center"/>
          </w:tcPr>
          <w:p w14:paraId="19267CEE" w14:textId="77777777" w:rsidR="00D54C88" w:rsidRDefault="00D54C88" w:rsidP="00B7149B">
            <w:pPr>
              <w:jc w:val="center"/>
              <w:rPr>
                <w:rFonts w:asciiTheme="minorBidi" w:eastAsia="DengXian" w:hAnsiTheme="minorBidi"/>
                <w:sz w:val="18"/>
                <w:szCs w:val="18"/>
              </w:rPr>
            </w:pPr>
            <w:r>
              <w:rPr>
                <w:rFonts w:asciiTheme="minorBidi" w:eastAsia="DengXian" w:hAnsiTheme="minorBidi"/>
                <w:sz w:val="18"/>
                <w:szCs w:val="18"/>
              </w:rPr>
              <w:t>12</w:t>
            </w:r>
          </w:p>
        </w:tc>
        <w:tc>
          <w:tcPr>
            <w:tcW w:w="1667" w:type="pct"/>
            <w:tcBorders>
              <w:right w:val="single" w:sz="4" w:space="0" w:color="auto"/>
            </w:tcBorders>
            <w:vAlign w:val="center"/>
          </w:tcPr>
          <w:p w14:paraId="74937506"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23.1</w:t>
            </w:r>
          </w:p>
        </w:tc>
      </w:tr>
      <w:tr w:rsidR="00D54C88" w:rsidRPr="008C407A" w14:paraId="5E7896C0" w14:textId="77777777" w:rsidTr="00C122C1">
        <w:trPr>
          <w:jc w:val="center"/>
        </w:trPr>
        <w:tc>
          <w:tcPr>
            <w:tcW w:w="1667" w:type="pct"/>
            <w:tcBorders>
              <w:left w:val="single" w:sz="4" w:space="0" w:color="auto"/>
            </w:tcBorders>
            <w:vAlign w:val="center"/>
          </w:tcPr>
          <w:p w14:paraId="2D8E2248" w14:textId="77777777" w:rsidR="00D54C88" w:rsidRPr="00830102" w:rsidRDefault="00D54C88" w:rsidP="00B7149B">
            <w:pPr>
              <w:jc w:val="center"/>
              <w:rPr>
                <w:rFonts w:asciiTheme="minorBidi" w:eastAsia="DengXian" w:hAnsiTheme="minorBidi"/>
                <w:sz w:val="18"/>
                <w:szCs w:val="18"/>
              </w:rPr>
            </w:pPr>
            <w:r>
              <w:rPr>
                <w:rFonts w:asciiTheme="minorBidi" w:eastAsia="DengXian" w:hAnsiTheme="minorBidi"/>
                <w:sz w:val="18"/>
                <w:szCs w:val="18"/>
              </w:rPr>
              <w:t>More than 35 years</w:t>
            </w:r>
          </w:p>
        </w:tc>
        <w:tc>
          <w:tcPr>
            <w:tcW w:w="1666" w:type="pct"/>
            <w:vAlign w:val="center"/>
          </w:tcPr>
          <w:p w14:paraId="40C5EB0A" w14:textId="77777777" w:rsidR="00D54C88" w:rsidRDefault="00D54C88" w:rsidP="00B7149B">
            <w:pPr>
              <w:jc w:val="center"/>
              <w:rPr>
                <w:rFonts w:asciiTheme="minorBidi" w:eastAsia="DengXian" w:hAnsiTheme="minorBidi"/>
                <w:sz w:val="18"/>
                <w:szCs w:val="18"/>
              </w:rPr>
            </w:pPr>
            <w:r>
              <w:rPr>
                <w:rFonts w:asciiTheme="minorBidi" w:eastAsia="DengXian" w:hAnsiTheme="minorBidi"/>
                <w:sz w:val="18"/>
                <w:szCs w:val="18"/>
              </w:rPr>
              <w:t>14</w:t>
            </w:r>
          </w:p>
        </w:tc>
        <w:tc>
          <w:tcPr>
            <w:tcW w:w="1667" w:type="pct"/>
            <w:tcBorders>
              <w:right w:val="single" w:sz="4" w:space="0" w:color="auto"/>
            </w:tcBorders>
            <w:vAlign w:val="center"/>
          </w:tcPr>
          <w:p w14:paraId="03D6B208"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26.9</w:t>
            </w:r>
          </w:p>
        </w:tc>
      </w:tr>
      <w:tr w:rsidR="00D54C88" w:rsidRPr="008C407A" w14:paraId="63811F12" w14:textId="77777777" w:rsidTr="00C122C1">
        <w:trPr>
          <w:jc w:val="center"/>
        </w:trPr>
        <w:tc>
          <w:tcPr>
            <w:tcW w:w="1667" w:type="pct"/>
            <w:tcBorders>
              <w:left w:val="single" w:sz="4" w:space="0" w:color="auto"/>
              <w:bottom w:val="single" w:sz="4" w:space="0" w:color="auto"/>
            </w:tcBorders>
            <w:vAlign w:val="center"/>
          </w:tcPr>
          <w:p w14:paraId="533C2648"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 xml:space="preserve">Total </w:t>
            </w:r>
          </w:p>
        </w:tc>
        <w:tc>
          <w:tcPr>
            <w:tcW w:w="1666" w:type="pct"/>
            <w:tcBorders>
              <w:bottom w:val="single" w:sz="4" w:space="0" w:color="auto"/>
            </w:tcBorders>
            <w:vAlign w:val="center"/>
          </w:tcPr>
          <w:p w14:paraId="45956C87" w14:textId="77777777" w:rsidR="00D54C88" w:rsidRDefault="00D54C88" w:rsidP="00B7149B">
            <w:pPr>
              <w:jc w:val="center"/>
              <w:rPr>
                <w:rFonts w:asciiTheme="minorBidi" w:eastAsia="DengXian" w:hAnsiTheme="minorBidi"/>
                <w:sz w:val="18"/>
                <w:szCs w:val="18"/>
              </w:rPr>
            </w:pPr>
            <w:r>
              <w:rPr>
                <w:rFonts w:asciiTheme="minorBidi" w:eastAsia="DengXian" w:hAnsiTheme="minorBidi"/>
                <w:sz w:val="18"/>
                <w:szCs w:val="18"/>
              </w:rPr>
              <w:t>52</w:t>
            </w:r>
          </w:p>
        </w:tc>
        <w:tc>
          <w:tcPr>
            <w:tcW w:w="1667" w:type="pct"/>
            <w:tcBorders>
              <w:bottom w:val="single" w:sz="4" w:space="0" w:color="auto"/>
              <w:right w:val="single" w:sz="4" w:space="0" w:color="auto"/>
            </w:tcBorders>
            <w:vAlign w:val="center"/>
          </w:tcPr>
          <w:p w14:paraId="10713EC1" w14:textId="77777777" w:rsidR="00D54C88" w:rsidRPr="008C407A" w:rsidRDefault="00D54C88" w:rsidP="00B7149B">
            <w:pPr>
              <w:jc w:val="center"/>
              <w:rPr>
                <w:rFonts w:asciiTheme="minorBidi" w:eastAsia="DengXian" w:hAnsiTheme="minorBidi"/>
                <w:sz w:val="18"/>
                <w:szCs w:val="18"/>
              </w:rPr>
            </w:pPr>
            <w:r>
              <w:rPr>
                <w:rFonts w:asciiTheme="minorBidi" w:eastAsia="DengXian" w:hAnsiTheme="minorBidi"/>
                <w:sz w:val="18"/>
                <w:szCs w:val="18"/>
              </w:rPr>
              <w:t>100.0</w:t>
            </w:r>
          </w:p>
        </w:tc>
      </w:tr>
    </w:tbl>
    <w:p w14:paraId="3C0D8F78" w14:textId="77777777" w:rsidR="00087F17" w:rsidRDefault="00087F17" w:rsidP="00B7149B">
      <w:pPr>
        <w:rPr>
          <w:rFonts w:eastAsia="DengXian"/>
          <w:kern w:val="2"/>
          <w:lang w:val="en-MY"/>
          <w14:ligatures w14:val="standardContextual"/>
        </w:rPr>
      </w:pPr>
    </w:p>
    <w:p w14:paraId="63917736" w14:textId="77777777" w:rsidR="00087F17" w:rsidRDefault="00087F17" w:rsidP="00087F17">
      <w:pPr>
        <w:rPr>
          <w:rFonts w:eastAsia="DengXian"/>
          <w:kern w:val="2"/>
          <w:lang w:val="en-MY"/>
          <w14:ligatures w14:val="standardContextual"/>
        </w:rPr>
      </w:pPr>
    </w:p>
    <w:p w14:paraId="386DBA53" w14:textId="52BCACD1" w:rsidR="003F2915" w:rsidRDefault="003F2915" w:rsidP="00087F17">
      <w:pPr>
        <w:rPr>
          <w:rFonts w:ascii="Arial" w:hAnsi="Arial" w:cs="Arial"/>
          <w:b/>
          <w:bCs/>
          <w:lang w:eastAsia="en-US"/>
        </w:rPr>
      </w:pPr>
    </w:p>
    <w:p w14:paraId="4758D77C" w14:textId="5238D3A7" w:rsidR="003F2915" w:rsidRDefault="005A2DC6" w:rsidP="00087F17">
      <w:pPr>
        <w:rPr>
          <w:rFonts w:ascii="Arial" w:hAnsi="Arial" w:cs="Arial"/>
          <w:b/>
          <w:bCs/>
          <w:lang w:eastAsia="en-US"/>
        </w:rPr>
      </w:pPr>
      <w:r>
        <w:rPr>
          <w:noProof/>
        </w:rPr>
        <w:drawing>
          <wp:anchor distT="0" distB="0" distL="114300" distR="114300" simplePos="0" relativeHeight="251661312" behindDoc="1" locked="0" layoutInCell="1" allowOverlap="1" wp14:anchorId="60CA686E" wp14:editId="19B8F469">
            <wp:simplePos x="0" y="0"/>
            <wp:positionH relativeFrom="margin">
              <wp:posOffset>579353</wp:posOffset>
            </wp:positionH>
            <wp:positionV relativeFrom="paragraph">
              <wp:posOffset>10024</wp:posOffset>
            </wp:positionV>
            <wp:extent cx="4502198" cy="2212340"/>
            <wp:effectExtent l="0" t="0" r="12700" b="16510"/>
            <wp:wrapTight wrapText="bothSides">
              <wp:wrapPolygon edited="0">
                <wp:start x="0" y="0"/>
                <wp:lineTo x="0" y="21575"/>
                <wp:lineTo x="21570" y="21575"/>
                <wp:lineTo x="21570" y="0"/>
                <wp:lineTo x="0" y="0"/>
              </wp:wrapPolygon>
            </wp:wrapTight>
            <wp:docPr id="156613009" name="Chart 1">
              <a:extLst xmlns:a="http://schemas.openxmlformats.org/drawingml/2006/main">
                <a:ext uri="{FF2B5EF4-FFF2-40B4-BE49-F238E27FC236}">
                  <a16:creationId xmlns:a16="http://schemas.microsoft.com/office/drawing/2014/main" id="{DFBAC82E-7584-DA55-150A-10ADB0659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24699B24" w14:textId="33D374E9" w:rsidR="003F2915" w:rsidRDefault="003F2915" w:rsidP="00087F17">
      <w:pPr>
        <w:rPr>
          <w:rFonts w:ascii="Arial" w:hAnsi="Arial" w:cs="Arial"/>
          <w:b/>
          <w:bCs/>
          <w:lang w:eastAsia="en-US"/>
        </w:rPr>
      </w:pPr>
    </w:p>
    <w:p w14:paraId="538D4508" w14:textId="77777777" w:rsidR="003F2915" w:rsidRDefault="003F2915" w:rsidP="00087F17">
      <w:pPr>
        <w:rPr>
          <w:rFonts w:ascii="Arial" w:hAnsi="Arial" w:cs="Arial"/>
          <w:b/>
          <w:bCs/>
          <w:lang w:eastAsia="en-US"/>
        </w:rPr>
      </w:pPr>
    </w:p>
    <w:p w14:paraId="698B6728" w14:textId="77777777" w:rsidR="003F2915" w:rsidRDefault="003F2915" w:rsidP="00087F17">
      <w:pPr>
        <w:rPr>
          <w:rFonts w:ascii="Arial" w:hAnsi="Arial" w:cs="Arial"/>
          <w:b/>
          <w:bCs/>
          <w:lang w:eastAsia="en-US"/>
        </w:rPr>
      </w:pPr>
    </w:p>
    <w:p w14:paraId="64F76654" w14:textId="77777777" w:rsidR="003F2915" w:rsidRDefault="003F2915" w:rsidP="00087F17">
      <w:pPr>
        <w:rPr>
          <w:rFonts w:ascii="Arial" w:hAnsi="Arial" w:cs="Arial"/>
          <w:b/>
          <w:bCs/>
          <w:lang w:eastAsia="en-US"/>
        </w:rPr>
      </w:pPr>
    </w:p>
    <w:p w14:paraId="45030700" w14:textId="77777777" w:rsidR="003F2915" w:rsidRDefault="003F2915" w:rsidP="00087F17">
      <w:pPr>
        <w:rPr>
          <w:rFonts w:ascii="Arial" w:hAnsi="Arial" w:cs="Arial"/>
          <w:b/>
          <w:bCs/>
          <w:lang w:eastAsia="en-US"/>
        </w:rPr>
      </w:pPr>
    </w:p>
    <w:p w14:paraId="7BB6337C" w14:textId="77777777" w:rsidR="003F2915" w:rsidRDefault="003F2915" w:rsidP="00087F17">
      <w:pPr>
        <w:rPr>
          <w:rFonts w:ascii="Arial" w:hAnsi="Arial" w:cs="Arial"/>
          <w:b/>
          <w:bCs/>
          <w:lang w:eastAsia="en-US"/>
        </w:rPr>
      </w:pPr>
    </w:p>
    <w:p w14:paraId="56884A69" w14:textId="77777777" w:rsidR="003F2915" w:rsidRDefault="003F2915" w:rsidP="00087F17">
      <w:pPr>
        <w:rPr>
          <w:rFonts w:ascii="Arial" w:hAnsi="Arial" w:cs="Arial"/>
          <w:b/>
          <w:bCs/>
          <w:lang w:eastAsia="en-US"/>
        </w:rPr>
      </w:pPr>
    </w:p>
    <w:p w14:paraId="78C6EB2C" w14:textId="77777777" w:rsidR="003F2915" w:rsidRDefault="003F2915" w:rsidP="00087F17">
      <w:pPr>
        <w:rPr>
          <w:rFonts w:ascii="Arial" w:hAnsi="Arial" w:cs="Arial"/>
          <w:b/>
          <w:bCs/>
          <w:lang w:eastAsia="en-US"/>
        </w:rPr>
      </w:pPr>
    </w:p>
    <w:p w14:paraId="5D47AB6E" w14:textId="77777777" w:rsidR="003F2915" w:rsidRDefault="003F2915" w:rsidP="00087F17">
      <w:pPr>
        <w:rPr>
          <w:rFonts w:ascii="Arial" w:hAnsi="Arial" w:cs="Arial"/>
          <w:b/>
          <w:bCs/>
          <w:lang w:eastAsia="en-US"/>
        </w:rPr>
      </w:pPr>
    </w:p>
    <w:p w14:paraId="0B4361A9" w14:textId="77777777" w:rsidR="003F2915" w:rsidRDefault="003F2915" w:rsidP="00087F17">
      <w:pPr>
        <w:rPr>
          <w:rFonts w:ascii="Arial" w:hAnsi="Arial" w:cs="Arial"/>
          <w:b/>
          <w:bCs/>
          <w:lang w:eastAsia="en-US"/>
        </w:rPr>
      </w:pPr>
    </w:p>
    <w:p w14:paraId="118C1D84" w14:textId="77777777" w:rsidR="003F2915" w:rsidRDefault="003F2915" w:rsidP="00087F17">
      <w:pPr>
        <w:rPr>
          <w:rFonts w:ascii="Arial" w:hAnsi="Arial" w:cs="Arial"/>
          <w:b/>
          <w:bCs/>
          <w:lang w:eastAsia="en-US"/>
        </w:rPr>
      </w:pPr>
    </w:p>
    <w:p w14:paraId="2477F78C" w14:textId="77777777" w:rsidR="003F2915" w:rsidRDefault="003F2915" w:rsidP="00087F17">
      <w:pPr>
        <w:rPr>
          <w:rFonts w:ascii="Arial" w:hAnsi="Arial" w:cs="Arial"/>
          <w:b/>
          <w:bCs/>
          <w:lang w:eastAsia="en-US"/>
        </w:rPr>
      </w:pPr>
    </w:p>
    <w:p w14:paraId="7636B190" w14:textId="77777777" w:rsidR="003F2915" w:rsidRDefault="003F2915" w:rsidP="00087F17">
      <w:pPr>
        <w:rPr>
          <w:rFonts w:ascii="Arial" w:hAnsi="Arial" w:cs="Arial"/>
          <w:b/>
          <w:bCs/>
          <w:lang w:eastAsia="en-US"/>
        </w:rPr>
      </w:pPr>
    </w:p>
    <w:p w14:paraId="7CE4C826" w14:textId="56FC58FA" w:rsidR="003F2915" w:rsidRDefault="00D54C88" w:rsidP="00D54C88">
      <w:pPr>
        <w:jc w:val="center"/>
        <w:rPr>
          <w:lang w:eastAsia="en-US"/>
        </w:rPr>
      </w:pPr>
      <w:r w:rsidRPr="00D54C88">
        <w:rPr>
          <w:lang w:eastAsia="en-US"/>
        </w:rPr>
        <w:t xml:space="preserve">Figure </w:t>
      </w:r>
      <w:r w:rsidR="008453F8">
        <w:rPr>
          <w:lang w:eastAsia="en-US"/>
        </w:rPr>
        <w:t>2</w:t>
      </w:r>
      <w:r w:rsidRPr="00D54C88">
        <w:rPr>
          <w:lang w:eastAsia="en-US"/>
        </w:rPr>
        <w:t xml:space="preserve">: </w:t>
      </w:r>
      <w:r w:rsidR="005A2DC6">
        <w:rPr>
          <w:lang w:eastAsia="en-US"/>
        </w:rPr>
        <w:t xml:space="preserve">Races </w:t>
      </w:r>
      <w:r w:rsidRPr="00D54C88">
        <w:rPr>
          <w:lang w:eastAsia="en-US"/>
        </w:rPr>
        <w:t>of Farmers</w:t>
      </w:r>
    </w:p>
    <w:p w14:paraId="72F35979" w14:textId="77777777" w:rsidR="00D54C88" w:rsidRPr="00D54C88" w:rsidRDefault="00D54C88" w:rsidP="00D54C88">
      <w:pPr>
        <w:jc w:val="center"/>
        <w:rPr>
          <w:lang w:eastAsia="en-US"/>
        </w:rPr>
      </w:pPr>
    </w:p>
    <w:p w14:paraId="3F4F9420" w14:textId="26FCF3FD" w:rsidR="00D54C88" w:rsidRPr="00533525" w:rsidRDefault="00533525" w:rsidP="00265C23">
      <w:pPr>
        <w:jc w:val="both"/>
        <w:rPr>
          <w:lang w:eastAsia="en-US"/>
        </w:rPr>
      </w:pPr>
      <w:r>
        <w:rPr>
          <w:lang w:eastAsia="en-US"/>
        </w:rPr>
        <w:t xml:space="preserve">Figure </w:t>
      </w:r>
      <w:r w:rsidR="008453F8">
        <w:rPr>
          <w:lang w:eastAsia="en-US"/>
        </w:rPr>
        <w:t>2</w:t>
      </w:r>
      <w:r w:rsidRPr="00533525">
        <w:rPr>
          <w:lang w:eastAsia="en-US"/>
        </w:rPr>
        <w:t xml:space="preserve"> displays the absolute frequency of farmers across three primary ethnic groups (Malay, Chinese, and Indian), highlighting a heavily skewed demographic distribution.</w:t>
      </w:r>
      <w:r>
        <w:rPr>
          <w:lang w:eastAsia="en-US"/>
        </w:rPr>
        <w:t xml:space="preserve"> </w:t>
      </w:r>
      <w:r w:rsidR="008063BC">
        <w:rPr>
          <w:lang w:eastAsia="en-US"/>
        </w:rPr>
        <w:t xml:space="preserve">The </w:t>
      </w:r>
      <w:r w:rsidR="00265C23" w:rsidRPr="00265C23">
        <w:rPr>
          <w:lang w:eastAsia="en-US"/>
        </w:rPr>
        <w:t>Malay ethnic group constitutes the overwhelming majority, comprising approximately 39 of the farmers in the sample. In contrast, minority representation is notably limited, with the data indicating only 9 Chinese farmers and 4 Indian farmers</w:t>
      </w:r>
      <w:r w:rsidR="00265C23">
        <w:rPr>
          <w:lang w:eastAsia="en-US"/>
        </w:rPr>
        <w:t>.</w:t>
      </w:r>
    </w:p>
    <w:p w14:paraId="728AF777" w14:textId="77777777" w:rsidR="00D54C88" w:rsidRDefault="00D54C88" w:rsidP="00087F17">
      <w:pPr>
        <w:rPr>
          <w:rFonts w:ascii="Arial" w:hAnsi="Arial" w:cs="Arial"/>
          <w:b/>
          <w:bCs/>
          <w:lang w:eastAsia="en-US"/>
        </w:rPr>
      </w:pPr>
    </w:p>
    <w:p w14:paraId="63D80FB7" w14:textId="0FBB452E" w:rsidR="003F2915" w:rsidRDefault="003F2915" w:rsidP="00087F17">
      <w:pPr>
        <w:rPr>
          <w:rFonts w:ascii="Arial" w:hAnsi="Arial" w:cs="Arial"/>
          <w:b/>
          <w:bCs/>
          <w:lang w:eastAsia="en-US"/>
        </w:rPr>
      </w:pPr>
      <w:r>
        <w:rPr>
          <w:noProof/>
        </w:rPr>
        <w:drawing>
          <wp:anchor distT="0" distB="0" distL="114300" distR="114300" simplePos="0" relativeHeight="251659264" behindDoc="1" locked="0" layoutInCell="1" allowOverlap="1" wp14:anchorId="1E599E79" wp14:editId="67852560">
            <wp:simplePos x="0" y="0"/>
            <wp:positionH relativeFrom="column">
              <wp:posOffset>474650</wp:posOffset>
            </wp:positionH>
            <wp:positionV relativeFrom="paragraph">
              <wp:posOffset>10</wp:posOffset>
            </wp:positionV>
            <wp:extent cx="4572000" cy="2743200"/>
            <wp:effectExtent l="0" t="0" r="0" b="0"/>
            <wp:wrapTight wrapText="bothSides">
              <wp:wrapPolygon edited="0">
                <wp:start x="0" y="0"/>
                <wp:lineTo x="0" y="21450"/>
                <wp:lineTo x="21510" y="21450"/>
                <wp:lineTo x="21510" y="0"/>
                <wp:lineTo x="0" y="0"/>
              </wp:wrapPolygon>
            </wp:wrapTight>
            <wp:docPr id="961312088" name="Chart 1">
              <a:extLst xmlns:a="http://schemas.openxmlformats.org/drawingml/2006/main">
                <a:ext uri="{FF2B5EF4-FFF2-40B4-BE49-F238E27FC236}">
                  <a16:creationId xmlns:a16="http://schemas.microsoft.com/office/drawing/2014/main" id="{06B61B33-D6C0-5D9D-D0E6-4ACB21304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0D39C06E" w14:textId="77777777" w:rsidR="003F2915" w:rsidRDefault="003F2915" w:rsidP="00087F17">
      <w:pPr>
        <w:rPr>
          <w:rFonts w:ascii="Arial" w:hAnsi="Arial" w:cs="Arial"/>
          <w:b/>
          <w:bCs/>
          <w:lang w:eastAsia="en-US"/>
        </w:rPr>
      </w:pPr>
    </w:p>
    <w:p w14:paraId="5FBAA604" w14:textId="77777777" w:rsidR="003F2915" w:rsidRDefault="003F2915" w:rsidP="00087F17">
      <w:pPr>
        <w:rPr>
          <w:rFonts w:ascii="Arial" w:hAnsi="Arial" w:cs="Arial"/>
          <w:b/>
          <w:bCs/>
          <w:lang w:eastAsia="en-US"/>
        </w:rPr>
      </w:pPr>
    </w:p>
    <w:p w14:paraId="41A80392" w14:textId="77777777" w:rsidR="003F2915" w:rsidRDefault="003F2915" w:rsidP="00087F17">
      <w:pPr>
        <w:rPr>
          <w:rFonts w:ascii="Arial" w:hAnsi="Arial" w:cs="Arial"/>
          <w:b/>
          <w:bCs/>
          <w:lang w:eastAsia="en-US"/>
        </w:rPr>
      </w:pPr>
    </w:p>
    <w:p w14:paraId="6F815953" w14:textId="77777777" w:rsidR="003F2915" w:rsidRDefault="003F2915" w:rsidP="00087F17">
      <w:pPr>
        <w:rPr>
          <w:rFonts w:ascii="Arial" w:hAnsi="Arial" w:cs="Arial"/>
          <w:b/>
          <w:bCs/>
          <w:lang w:eastAsia="en-US"/>
        </w:rPr>
      </w:pPr>
    </w:p>
    <w:p w14:paraId="2C308653" w14:textId="77777777" w:rsidR="003F2915" w:rsidRDefault="003F2915" w:rsidP="00087F17">
      <w:pPr>
        <w:rPr>
          <w:rFonts w:ascii="Arial" w:hAnsi="Arial" w:cs="Arial"/>
          <w:b/>
          <w:bCs/>
          <w:lang w:eastAsia="en-US"/>
        </w:rPr>
      </w:pPr>
    </w:p>
    <w:p w14:paraId="30F25775" w14:textId="77777777" w:rsidR="003F2915" w:rsidRDefault="003F2915" w:rsidP="00087F17">
      <w:pPr>
        <w:rPr>
          <w:rFonts w:ascii="Arial" w:hAnsi="Arial" w:cs="Arial"/>
          <w:b/>
          <w:bCs/>
          <w:lang w:eastAsia="en-US"/>
        </w:rPr>
      </w:pPr>
    </w:p>
    <w:p w14:paraId="393F49FF" w14:textId="77777777" w:rsidR="003F2915" w:rsidRDefault="003F2915" w:rsidP="00087F17">
      <w:pPr>
        <w:rPr>
          <w:rFonts w:ascii="Arial" w:hAnsi="Arial" w:cs="Arial"/>
          <w:b/>
          <w:bCs/>
          <w:lang w:eastAsia="en-US"/>
        </w:rPr>
      </w:pPr>
    </w:p>
    <w:p w14:paraId="30797F56" w14:textId="77777777" w:rsidR="003F2915" w:rsidRDefault="003F2915" w:rsidP="00087F17">
      <w:pPr>
        <w:rPr>
          <w:rFonts w:ascii="Arial" w:hAnsi="Arial" w:cs="Arial"/>
          <w:b/>
          <w:bCs/>
          <w:lang w:eastAsia="en-US"/>
        </w:rPr>
      </w:pPr>
    </w:p>
    <w:p w14:paraId="43DF6E01" w14:textId="77777777" w:rsidR="003F2915" w:rsidRDefault="003F2915" w:rsidP="00087F17">
      <w:pPr>
        <w:rPr>
          <w:rFonts w:ascii="Arial" w:hAnsi="Arial" w:cs="Arial"/>
          <w:b/>
          <w:bCs/>
          <w:lang w:eastAsia="en-US"/>
        </w:rPr>
      </w:pPr>
    </w:p>
    <w:p w14:paraId="2FE67E3E" w14:textId="77777777" w:rsidR="003F2915" w:rsidRDefault="003F2915" w:rsidP="00087F17">
      <w:pPr>
        <w:rPr>
          <w:rFonts w:ascii="Arial" w:hAnsi="Arial" w:cs="Arial"/>
          <w:b/>
          <w:bCs/>
          <w:lang w:eastAsia="en-US"/>
        </w:rPr>
      </w:pPr>
    </w:p>
    <w:p w14:paraId="016926E5" w14:textId="77777777" w:rsidR="003F2915" w:rsidRDefault="003F2915" w:rsidP="00087F17">
      <w:pPr>
        <w:rPr>
          <w:rFonts w:ascii="Arial" w:hAnsi="Arial" w:cs="Arial"/>
          <w:b/>
          <w:bCs/>
          <w:lang w:eastAsia="en-US"/>
        </w:rPr>
      </w:pPr>
    </w:p>
    <w:p w14:paraId="0EDC9FDD" w14:textId="77777777" w:rsidR="003F2915" w:rsidRDefault="003F2915" w:rsidP="00087F17">
      <w:pPr>
        <w:rPr>
          <w:rFonts w:ascii="Arial" w:hAnsi="Arial" w:cs="Arial"/>
          <w:b/>
          <w:bCs/>
          <w:lang w:eastAsia="en-US"/>
        </w:rPr>
      </w:pPr>
    </w:p>
    <w:p w14:paraId="75EC68F3" w14:textId="77777777" w:rsidR="003F2915" w:rsidRDefault="003F2915" w:rsidP="00087F17">
      <w:pPr>
        <w:rPr>
          <w:rFonts w:ascii="Arial" w:hAnsi="Arial" w:cs="Arial"/>
          <w:b/>
          <w:bCs/>
          <w:lang w:eastAsia="en-US"/>
        </w:rPr>
      </w:pPr>
    </w:p>
    <w:p w14:paraId="0593F422" w14:textId="77777777" w:rsidR="003F2915" w:rsidRDefault="003F2915" w:rsidP="00087F17">
      <w:pPr>
        <w:rPr>
          <w:rFonts w:ascii="Arial" w:hAnsi="Arial" w:cs="Arial"/>
          <w:b/>
          <w:bCs/>
          <w:lang w:eastAsia="en-US"/>
        </w:rPr>
      </w:pPr>
    </w:p>
    <w:p w14:paraId="3B451E82" w14:textId="77777777" w:rsidR="003F2915" w:rsidRDefault="003F2915" w:rsidP="00087F17">
      <w:pPr>
        <w:rPr>
          <w:rFonts w:ascii="Arial" w:hAnsi="Arial" w:cs="Arial"/>
          <w:b/>
          <w:bCs/>
          <w:lang w:eastAsia="en-US"/>
        </w:rPr>
      </w:pPr>
    </w:p>
    <w:p w14:paraId="36779A19" w14:textId="77777777" w:rsidR="003F2915" w:rsidRDefault="003F2915" w:rsidP="00087F17">
      <w:pPr>
        <w:rPr>
          <w:rFonts w:ascii="Arial" w:hAnsi="Arial" w:cs="Arial"/>
          <w:b/>
          <w:bCs/>
          <w:lang w:eastAsia="en-US"/>
        </w:rPr>
      </w:pPr>
    </w:p>
    <w:p w14:paraId="2261733D" w14:textId="30D63F29" w:rsidR="00D54C88" w:rsidRDefault="00D54C88" w:rsidP="00D54C88">
      <w:pPr>
        <w:jc w:val="center"/>
        <w:rPr>
          <w:lang w:eastAsia="en-US"/>
        </w:rPr>
      </w:pPr>
      <w:r w:rsidRPr="00D54C88">
        <w:rPr>
          <w:lang w:eastAsia="en-US"/>
        </w:rPr>
        <w:t xml:space="preserve">Figure </w:t>
      </w:r>
      <w:r w:rsidR="008453F8">
        <w:rPr>
          <w:lang w:eastAsia="en-US"/>
        </w:rPr>
        <w:t>3</w:t>
      </w:r>
      <w:r w:rsidRPr="00D54C88">
        <w:rPr>
          <w:lang w:eastAsia="en-US"/>
        </w:rPr>
        <w:t xml:space="preserve">: </w:t>
      </w:r>
      <w:r>
        <w:rPr>
          <w:lang w:eastAsia="en-US"/>
        </w:rPr>
        <w:t>Location</w:t>
      </w:r>
      <w:r w:rsidRPr="00D54C88">
        <w:rPr>
          <w:lang w:eastAsia="en-US"/>
        </w:rPr>
        <w:t xml:space="preserve"> of Farmers</w:t>
      </w:r>
    </w:p>
    <w:p w14:paraId="5A001855" w14:textId="77777777" w:rsidR="003F2915" w:rsidRDefault="003F2915" w:rsidP="00087F17">
      <w:pPr>
        <w:rPr>
          <w:rFonts w:ascii="Arial" w:hAnsi="Arial" w:cs="Arial"/>
          <w:b/>
          <w:bCs/>
          <w:lang w:eastAsia="en-US"/>
        </w:rPr>
      </w:pPr>
    </w:p>
    <w:p w14:paraId="09FE52E9" w14:textId="47418932" w:rsidR="005A2DC6" w:rsidRPr="005A2DC6" w:rsidRDefault="005A2DC6" w:rsidP="005A2DC6">
      <w:pPr>
        <w:jc w:val="both"/>
        <w:rPr>
          <w:lang w:val="en-MY" w:eastAsia="en-US"/>
        </w:rPr>
      </w:pPr>
      <w:r w:rsidRPr="005A2DC6">
        <w:rPr>
          <w:lang w:val="en-MY" w:eastAsia="en-US"/>
        </w:rPr>
        <w:t xml:space="preserve">Figure </w:t>
      </w:r>
      <w:r w:rsidR="008453F8">
        <w:rPr>
          <w:lang w:val="en-MY" w:eastAsia="en-US"/>
        </w:rPr>
        <w:t>3</w:t>
      </w:r>
      <w:r w:rsidRPr="005A2DC6">
        <w:rPr>
          <w:lang w:val="en-MY" w:eastAsia="en-US"/>
        </w:rPr>
        <w:t xml:space="preserve"> presents the geographical distribution of vegetable farmers across the selected study locations in Perlis. The largest proportion of respondents was from Padang Siding, accounting for 39% (20 farmers) of the total sample. This was followed by </w:t>
      </w:r>
      <w:proofErr w:type="spellStart"/>
      <w:r w:rsidRPr="005A2DC6">
        <w:rPr>
          <w:lang w:val="en-MY" w:eastAsia="en-US"/>
        </w:rPr>
        <w:t>Bintong</w:t>
      </w:r>
      <w:proofErr w:type="spellEnd"/>
      <w:r w:rsidRPr="005A2DC6">
        <w:rPr>
          <w:lang w:val="en-MY" w:eastAsia="en-US"/>
        </w:rPr>
        <w:t xml:space="preserve"> with 21% (11 farmers), Paya with 19% (10 farmers), and Mata Ayer with 17% (9 farmers). The smallest representation came from </w:t>
      </w:r>
      <w:proofErr w:type="spellStart"/>
      <w:r w:rsidRPr="005A2DC6">
        <w:rPr>
          <w:lang w:val="en-MY" w:eastAsia="en-US"/>
        </w:rPr>
        <w:t>Beseri</w:t>
      </w:r>
      <w:proofErr w:type="spellEnd"/>
      <w:r w:rsidRPr="005A2DC6">
        <w:rPr>
          <w:lang w:val="en-MY" w:eastAsia="en-US"/>
        </w:rPr>
        <w:t>, which contributed 4% (2 farmers) of the respondents.</w:t>
      </w:r>
      <w:r>
        <w:rPr>
          <w:lang w:val="en-MY" w:eastAsia="en-US"/>
        </w:rPr>
        <w:t xml:space="preserve"> </w:t>
      </w:r>
      <w:r w:rsidRPr="005A2DC6">
        <w:rPr>
          <w:lang w:val="en-MY" w:eastAsia="en-US"/>
        </w:rPr>
        <w:t xml:space="preserve">The concentration of respondents in Padang Siding suggests that vegetable farming activities are more prevalent in this area compared to the other locations included in the study. The unequal distribution of respondents across districts may reflect differences in agricultural land availability, farming intensity, or the number of registered vegetable farmers within each locality. Furthermore, geographical factors may influence farmers’ exposure to agricultural extension services, sustainable farming programmes, and awareness of permaculture practices. </w:t>
      </w:r>
      <w:r w:rsidRPr="005A2DC6">
        <w:rPr>
          <w:lang w:val="en-MY" w:eastAsia="en-US"/>
        </w:rPr>
        <w:lastRenderedPageBreak/>
        <w:t>Therefore, location-specific strategies may be necessary when promoting permaculture adoption among vegetable farmers in Perlis.</w:t>
      </w:r>
    </w:p>
    <w:p w14:paraId="655D052D" w14:textId="77777777" w:rsidR="003F2915" w:rsidRDefault="003F2915" w:rsidP="00087F17">
      <w:pPr>
        <w:rPr>
          <w:rFonts w:ascii="Arial" w:hAnsi="Arial" w:cs="Arial"/>
          <w:b/>
          <w:bCs/>
          <w:lang w:eastAsia="en-US"/>
        </w:rPr>
      </w:pPr>
    </w:p>
    <w:p w14:paraId="590036A6" w14:textId="634D0845" w:rsidR="003F2915" w:rsidRDefault="003F2915" w:rsidP="00087F17">
      <w:pPr>
        <w:rPr>
          <w:rFonts w:ascii="Arial" w:hAnsi="Arial" w:cs="Arial"/>
          <w:b/>
          <w:bCs/>
          <w:lang w:eastAsia="en-US"/>
        </w:rPr>
      </w:pPr>
      <w:r>
        <w:rPr>
          <w:noProof/>
        </w:rPr>
        <w:drawing>
          <wp:anchor distT="0" distB="0" distL="114300" distR="114300" simplePos="0" relativeHeight="251660288" behindDoc="1" locked="0" layoutInCell="1" allowOverlap="1" wp14:anchorId="1D433468" wp14:editId="373D7236">
            <wp:simplePos x="0" y="0"/>
            <wp:positionH relativeFrom="column">
              <wp:posOffset>467360</wp:posOffset>
            </wp:positionH>
            <wp:positionV relativeFrom="paragraph">
              <wp:posOffset>12700</wp:posOffset>
            </wp:positionV>
            <wp:extent cx="4572000" cy="2931160"/>
            <wp:effectExtent l="0" t="0" r="0" b="2540"/>
            <wp:wrapTight wrapText="bothSides">
              <wp:wrapPolygon edited="0">
                <wp:start x="0" y="0"/>
                <wp:lineTo x="0" y="21478"/>
                <wp:lineTo x="21510" y="21478"/>
                <wp:lineTo x="21510" y="0"/>
                <wp:lineTo x="0" y="0"/>
              </wp:wrapPolygon>
            </wp:wrapTight>
            <wp:docPr id="607869255" name="Chart 1">
              <a:extLst xmlns:a="http://schemas.openxmlformats.org/drawingml/2006/main">
                <a:ext uri="{FF2B5EF4-FFF2-40B4-BE49-F238E27FC236}">
                  <a16:creationId xmlns:a16="http://schemas.microsoft.com/office/drawing/2014/main" id="{DA6D38C1-5425-67A8-BA18-6A2565A3B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673714E9" w14:textId="77777777" w:rsidR="003F2915" w:rsidRDefault="003F2915" w:rsidP="00087F17">
      <w:pPr>
        <w:rPr>
          <w:rFonts w:ascii="Arial" w:hAnsi="Arial" w:cs="Arial"/>
          <w:b/>
          <w:bCs/>
          <w:lang w:eastAsia="en-US"/>
        </w:rPr>
      </w:pPr>
    </w:p>
    <w:p w14:paraId="33F8BEAF" w14:textId="77777777" w:rsidR="003F2915" w:rsidRDefault="003F2915" w:rsidP="00087F17">
      <w:pPr>
        <w:rPr>
          <w:rFonts w:ascii="Arial" w:hAnsi="Arial" w:cs="Arial"/>
          <w:b/>
          <w:bCs/>
          <w:lang w:eastAsia="en-US"/>
        </w:rPr>
      </w:pPr>
    </w:p>
    <w:p w14:paraId="77CB1F29" w14:textId="77777777" w:rsidR="003F2915" w:rsidRDefault="003F2915" w:rsidP="00087F17">
      <w:pPr>
        <w:rPr>
          <w:rFonts w:ascii="Arial" w:hAnsi="Arial" w:cs="Arial"/>
          <w:b/>
          <w:bCs/>
          <w:lang w:eastAsia="en-US"/>
        </w:rPr>
      </w:pPr>
    </w:p>
    <w:p w14:paraId="6F514846" w14:textId="77777777" w:rsidR="003F2915" w:rsidRDefault="003F2915" w:rsidP="00087F17">
      <w:pPr>
        <w:rPr>
          <w:rFonts w:ascii="Arial" w:hAnsi="Arial" w:cs="Arial"/>
          <w:b/>
          <w:bCs/>
          <w:lang w:eastAsia="en-US"/>
        </w:rPr>
      </w:pPr>
    </w:p>
    <w:p w14:paraId="6EC8B36F" w14:textId="77777777" w:rsidR="003F2915" w:rsidRDefault="003F2915" w:rsidP="00087F17">
      <w:pPr>
        <w:rPr>
          <w:rFonts w:ascii="Arial" w:hAnsi="Arial" w:cs="Arial"/>
          <w:b/>
          <w:bCs/>
          <w:lang w:eastAsia="en-US"/>
        </w:rPr>
      </w:pPr>
    </w:p>
    <w:p w14:paraId="0D36EE0A" w14:textId="77777777" w:rsidR="003F2915" w:rsidRDefault="003F2915" w:rsidP="00087F17">
      <w:pPr>
        <w:rPr>
          <w:rFonts w:ascii="Arial" w:hAnsi="Arial" w:cs="Arial"/>
          <w:b/>
          <w:bCs/>
          <w:lang w:eastAsia="en-US"/>
        </w:rPr>
      </w:pPr>
    </w:p>
    <w:p w14:paraId="0D9666D6" w14:textId="77777777" w:rsidR="003F2915" w:rsidRDefault="003F2915" w:rsidP="00087F17">
      <w:pPr>
        <w:rPr>
          <w:rFonts w:ascii="Arial" w:hAnsi="Arial" w:cs="Arial"/>
          <w:b/>
          <w:bCs/>
          <w:lang w:eastAsia="en-US"/>
        </w:rPr>
      </w:pPr>
    </w:p>
    <w:p w14:paraId="6C76CE79" w14:textId="77777777" w:rsidR="003F2915" w:rsidRDefault="003F2915" w:rsidP="00087F17">
      <w:pPr>
        <w:rPr>
          <w:rFonts w:ascii="Arial" w:hAnsi="Arial" w:cs="Arial"/>
          <w:b/>
          <w:bCs/>
          <w:lang w:eastAsia="en-US"/>
        </w:rPr>
      </w:pPr>
    </w:p>
    <w:p w14:paraId="22DDD079" w14:textId="77777777" w:rsidR="003F2915" w:rsidRDefault="003F2915" w:rsidP="00087F17">
      <w:pPr>
        <w:rPr>
          <w:rFonts w:ascii="Arial" w:hAnsi="Arial" w:cs="Arial"/>
          <w:b/>
          <w:bCs/>
          <w:lang w:eastAsia="en-US"/>
        </w:rPr>
      </w:pPr>
    </w:p>
    <w:p w14:paraId="5DE32B42" w14:textId="77777777" w:rsidR="003F2915" w:rsidRDefault="003F2915" w:rsidP="00087F17">
      <w:pPr>
        <w:rPr>
          <w:rFonts w:ascii="Arial" w:hAnsi="Arial" w:cs="Arial"/>
          <w:b/>
          <w:bCs/>
          <w:lang w:eastAsia="en-US"/>
        </w:rPr>
      </w:pPr>
    </w:p>
    <w:p w14:paraId="591C471E" w14:textId="77777777" w:rsidR="003F2915" w:rsidRDefault="003F2915" w:rsidP="00087F17">
      <w:pPr>
        <w:rPr>
          <w:rFonts w:ascii="Arial" w:hAnsi="Arial" w:cs="Arial"/>
          <w:b/>
          <w:bCs/>
          <w:lang w:eastAsia="en-US"/>
        </w:rPr>
      </w:pPr>
    </w:p>
    <w:p w14:paraId="56414305" w14:textId="77777777" w:rsidR="003F2915" w:rsidRDefault="003F2915" w:rsidP="00087F17">
      <w:pPr>
        <w:rPr>
          <w:rFonts w:ascii="Arial" w:hAnsi="Arial" w:cs="Arial"/>
          <w:b/>
          <w:bCs/>
          <w:lang w:eastAsia="en-US"/>
        </w:rPr>
      </w:pPr>
    </w:p>
    <w:p w14:paraId="57507C69" w14:textId="77777777" w:rsidR="003F2915" w:rsidRDefault="003F2915" w:rsidP="00087F17">
      <w:pPr>
        <w:rPr>
          <w:rFonts w:ascii="Arial" w:hAnsi="Arial" w:cs="Arial"/>
          <w:b/>
          <w:bCs/>
          <w:lang w:eastAsia="en-US"/>
        </w:rPr>
      </w:pPr>
    </w:p>
    <w:p w14:paraId="3297F964" w14:textId="77777777" w:rsidR="003F2915" w:rsidRDefault="003F2915" w:rsidP="00087F17">
      <w:pPr>
        <w:rPr>
          <w:rFonts w:ascii="Arial" w:hAnsi="Arial" w:cs="Arial"/>
          <w:b/>
          <w:bCs/>
          <w:lang w:eastAsia="en-US"/>
        </w:rPr>
      </w:pPr>
    </w:p>
    <w:p w14:paraId="45726C74" w14:textId="77777777" w:rsidR="003F2915" w:rsidRDefault="003F2915" w:rsidP="00087F17">
      <w:pPr>
        <w:rPr>
          <w:rFonts w:ascii="Arial" w:hAnsi="Arial" w:cs="Arial"/>
          <w:b/>
          <w:bCs/>
          <w:lang w:eastAsia="en-US"/>
        </w:rPr>
      </w:pPr>
    </w:p>
    <w:p w14:paraId="068E2958" w14:textId="77777777" w:rsidR="003F2915" w:rsidRDefault="003F2915" w:rsidP="00087F17">
      <w:pPr>
        <w:rPr>
          <w:rFonts w:ascii="Arial" w:hAnsi="Arial" w:cs="Arial"/>
          <w:b/>
          <w:bCs/>
          <w:lang w:eastAsia="en-US"/>
        </w:rPr>
      </w:pPr>
    </w:p>
    <w:p w14:paraId="7990EC4F" w14:textId="77777777" w:rsidR="003F2915" w:rsidRDefault="003F2915" w:rsidP="00087F17">
      <w:pPr>
        <w:rPr>
          <w:rFonts w:ascii="Arial" w:hAnsi="Arial" w:cs="Arial"/>
          <w:b/>
          <w:bCs/>
          <w:lang w:eastAsia="en-US"/>
        </w:rPr>
      </w:pPr>
    </w:p>
    <w:p w14:paraId="29856814" w14:textId="77777777" w:rsidR="003F2915" w:rsidRDefault="003F2915" w:rsidP="00087F17">
      <w:pPr>
        <w:rPr>
          <w:rFonts w:ascii="Arial" w:hAnsi="Arial" w:cs="Arial"/>
          <w:b/>
          <w:bCs/>
          <w:lang w:eastAsia="en-US"/>
        </w:rPr>
      </w:pPr>
    </w:p>
    <w:p w14:paraId="0D9639F9" w14:textId="00FB0DF9" w:rsidR="00D54C88" w:rsidRDefault="00D54C88" w:rsidP="00D54C88">
      <w:pPr>
        <w:jc w:val="center"/>
        <w:rPr>
          <w:lang w:eastAsia="en-US"/>
        </w:rPr>
      </w:pPr>
      <w:r w:rsidRPr="00D54C88">
        <w:rPr>
          <w:lang w:eastAsia="en-US"/>
        </w:rPr>
        <w:t xml:space="preserve">Figure </w:t>
      </w:r>
      <w:r w:rsidR="008453F8">
        <w:rPr>
          <w:lang w:eastAsia="en-US"/>
        </w:rPr>
        <w:t>4</w:t>
      </w:r>
      <w:r w:rsidRPr="00D54C88">
        <w:rPr>
          <w:lang w:eastAsia="en-US"/>
        </w:rPr>
        <w:t xml:space="preserve">: </w:t>
      </w:r>
      <w:r>
        <w:rPr>
          <w:lang w:eastAsia="en-US"/>
        </w:rPr>
        <w:t xml:space="preserve">Type of Vegetables </w:t>
      </w:r>
    </w:p>
    <w:p w14:paraId="77089793" w14:textId="77777777" w:rsidR="003F2915" w:rsidRDefault="003F2915" w:rsidP="00087F17">
      <w:pPr>
        <w:rPr>
          <w:rFonts w:ascii="Arial" w:hAnsi="Arial" w:cs="Arial"/>
          <w:b/>
          <w:bCs/>
          <w:lang w:eastAsia="en-US"/>
        </w:rPr>
      </w:pPr>
    </w:p>
    <w:p w14:paraId="4DAD5A1D" w14:textId="79D24CB2" w:rsidR="005A2DC6" w:rsidRPr="005A2DC6" w:rsidRDefault="005A2DC6" w:rsidP="005A2DC6">
      <w:pPr>
        <w:jc w:val="both"/>
        <w:rPr>
          <w:lang w:val="en-MY" w:eastAsia="en-US"/>
        </w:rPr>
      </w:pPr>
      <w:r w:rsidRPr="005A2DC6">
        <w:rPr>
          <w:lang w:val="en-MY" w:eastAsia="en-US"/>
        </w:rPr>
        <w:t xml:space="preserve">Figure </w:t>
      </w:r>
      <w:r w:rsidR="008453F8">
        <w:rPr>
          <w:lang w:val="en-MY" w:eastAsia="en-US"/>
        </w:rPr>
        <w:t>4</w:t>
      </w:r>
      <w:r w:rsidRPr="005A2DC6">
        <w:rPr>
          <w:lang w:val="en-MY" w:eastAsia="en-US"/>
        </w:rPr>
        <w:t xml:space="preserve"> illustrates the distribution of vegetable types cultivated by the 52 respondents involved in this study. The results indicate that okra was the most cultivated vegetable, with 14 farmers (26.9%), followed by chili</w:t>
      </w:r>
      <w:r w:rsidR="008063BC">
        <w:rPr>
          <w:lang w:val="en-MY" w:eastAsia="en-US"/>
        </w:rPr>
        <w:t>,</w:t>
      </w:r>
      <w:r w:rsidRPr="005A2DC6">
        <w:rPr>
          <w:lang w:val="en-MY" w:eastAsia="en-US"/>
        </w:rPr>
        <w:t xml:space="preserve"> cultivated by 10 farmers (19.2%)</w:t>
      </w:r>
      <w:r w:rsidR="008063BC">
        <w:rPr>
          <w:lang w:val="en-MY" w:eastAsia="en-US"/>
        </w:rPr>
        <w:t>,</w:t>
      </w:r>
      <w:r w:rsidRPr="005A2DC6">
        <w:rPr>
          <w:lang w:val="en-MY" w:eastAsia="en-US"/>
        </w:rPr>
        <w:t xml:space="preserve"> and corn by 9 farmers (17.3%). These three crops accounted for most of the vegetable production among the respondents, suggesting a preference for crops that are well-suited to local climatic conditions and market demand.</w:t>
      </w:r>
      <w:r>
        <w:rPr>
          <w:lang w:val="en-MY" w:eastAsia="en-US"/>
        </w:rPr>
        <w:t xml:space="preserve"> </w:t>
      </w:r>
      <w:r w:rsidRPr="005A2DC6">
        <w:rPr>
          <w:lang w:val="en-MY" w:eastAsia="en-US"/>
        </w:rPr>
        <w:t>In contrast, vegetables such as spinach, cucumber, and eggplant were each cultivated by three farmers, while bitter melon, long beans, and water spinach were cultivated by two farmers each. The least cultivated vegetables were patola, tapioca, leaf mustard, and bottle gourd, with only one farmer cultivating each crop.</w:t>
      </w:r>
      <w:r>
        <w:rPr>
          <w:lang w:val="en-MY" w:eastAsia="en-US"/>
        </w:rPr>
        <w:t xml:space="preserve"> </w:t>
      </w:r>
      <w:r w:rsidR="006E6FC9" w:rsidRPr="005A2DC6">
        <w:rPr>
          <w:lang w:val="en-MY" w:eastAsia="en-US"/>
        </w:rPr>
        <w:t>Th</w:t>
      </w:r>
      <w:r w:rsidR="006E6FC9">
        <w:rPr>
          <w:lang w:val="en-MY" w:eastAsia="en-US"/>
        </w:rPr>
        <w:t>ese</w:t>
      </w:r>
      <w:r w:rsidR="006E6FC9" w:rsidRPr="005A2DC6">
        <w:rPr>
          <w:lang w:val="en-MY" w:eastAsia="en-US"/>
        </w:rPr>
        <w:t xml:space="preserve"> </w:t>
      </w:r>
      <w:r w:rsidRPr="005A2DC6">
        <w:rPr>
          <w:lang w:val="en-MY" w:eastAsia="en-US"/>
        </w:rPr>
        <w:t>findings suggest that vegetable production among farmers in Perlis is concentrated on a limited number of crop types, particularly okra, chili, and corn. This concentration may be attributed to factors such as profitability, ease of cultivation, market accessibility, and farmers’ familiarity with these crops. The dominance of a few vegetable varieties also reflects the production patterns of small-scale farmers, who often prioritize crops with stable demand and lower production risks.</w:t>
      </w:r>
    </w:p>
    <w:p w14:paraId="4EFFFD28" w14:textId="77777777" w:rsidR="005A2DC6" w:rsidRDefault="005A2DC6" w:rsidP="00087F17">
      <w:pPr>
        <w:rPr>
          <w:rFonts w:ascii="Arial" w:hAnsi="Arial" w:cs="Arial"/>
          <w:b/>
          <w:bCs/>
          <w:lang w:eastAsia="en-US"/>
        </w:rPr>
      </w:pPr>
    </w:p>
    <w:p w14:paraId="5AF3A34E" w14:textId="77777777" w:rsidR="005A2DC6" w:rsidRDefault="005A2DC6" w:rsidP="00087F17">
      <w:pPr>
        <w:rPr>
          <w:rFonts w:ascii="Arial" w:hAnsi="Arial" w:cs="Arial"/>
          <w:b/>
          <w:bCs/>
          <w:lang w:eastAsia="en-US"/>
        </w:rPr>
      </w:pPr>
    </w:p>
    <w:p w14:paraId="264F64C0" w14:textId="4ECE49D7" w:rsidR="00087F17" w:rsidRDefault="00087F17" w:rsidP="00087F17">
      <w:pPr>
        <w:rPr>
          <w:rFonts w:ascii="Arial" w:hAnsi="Arial" w:cs="Arial"/>
          <w:b/>
          <w:bCs/>
          <w:lang w:eastAsia="en-US"/>
        </w:rPr>
      </w:pPr>
      <w:r>
        <w:rPr>
          <w:rFonts w:ascii="Arial" w:hAnsi="Arial" w:cs="Arial"/>
          <w:b/>
          <w:bCs/>
          <w:lang w:eastAsia="en-US"/>
        </w:rPr>
        <w:t xml:space="preserve">Reliability Analysis </w:t>
      </w:r>
    </w:p>
    <w:p w14:paraId="4ED8DA1D" w14:textId="77777777" w:rsidR="00087F17" w:rsidRDefault="00087F17" w:rsidP="00087F17">
      <w:pPr>
        <w:rPr>
          <w:rFonts w:ascii="Arial" w:hAnsi="Arial" w:cs="Arial"/>
          <w:b/>
          <w:bCs/>
          <w:lang w:eastAsia="en-US"/>
        </w:rPr>
      </w:pPr>
    </w:p>
    <w:p w14:paraId="03938A95" w14:textId="0F6A355A" w:rsidR="00D447E3" w:rsidRDefault="004C296E" w:rsidP="00410AE9">
      <w:pPr>
        <w:jc w:val="both"/>
        <w:rPr>
          <w:rFonts w:eastAsia="DengXian"/>
          <w:kern w:val="2"/>
          <w:lang w:val="en-MY"/>
          <w14:ligatures w14:val="standardContextual"/>
        </w:rPr>
      </w:pPr>
      <w:r>
        <w:rPr>
          <w:rFonts w:eastAsia="DengXian"/>
          <w:kern w:val="2"/>
          <w:lang w:val="en-MY"/>
          <w14:ligatures w14:val="standardContextual"/>
        </w:rPr>
        <w:t xml:space="preserve">The reliability assessment indicates that all constructs achieved high internal consistency. Based on </w:t>
      </w:r>
      <w:r w:rsidR="00D447E3">
        <w:rPr>
          <w:rFonts w:eastAsia="DengXian"/>
          <w:kern w:val="2"/>
          <w:lang w:val="en-MY"/>
          <w14:ligatures w14:val="standardContextual"/>
        </w:rPr>
        <w:t>Table 3</w:t>
      </w:r>
      <w:r>
        <w:rPr>
          <w:rFonts w:eastAsia="DengXian"/>
          <w:kern w:val="2"/>
          <w:lang w:val="en-MY"/>
          <w14:ligatures w14:val="standardContextual"/>
        </w:rPr>
        <w:t>, Cronbach’s Alpha value</w:t>
      </w:r>
      <w:r w:rsidR="006E6FC9">
        <w:rPr>
          <w:rFonts w:eastAsia="DengXian"/>
          <w:kern w:val="2"/>
          <w:lang w:val="en-MY"/>
          <w14:ligatures w14:val="standardContextual"/>
        </w:rPr>
        <w:t>s</w:t>
      </w:r>
      <w:r>
        <w:rPr>
          <w:rFonts w:eastAsia="DengXian"/>
          <w:kern w:val="2"/>
          <w:lang w:val="en-MY"/>
          <w14:ligatures w14:val="standardContextual"/>
        </w:rPr>
        <w:t xml:space="preserve"> above 0.80 are considered very good, while values exceeding</w:t>
      </w:r>
      <w:r w:rsidR="00D447E3">
        <w:rPr>
          <w:rFonts w:eastAsia="DengXian"/>
          <w:kern w:val="2"/>
          <w:lang w:val="en-MY"/>
          <w14:ligatures w14:val="standardContextual"/>
        </w:rPr>
        <w:t xml:space="preserve"> 0.90 indicate excellent reliability. In this study, the alpha coefficient ranged from 0.877 to 0.894, placing all construct</w:t>
      </w:r>
      <w:r w:rsidR="006E6FC9">
        <w:rPr>
          <w:rFonts w:eastAsia="DengXian"/>
          <w:kern w:val="2"/>
          <w:lang w:val="en-MY"/>
          <w14:ligatures w14:val="standardContextual"/>
        </w:rPr>
        <w:t>s</w:t>
      </w:r>
      <w:r w:rsidR="00D447E3">
        <w:rPr>
          <w:rFonts w:eastAsia="DengXian"/>
          <w:kern w:val="2"/>
          <w:lang w:val="en-MY"/>
          <w14:ligatures w14:val="standardContextual"/>
        </w:rPr>
        <w:t xml:space="preserve"> within the “very good” category.</w:t>
      </w:r>
      <w:r w:rsidR="00410AE9">
        <w:rPr>
          <w:rFonts w:eastAsia="DengXian"/>
          <w:kern w:val="2"/>
          <w:lang w:val="en-MY"/>
          <w14:ligatures w14:val="standardContextual"/>
        </w:rPr>
        <w:t xml:space="preserve"> </w:t>
      </w:r>
      <w:r w:rsidR="00D447E3">
        <w:rPr>
          <w:rFonts w:eastAsia="DengXian"/>
          <w:kern w:val="2"/>
          <w:lang w:val="en-MY"/>
          <w14:ligatures w14:val="standardContextual"/>
        </w:rPr>
        <w:t>Specifically, t</w:t>
      </w:r>
      <w:r w:rsidR="00D447E3" w:rsidRPr="005F73E2">
        <w:rPr>
          <w:rFonts w:eastAsia="DengXian"/>
          <w:kern w:val="2"/>
          <w:lang w:val="en-MY"/>
          <w14:ligatures w14:val="standardContextual"/>
        </w:rPr>
        <w:t>he Cronbach’s Alpha value</w:t>
      </w:r>
      <w:r w:rsidR="008063BC">
        <w:rPr>
          <w:rFonts w:eastAsia="DengXian"/>
          <w:kern w:val="2"/>
          <w:lang w:val="en-MY"/>
          <w14:ligatures w14:val="standardContextual"/>
        </w:rPr>
        <w:t>s</w:t>
      </w:r>
      <w:r w:rsidR="00D447E3" w:rsidRPr="005F73E2">
        <w:rPr>
          <w:rFonts w:eastAsia="DengXian"/>
          <w:kern w:val="2"/>
          <w:lang w:val="en-MY"/>
          <w14:ligatures w14:val="standardContextual"/>
        </w:rPr>
        <w:t xml:space="preserve"> for </w:t>
      </w:r>
      <w:r w:rsidR="00410AE9">
        <w:rPr>
          <w:rFonts w:eastAsia="DengXian"/>
          <w:kern w:val="2"/>
          <w:lang w:val="en-MY"/>
          <w14:ligatures w14:val="standardContextual"/>
        </w:rPr>
        <w:t>a</w:t>
      </w:r>
      <w:r w:rsidR="00D447E3" w:rsidRPr="005F73E2">
        <w:rPr>
          <w:rFonts w:eastAsia="DengXian"/>
          <w:kern w:val="2"/>
          <w:lang w:val="en-MY"/>
          <w14:ligatures w14:val="standardContextual"/>
        </w:rPr>
        <w:t xml:space="preserve">wareness, </w:t>
      </w:r>
      <w:r w:rsidR="00410AE9">
        <w:rPr>
          <w:rFonts w:eastAsia="DengXian"/>
          <w:kern w:val="2"/>
          <w:lang w:val="en-MY"/>
          <w14:ligatures w14:val="standardContextual"/>
        </w:rPr>
        <w:t>k</w:t>
      </w:r>
      <w:r w:rsidR="00D447E3" w:rsidRPr="005F73E2">
        <w:rPr>
          <w:rFonts w:eastAsia="DengXian"/>
          <w:kern w:val="2"/>
          <w:lang w:val="en-MY"/>
          <w14:ligatures w14:val="standardContextual"/>
        </w:rPr>
        <w:t>nowledge</w:t>
      </w:r>
      <w:r w:rsidR="008063BC">
        <w:rPr>
          <w:rFonts w:eastAsia="DengXian"/>
          <w:kern w:val="2"/>
          <w:lang w:val="en-MY"/>
          <w14:ligatures w14:val="standardContextual"/>
        </w:rPr>
        <w:t>,</w:t>
      </w:r>
      <w:r w:rsidR="00D447E3" w:rsidRPr="005F73E2">
        <w:rPr>
          <w:rFonts w:eastAsia="DengXian"/>
          <w:kern w:val="2"/>
          <w:lang w:val="en-MY"/>
          <w14:ligatures w14:val="standardContextual"/>
        </w:rPr>
        <w:t xml:space="preserve"> and </w:t>
      </w:r>
      <w:r w:rsidR="00410AE9">
        <w:rPr>
          <w:rFonts w:eastAsia="DengXian"/>
          <w:kern w:val="2"/>
          <w:lang w:val="en-MY"/>
          <w14:ligatures w14:val="standardContextual"/>
        </w:rPr>
        <w:t>c</w:t>
      </w:r>
      <w:r w:rsidR="00D447E3" w:rsidRPr="005F73E2">
        <w:rPr>
          <w:rFonts w:eastAsia="DengXian"/>
          <w:kern w:val="2"/>
          <w:lang w:val="en-MY"/>
          <w14:ligatures w14:val="standardContextual"/>
        </w:rPr>
        <w:t xml:space="preserve">ost </w:t>
      </w:r>
      <w:r w:rsidR="008063BC" w:rsidRPr="005F73E2">
        <w:rPr>
          <w:rFonts w:eastAsia="DengXian"/>
          <w:kern w:val="2"/>
          <w:lang w:val="en-MY"/>
          <w14:ligatures w14:val="standardContextual"/>
        </w:rPr>
        <w:t>w</w:t>
      </w:r>
      <w:r w:rsidR="008063BC">
        <w:rPr>
          <w:rFonts w:eastAsia="DengXian"/>
          <w:kern w:val="2"/>
          <w:lang w:val="en-MY"/>
          <w14:ligatures w14:val="standardContextual"/>
        </w:rPr>
        <w:t>ere</w:t>
      </w:r>
      <w:r w:rsidR="008063BC" w:rsidRPr="005F73E2">
        <w:rPr>
          <w:rFonts w:eastAsia="DengXian"/>
          <w:kern w:val="2"/>
          <w:lang w:val="en-MY"/>
          <w14:ligatures w14:val="standardContextual"/>
        </w:rPr>
        <w:t xml:space="preserve"> </w:t>
      </w:r>
      <w:r w:rsidR="00D447E3" w:rsidRPr="005F73E2">
        <w:rPr>
          <w:rFonts w:eastAsia="DengXian"/>
          <w:kern w:val="2"/>
          <w:lang w:val="en-MY"/>
          <w14:ligatures w14:val="standardContextual"/>
        </w:rPr>
        <w:t>0</w:t>
      </w:r>
      <w:r w:rsidR="00D447E3">
        <w:rPr>
          <w:rFonts w:eastAsia="DengXian"/>
          <w:kern w:val="2"/>
          <w:lang w:val="en-MY"/>
          <w14:ligatures w14:val="standardContextual"/>
        </w:rPr>
        <w:t>.892</w:t>
      </w:r>
      <w:r w:rsidR="00D447E3" w:rsidRPr="005F73E2">
        <w:rPr>
          <w:rFonts w:eastAsia="DengXian"/>
          <w:kern w:val="2"/>
          <w:lang w:val="en-MY"/>
          <w14:ligatures w14:val="standardContextual"/>
        </w:rPr>
        <w:t>, 0.</w:t>
      </w:r>
      <w:r w:rsidR="00D447E3">
        <w:rPr>
          <w:rFonts w:eastAsia="DengXian"/>
          <w:kern w:val="2"/>
          <w:lang w:val="en-MY"/>
          <w14:ligatures w14:val="standardContextual"/>
        </w:rPr>
        <w:t>877</w:t>
      </w:r>
      <w:r w:rsidR="008063BC">
        <w:rPr>
          <w:rFonts w:eastAsia="DengXian"/>
          <w:kern w:val="2"/>
          <w:lang w:val="en-MY"/>
          <w14:ligatures w14:val="standardContextual"/>
        </w:rPr>
        <w:t>,</w:t>
      </w:r>
      <w:r w:rsidR="00D447E3" w:rsidRPr="005F73E2">
        <w:rPr>
          <w:rFonts w:eastAsia="DengXian"/>
          <w:kern w:val="2"/>
          <w:lang w:val="en-MY"/>
          <w14:ligatures w14:val="standardContextual"/>
        </w:rPr>
        <w:t xml:space="preserve"> and 0.</w:t>
      </w:r>
      <w:r w:rsidR="00D447E3">
        <w:rPr>
          <w:rFonts w:eastAsia="DengXian"/>
          <w:kern w:val="2"/>
          <w:lang w:val="en-MY"/>
          <w14:ligatures w14:val="standardContextual"/>
        </w:rPr>
        <w:t>894</w:t>
      </w:r>
      <w:r w:rsidR="006E6FC9">
        <w:rPr>
          <w:rFonts w:eastAsia="DengXian"/>
          <w:kern w:val="2"/>
          <w:lang w:val="en-MY"/>
          <w14:ligatures w14:val="standardContextual"/>
        </w:rPr>
        <w:t>,</w:t>
      </w:r>
      <w:r w:rsidR="00D447E3" w:rsidRPr="005F73E2">
        <w:rPr>
          <w:rFonts w:eastAsia="DengXian"/>
          <w:kern w:val="2"/>
          <w:lang w:val="en-MY"/>
          <w14:ligatures w14:val="standardContextual"/>
        </w:rPr>
        <w:t xml:space="preserve"> respectively, </w:t>
      </w:r>
      <w:r w:rsidR="006E6FC9">
        <w:rPr>
          <w:rFonts w:eastAsia="DengXian"/>
          <w:kern w:val="2"/>
          <w:lang w:val="en-MY"/>
          <w14:ligatures w14:val="standardContextual"/>
        </w:rPr>
        <w:t xml:space="preserve">demonstrating </w:t>
      </w:r>
      <w:r w:rsidR="00D447E3">
        <w:rPr>
          <w:rFonts w:eastAsia="DengXian"/>
          <w:kern w:val="2"/>
          <w:lang w:val="en-MY"/>
          <w14:ligatures w14:val="standardContextual"/>
        </w:rPr>
        <w:t>consistently strong reliability, suggesting that the measurement items within each are highly correlated and capture the inten</w:t>
      </w:r>
      <w:r w:rsidR="006E6FC9">
        <w:rPr>
          <w:rFonts w:eastAsia="DengXian"/>
          <w:kern w:val="2"/>
          <w:lang w:val="en-MY"/>
          <w14:ligatures w14:val="standardContextual"/>
        </w:rPr>
        <w:t>de</w:t>
      </w:r>
      <w:r w:rsidR="00D447E3">
        <w:rPr>
          <w:rFonts w:eastAsia="DengXian"/>
          <w:kern w:val="2"/>
          <w:lang w:val="en-MY"/>
          <w14:ligatures w14:val="standardContextual"/>
        </w:rPr>
        <w:t>d latent variables effectively.  None of the constructs fell below the acceptable threshold of 0.70, indicating no issues related to scale inconsistency.</w:t>
      </w:r>
      <w:r w:rsidR="00410AE9">
        <w:rPr>
          <w:rFonts w:eastAsia="DengXian"/>
          <w:kern w:val="2"/>
          <w:lang w:val="en-MY"/>
          <w14:ligatures w14:val="standardContextual"/>
        </w:rPr>
        <w:t xml:space="preserve">  </w:t>
      </w:r>
      <w:r w:rsidR="00D447E3">
        <w:rPr>
          <w:rFonts w:eastAsia="DengXian"/>
          <w:kern w:val="2"/>
          <w:lang w:val="en-MY"/>
          <w14:ligatures w14:val="standardContextual"/>
        </w:rPr>
        <w:t>Overall, these results confirm that the instrument used in this study is reliable for subsequent inferential analysis. The consistently high alpha values also reduce concerns regarding measurement errors, thereby strengthening the robustness of the findings.</w:t>
      </w:r>
    </w:p>
    <w:p w14:paraId="495D9A37" w14:textId="77777777" w:rsidR="004C296E" w:rsidRDefault="004C296E" w:rsidP="004C296E">
      <w:pPr>
        <w:rPr>
          <w:rFonts w:eastAsia="DengXian"/>
          <w:kern w:val="2"/>
          <w:lang w:val="en-MY"/>
          <w14:ligatures w14:val="standardContextual"/>
        </w:rPr>
      </w:pPr>
    </w:p>
    <w:p w14:paraId="6239C463" w14:textId="77777777" w:rsidR="00087F17" w:rsidRPr="00A90919" w:rsidRDefault="00087F17" w:rsidP="00087F17">
      <w:pPr>
        <w:tabs>
          <w:tab w:val="left" w:pos="2175"/>
        </w:tabs>
        <w:ind w:firstLine="720"/>
        <w:jc w:val="center"/>
        <w:rPr>
          <w:rFonts w:asciiTheme="minorBidi" w:eastAsia="DengXian" w:hAnsiTheme="minorBidi" w:cstheme="minorBidi"/>
          <w:iCs/>
          <w:sz w:val="18"/>
          <w:szCs w:val="18"/>
          <w:lang w:val="en-MY"/>
        </w:rPr>
      </w:pPr>
      <w:r w:rsidRPr="00A90919">
        <w:rPr>
          <w:rFonts w:asciiTheme="minorBidi" w:eastAsia="DengXian" w:hAnsiTheme="minorBidi" w:cstheme="minorBidi"/>
          <w:iCs/>
          <w:sz w:val="18"/>
          <w:szCs w:val="18"/>
          <w:lang w:val="en-MY"/>
        </w:rPr>
        <w:t xml:space="preserve">Table 3: </w:t>
      </w:r>
      <w:r>
        <w:rPr>
          <w:rFonts w:asciiTheme="minorBidi" w:eastAsia="DengXian" w:hAnsiTheme="minorBidi" w:cstheme="minorBidi"/>
          <w:iCs/>
          <w:sz w:val="18"/>
          <w:szCs w:val="18"/>
          <w:lang w:val="en-MY"/>
        </w:rPr>
        <w:t xml:space="preserve">The Cronbach’s Alpha Reliability Levels </w:t>
      </w:r>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4804"/>
      </w:tblGrid>
      <w:tr w:rsidR="00087F17" w:rsidRPr="00A90919" w14:paraId="1536EF4F" w14:textId="77777777" w:rsidTr="00882095">
        <w:tc>
          <w:tcPr>
            <w:tcW w:w="2339" w:type="pct"/>
            <w:tcBorders>
              <w:top w:val="single" w:sz="12" w:space="0" w:color="auto"/>
              <w:bottom w:val="single" w:sz="4" w:space="0" w:color="auto"/>
            </w:tcBorders>
            <w:vAlign w:val="center"/>
          </w:tcPr>
          <w:p w14:paraId="5D2FE97F"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iCs/>
                <w:sz w:val="18"/>
                <w:szCs w:val="18"/>
              </w:rPr>
              <w:t>Cronbach’s Alpha</w:t>
            </w:r>
          </w:p>
        </w:tc>
        <w:tc>
          <w:tcPr>
            <w:tcW w:w="2661" w:type="pct"/>
            <w:tcBorders>
              <w:top w:val="single" w:sz="12" w:space="0" w:color="auto"/>
              <w:bottom w:val="single" w:sz="4" w:space="0" w:color="auto"/>
            </w:tcBorders>
            <w:vAlign w:val="center"/>
          </w:tcPr>
          <w:p w14:paraId="121D9DAF"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t>Internal Consistency</w:t>
            </w:r>
          </w:p>
        </w:tc>
      </w:tr>
      <w:tr w:rsidR="00087F17" w:rsidRPr="00A90919" w14:paraId="705CFFAD" w14:textId="77777777" w:rsidTr="00882095">
        <w:tc>
          <w:tcPr>
            <w:tcW w:w="2339" w:type="pct"/>
            <w:tcBorders>
              <w:top w:val="single" w:sz="4" w:space="0" w:color="auto"/>
            </w:tcBorders>
            <w:vAlign w:val="center"/>
          </w:tcPr>
          <w:p w14:paraId="77876E08"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t>Less than 0.6</w:t>
            </w:r>
          </w:p>
        </w:tc>
        <w:tc>
          <w:tcPr>
            <w:tcW w:w="2661" w:type="pct"/>
            <w:tcBorders>
              <w:top w:val="single" w:sz="4" w:space="0" w:color="auto"/>
            </w:tcBorders>
            <w:vAlign w:val="center"/>
          </w:tcPr>
          <w:p w14:paraId="21951BEC"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t xml:space="preserve">Poor </w:t>
            </w:r>
          </w:p>
        </w:tc>
      </w:tr>
      <w:tr w:rsidR="00087F17" w:rsidRPr="00A90919" w14:paraId="54E3218F" w14:textId="77777777" w:rsidTr="00882095">
        <w:tc>
          <w:tcPr>
            <w:tcW w:w="2339" w:type="pct"/>
            <w:vAlign w:val="center"/>
          </w:tcPr>
          <w:p w14:paraId="3AC992F9"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lastRenderedPageBreak/>
              <w:t xml:space="preserve">0.6-0.7 </w:t>
            </w:r>
          </w:p>
        </w:tc>
        <w:tc>
          <w:tcPr>
            <w:tcW w:w="2661" w:type="pct"/>
            <w:vAlign w:val="center"/>
          </w:tcPr>
          <w:p w14:paraId="62182F80"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t xml:space="preserve">Moderate </w:t>
            </w:r>
          </w:p>
        </w:tc>
      </w:tr>
      <w:tr w:rsidR="00087F17" w:rsidRPr="00A90919" w14:paraId="1A6BBD22" w14:textId="77777777" w:rsidTr="00882095">
        <w:tc>
          <w:tcPr>
            <w:tcW w:w="2339" w:type="pct"/>
            <w:vAlign w:val="center"/>
          </w:tcPr>
          <w:p w14:paraId="288B3F8C"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t>0.7-0.8</w:t>
            </w:r>
          </w:p>
        </w:tc>
        <w:tc>
          <w:tcPr>
            <w:tcW w:w="2661" w:type="pct"/>
            <w:vAlign w:val="center"/>
          </w:tcPr>
          <w:p w14:paraId="0111941D"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t xml:space="preserve">Good </w:t>
            </w:r>
          </w:p>
        </w:tc>
      </w:tr>
      <w:tr w:rsidR="00087F17" w:rsidRPr="00A90919" w14:paraId="6DDDECB5" w14:textId="77777777" w:rsidTr="00882095">
        <w:tc>
          <w:tcPr>
            <w:tcW w:w="2339" w:type="pct"/>
            <w:vAlign w:val="center"/>
          </w:tcPr>
          <w:p w14:paraId="3243755B"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t>0.8-0.9</w:t>
            </w:r>
          </w:p>
        </w:tc>
        <w:tc>
          <w:tcPr>
            <w:tcW w:w="2661" w:type="pct"/>
            <w:vAlign w:val="center"/>
          </w:tcPr>
          <w:p w14:paraId="60F9E548"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t xml:space="preserve">Very Good </w:t>
            </w:r>
          </w:p>
        </w:tc>
      </w:tr>
      <w:tr w:rsidR="00087F17" w:rsidRPr="00A90919" w14:paraId="68CC8FE2" w14:textId="77777777" w:rsidTr="00882095">
        <w:tc>
          <w:tcPr>
            <w:tcW w:w="2339" w:type="pct"/>
            <w:tcBorders>
              <w:bottom w:val="single" w:sz="12" w:space="0" w:color="auto"/>
            </w:tcBorders>
            <w:vAlign w:val="center"/>
          </w:tcPr>
          <w:p w14:paraId="75CED356" w14:textId="77777777" w:rsidR="00087F17" w:rsidRDefault="00087F17" w:rsidP="00882095">
            <w:pPr>
              <w:jc w:val="center"/>
              <w:rPr>
                <w:rFonts w:asciiTheme="minorBidi" w:eastAsia="DengXian" w:hAnsiTheme="minorBidi"/>
                <w:sz w:val="18"/>
                <w:szCs w:val="18"/>
              </w:rPr>
            </w:pPr>
            <w:r>
              <w:rPr>
                <w:rFonts w:asciiTheme="minorBidi" w:eastAsia="DengXian" w:hAnsiTheme="minorBidi"/>
                <w:sz w:val="18"/>
                <w:szCs w:val="18"/>
              </w:rPr>
              <w:t>0.9 and above</w:t>
            </w:r>
          </w:p>
        </w:tc>
        <w:tc>
          <w:tcPr>
            <w:tcW w:w="2661" w:type="pct"/>
            <w:tcBorders>
              <w:bottom w:val="single" w:sz="12" w:space="0" w:color="auto"/>
            </w:tcBorders>
            <w:vAlign w:val="center"/>
          </w:tcPr>
          <w:p w14:paraId="1A8E868D" w14:textId="77777777" w:rsidR="00087F17" w:rsidRPr="00A90919" w:rsidRDefault="00087F17" w:rsidP="00882095">
            <w:pPr>
              <w:jc w:val="center"/>
              <w:rPr>
                <w:rFonts w:asciiTheme="minorBidi" w:eastAsia="DengXian" w:hAnsiTheme="minorBidi"/>
                <w:sz w:val="18"/>
                <w:szCs w:val="18"/>
              </w:rPr>
            </w:pPr>
            <w:r>
              <w:rPr>
                <w:rFonts w:asciiTheme="minorBidi" w:eastAsia="DengXian" w:hAnsiTheme="minorBidi"/>
                <w:sz w:val="18"/>
                <w:szCs w:val="18"/>
              </w:rPr>
              <w:t xml:space="preserve">Excellent </w:t>
            </w:r>
          </w:p>
        </w:tc>
      </w:tr>
    </w:tbl>
    <w:p w14:paraId="0AB8C7F1" w14:textId="77777777" w:rsidR="00087F17" w:rsidRDefault="00087F17" w:rsidP="00087F17">
      <w:pPr>
        <w:ind w:firstLine="720"/>
        <w:rPr>
          <w:rFonts w:eastAsia="DengXian"/>
          <w:kern w:val="2"/>
          <w:lang w:val="en-MY"/>
          <w14:ligatures w14:val="standardContextual"/>
        </w:rPr>
      </w:pPr>
    </w:p>
    <w:p w14:paraId="6DDB1F2C" w14:textId="3EC658E4" w:rsidR="00087F17" w:rsidRPr="00A90919" w:rsidRDefault="00087F17" w:rsidP="00087F17">
      <w:pPr>
        <w:tabs>
          <w:tab w:val="left" w:pos="3540"/>
          <w:tab w:val="left" w:pos="3720"/>
        </w:tabs>
        <w:ind w:firstLine="720"/>
        <w:jc w:val="center"/>
        <w:rPr>
          <w:rFonts w:asciiTheme="minorBidi" w:eastAsia="DengXian" w:hAnsiTheme="minorBidi" w:cstheme="minorBidi"/>
          <w:iCs/>
          <w:sz w:val="18"/>
          <w:szCs w:val="18"/>
          <w:lang w:val="en-MY"/>
        </w:rPr>
      </w:pPr>
      <w:r w:rsidRPr="00A90919">
        <w:rPr>
          <w:rFonts w:asciiTheme="minorBidi" w:eastAsia="DengXian" w:hAnsiTheme="minorBidi" w:cstheme="minorBidi"/>
          <w:iCs/>
          <w:sz w:val="18"/>
          <w:szCs w:val="18"/>
          <w:lang w:val="en-MY"/>
        </w:rPr>
        <w:t xml:space="preserve">Table </w:t>
      </w:r>
      <w:r>
        <w:rPr>
          <w:rFonts w:asciiTheme="minorBidi" w:eastAsia="DengXian" w:hAnsiTheme="minorBidi" w:cstheme="minorBidi"/>
          <w:iCs/>
          <w:sz w:val="18"/>
          <w:szCs w:val="18"/>
          <w:lang w:val="en-MY"/>
        </w:rPr>
        <w:t>4</w:t>
      </w:r>
      <w:r w:rsidRPr="00A90919">
        <w:rPr>
          <w:rFonts w:asciiTheme="minorBidi" w:eastAsia="DengXian" w:hAnsiTheme="minorBidi" w:cstheme="minorBidi"/>
          <w:iCs/>
          <w:sz w:val="18"/>
          <w:szCs w:val="18"/>
          <w:lang w:val="en-MY"/>
        </w:rPr>
        <w:t xml:space="preserve">: The </w:t>
      </w:r>
      <w:r w:rsidR="00CF3217">
        <w:rPr>
          <w:rFonts w:asciiTheme="minorBidi" w:eastAsia="DengXian" w:hAnsiTheme="minorBidi" w:cstheme="minorBidi"/>
          <w:iCs/>
          <w:sz w:val="18"/>
          <w:szCs w:val="18"/>
          <w:lang w:val="en-MY"/>
        </w:rPr>
        <w:t>R</w:t>
      </w:r>
      <w:r w:rsidRPr="00A90919">
        <w:rPr>
          <w:rFonts w:asciiTheme="minorBidi" w:eastAsia="DengXian" w:hAnsiTheme="minorBidi" w:cstheme="minorBidi"/>
          <w:iCs/>
          <w:sz w:val="18"/>
          <w:szCs w:val="18"/>
          <w:lang w:val="en-MY"/>
        </w:rPr>
        <w:t xml:space="preserve">esult of </w:t>
      </w:r>
      <w:r w:rsidR="00CF3217">
        <w:rPr>
          <w:rFonts w:asciiTheme="minorBidi" w:eastAsia="DengXian" w:hAnsiTheme="minorBidi" w:cstheme="minorBidi"/>
          <w:iCs/>
          <w:sz w:val="18"/>
          <w:szCs w:val="18"/>
          <w:lang w:val="en-MY"/>
        </w:rPr>
        <w:t>R</w:t>
      </w:r>
      <w:r w:rsidRPr="00A90919">
        <w:rPr>
          <w:rFonts w:asciiTheme="minorBidi" w:eastAsia="DengXian" w:hAnsiTheme="minorBidi" w:cstheme="minorBidi"/>
          <w:iCs/>
          <w:sz w:val="18"/>
          <w:szCs w:val="18"/>
          <w:lang w:val="en-MY"/>
        </w:rPr>
        <w:t xml:space="preserve">eliability </w:t>
      </w:r>
      <w:r w:rsidR="00CF3217">
        <w:rPr>
          <w:rFonts w:asciiTheme="minorBidi" w:eastAsia="DengXian" w:hAnsiTheme="minorBidi" w:cstheme="minorBidi"/>
          <w:iCs/>
          <w:sz w:val="18"/>
          <w:szCs w:val="18"/>
          <w:lang w:val="en-MY"/>
        </w:rPr>
        <w:t>A</w:t>
      </w:r>
      <w:r w:rsidRPr="00A90919">
        <w:rPr>
          <w:rFonts w:asciiTheme="minorBidi" w:eastAsia="DengXian" w:hAnsiTheme="minorBidi" w:cstheme="minorBidi"/>
          <w:iCs/>
          <w:sz w:val="18"/>
          <w:szCs w:val="18"/>
          <w:lang w:val="en-MY"/>
        </w:rPr>
        <w:t>nalysis</w:t>
      </w: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1037"/>
        <w:gridCol w:w="1624"/>
        <w:gridCol w:w="1847"/>
      </w:tblGrid>
      <w:tr w:rsidR="00482DE2" w:rsidRPr="00A90919" w14:paraId="1E95CF33" w14:textId="77777777" w:rsidTr="00482DE2">
        <w:trPr>
          <w:jc w:val="center"/>
        </w:trPr>
        <w:tc>
          <w:tcPr>
            <w:tcW w:w="0" w:type="auto"/>
            <w:tcBorders>
              <w:top w:val="single" w:sz="12" w:space="0" w:color="auto"/>
              <w:bottom w:val="single" w:sz="4" w:space="0" w:color="auto"/>
            </w:tcBorders>
            <w:vAlign w:val="center"/>
          </w:tcPr>
          <w:p w14:paraId="0A47C4C9" w14:textId="77777777" w:rsidR="00482DE2" w:rsidRPr="00A90919" w:rsidRDefault="00482DE2" w:rsidP="00882095">
            <w:pPr>
              <w:jc w:val="center"/>
              <w:rPr>
                <w:rFonts w:asciiTheme="minorBidi" w:eastAsia="DengXian" w:hAnsiTheme="minorBidi"/>
                <w:sz w:val="18"/>
                <w:szCs w:val="18"/>
              </w:rPr>
            </w:pPr>
            <w:r w:rsidRPr="00A90919">
              <w:rPr>
                <w:rFonts w:asciiTheme="minorBidi" w:eastAsia="DengXian" w:hAnsiTheme="minorBidi"/>
                <w:sz w:val="18"/>
                <w:szCs w:val="18"/>
              </w:rPr>
              <w:t>Variable</w:t>
            </w:r>
          </w:p>
        </w:tc>
        <w:tc>
          <w:tcPr>
            <w:tcW w:w="0" w:type="auto"/>
            <w:tcBorders>
              <w:top w:val="single" w:sz="12" w:space="0" w:color="auto"/>
              <w:bottom w:val="single" w:sz="4" w:space="0" w:color="auto"/>
            </w:tcBorders>
            <w:vAlign w:val="center"/>
          </w:tcPr>
          <w:p w14:paraId="7E5518C6" w14:textId="77777777" w:rsidR="00482DE2" w:rsidRPr="00A90919" w:rsidRDefault="00482DE2" w:rsidP="00882095">
            <w:pPr>
              <w:jc w:val="center"/>
              <w:rPr>
                <w:rFonts w:asciiTheme="minorBidi" w:eastAsia="DengXian" w:hAnsiTheme="minorBidi"/>
                <w:sz w:val="18"/>
                <w:szCs w:val="18"/>
              </w:rPr>
            </w:pPr>
            <w:r w:rsidRPr="00A90919">
              <w:rPr>
                <w:rFonts w:asciiTheme="minorBidi" w:eastAsia="DengXian" w:hAnsiTheme="minorBidi"/>
                <w:sz w:val="18"/>
                <w:szCs w:val="18"/>
              </w:rPr>
              <w:t>No of item</w:t>
            </w:r>
          </w:p>
        </w:tc>
        <w:tc>
          <w:tcPr>
            <w:tcW w:w="0" w:type="auto"/>
            <w:tcBorders>
              <w:top w:val="single" w:sz="12" w:space="0" w:color="auto"/>
              <w:bottom w:val="single" w:sz="4" w:space="0" w:color="auto"/>
            </w:tcBorders>
            <w:vAlign w:val="center"/>
          </w:tcPr>
          <w:p w14:paraId="21A46841" w14:textId="77777777" w:rsidR="00482DE2" w:rsidRPr="00A90919" w:rsidRDefault="00482DE2" w:rsidP="00882095">
            <w:pPr>
              <w:jc w:val="center"/>
              <w:rPr>
                <w:rFonts w:asciiTheme="minorBidi" w:eastAsia="DengXian" w:hAnsiTheme="minorBidi"/>
                <w:sz w:val="18"/>
                <w:szCs w:val="18"/>
              </w:rPr>
            </w:pPr>
            <w:r w:rsidRPr="00A90919">
              <w:rPr>
                <w:rFonts w:asciiTheme="minorBidi" w:eastAsia="DengXian" w:hAnsiTheme="minorBidi"/>
                <w:sz w:val="18"/>
                <w:szCs w:val="18"/>
              </w:rPr>
              <w:t>Cronbach’s Alpha</w:t>
            </w:r>
          </w:p>
        </w:tc>
        <w:tc>
          <w:tcPr>
            <w:tcW w:w="0" w:type="auto"/>
            <w:tcBorders>
              <w:top w:val="single" w:sz="12" w:space="0" w:color="auto"/>
              <w:bottom w:val="single" w:sz="4" w:space="0" w:color="auto"/>
            </w:tcBorders>
            <w:vAlign w:val="center"/>
          </w:tcPr>
          <w:p w14:paraId="2E58C54C" w14:textId="4F26D15C" w:rsidR="00482DE2" w:rsidRPr="00A90919" w:rsidRDefault="00482DE2" w:rsidP="00882095">
            <w:pPr>
              <w:jc w:val="center"/>
              <w:rPr>
                <w:rFonts w:asciiTheme="minorBidi" w:eastAsia="DengXian" w:hAnsiTheme="minorBidi"/>
                <w:sz w:val="18"/>
                <w:szCs w:val="18"/>
              </w:rPr>
            </w:pPr>
            <w:r>
              <w:rPr>
                <w:rFonts w:asciiTheme="minorBidi" w:eastAsia="DengXian" w:hAnsiTheme="minorBidi"/>
                <w:sz w:val="18"/>
                <w:szCs w:val="18"/>
              </w:rPr>
              <w:t>Internal Consistency</w:t>
            </w:r>
          </w:p>
        </w:tc>
      </w:tr>
      <w:tr w:rsidR="00482DE2" w:rsidRPr="00A90919" w14:paraId="180C734D" w14:textId="77777777" w:rsidTr="00482DE2">
        <w:trPr>
          <w:jc w:val="center"/>
        </w:trPr>
        <w:tc>
          <w:tcPr>
            <w:tcW w:w="0" w:type="auto"/>
            <w:tcBorders>
              <w:top w:val="single" w:sz="4" w:space="0" w:color="auto"/>
            </w:tcBorders>
            <w:vAlign w:val="center"/>
          </w:tcPr>
          <w:p w14:paraId="743AA227" w14:textId="77777777" w:rsidR="00482DE2" w:rsidRPr="00A90919" w:rsidRDefault="00482DE2" w:rsidP="00882095">
            <w:pPr>
              <w:jc w:val="center"/>
              <w:rPr>
                <w:rFonts w:asciiTheme="minorBidi" w:eastAsia="DengXian" w:hAnsiTheme="minorBidi"/>
                <w:sz w:val="18"/>
                <w:szCs w:val="18"/>
              </w:rPr>
            </w:pPr>
            <w:r w:rsidRPr="00A90919">
              <w:rPr>
                <w:rFonts w:asciiTheme="minorBidi" w:eastAsia="DengXian" w:hAnsiTheme="minorBidi"/>
                <w:sz w:val="18"/>
                <w:szCs w:val="18"/>
              </w:rPr>
              <w:t>Awareness</w:t>
            </w:r>
          </w:p>
        </w:tc>
        <w:tc>
          <w:tcPr>
            <w:tcW w:w="0" w:type="auto"/>
            <w:tcBorders>
              <w:top w:val="single" w:sz="4" w:space="0" w:color="auto"/>
            </w:tcBorders>
            <w:vAlign w:val="center"/>
          </w:tcPr>
          <w:p w14:paraId="086BAF14" w14:textId="77777777" w:rsidR="00482DE2" w:rsidRPr="00A90919" w:rsidRDefault="00482DE2" w:rsidP="00882095">
            <w:pPr>
              <w:jc w:val="center"/>
              <w:rPr>
                <w:rFonts w:asciiTheme="minorBidi" w:eastAsia="DengXian" w:hAnsiTheme="minorBidi"/>
                <w:sz w:val="18"/>
                <w:szCs w:val="18"/>
              </w:rPr>
            </w:pPr>
            <w:r w:rsidRPr="00A90919">
              <w:rPr>
                <w:rFonts w:asciiTheme="minorBidi" w:eastAsia="DengXian" w:hAnsiTheme="minorBidi"/>
                <w:sz w:val="18"/>
                <w:szCs w:val="18"/>
              </w:rPr>
              <w:t>5</w:t>
            </w:r>
          </w:p>
        </w:tc>
        <w:tc>
          <w:tcPr>
            <w:tcW w:w="0" w:type="auto"/>
            <w:tcBorders>
              <w:top w:val="single" w:sz="4" w:space="0" w:color="auto"/>
            </w:tcBorders>
            <w:vAlign w:val="center"/>
          </w:tcPr>
          <w:p w14:paraId="26283DF3" w14:textId="41123E93" w:rsidR="00482DE2" w:rsidRPr="00A90919" w:rsidRDefault="00482DE2" w:rsidP="00882095">
            <w:pPr>
              <w:jc w:val="center"/>
              <w:rPr>
                <w:rFonts w:asciiTheme="minorBidi" w:eastAsia="DengXian" w:hAnsiTheme="minorBidi"/>
                <w:sz w:val="18"/>
                <w:szCs w:val="18"/>
              </w:rPr>
            </w:pPr>
            <w:r>
              <w:rPr>
                <w:rFonts w:asciiTheme="minorBidi" w:eastAsia="DengXian" w:hAnsiTheme="minorBidi"/>
                <w:sz w:val="18"/>
                <w:szCs w:val="18"/>
              </w:rPr>
              <w:t>.892</w:t>
            </w:r>
          </w:p>
        </w:tc>
        <w:tc>
          <w:tcPr>
            <w:tcW w:w="0" w:type="auto"/>
            <w:tcBorders>
              <w:top w:val="single" w:sz="4" w:space="0" w:color="auto"/>
            </w:tcBorders>
          </w:tcPr>
          <w:p w14:paraId="7917906C" w14:textId="74FF5F2D" w:rsidR="00482DE2" w:rsidRPr="00A90919" w:rsidRDefault="00482DE2" w:rsidP="00882095">
            <w:pPr>
              <w:jc w:val="center"/>
              <w:rPr>
                <w:rFonts w:asciiTheme="minorBidi" w:eastAsia="DengXian" w:hAnsiTheme="minorBidi"/>
                <w:sz w:val="18"/>
                <w:szCs w:val="18"/>
              </w:rPr>
            </w:pPr>
            <w:r>
              <w:rPr>
                <w:rFonts w:asciiTheme="minorBidi" w:eastAsia="DengXian" w:hAnsiTheme="minorBidi"/>
                <w:sz w:val="18"/>
                <w:szCs w:val="18"/>
              </w:rPr>
              <w:t>Very Good</w:t>
            </w:r>
          </w:p>
        </w:tc>
      </w:tr>
      <w:tr w:rsidR="00482DE2" w:rsidRPr="00A90919" w14:paraId="75518DF5" w14:textId="77777777" w:rsidTr="00482DE2">
        <w:trPr>
          <w:jc w:val="center"/>
        </w:trPr>
        <w:tc>
          <w:tcPr>
            <w:tcW w:w="0" w:type="auto"/>
            <w:vAlign w:val="center"/>
          </w:tcPr>
          <w:p w14:paraId="30B01263" w14:textId="1FBD4745" w:rsidR="00482DE2" w:rsidRPr="00A90919" w:rsidRDefault="00482DE2" w:rsidP="00882095">
            <w:pPr>
              <w:jc w:val="center"/>
              <w:rPr>
                <w:rFonts w:asciiTheme="minorBidi" w:eastAsia="DengXian" w:hAnsiTheme="minorBidi"/>
                <w:sz w:val="18"/>
                <w:szCs w:val="18"/>
              </w:rPr>
            </w:pPr>
            <w:r w:rsidRPr="00A90919">
              <w:rPr>
                <w:rFonts w:asciiTheme="minorBidi" w:eastAsia="DengXian" w:hAnsiTheme="minorBidi"/>
                <w:sz w:val="18"/>
                <w:szCs w:val="18"/>
              </w:rPr>
              <w:t>Cost</w:t>
            </w:r>
          </w:p>
        </w:tc>
        <w:tc>
          <w:tcPr>
            <w:tcW w:w="0" w:type="auto"/>
            <w:vAlign w:val="center"/>
          </w:tcPr>
          <w:p w14:paraId="6DBE2964" w14:textId="681218CE" w:rsidR="00482DE2" w:rsidRPr="00A90919" w:rsidRDefault="00482DE2" w:rsidP="00882095">
            <w:pPr>
              <w:jc w:val="center"/>
              <w:rPr>
                <w:rFonts w:asciiTheme="minorBidi" w:eastAsia="DengXian" w:hAnsiTheme="minorBidi"/>
                <w:sz w:val="18"/>
                <w:szCs w:val="18"/>
              </w:rPr>
            </w:pPr>
            <w:r>
              <w:rPr>
                <w:rFonts w:asciiTheme="minorBidi" w:eastAsia="DengXian" w:hAnsiTheme="minorBidi"/>
                <w:sz w:val="18"/>
                <w:szCs w:val="18"/>
              </w:rPr>
              <w:t>3</w:t>
            </w:r>
          </w:p>
        </w:tc>
        <w:tc>
          <w:tcPr>
            <w:tcW w:w="0" w:type="auto"/>
            <w:vAlign w:val="center"/>
          </w:tcPr>
          <w:p w14:paraId="3346E1D5" w14:textId="2FE3343D" w:rsidR="00482DE2" w:rsidRPr="00A90919" w:rsidRDefault="00482DE2" w:rsidP="00882095">
            <w:pPr>
              <w:jc w:val="center"/>
              <w:rPr>
                <w:rFonts w:asciiTheme="minorBidi" w:eastAsia="DengXian" w:hAnsiTheme="minorBidi"/>
                <w:sz w:val="18"/>
                <w:szCs w:val="18"/>
              </w:rPr>
            </w:pPr>
            <w:r>
              <w:rPr>
                <w:rFonts w:asciiTheme="minorBidi" w:eastAsia="DengXian" w:hAnsiTheme="minorBidi"/>
                <w:sz w:val="18"/>
                <w:szCs w:val="18"/>
              </w:rPr>
              <w:t>.877</w:t>
            </w:r>
          </w:p>
        </w:tc>
        <w:tc>
          <w:tcPr>
            <w:tcW w:w="0" w:type="auto"/>
          </w:tcPr>
          <w:p w14:paraId="12919017" w14:textId="3C15900D" w:rsidR="00482DE2" w:rsidRPr="00A90919" w:rsidRDefault="00482DE2" w:rsidP="00882095">
            <w:pPr>
              <w:jc w:val="center"/>
              <w:rPr>
                <w:rFonts w:asciiTheme="minorBidi" w:eastAsia="DengXian" w:hAnsiTheme="minorBidi"/>
                <w:sz w:val="18"/>
                <w:szCs w:val="18"/>
              </w:rPr>
            </w:pPr>
            <w:r>
              <w:rPr>
                <w:rFonts w:asciiTheme="minorBidi" w:eastAsia="DengXian" w:hAnsiTheme="minorBidi"/>
                <w:sz w:val="18"/>
                <w:szCs w:val="18"/>
              </w:rPr>
              <w:t>Very Good</w:t>
            </w:r>
          </w:p>
        </w:tc>
      </w:tr>
      <w:tr w:rsidR="00482DE2" w:rsidRPr="00A90919" w14:paraId="0CC9914F" w14:textId="77777777" w:rsidTr="00482DE2">
        <w:trPr>
          <w:jc w:val="center"/>
        </w:trPr>
        <w:tc>
          <w:tcPr>
            <w:tcW w:w="0" w:type="auto"/>
            <w:tcBorders>
              <w:bottom w:val="single" w:sz="12" w:space="0" w:color="auto"/>
            </w:tcBorders>
            <w:vAlign w:val="center"/>
          </w:tcPr>
          <w:p w14:paraId="0E33141F" w14:textId="1F7983DB" w:rsidR="00482DE2" w:rsidRPr="00A90919" w:rsidRDefault="00482DE2" w:rsidP="00882095">
            <w:pPr>
              <w:jc w:val="center"/>
              <w:rPr>
                <w:rFonts w:asciiTheme="minorBidi" w:eastAsia="DengXian" w:hAnsiTheme="minorBidi"/>
                <w:sz w:val="18"/>
                <w:szCs w:val="18"/>
              </w:rPr>
            </w:pPr>
            <w:r w:rsidRPr="00A90919">
              <w:rPr>
                <w:rFonts w:asciiTheme="minorBidi" w:eastAsia="DengXian" w:hAnsiTheme="minorBidi"/>
                <w:sz w:val="18"/>
                <w:szCs w:val="18"/>
              </w:rPr>
              <w:t>Knowledge</w:t>
            </w:r>
          </w:p>
        </w:tc>
        <w:tc>
          <w:tcPr>
            <w:tcW w:w="0" w:type="auto"/>
            <w:tcBorders>
              <w:bottom w:val="single" w:sz="12" w:space="0" w:color="auto"/>
            </w:tcBorders>
            <w:vAlign w:val="center"/>
          </w:tcPr>
          <w:p w14:paraId="5897A248" w14:textId="77777777" w:rsidR="00482DE2" w:rsidRPr="00A90919" w:rsidRDefault="00482DE2" w:rsidP="00882095">
            <w:pPr>
              <w:jc w:val="center"/>
              <w:rPr>
                <w:rFonts w:asciiTheme="minorBidi" w:eastAsia="DengXian" w:hAnsiTheme="minorBidi"/>
                <w:sz w:val="18"/>
                <w:szCs w:val="18"/>
              </w:rPr>
            </w:pPr>
            <w:r w:rsidRPr="00A90919">
              <w:rPr>
                <w:rFonts w:asciiTheme="minorBidi" w:eastAsia="DengXian" w:hAnsiTheme="minorBidi"/>
                <w:sz w:val="18"/>
                <w:szCs w:val="18"/>
              </w:rPr>
              <w:t>5</w:t>
            </w:r>
          </w:p>
        </w:tc>
        <w:tc>
          <w:tcPr>
            <w:tcW w:w="0" w:type="auto"/>
            <w:tcBorders>
              <w:bottom w:val="single" w:sz="12" w:space="0" w:color="auto"/>
            </w:tcBorders>
            <w:vAlign w:val="center"/>
          </w:tcPr>
          <w:p w14:paraId="4C3986C3" w14:textId="2F4E1B01" w:rsidR="00482DE2" w:rsidRPr="00A90919" w:rsidRDefault="00482DE2" w:rsidP="00882095">
            <w:pPr>
              <w:jc w:val="center"/>
              <w:rPr>
                <w:rFonts w:asciiTheme="minorBidi" w:eastAsia="DengXian" w:hAnsiTheme="minorBidi"/>
                <w:sz w:val="18"/>
                <w:szCs w:val="18"/>
              </w:rPr>
            </w:pPr>
            <w:r>
              <w:rPr>
                <w:rFonts w:asciiTheme="minorBidi" w:eastAsia="DengXian" w:hAnsiTheme="minorBidi"/>
                <w:sz w:val="18"/>
                <w:szCs w:val="18"/>
              </w:rPr>
              <w:t>.894</w:t>
            </w:r>
          </w:p>
        </w:tc>
        <w:tc>
          <w:tcPr>
            <w:tcW w:w="0" w:type="auto"/>
            <w:tcBorders>
              <w:bottom w:val="single" w:sz="12" w:space="0" w:color="auto"/>
            </w:tcBorders>
          </w:tcPr>
          <w:p w14:paraId="036D224D" w14:textId="224406AF" w:rsidR="00482DE2" w:rsidRPr="00A90919" w:rsidRDefault="00482DE2" w:rsidP="00882095">
            <w:pPr>
              <w:jc w:val="center"/>
              <w:rPr>
                <w:rFonts w:asciiTheme="minorBidi" w:eastAsia="DengXian" w:hAnsiTheme="minorBidi"/>
                <w:sz w:val="18"/>
                <w:szCs w:val="18"/>
              </w:rPr>
            </w:pPr>
            <w:r>
              <w:rPr>
                <w:rFonts w:asciiTheme="minorBidi" w:eastAsia="DengXian" w:hAnsiTheme="minorBidi"/>
                <w:sz w:val="18"/>
                <w:szCs w:val="18"/>
              </w:rPr>
              <w:t>Very Good</w:t>
            </w:r>
          </w:p>
        </w:tc>
      </w:tr>
    </w:tbl>
    <w:p w14:paraId="2BD8330E" w14:textId="77777777" w:rsidR="00087F17" w:rsidRDefault="00087F17" w:rsidP="00087F17">
      <w:pPr>
        <w:rPr>
          <w:rFonts w:ascii="Arial" w:hAnsi="Arial" w:cs="Arial"/>
          <w:b/>
          <w:bCs/>
          <w:lang w:eastAsia="en-US"/>
        </w:rPr>
      </w:pPr>
    </w:p>
    <w:p w14:paraId="202B7222" w14:textId="77777777" w:rsidR="00087F17" w:rsidRDefault="00087F17" w:rsidP="00087F17">
      <w:pPr>
        <w:rPr>
          <w:rFonts w:ascii="Arial" w:hAnsi="Arial" w:cs="Arial"/>
          <w:b/>
          <w:bCs/>
          <w:lang w:eastAsia="en-US"/>
        </w:rPr>
      </w:pPr>
      <w:r>
        <w:rPr>
          <w:rFonts w:ascii="Arial" w:hAnsi="Arial" w:cs="Arial"/>
          <w:b/>
          <w:bCs/>
          <w:lang w:eastAsia="en-US"/>
        </w:rPr>
        <w:t xml:space="preserve"> </w:t>
      </w:r>
    </w:p>
    <w:p w14:paraId="3DC65838" w14:textId="77777777" w:rsidR="00087F17" w:rsidRDefault="00087F17" w:rsidP="00087F17">
      <w:pPr>
        <w:rPr>
          <w:rFonts w:ascii="Arial" w:hAnsi="Arial" w:cs="Arial"/>
          <w:b/>
          <w:bCs/>
          <w:lang w:eastAsia="en-US"/>
        </w:rPr>
      </w:pPr>
      <w:r>
        <w:rPr>
          <w:rFonts w:ascii="Arial" w:hAnsi="Arial" w:cs="Arial"/>
          <w:b/>
          <w:bCs/>
          <w:lang w:eastAsia="en-US"/>
        </w:rPr>
        <w:t xml:space="preserve">Pearson’s Correlation Analysis </w:t>
      </w:r>
    </w:p>
    <w:p w14:paraId="7D333C53" w14:textId="77777777" w:rsidR="00087F17" w:rsidRPr="00134800" w:rsidRDefault="00087F17" w:rsidP="00087F17">
      <w:pPr>
        <w:rPr>
          <w:rFonts w:ascii="Arial" w:hAnsi="Arial" w:cs="Arial"/>
          <w:b/>
          <w:bCs/>
          <w:color w:val="EE0000"/>
          <w:lang w:eastAsia="en-US"/>
        </w:rPr>
      </w:pPr>
    </w:p>
    <w:p w14:paraId="319E3024" w14:textId="2F74EF0F" w:rsidR="00087F17" w:rsidRPr="009563CD" w:rsidRDefault="00087F17" w:rsidP="00410AE9">
      <w:pPr>
        <w:jc w:val="both"/>
        <w:rPr>
          <w:rFonts w:eastAsia="DengXian"/>
          <w:kern w:val="2"/>
          <w:szCs w:val="24"/>
          <w:lang w:val="en-MY"/>
          <w14:ligatures w14:val="standardContextual"/>
        </w:rPr>
      </w:pPr>
      <w:r w:rsidRPr="009563CD">
        <w:rPr>
          <w:rFonts w:eastAsia="DengXian"/>
          <w:kern w:val="2"/>
          <w:szCs w:val="24"/>
          <w:lang w:val="en-MY"/>
          <w14:ligatures w14:val="standardContextual"/>
        </w:rPr>
        <w:t>The Pearson correlation analysis was done to find out how strong the relationship was between the independent and dependent variable</w:t>
      </w:r>
      <w:r w:rsidR="006E6FC9">
        <w:rPr>
          <w:rFonts w:eastAsia="DengXian"/>
          <w:kern w:val="2"/>
          <w:szCs w:val="24"/>
          <w:lang w:val="en-MY"/>
          <w14:ligatures w14:val="standardContextual"/>
        </w:rPr>
        <w:t>s</w:t>
      </w:r>
      <w:r w:rsidRPr="009563CD">
        <w:rPr>
          <w:rFonts w:eastAsia="DengXian"/>
          <w:kern w:val="2"/>
          <w:szCs w:val="24"/>
          <w:lang w:val="en-MY"/>
          <w14:ligatures w14:val="standardContextual"/>
        </w:rPr>
        <w:t xml:space="preserve">. </w:t>
      </w:r>
      <w:r w:rsidRPr="009563CD">
        <w:rPr>
          <w:lang w:eastAsia="en-US"/>
        </w:rPr>
        <w:t xml:space="preserve">The correlation coefficient (r) runs from -1 to 1, with -1 indicating a perfect negative correlation, 0 indicating no correlation, and 1 indicating a perfect positive correlation. A positive correlation indicates that as one variable increases, so does the other, whereas a negative correlation indicates that as one variable increases, the other declines </w:t>
      </w:r>
      <w:r w:rsidRPr="009563CD">
        <w:rPr>
          <w:lang w:eastAsia="en-US"/>
        </w:rPr>
        <w:fldChar w:fldCharType="begin" w:fldLock="1"/>
      </w:r>
      <w:r w:rsidR="00026D00" w:rsidRPr="009563CD">
        <w:rPr>
          <w:lang w:eastAsia="en-US"/>
        </w:rPr>
        <w:instrText>ADDIN CSL_CITATION {"citationItems":[{"id":"ITEM-1","itemData":{"DOI":"10.7860/JCDR/2017/29763.10812","ISSN":"0973709X","author":[{"dropping-particle":"","family":"Mondal","given":"Shaikat","non-dropping-particle":"","parse-names":false,"suffix":""},{"dropping-particle":"","family":"Mondal","given":"Himel","non-dropping-particle":"","parse-names":false,"suffix":""}],"container-title":"Journal of Clinical and Diagnostic Research","id":"ITEM-1","issue":"11","issued":{"date-parts":[["2017"]]},"page":"1","title":"Value of r2 in statistical analysis by pearson correlation coefficient","type":"article","volume":"11"},"uris":["http://www.mendeley.com/documents/?uuid=cd451c30-a460-3dd2-8544-79d48272d944"]}],"mendeley":{"formattedCitation":"(Mondal &amp; Mondal, 2017)","plainTextFormattedCitation":"(Mondal &amp; Mondal, 2017)","previouslyFormattedCitation":"(Mondal &amp; Mondal, 2017)"},"properties":{"noteIndex":0},"schema":"https://github.com/citation-style-language/schema/raw/master/csl-citation.json"}</w:instrText>
      </w:r>
      <w:r w:rsidRPr="009563CD">
        <w:rPr>
          <w:lang w:eastAsia="en-US"/>
        </w:rPr>
        <w:fldChar w:fldCharType="separate"/>
      </w:r>
      <w:r w:rsidRPr="009563CD">
        <w:rPr>
          <w:noProof/>
          <w:lang w:eastAsia="en-US"/>
        </w:rPr>
        <w:t>(Mondal &amp; Mondal, 2017)</w:t>
      </w:r>
      <w:r w:rsidRPr="009563CD">
        <w:rPr>
          <w:lang w:eastAsia="en-US"/>
        </w:rPr>
        <w:fldChar w:fldCharType="end"/>
      </w:r>
      <w:r w:rsidRPr="009563CD">
        <w:rPr>
          <w:lang w:eastAsia="en-US"/>
        </w:rPr>
        <w:t>.</w:t>
      </w:r>
    </w:p>
    <w:p w14:paraId="4379FD26" w14:textId="77777777" w:rsidR="00410AE9" w:rsidRDefault="00410AE9" w:rsidP="00087F17">
      <w:pPr>
        <w:ind w:firstLine="720"/>
        <w:rPr>
          <w:rFonts w:eastAsia="DengXian"/>
          <w:color w:val="EE0000"/>
          <w:kern w:val="2"/>
          <w:szCs w:val="24"/>
          <w:lang w:val="en-MY"/>
          <w14:ligatures w14:val="standardContextual"/>
        </w:rPr>
      </w:pPr>
    </w:p>
    <w:p w14:paraId="010103C7" w14:textId="557AA9D2" w:rsidR="009563CD" w:rsidRPr="003C0136" w:rsidRDefault="009563CD" w:rsidP="009563CD">
      <w:pPr>
        <w:jc w:val="both"/>
        <w:rPr>
          <w:rFonts w:eastAsia="DengXian"/>
          <w:kern w:val="2"/>
          <w:szCs w:val="24"/>
          <w:lang w:val="en-MY"/>
          <w14:ligatures w14:val="standardContextual"/>
        </w:rPr>
      </w:pPr>
      <w:r>
        <w:rPr>
          <w:rFonts w:eastAsia="DengXian"/>
          <w:kern w:val="2"/>
          <w:szCs w:val="24"/>
          <w:lang w:val="en-MY"/>
          <w14:ligatures w14:val="standardContextual"/>
        </w:rPr>
        <w:t>Table 5 presents the Pearson correlation coefficients between the independent variables and the dependent variable. The results indicate that cost exhibits a strong positive correlation (r= 0.630)</w:t>
      </w:r>
      <w:r w:rsidR="00CF3217">
        <w:rPr>
          <w:rFonts w:eastAsia="DengXian"/>
          <w:kern w:val="2"/>
          <w:szCs w:val="24"/>
          <w:lang w:val="en-MY"/>
          <w14:ligatures w14:val="standardContextual"/>
        </w:rPr>
        <w:t>,</w:t>
      </w:r>
      <w:r>
        <w:rPr>
          <w:rFonts w:eastAsia="DengXian"/>
          <w:kern w:val="2"/>
          <w:szCs w:val="24"/>
          <w:lang w:val="en-MY"/>
          <w14:ligatures w14:val="standardContextual"/>
        </w:rPr>
        <w:t xml:space="preserve"> while knowledge </w:t>
      </w:r>
      <w:r w:rsidR="006E6FC9">
        <w:rPr>
          <w:rFonts w:eastAsia="DengXian"/>
          <w:kern w:val="2"/>
          <w:szCs w:val="24"/>
          <w:lang w:val="en-MY"/>
          <w14:ligatures w14:val="standardContextual"/>
        </w:rPr>
        <w:t xml:space="preserve">indicates </w:t>
      </w:r>
      <w:r>
        <w:rPr>
          <w:rFonts w:eastAsia="DengXian"/>
          <w:kern w:val="2"/>
          <w:szCs w:val="24"/>
          <w:lang w:val="en-MY"/>
          <w14:ligatures w14:val="standardContextual"/>
        </w:rPr>
        <w:t>a moderate positive correlation (r=0.536). These finding</w:t>
      </w:r>
      <w:r w:rsidR="006E6FC9">
        <w:rPr>
          <w:rFonts w:eastAsia="DengXian"/>
          <w:kern w:val="2"/>
          <w:szCs w:val="24"/>
          <w:lang w:val="en-MY"/>
          <w14:ligatures w14:val="standardContextual"/>
        </w:rPr>
        <w:t>s</w:t>
      </w:r>
      <w:r>
        <w:rPr>
          <w:rFonts w:eastAsia="DengXian"/>
          <w:kern w:val="2"/>
          <w:szCs w:val="24"/>
          <w:lang w:val="en-MY"/>
          <w14:ligatures w14:val="standardContextual"/>
        </w:rPr>
        <w:t xml:space="preserve"> suggest that </w:t>
      </w:r>
      <w:r w:rsidR="006E6FC9">
        <w:rPr>
          <w:rFonts w:eastAsia="DengXian"/>
          <w:kern w:val="2"/>
          <w:szCs w:val="24"/>
          <w:lang w:val="en-MY"/>
          <w14:ligatures w14:val="standardContextual"/>
        </w:rPr>
        <w:t xml:space="preserve">an </w:t>
      </w:r>
      <w:r>
        <w:rPr>
          <w:rFonts w:eastAsia="DengXian"/>
          <w:kern w:val="2"/>
          <w:szCs w:val="24"/>
          <w:lang w:val="en-MY"/>
          <w14:ligatures w14:val="standardContextual"/>
        </w:rPr>
        <w:t xml:space="preserve">increase in both cost-related considerations and knowledge </w:t>
      </w:r>
      <w:r w:rsidR="006E6FC9">
        <w:rPr>
          <w:rFonts w:eastAsia="DengXian"/>
          <w:kern w:val="2"/>
          <w:szCs w:val="24"/>
          <w:lang w:val="en-MY"/>
          <w14:ligatures w14:val="standardContextual"/>
        </w:rPr>
        <w:t xml:space="preserve">is </w:t>
      </w:r>
      <w:r>
        <w:rPr>
          <w:rFonts w:eastAsia="DengXian"/>
          <w:kern w:val="2"/>
          <w:szCs w:val="24"/>
          <w:lang w:val="en-MY"/>
          <w14:ligatures w14:val="standardContextual"/>
        </w:rPr>
        <w:t xml:space="preserve">associated with higher levels of the outcome variable. Notably, cost demonstrates a relatively stronger association compared to knowledge, implying that financial factors may play a more influential role in shaping the outcome. However, both variables exceed the commonly accepted threshold for moderate correlation (r&gt; 0.50), indicating meaningful relationships. </w:t>
      </w:r>
    </w:p>
    <w:p w14:paraId="0319C5D3" w14:textId="77777777" w:rsidR="009563CD" w:rsidRDefault="009563CD" w:rsidP="00087F17">
      <w:pPr>
        <w:ind w:firstLine="720"/>
        <w:rPr>
          <w:rFonts w:eastAsia="DengXian"/>
          <w:color w:val="EE0000"/>
          <w:kern w:val="2"/>
          <w:szCs w:val="24"/>
          <w:lang w:val="en-MY"/>
          <w14:ligatures w14:val="standardContextual"/>
        </w:rPr>
      </w:pPr>
    </w:p>
    <w:p w14:paraId="56D57053" w14:textId="77777777" w:rsidR="00087F17" w:rsidRPr="00F83190" w:rsidRDefault="00087F17" w:rsidP="00087F17">
      <w:pPr>
        <w:jc w:val="center"/>
        <w:rPr>
          <w:rFonts w:asciiTheme="minorBidi" w:eastAsia="DengXian" w:hAnsiTheme="minorBidi" w:cstheme="minorBidi"/>
          <w:iCs/>
          <w:sz w:val="18"/>
          <w:szCs w:val="18"/>
          <w:lang w:val="en-MY"/>
        </w:rPr>
      </w:pPr>
      <w:r w:rsidRPr="00F83190">
        <w:rPr>
          <w:rFonts w:asciiTheme="minorBidi" w:eastAsia="DengXian" w:hAnsiTheme="minorBidi" w:cstheme="minorBidi"/>
          <w:iCs/>
          <w:sz w:val="18"/>
          <w:szCs w:val="18"/>
          <w:lang w:val="en-MY"/>
        </w:rPr>
        <w:t xml:space="preserve">Table </w:t>
      </w:r>
      <w:r>
        <w:rPr>
          <w:rFonts w:asciiTheme="minorBidi" w:eastAsia="DengXian" w:hAnsiTheme="minorBidi" w:cstheme="minorBidi"/>
          <w:iCs/>
          <w:sz w:val="18"/>
          <w:szCs w:val="18"/>
          <w:lang w:val="en-MY"/>
        </w:rPr>
        <w:t>5</w:t>
      </w:r>
      <w:r w:rsidRPr="00F83190">
        <w:rPr>
          <w:rFonts w:asciiTheme="minorBidi" w:eastAsia="DengXian" w:hAnsiTheme="minorBidi" w:cstheme="minorBidi"/>
          <w:iCs/>
          <w:sz w:val="18"/>
          <w:szCs w:val="18"/>
          <w:lang w:val="en-MY"/>
        </w:rPr>
        <w:t>: Pearson’s Correlation Analysis</w:t>
      </w:r>
    </w:p>
    <w:tbl>
      <w:tblPr>
        <w:tblW w:w="5000" w:type="pct"/>
        <w:tblCellMar>
          <w:left w:w="0" w:type="dxa"/>
          <w:right w:w="0" w:type="dxa"/>
        </w:tblCellMar>
        <w:tblLook w:val="0000" w:firstRow="0" w:lastRow="0" w:firstColumn="0" w:lastColumn="0" w:noHBand="0" w:noVBand="0"/>
      </w:tblPr>
      <w:tblGrid>
        <w:gridCol w:w="5195"/>
        <w:gridCol w:w="3831"/>
      </w:tblGrid>
      <w:tr w:rsidR="00087F17" w:rsidRPr="00F83190" w14:paraId="166183F5" w14:textId="77777777" w:rsidTr="00882095">
        <w:trPr>
          <w:cantSplit/>
        </w:trPr>
        <w:tc>
          <w:tcPr>
            <w:tcW w:w="2878" w:type="pct"/>
            <w:tcBorders>
              <w:top w:val="single" w:sz="12" w:space="0" w:color="auto"/>
              <w:bottom w:val="single" w:sz="4" w:space="0" w:color="auto"/>
            </w:tcBorders>
            <w:vAlign w:val="center"/>
          </w:tcPr>
          <w:p w14:paraId="554310D8" w14:textId="77777777" w:rsidR="00087F17" w:rsidRPr="00F83190" w:rsidRDefault="00087F17" w:rsidP="00882095">
            <w:pPr>
              <w:autoSpaceDE w:val="0"/>
              <w:autoSpaceDN w:val="0"/>
              <w:adjustRightInd w:val="0"/>
              <w:jc w:val="center"/>
              <w:rPr>
                <w:rFonts w:asciiTheme="minorBidi" w:eastAsia="DengXian" w:hAnsiTheme="minorBidi" w:cstheme="minorBidi"/>
                <w:sz w:val="18"/>
                <w:szCs w:val="18"/>
                <w:lang w:val="en-MY"/>
                <w14:ligatures w14:val="standardContextual"/>
              </w:rPr>
            </w:pPr>
            <w:r>
              <w:rPr>
                <w:rFonts w:asciiTheme="minorBidi" w:eastAsia="DengXian" w:hAnsiTheme="minorBidi" w:cstheme="minorBidi"/>
                <w:sz w:val="18"/>
                <w:szCs w:val="18"/>
                <w:lang w:val="en-MY"/>
                <w14:ligatures w14:val="standardContextual"/>
              </w:rPr>
              <w:t xml:space="preserve">Variables </w:t>
            </w:r>
          </w:p>
        </w:tc>
        <w:tc>
          <w:tcPr>
            <w:tcW w:w="2122" w:type="pct"/>
            <w:tcBorders>
              <w:top w:val="single" w:sz="12" w:space="0" w:color="auto"/>
              <w:bottom w:val="single" w:sz="4" w:space="0" w:color="auto"/>
            </w:tcBorders>
          </w:tcPr>
          <w:p w14:paraId="08EA0F81" w14:textId="77777777" w:rsidR="00087F17" w:rsidRPr="00F83190" w:rsidRDefault="00087F17" w:rsidP="00882095">
            <w:pPr>
              <w:autoSpaceDE w:val="0"/>
              <w:autoSpaceDN w:val="0"/>
              <w:adjustRightInd w:val="0"/>
              <w:ind w:left="60" w:right="60"/>
              <w:jc w:val="center"/>
              <w:rPr>
                <w:rFonts w:asciiTheme="minorBidi" w:eastAsia="DengXian" w:hAnsiTheme="minorBidi" w:cstheme="minorBidi"/>
                <w:sz w:val="18"/>
                <w:szCs w:val="18"/>
                <w:lang w:val="en-MY"/>
                <w14:ligatures w14:val="standardContextual"/>
              </w:rPr>
            </w:pPr>
            <w:r w:rsidRPr="00F83190">
              <w:rPr>
                <w:rFonts w:asciiTheme="minorBidi" w:eastAsia="DengXian" w:hAnsiTheme="minorBidi" w:cstheme="minorBidi"/>
                <w:sz w:val="18"/>
                <w:szCs w:val="18"/>
                <w:lang w:val="en-MY"/>
                <w14:ligatures w14:val="standardContextual"/>
              </w:rPr>
              <w:t>Pearson Correlation</w:t>
            </w:r>
          </w:p>
        </w:tc>
      </w:tr>
      <w:tr w:rsidR="00087F17" w:rsidRPr="00F83190" w14:paraId="266DA39F" w14:textId="77777777" w:rsidTr="00882095">
        <w:trPr>
          <w:cantSplit/>
        </w:trPr>
        <w:tc>
          <w:tcPr>
            <w:tcW w:w="2878" w:type="pct"/>
            <w:tcBorders>
              <w:top w:val="single" w:sz="4" w:space="0" w:color="auto"/>
            </w:tcBorders>
            <w:vAlign w:val="center"/>
          </w:tcPr>
          <w:p w14:paraId="36101B68" w14:textId="5FD48532" w:rsidR="00087F17" w:rsidRPr="00F83190" w:rsidRDefault="00476EA1" w:rsidP="00882095">
            <w:pPr>
              <w:autoSpaceDE w:val="0"/>
              <w:autoSpaceDN w:val="0"/>
              <w:adjustRightInd w:val="0"/>
              <w:ind w:left="60" w:right="60"/>
              <w:jc w:val="center"/>
              <w:rPr>
                <w:rFonts w:asciiTheme="minorBidi" w:eastAsia="DengXian" w:hAnsiTheme="minorBidi" w:cstheme="minorBidi"/>
                <w:sz w:val="18"/>
                <w:szCs w:val="18"/>
                <w:lang w:val="en-MY"/>
                <w14:ligatures w14:val="standardContextual"/>
              </w:rPr>
            </w:pPr>
            <w:r w:rsidRPr="00F83190">
              <w:rPr>
                <w:rFonts w:asciiTheme="minorBidi" w:eastAsia="DengXian" w:hAnsiTheme="minorBidi" w:cstheme="minorBidi"/>
                <w:sz w:val="18"/>
                <w:szCs w:val="18"/>
                <w:lang w:val="en-MY"/>
                <w14:ligatures w14:val="standardContextual"/>
              </w:rPr>
              <w:t>Cost</w:t>
            </w:r>
          </w:p>
        </w:tc>
        <w:tc>
          <w:tcPr>
            <w:tcW w:w="2122" w:type="pct"/>
            <w:tcBorders>
              <w:top w:val="single" w:sz="4" w:space="0" w:color="auto"/>
            </w:tcBorders>
          </w:tcPr>
          <w:p w14:paraId="22F8309C" w14:textId="7BC1E7DE" w:rsidR="00087F17" w:rsidRPr="00F83190" w:rsidRDefault="00476EA1" w:rsidP="00882095">
            <w:pPr>
              <w:autoSpaceDE w:val="0"/>
              <w:autoSpaceDN w:val="0"/>
              <w:adjustRightInd w:val="0"/>
              <w:ind w:left="60" w:right="60"/>
              <w:jc w:val="center"/>
              <w:rPr>
                <w:rFonts w:asciiTheme="minorBidi" w:eastAsia="DengXian" w:hAnsiTheme="minorBidi" w:cstheme="minorBidi"/>
                <w:sz w:val="18"/>
                <w:szCs w:val="18"/>
                <w:lang w:val="en-MY"/>
                <w14:ligatures w14:val="standardContextual"/>
              </w:rPr>
            </w:pPr>
            <w:r>
              <w:rPr>
                <w:rFonts w:asciiTheme="minorBidi" w:eastAsia="DengXian" w:hAnsiTheme="minorBidi" w:cstheme="minorBidi"/>
                <w:sz w:val="18"/>
                <w:szCs w:val="18"/>
                <w:lang w:val="en-MY"/>
                <w14:ligatures w14:val="standardContextual"/>
              </w:rPr>
              <w:t>.630</w:t>
            </w:r>
          </w:p>
        </w:tc>
      </w:tr>
      <w:tr w:rsidR="00087F17" w:rsidRPr="00F83190" w14:paraId="45AD10D4" w14:textId="77777777" w:rsidTr="00882095">
        <w:trPr>
          <w:cantSplit/>
        </w:trPr>
        <w:tc>
          <w:tcPr>
            <w:tcW w:w="2878" w:type="pct"/>
            <w:tcBorders>
              <w:bottom w:val="single" w:sz="4" w:space="0" w:color="auto"/>
            </w:tcBorders>
            <w:vAlign w:val="center"/>
          </w:tcPr>
          <w:p w14:paraId="1789D2B4" w14:textId="30ED16ED" w:rsidR="00087F17" w:rsidRPr="00F83190" w:rsidRDefault="00476EA1" w:rsidP="00882095">
            <w:pPr>
              <w:autoSpaceDE w:val="0"/>
              <w:autoSpaceDN w:val="0"/>
              <w:adjustRightInd w:val="0"/>
              <w:ind w:left="60" w:right="60"/>
              <w:jc w:val="center"/>
              <w:rPr>
                <w:rFonts w:asciiTheme="minorBidi" w:eastAsia="DengXian" w:hAnsiTheme="minorBidi" w:cstheme="minorBidi"/>
                <w:sz w:val="18"/>
                <w:szCs w:val="18"/>
                <w:lang w:val="en-MY"/>
                <w14:ligatures w14:val="standardContextual"/>
              </w:rPr>
            </w:pPr>
            <w:r w:rsidRPr="00F83190">
              <w:rPr>
                <w:rFonts w:asciiTheme="minorBidi" w:eastAsia="DengXian" w:hAnsiTheme="minorBidi" w:cstheme="minorBidi"/>
                <w:sz w:val="18"/>
                <w:szCs w:val="18"/>
                <w:lang w:val="en-MY"/>
                <w14:ligatures w14:val="standardContextual"/>
              </w:rPr>
              <w:t>Knowledge</w:t>
            </w:r>
          </w:p>
        </w:tc>
        <w:tc>
          <w:tcPr>
            <w:tcW w:w="2122" w:type="pct"/>
            <w:tcBorders>
              <w:bottom w:val="single" w:sz="4" w:space="0" w:color="auto"/>
            </w:tcBorders>
          </w:tcPr>
          <w:p w14:paraId="1D64F8E4" w14:textId="7BF98EE2" w:rsidR="00087F17" w:rsidRPr="00F83190" w:rsidRDefault="00476EA1" w:rsidP="00882095">
            <w:pPr>
              <w:autoSpaceDE w:val="0"/>
              <w:autoSpaceDN w:val="0"/>
              <w:adjustRightInd w:val="0"/>
              <w:ind w:left="60" w:right="60"/>
              <w:jc w:val="center"/>
              <w:rPr>
                <w:rFonts w:asciiTheme="minorBidi" w:eastAsia="DengXian" w:hAnsiTheme="minorBidi" w:cstheme="minorBidi"/>
                <w:sz w:val="18"/>
                <w:szCs w:val="18"/>
                <w:lang w:val="en-MY"/>
                <w14:ligatures w14:val="standardContextual"/>
              </w:rPr>
            </w:pPr>
            <w:r>
              <w:rPr>
                <w:rFonts w:asciiTheme="minorBidi" w:eastAsia="DengXian" w:hAnsiTheme="minorBidi" w:cstheme="minorBidi"/>
                <w:sz w:val="18"/>
                <w:szCs w:val="18"/>
                <w:lang w:val="en-MY"/>
                <w14:ligatures w14:val="standardContextual"/>
              </w:rPr>
              <w:t>.536</w:t>
            </w:r>
          </w:p>
        </w:tc>
      </w:tr>
    </w:tbl>
    <w:p w14:paraId="1B6B723B" w14:textId="77777777" w:rsidR="00087F17" w:rsidRDefault="00087F17" w:rsidP="00087F17">
      <w:pPr>
        <w:rPr>
          <w:rFonts w:ascii="Arial" w:hAnsi="Arial" w:cs="Arial"/>
          <w:b/>
          <w:bCs/>
          <w:lang w:eastAsia="en-US"/>
        </w:rPr>
      </w:pPr>
    </w:p>
    <w:p w14:paraId="0409F36A" w14:textId="38F1B0A0" w:rsidR="00087F17" w:rsidRDefault="00087F17" w:rsidP="00087F17">
      <w:pPr>
        <w:rPr>
          <w:rFonts w:ascii="Arial" w:hAnsi="Arial" w:cs="Arial"/>
          <w:b/>
          <w:bCs/>
          <w:lang w:eastAsia="en-US"/>
        </w:rPr>
      </w:pPr>
      <w:r>
        <w:rPr>
          <w:rFonts w:ascii="Arial" w:hAnsi="Arial" w:cs="Arial"/>
          <w:b/>
          <w:bCs/>
          <w:lang w:eastAsia="en-US"/>
        </w:rPr>
        <w:t>Regression Analysis</w:t>
      </w:r>
    </w:p>
    <w:p w14:paraId="0CCBE2E8" w14:textId="77777777" w:rsidR="00087F17" w:rsidRDefault="00087F17" w:rsidP="00087F17">
      <w:pPr>
        <w:rPr>
          <w:rFonts w:ascii="Arial" w:hAnsi="Arial" w:cs="Arial"/>
          <w:b/>
          <w:bCs/>
          <w:lang w:eastAsia="en-US"/>
        </w:rPr>
      </w:pPr>
    </w:p>
    <w:p w14:paraId="37C9C819" w14:textId="4D057C50" w:rsidR="00087F17" w:rsidRDefault="001870BD" w:rsidP="004A1E3E">
      <w:pPr>
        <w:widowControl w:val="0"/>
        <w:autoSpaceDE w:val="0"/>
        <w:autoSpaceDN w:val="0"/>
        <w:ind w:right="-46"/>
        <w:jc w:val="both"/>
        <w:rPr>
          <w:rFonts w:eastAsia="DengXian"/>
        </w:rPr>
      </w:pPr>
      <w:r w:rsidRPr="00DD44C7">
        <w:rPr>
          <w:lang w:eastAsia="en-US"/>
        </w:rPr>
        <w:t xml:space="preserve">Table 6 presents the results of the regression analysis. The overall model is statistically significant (F=16.466), indicating that the independent variables jointly explain a meaningful proportion of variance in the dependent variable. </w:t>
      </w:r>
      <w:r w:rsidR="00852D76" w:rsidRPr="00DD44C7">
        <w:rPr>
          <w:lang w:eastAsia="en-US"/>
        </w:rPr>
        <w:t>At the individual level, cost emerges as a significant predictor (</w:t>
      </w:r>
      <w:r w:rsidR="00852D76" w:rsidRPr="00DD44C7">
        <w:rPr>
          <w:rFonts w:eastAsia="DengXian"/>
        </w:rPr>
        <w:t xml:space="preserve">β=0.510, t=3.070, p=0.003), demonstrating a strong positive effect on the outcome variable. This suggests that cost plays a critical role in influencing </w:t>
      </w:r>
      <w:r w:rsidR="00852D76" w:rsidRPr="00DD44C7">
        <w:t>the awareness to adopt permaculture among vegetable farmers</w:t>
      </w:r>
      <w:r w:rsidR="00852D76" w:rsidRPr="00DD44C7">
        <w:rPr>
          <w:rFonts w:eastAsia="DengXian"/>
        </w:rPr>
        <w:t>.</w:t>
      </w:r>
      <w:r w:rsidR="005831D7" w:rsidRPr="005831D7">
        <w:t xml:space="preserve"> </w:t>
      </w:r>
      <w:r w:rsidR="005831D7" w:rsidRPr="005831D7">
        <w:rPr>
          <w:rFonts w:eastAsia="DengXian"/>
        </w:rPr>
        <w:t xml:space="preserve">The finding that cost significantly influences awareness is consistent with </w:t>
      </w:r>
      <w:r w:rsidR="005831D7" w:rsidRPr="008212D3">
        <w:fldChar w:fldCharType="begin" w:fldLock="1"/>
      </w:r>
      <w:r w:rsidR="004A1E3E">
        <w:instrText>ADDIN CSL_CITATION {"citationItems":[{"id":"ITEM-1","itemData":{"DOI":"10.3390/su132112196","ISSN":"20711050","abstract":"Using wastewater accumulating around rural waterpoints to irrigate community gardens, borehole-garden permaculture (BGP) presents a method of sustainable water management. BGP also presents public health benefits through the removal of stagnant water around boreholes, key Malaria breeding grounds, and through providing year-round food to supplement diets. By analysing a dataset of over 100,000 cases, this research examines the awareness and adoption of BGP across Malawi. Generalised linear models identified significant variables influencing BGP awareness and uptake revealing that socioeconomic, biophysical and waterpoint-specific variables influenced both the awareness and adoption of BGP. BGP had low uptake in Malawi with only 2.4% of communities surveyed practising BGP while 43.0% of communities were aware of BGP. Communities in areas with unreliable rainfall and high malaria susceptibility had low BGP awareness despite BGP being particularly beneficial to these communities. This work suggests that future work in the promotion of BGP should focus their efforts within these areas. Furthermore, this work highlights the value of community networks in knowledge sharing and suggests that such social capital could be further used by NGOs and the Government of Malawi in the promotion of BGP and other sustainable practices.","author":[{"dropping-particle":"","family":"Hinton","given":"Rebekah G.K.","non-dropping-particle":"","parse-names":false,"suffix":""},{"dropping-particle":"","family":"Macleod","given":"Christopher J.A.","non-dropping-particle":"","parse-names":false,"suffix":""},{"dropping-particle":"","family":"Troldborg","given":"Mads","non-dropping-particle":"","parse-names":false,"suffix":""},{"dropping-particle":"","family":"Wanangwa","given":"Gift","non-dropping-particle":"","parse-names":false,"suffix":""},{"dropping-particle":"","family":"Kanjaye","given":"Modesta","non-dropping-particle":"","parse-names":false,"suffix":""},{"dropping-particle":"","family":"Mbalame","given":"Emma","non-dropping-particle":"","parse-names":false,"suffix":""},{"dropping-particle":"","family":"Mleta","given":"Prince","non-dropping-particle":"","parse-names":false,"suffix":""},{"dropping-particle":"","family":"Harawa","given":"Kettie","non-dropping-particle":"","parse-names":false,"suffix":""},{"dropping-particle":"","family":"Kumwenda","given":"Steve","non-dropping-particle":"","parse-names":false,"suffix":""},{"dropping-particle":"","family":"Kalin","given":"Robert M.","non-dropping-particle":"","parse-names":false,"suffix":""}],"container-title":"Sustainability (Switzerland)","id":"ITEM-1","issue":"21","issued":{"date-parts":[["2021"]]},"page":"1-25","title":"Factors influencing the awareness and adoption of borehole-garden permaculture in malawi: Lessons for the promotion of sustainable practices","type":"article-journal","volume":"13"},"uris":["http://www.mendeley.com/documents/?uuid=ff7648de-aeb5-4b41-97b4-114ffa5b9150"]}],"mendeley":{"formattedCitation":"(Hinton et al., 2021)","manualFormatting":"Hinton et al. (2021)","plainTextFormattedCitation":"(Hinton et al., 2021)","previouslyFormattedCitation":"(Hinton et al., 2021)"},"properties":{"noteIndex":0},"schema":"https://github.com/citation-style-language/schema/raw/master/csl-citation.json"}</w:instrText>
      </w:r>
      <w:r w:rsidR="005831D7" w:rsidRPr="008212D3">
        <w:fldChar w:fldCharType="separate"/>
      </w:r>
      <w:r w:rsidR="005831D7" w:rsidRPr="008212D3">
        <w:rPr>
          <w:noProof/>
        </w:rPr>
        <w:t>Hinton et al.</w:t>
      </w:r>
      <w:r w:rsidR="005831D7">
        <w:rPr>
          <w:noProof/>
        </w:rPr>
        <w:t xml:space="preserve"> (</w:t>
      </w:r>
      <w:r w:rsidR="005831D7" w:rsidRPr="008212D3">
        <w:rPr>
          <w:noProof/>
        </w:rPr>
        <w:t>2021)</w:t>
      </w:r>
      <w:r w:rsidR="005831D7" w:rsidRPr="008212D3">
        <w:fldChar w:fldCharType="end"/>
      </w:r>
      <w:r w:rsidR="006E6FC9">
        <w:t>,</w:t>
      </w:r>
      <w:r w:rsidR="005831D7" w:rsidRPr="005831D7">
        <w:rPr>
          <w:rFonts w:eastAsia="DengXian"/>
        </w:rPr>
        <w:t xml:space="preserve"> who reported that financial constraints remain the primary barrier to permaculture adoption among smallholder farmer</w:t>
      </w:r>
      <w:r w:rsidR="005831D7">
        <w:rPr>
          <w:rFonts w:eastAsia="DengXian"/>
        </w:rPr>
        <w:t>s</w:t>
      </w:r>
      <w:r w:rsidR="003B3221">
        <w:rPr>
          <w:rFonts w:eastAsia="DengXian"/>
        </w:rPr>
        <w:t xml:space="preserve"> in Malawi</w:t>
      </w:r>
      <w:r w:rsidR="005831D7" w:rsidRPr="005831D7">
        <w:rPr>
          <w:rFonts w:eastAsia="DengXian"/>
        </w:rPr>
        <w:t>.</w:t>
      </w:r>
      <w:r w:rsidR="00852D76" w:rsidRPr="00DD44C7">
        <w:rPr>
          <w:rFonts w:eastAsia="DengXian"/>
        </w:rPr>
        <w:t xml:space="preserve"> In contrast, knowledge does not exhibit </w:t>
      </w:r>
      <w:proofErr w:type="gramStart"/>
      <w:r w:rsidR="00852D76" w:rsidRPr="00DD44C7">
        <w:rPr>
          <w:rFonts w:eastAsia="DengXian"/>
        </w:rPr>
        <w:t>a significant</w:t>
      </w:r>
      <w:proofErr w:type="gramEnd"/>
      <w:r w:rsidR="00852D76" w:rsidRPr="00DD44C7">
        <w:rPr>
          <w:rFonts w:eastAsia="DengXian"/>
        </w:rPr>
        <w:t xml:space="preserve"> effect </w:t>
      </w:r>
      <w:r w:rsidR="00852D76" w:rsidRPr="00DD44C7">
        <w:rPr>
          <w:lang w:eastAsia="en-US"/>
        </w:rPr>
        <w:t>(</w:t>
      </w:r>
      <w:r w:rsidR="00852D76" w:rsidRPr="00DD44C7">
        <w:rPr>
          <w:rFonts w:eastAsia="DengXian"/>
        </w:rPr>
        <w:t>β=0.115, t=0.653, p=0.517</w:t>
      </w:r>
      <w:r w:rsidR="004A1E3E" w:rsidRPr="00DD44C7">
        <w:rPr>
          <w:rFonts w:eastAsia="DengXian"/>
        </w:rPr>
        <w:t>)</w:t>
      </w:r>
      <w:r w:rsidR="004A1E3E">
        <w:rPr>
          <w:rFonts w:eastAsia="DengXian"/>
        </w:rPr>
        <w:t xml:space="preserve">. The </w:t>
      </w:r>
      <w:r w:rsidR="004A1E3E" w:rsidRPr="004A1E3E">
        <w:rPr>
          <w:rFonts w:eastAsia="DengXian"/>
        </w:rPr>
        <w:t>insignificant effect of knowledge contrasts with recent empirical evidence showing that structured knowledge-transfer and agricultural extension interventions significantly improve farmers’ adoption of improved agricultural practices</w:t>
      </w:r>
      <w:r w:rsidR="004A1E3E">
        <w:rPr>
          <w:rFonts w:eastAsia="DengXian"/>
        </w:rPr>
        <w:t xml:space="preserve"> </w:t>
      </w:r>
      <w:r w:rsidR="004A1E3E">
        <w:rPr>
          <w:rFonts w:eastAsia="DengXian"/>
        </w:rPr>
        <w:fldChar w:fldCharType="begin" w:fldLock="1"/>
      </w:r>
      <w:r w:rsidR="004A1E3E">
        <w:rPr>
          <w:rFonts w:eastAsia="DengXian"/>
        </w:rPr>
        <w:instrText>ADDIN CSL_CITATION {"citationItems":[{"id":"ITEM-1","itemData":{"DOI":"10.1126/science.aay3038","ISSN":"10959203","PMID":"31831641","abstract":"The rapid spread of mobile phones creates potential for sustainably raising agricultural productivity for the 2 billion people living in smallholder farming households. Meta-analyses suggest that providing agricultural information via digital technologies increased yields by 4% and the odds of adopting recommended inputs by 22%. Benefits likely exceed the cost of information transmission by an order of magnitude. The spread of GPS-enabled smartphones could increase these benefits by enabling customized information, thus incentivizing farmers to contribute information to the system. Well-known distortions in markets for information limit the ability of such systems to reach the socially efficient scale through purely commercial means. There is a clear role for public support for digital agricultural extension, but messages designed by agricultural ministries are often difficult for farmers to understand and use. Realizing the potential of mobile communication systems requires feedback mechanisms to enable rigorous testing and continuous improvement.","author":[{"dropping-particle":"","family":"Fabregas","given":"Raissa","non-dropping-particle":"","parse-names":false,"suffix":""},{"dropping-particle":"","family":"Kremer","given":"Michael","non-dropping-particle":"","parse-names":false,"suffix":""},{"dropping-particle":"","family":"Schilbach","given":"Frank","non-dropping-particle":"","parse-names":false,"suffix":""}],"container-title":"Science","id":"ITEM-1","issued":{"date-parts":[["2019"]]},"title":"Realizing the potential of digital development: The case of agricultural advice","type":"article"},"uris":["http://www.mendeley.com/documents/?uuid=55d2a911-94bc-41a8-a443-92e3523d8240","http://www.mendeley.com/documents/?uuid=6378d772-5232-43e5-bdf9-61f81b4314e6"]}],"mendeley":{"formattedCitation":"(Fabregas et al., 2019)","plainTextFormattedCitation":"(Fabregas et al., 2019)"},"properties":{"noteIndex":0},"schema":"https://github.com/citation-style-language/schema/raw/master/csl-citation.json"}</w:instrText>
      </w:r>
      <w:r w:rsidR="004A1E3E">
        <w:rPr>
          <w:rFonts w:eastAsia="DengXian"/>
        </w:rPr>
        <w:fldChar w:fldCharType="separate"/>
      </w:r>
      <w:r w:rsidR="004A1E3E" w:rsidRPr="004A1E3E">
        <w:rPr>
          <w:rFonts w:eastAsia="DengXian"/>
          <w:noProof/>
        </w:rPr>
        <w:t>(Fabregas et al., 2019)</w:t>
      </w:r>
      <w:r w:rsidR="004A1E3E">
        <w:rPr>
          <w:rFonts w:eastAsia="DengXian"/>
        </w:rPr>
        <w:fldChar w:fldCharType="end"/>
      </w:r>
      <w:r w:rsidR="006E6FC9">
        <w:rPr>
          <w:rFonts w:eastAsia="DengXian"/>
        </w:rPr>
        <w:t>.</w:t>
      </w:r>
    </w:p>
    <w:p w14:paraId="01F085E0" w14:textId="77777777" w:rsidR="004A1E3E" w:rsidRPr="005F73E2" w:rsidRDefault="004A1E3E" w:rsidP="004A1E3E">
      <w:pPr>
        <w:widowControl w:val="0"/>
        <w:autoSpaceDE w:val="0"/>
        <w:autoSpaceDN w:val="0"/>
        <w:ind w:right="-46"/>
        <w:jc w:val="both"/>
        <w:rPr>
          <w:szCs w:val="24"/>
          <w:lang w:eastAsia="en-US"/>
        </w:rPr>
      </w:pPr>
    </w:p>
    <w:p w14:paraId="530E2C8A" w14:textId="77777777" w:rsidR="00087F17" w:rsidRPr="001D788D" w:rsidRDefault="00087F17" w:rsidP="00087F17">
      <w:pPr>
        <w:jc w:val="center"/>
        <w:rPr>
          <w:rFonts w:asciiTheme="minorBidi" w:eastAsia="DengXian" w:hAnsiTheme="minorBidi" w:cstheme="minorBidi"/>
          <w:iCs/>
          <w:sz w:val="18"/>
          <w:szCs w:val="18"/>
          <w:lang w:val="en-MY"/>
        </w:rPr>
      </w:pPr>
      <w:r w:rsidRPr="001D788D">
        <w:rPr>
          <w:rFonts w:asciiTheme="minorBidi" w:eastAsia="DengXian" w:hAnsiTheme="minorBidi" w:cstheme="minorBidi"/>
          <w:iCs/>
          <w:sz w:val="18"/>
          <w:szCs w:val="18"/>
          <w:lang w:val="en-MY"/>
        </w:rPr>
        <w:t xml:space="preserve">Table </w:t>
      </w:r>
      <w:r>
        <w:rPr>
          <w:rFonts w:asciiTheme="minorBidi" w:eastAsia="DengXian" w:hAnsiTheme="minorBidi" w:cstheme="minorBidi"/>
          <w:iCs/>
          <w:sz w:val="18"/>
          <w:szCs w:val="18"/>
          <w:lang w:val="en-MY"/>
        </w:rPr>
        <w:t>6</w:t>
      </w:r>
      <w:r w:rsidRPr="001D788D">
        <w:rPr>
          <w:rFonts w:asciiTheme="minorBidi" w:eastAsia="DengXian" w:hAnsiTheme="minorBidi" w:cstheme="minorBidi"/>
          <w:iCs/>
          <w:sz w:val="18"/>
          <w:szCs w:val="18"/>
          <w:lang w:val="en-MY"/>
        </w:rPr>
        <w:t>: Regression Analysis</w:t>
      </w:r>
    </w:p>
    <w:tbl>
      <w:tblPr>
        <w:tblStyle w:val="TableGrid5"/>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6"/>
        <w:gridCol w:w="2257"/>
        <w:gridCol w:w="2257"/>
      </w:tblGrid>
      <w:tr w:rsidR="00087F17" w:rsidRPr="001D788D" w14:paraId="58FC48F0" w14:textId="77777777" w:rsidTr="00882095">
        <w:trPr>
          <w:jc w:val="center"/>
        </w:trPr>
        <w:tc>
          <w:tcPr>
            <w:tcW w:w="1250" w:type="pct"/>
            <w:tcBorders>
              <w:top w:val="single" w:sz="4" w:space="0" w:color="auto"/>
            </w:tcBorders>
            <w:vAlign w:val="center"/>
          </w:tcPr>
          <w:p w14:paraId="61CF9295" w14:textId="77777777" w:rsidR="00087F17" w:rsidRPr="001D788D" w:rsidRDefault="00087F17" w:rsidP="00882095">
            <w:pPr>
              <w:jc w:val="center"/>
              <w:rPr>
                <w:rFonts w:asciiTheme="minorBidi" w:eastAsia="DengXian" w:hAnsiTheme="minorBidi"/>
                <w:sz w:val="18"/>
                <w:szCs w:val="18"/>
              </w:rPr>
            </w:pPr>
            <w:r w:rsidRPr="001D788D">
              <w:rPr>
                <w:rFonts w:asciiTheme="minorBidi" w:eastAsia="DengXian" w:hAnsiTheme="minorBidi"/>
                <w:sz w:val="18"/>
                <w:szCs w:val="18"/>
              </w:rPr>
              <w:t>Independent variable</w:t>
            </w:r>
          </w:p>
        </w:tc>
        <w:tc>
          <w:tcPr>
            <w:tcW w:w="1250" w:type="pct"/>
            <w:tcBorders>
              <w:top w:val="single" w:sz="4" w:space="0" w:color="auto"/>
            </w:tcBorders>
            <w:vAlign w:val="center"/>
          </w:tcPr>
          <w:p w14:paraId="73373FE8" w14:textId="77777777" w:rsidR="00087F17" w:rsidRPr="001D788D" w:rsidRDefault="00087F17" w:rsidP="00882095">
            <w:pPr>
              <w:jc w:val="center"/>
              <w:rPr>
                <w:rFonts w:asciiTheme="minorBidi" w:eastAsia="DengXian" w:hAnsiTheme="minorBidi"/>
                <w:sz w:val="18"/>
                <w:szCs w:val="18"/>
              </w:rPr>
            </w:pPr>
            <w:r w:rsidRPr="001D788D">
              <w:rPr>
                <w:rFonts w:asciiTheme="minorBidi" w:eastAsia="DengXian" w:hAnsiTheme="minorBidi"/>
                <w:sz w:val="18"/>
                <w:szCs w:val="18"/>
              </w:rPr>
              <w:t>β</w:t>
            </w:r>
          </w:p>
        </w:tc>
        <w:tc>
          <w:tcPr>
            <w:tcW w:w="1250" w:type="pct"/>
            <w:tcBorders>
              <w:top w:val="single" w:sz="4" w:space="0" w:color="auto"/>
            </w:tcBorders>
            <w:vAlign w:val="center"/>
          </w:tcPr>
          <w:p w14:paraId="299BA90F" w14:textId="77777777" w:rsidR="00087F17" w:rsidRPr="001D788D" w:rsidRDefault="00087F17" w:rsidP="00882095">
            <w:pPr>
              <w:jc w:val="center"/>
              <w:rPr>
                <w:rFonts w:asciiTheme="minorBidi" w:eastAsia="DengXian" w:hAnsiTheme="minorBidi"/>
                <w:sz w:val="18"/>
                <w:szCs w:val="18"/>
              </w:rPr>
            </w:pPr>
            <w:r w:rsidRPr="001D788D">
              <w:rPr>
                <w:rFonts w:asciiTheme="minorBidi" w:eastAsia="DengXian" w:hAnsiTheme="minorBidi"/>
                <w:sz w:val="18"/>
                <w:szCs w:val="18"/>
              </w:rPr>
              <w:t>t</w:t>
            </w:r>
          </w:p>
        </w:tc>
        <w:tc>
          <w:tcPr>
            <w:tcW w:w="1250" w:type="pct"/>
            <w:tcBorders>
              <w:top w:val="single" w:sz="4" w:space="0" w:color="auto"/>
            </w:tcBorders>
            <w:vAlign w:val="center"/>
          </w:tcPr>
          <w:p w14:paraId="53B16F01" w14:textId="77777777" w:rsidR="00087F17" w:rsidRPr="001D788D" w:rsidRDefault="00087F17" w:rsidP="00882095">
            <w:pPr>
              <w:jc w:val="center"/>
              <w:rPr>
                <w:rFonts w:asciiTheme="minorBidi" w:eastAsia="DengXian" w:hAnsiTheme="minorBidi"/>
                <w:sz w:val="18"/>
                <w:szCs w:val="18"/>
              </w:rPr>
            </w:pPr>
            <w:r w:rsidRPr="001D788D">
              <w:rPr>
                <w:rFonts w:asciiTheme="minorBidi" w:eastAsia="DengXian" w:hAnsiTheme="minorBidi"/>
                <w:sz w:val="18"/>
                <w:szCs w:val="18"/>
              </w:rPr>
              <w:t>ρ-value</w:t>
            </w:r>
          </w:p>
        </w:tc>
      </w:tr>
      <w:tr w:rsidR="00476EA1" w:rsidRPr="001D788D" w14:paraId="0EAD5E1E" w14:textId="77777777" w:rsidTr="00882095">
        <w:trPr>
          <w:jc w:val="center"/>
        </w:trPr>
        <w:tc>
          <w:tcPr>
            <w:tcW w:w="1250" w:type="pct"/>
            <w:tcBorders>
              <w:top w:val="single" w:sz="4" w:space="0" w:color="auto"/>
            </w:tcBorders>
            <w:vAlign w:val="center"/>
          </w:tcPr>
          <w:p w14:paraId="6186F547" w14:textId="40F2A2B5" w:rsidR="00476EA1" w:rsidRPr="001D788D" w:rsidRDefault="00476EA1" w:rsidP="00476EA1">
            <w:pPr>
              <w:jc w:val="center"/>
              <w:rPr>
                <w:rFonts w:asciiTheme="minorBidi" w:eastAsia="DengXian" w:hAnsiTheme="minorBidi"/>
                <w:sz w:val="18"/>
                <w:szCs w:val="18"/>
              </w:rPr>
            </w:pPr>
            <w:r w:rsidRPr="001D788D">
              <w:rPr>
                <w:rFonts w:asciiTheme="minorBidi" w:eastAsia="DengXian" w:hAnsiTheme="minorBidi"/>
                <w:sz w:val="18"/>
                <w:szCs w:val="18"/>
              </w:rPr>
              <w:t>Cost</w:t>
            </w:r>
          </w:p>
        </w:tc>
        <w:tc>
          <w:tcPr>
            <w:tcW w:w="1250" w:type="pct"/>
            <w:tcBorders>
              <w:top w:val="single" w:sz="4" w:space="0" w:color="auto"/>
            </w:tcBorders>
            <w:vAlign w:val="center"/>
          </w:tcPr>
          <w:p w14:paraId="117C99AF" w14:textId="517E9624" w:rsidR="00476EA1" w:rsidRPr="001D788D" w:rsidRDefault="00476EA1" w:rsidP="00476EA1">
            <w:pPr>
              <w:jc w:val="center"/>
              <w:rPr>
                <w:rFonts w:asciiTheme="minorBidi" w:eastAsia="DengXian" w:hAnsiTheme="minorBidi"/>
                <w:sz w:val="18"/>
                <w:szCs w:val="18"/>
              </w:rPr>
            </w:pPr>
            <w:r>
              <w:rPr>
                <w:rFonts w:asciiTheme="minorBidi" w:eastAsia="DengXian" w:hAnsiTheme="minorBidi"/>
                <w:sz w:val="18"/>
                <w:szCs w:val="18"/>
              </w:rPr>
              <w:t>.510</w:t>
            </w:r>
          </w:p>
        </w:tc>
        <w:tc>
          <w:tcPr>
            <w:tcW w:w="1250" w:type="pct"/>
            <w:tcBorders>
              <w:top w:val="single" w:sz="4" w:space="0" w:color="auto"/>
            </w:tcBorders>
            <w:vAlign w:val="center"/>
          </w:tcPr>
          <w:p w14:paraId="74208FD5" w14:textId="266813EA" w:rsidR="00476EA1" w:rsidRPr="001D788D" w:rsidRDefault="00476EA1" w:rsidP="00476EA1">
            <w:pPr>
              <w:jc w:val="center"/>
              <w:rPr>
                <w:rFonts w:asciiTheme="minorBidi" w:eastAsia="DengXian" w:hAnsiTheme="minorBidi"/>
                <w:sz w:val="18"/>
                <w:szCs w:val="18"/>
              </w:rPr>
            </w:pPr>
            <w:r>
              <w:rPr>
                <w:rFonts w:asciiTheme="minorBidi" w:eastAsia="DengXian" w:hAnsiTheme="minorBidi"/>
                <w:sz w:val="18"/>
                <w:szCs w:val="18"/>
              </w:rPr>
              <w:t>3.070</w:t>
            </w:r>
          </w:p>
        </w:tc>
        <w:tc>
          <w:tcPr>
            <w:tcW w:w="1250" w:type="pct"/>
            <w:tcBorders>
              <w:top w:val="single" w:sz="4" w:space="0" w:color="auto"/>
            </w:tcBorders>
            <w:vAlign w:val="center"/>
          </w:tcPr>
          <w:p w14:paraId="203AE69A" w14:textId="3DA64A4E" w:rsidR="00476EA1" w:rsidRPr="001D788D" w:rsidRDefault="00476EA1" w:rsidP="00476EA1">
            <w:pPr>
              <w:jc w:val="center"/>
              <w:rPr>
                <w:rFonts w:asciiTheme="minorBidi" w:eastAsia="DengXian" w:hAnsiTheme="minorBidi"/>
                <w:sz w:val="18"/>
                <w:szCs w:val="18"/>
              </w:rPr>
            </w:pPr>
            <w:r>
              <w:rPr>
                <w:rFonts w:asciiTheme="minorBidi" w:eastAsia="DengXian" w:hAnsiTheme="minorBidi"/>
                <w:sz w:val="18"/>
                <w:szCs w:val="18"/>
              </w:rPr>
              <w:t>.003</w:t>
            </w:r>
          </w:p>
        </w:tc>
      </w:tr>
      <w:tr w:rsidR="00476EA1" w:rsidRPr="001D788D" w14:paraId="65B3ACAA" w14:textId="77777777" w:rsidTr="00882095">
        <w:trPr>
          <w:jc w:val="center"/>
        </w:trPr>
        <w:tc>
          <w:tcPr>
            <w:tcW w:w="1250" w:type="pct"/>
            <w:tcBorders>
              <w:top w:val="nil"/>
              <w:bottom w:val="single" w:sz="4" w:space="0" w:color="auto"/>
            </w:tcBorders>
            <w:vAlign w:val="center"/>
          </w:tcPr>
          <w:p w14:paraId="6D244572" w14:textId="60C4098E" w:rsidR="00476EA1" w:rsidRPr="001D788D" w:rsidRDefault="00476EA1" w:rsidP="00476EA1">
            <w:pPr>
              <w:jc w:val="center"/>
              <w:rPr>
                <w:rFonts w:asciiTheme="minorBidi" w:eastAsia="DengXian" w:hAnsiTheme="minorBidi"/>
                <w:sz w:val="18"/>
                <w:szCs w:val="18"/>
              </w:rPr>
            </w:pPr>
            <w:r w:rsidRPr="001D788D">
              <w:rPr>
                <w:rFonts w:asciiTheme="minorBidi" w:eastAsia="DengXian" w:hAnsiTheme="minorBidi"/>
                <w:sz w:val="18"/>
                <w:szCs w:val="18"/>
              </w:rPr>
              <w:t xml:space="preserve">Knowledge </w:t>
            </w:r>
          </w:p>
        </w:tc>
        <w:tc>
          <w:tcPr>
            <w:tcW w:w="1250" w:type="pct"/>
            <w:tcBorders>
              <w:top w:val="nil"/>
              <w:bottom w:val="single" w:sz="4" w:space="0" w:color="auto"/>
            </w:tcBorders>
            <w:vAlign w:val="center"/>
          </w:tcPr>
          <w:p w14:paraId="238920B3" w14:textId="337F19C0" w:rsidR="00476EA1" w:rsidRPr="001D788D" w:rsidRDefault="00476EA1" w:rsidP="00476EA1">
            <w:pPr>
              <w:jc w:val="center"/>
              <w:rPr>
                <w:rFonts w:asciiTheme="minorBidi" w:eastAsia="DengXian" w:hAnsiTheme="minorBidi"/>
                <w:sz w:val="18"/>
                <w:szCs w:val="18"/>
              </w:rPr>
            </w:pPr>
            <w:r>
              <w:rPr>
                <w:rFonts w:asciiTheme="minorBidi" w:eastAsia="DengXian" w:hAnsiTheme="minorBidi"/>
                <w:sz w:val="18"/>
                <w:szCs w:val="18"/>
              </w:rPr>
              <w:t>.115</w:t>
            </w:r>
          </w:p>
        </w:tc>
        <w:tc>
          <w:tcPr>
            <w:tcW w:w="1250" w:type="pct"/>
            <w:tcBorders>
              <w:top w:val="nil"/>
              <w:bottom w:val="single" w:sz="4" w:space="0" w:color="auto"/>
            </w:tcBorders>
            <w:vAlign w:val="center"/>
          </w:tcPr>
          <w:p w14:paraId="5EB83749" w14:textId="33AADD22" w:rsidR="00476EA1" w:rsidRPr="001D788D" w:rsidRDefault="00476EA1" w:rsidP="00476EA1">
            <w:pPr>
              <w:jc w:val="center"/>
              <w:rPr>
                <w:rFonts w:asciiTheme="minorBidi" w:eastAsia="DengXian" w:hAnsiTheme="minorBidi"/>
                <w:sz w:val="18"/>
                <w:szCs w:val="18"/>
              </w:rPr>
            </w:pPr>
            <w:r>
              <w:rPr>
                <w:rFonts w:asciiTheme="minorBidi" w:eastAsia="DengXian" w:hAnsiTheme="minorBidi"/>
                <w:sz w:val="18"/>
                <w:szCs w:val="18"/>
              </w:rPr>
              <w:t>.653</w:t>
            </w:r>
          </w:p>
        </w:tc>
        <w:tc>
          <w:tcPr>
            <w:tcW w:w="1250" w:type="pct"/>
            <w:tcBorders>
              <w:top w:val="nil"/>
              <w:bottom w:val="single" w:sz="4" w:space="0" w:color="auto"/>
            </w:tcBorders>
            <w:vAlign w:val="center"/>
          </w:tcPr>
          <w:p w14:paraId="5C2DD791" w14:textId="7588601C" w:rsidR="00476EA1" w:rsidRPr="001D788D" w:rsidRDefault="00476EA1" w:rsidP="00476EA1">
            <w:pPr>
              <w:jc w:val="center"/>
              <w:rPr>
                <w:rFonts w:asciiTheme="minorBidi" w:eastAsia="DengXian" w:hAnsiTheme="minorBidi"/>
                <w:sz w:val="18"/>
                <w:szCs w:val="18"/>
              </w:rPr>
            </w:pPr>
            <w:r>
              <w:rPr>
                <w:rFonts w:asciiTheme="minorBidi" w:eastAsia="DengXian" w:hAnsiTheme="minorBidi"/>
                <w:sz w:val="18"/>
                <w:szCs w:val="18"/>
              </w:rPr>
              <w:t>.517</w:t>
            </w:r>
          </w:p>
        </w:tc>
      </w:tr>
      <w:tr w:rsidR="00476EA1" w:rsidRPr="001D788D" w14:paraId="0A247F45" w14:textId="77777777" w:rsidTr="00882095">
        <w:trPr>
          <w:jc w:val="center"/>
        </w:trPr>
        <w:tc>
          <w:tcPr>
            <w:tcW w:w="1250" w:type="pct"/>
            <w:vAlign w:val="center"/>
          </w:tcPr>
          <w:p w14:paraId="38F3F18A" w14:textId="77777777" w:rsidR="00476EA1" w:rsidRPr="001D788D" w:rsidRDefault="00476EA1" w:rsidP="00476EA1">
            <w:pPr>
              <w:jc w:val="center"/>
              <w:rPr>
                <w:rFonts w:asciiTheme="minorBidi" w:eastAsia="DengXian" w:hAnsiTheme="minorBidi"/>
                <w:sz w:val="18"/>
                <w:szCs w:val="18"/>
              </w:rPr>
            </w:pPr>
            <w:r w:rsidRPr="001D788D">
              <w:rPr>
                <w:rFonts w:asciiTheme="minorBidi" w:eastAsia="DengXian" w:hAnsiTheme="minorBidi"/>
                <w:sz w:val="18"/>
                <w:szCs w:val="18"/>
              </w:rPr>
              <w:t>F-value</w:t>
            </w:r>
          </w:p>
        </w:tc>
        <w:tc>
          <w:tcPr>
            <w:tcW w:w="1250" w:type="pct"/>
            <w:vAlign w:val="center"/>
          </w:tcPr>
          <w:p w14:paraId="018617AC" w14:textId="188DF189" w:rsidR="00476EA1" w:rsidRPr="001D788D" w:rsidRDefault="00476EA1" w:rsidP="00476EA1">
            <w:pPr>
              <w:jc w:val="center"/>
              <w:rPr>
                <w:rFonts w:asciiTheme="minorBidi" w:eastAsia="DengXian" w:hAnsiTheme="minorBidi"/>
                <w:sz w:val="18"/>
                <w:szCs w:val="18"/>
              </w:rPr>
            </w:pPr>
            <w:r>
              <w:rPr>
                <w:rFonts w:asciiTheme="minorBidi" w:eastAsia="DengXian" w:hAnsiTheme="minorBidi"/>
                <w:sz w:val="18"/>
                <w:szCs w:val="18"/>
              </w:rPr>
              <w:t>16.466</w:t>
            </w:r>
          </w:p>
        </w:tc>
        <w:tc>
          <w:tcPr>
            <w:tcW w:w="1250" w:type="pct"/>
            <w:vAlign w:val="center"/>
          </w:tcPr>
          <w:p w14:paraId="1046E17A" w14:textId="0318CC8C" w:rsidR="00476EA1" w:rsidRPr="001D788D" w:rsidRDefault="00476EA1" w:rsidP="00476EA1">
            <w:pPr>
              <w:jc w:val="center"/>
              <w:rPr>
                <w:rFonts w:asciiTheme="minorBidi" w:eastAsia="DengXian" w:hAnsiTheme="minorBidi"/>
                <w:sz w:val="18"/>
                <w:szCs w:val="18"/>
              </w:rPr>
            </w:pPr>
          </w:p>
        </w:tc>
        <w:tc>
          <w:tcPr>
            <w:tcW w:w="1250" w:type="pct"/>
            <w:vAlign w:val="center"/>
          </w:tcPr>
          <w:p w14:paraId="0A44BD72" w14:textId="10067311" w:rsidR="00476EA1" w:rsidRPr="001D788D" w:rsidRDefault="00476EA1" w:rsidP="00476EA1">
            <w:pPr>
              <w:jc w:val="center"/>
              <w:rPr>
                <w:rFonts w:asciiTheme="minorBidi" w:eastAsia="DengXian" w:hAnsiTheme="minorBidi"/>
                <w:sz w:val="18"/>
                <w:szCs w:val="18"/>
              </w:rPr>
            </w:pPr>
          </w:p>
        </w:tc>
      </w:tr>
    </w:tbl>
    <w:p w14:paraId="3533226B" w14:textId="77777777" w:rsidR="00087F17" w:rsidRPr="005F73E2" w:rsidRDefault="00087F17" w:rsidP="00087F17">
      <w:pPr>
        <w:widowControl w:val="0"/>
        <w:autoSpaceDE w:val="0"/>
        <w:autoSpaceDN w:val="0"/>
        <w:ind w:right="-46" w:firstLine="720"/>
        <w:rPr>
          <w:szCs w:val="24"/>
          <w:lang w:eastAsia="en-US"/>
        </w:rPr>
      </w:pPr>
    </w:p>
    <w:p w14:paraId="4A784DCE" w14:textId="77777777" w:rsidR="001632CE" w:rsidRDefault="001632CE" w:rsidP="00A650A8">
      <w:pPr>
        <w:widowControl w:val="0"/>
        <w:autoSpaceDE w:val="0"/>
        <w:autoSpaceDN w:val="0"/>
        <w:ind w:right="-46"/>
        <w:jc w:val="both"/>
        <w:rPr>
          <w:rFonts w:asciiTheme="minorBidi" w:hAnsiTheme="minorBidi" w:cstheme="minorBidi"/>
          <w:b/>
          <w:bCs/>
          <w:sz w:val="24"/>
          <w:szCs w:val="24"/>
        </w:rPr>
      </w:pPr>
    </w:p>
    <w:p w14:paraId="0E2B8898" w14:textId="77777777" w:rsidR="00DC54BA" w:rsidRDefault="00DC54BA" w:rsidP="00A650A8">
      <w:pPr>
        <w:widowControl w:val="0"/>
        <w:autoSpaceDE w:val="0"/>
        <w:autoSpaceDN w:val="0"/>
        <w:ind w:right="-46"/>
        <w:jc w:val="both"/>
        <w:rPr>
          <w:rFonts w:asciiTheme="minorBidi" w:hAnsiTheme="minorBidi" w:cstheme="minorBidi"/>
          <w:b/>
          <w:bCs/>
          <w:sz w:val="24"/>
          <w:szCs w:val="24"/>
        </w:rPr>
      </w:pPr>
    </w:p>
    <w:p w14:paraId="7501EC40" w14:textId="77777777" w:rsidR="00DC54BA" w:rsidRDefault="00DC54BA" w:rsidP="00A650A8">
      <w:pPr>
        <w:widowControl w:val="0"/>
        <w:autoSpaceDE w:val="0"/>
        <w:autoSpaceDN w:val="0"/>
        <w:ind w:right="-46"/>
        <w:jc w:val="both"/>
        <w:rPr>
          <w:rFonts w:asciiTheme="minorBidi" w:hAnsiTheme="minorBidi" w:cstheme="minorBidi"/>
          <w:b/>
          <w:bCs/>
          <w:sz w:val="24"/>
          <w:szCs w:val="24"/>
        </w:rPr>
      </w:pPr>
    </w:p>
    <w:p w14:paraId="70FC4EBC" w14:textId="3723D728" w:rsidR="00152072" w:rsidRPr="00DC5419" w:rsidRDefault="00152072" w:rsidP="00A650A8">
      <w:pPr>
        <w:widowControl w:val="0"/>
        <w:autoSpaceDE w:val="0"/>
        <w:autoSpaceDN w:val="0"/>
        <w:ind w:right="-46"/>
        <w:jc w:val="both"/>
        <w:rPr>
          <w:szCs w:val="24"/>
          <w:lang w:eastAsia="en-US"/>
        </w:rPr>
      </w:pPr>
      <w:r w:rsidRPr="00DC5419">
        <w:rPr>
          <w:rFonts w:asciiTheme="minorBidi" w:hAnsiTheme="minorBidi" w:cstheme="minorBidi"/>
          <w:b/>
          <w:bCs/>
          <w:sz w:val="24"/>
          <w:szCs w:val="24"/>
        </w:rPr>
        <w:lastRenderedPageBreak/>
        <w:t>CONCLUSION</w:t>
      </w:r>
    </w:p>
    <w:p w14:paraId="05FB8ABD" w14:textId="77777777" w:rsidR="00A650A8" w:rsidRPr="00DC5419" w:rsidRDefault="00A650A8" w:rsidP="00F77592">
      <w:pPr>
        <w:jc w:val="both"/>
        <w:rPr>
          <w:rFonts w:asciiTheme="majorBidi" w:hAnsiTheme="majorBidi" w:cstheme="majorBidi"/>
          <w:lang w:val="en-MY"/>
        </w:rPr>
      </w:pPr>
    </w:p>
    <w:p w14:paraId="0C409D23" w14:textId="5A432503" w:rsidR="007D2369" w:rsidRDefault="007D2369" w:rsidP="00DD44C7">
      <w:pPr>
        <w:spacing w:after="160"/>
        <w:jc w:val="both"/>
      </w:pPr>
      <w:r>
        <w:t xml:space="preserve">The study was conducted to study the relationship </w:t>
      </w:r>
      <w:r w:rsidR="008063BC">
        <w:t xml:space="preserve">between </w:t>
      </w:r>
      <w:r>
        <w:t xml:space="preserve">costs and comprehension with </w:t>
      </w:r>
      <w:r w:rsidR="006E6FC9">
        <w:t>awareness of adopting</w:t>
      </w:r>
      <w:r>
        <w:t xml:space="preserve"> permaculture practices among vegetable farmers in Perlis. The objectives of the study were to determine the significant relationship between the costs and comprehension </w:t>
      </w:r>
      <w:r w:rsidR="008063BC">
        <w:t xml:space="preserve">of </w:t>
      </w:r>
      <w:r>
        <w:t>awareness to adopt permaculture practices among vegetable farmers in Perlis.</w:t>
      </w:r>
    </w:p>
    <w:p w14:paraId="137C3232" w14:textId="0EA0FE3E" w:rsidR="007D2369" w:rsidRDefault="007D2369" w:rsidP="00852D76">
      <w:pPr>
        <w:spacing w:after="160"/>
        <w:jc w:val="both"/>
      </w:pPr>
      <w:r>
        <w:t xml:space="preserve">The independent variables of the study were costs and </w:t>
      </w:r>
      <w:r w:rsidR="00852D76">
        <w:t>knowledge</w:t>
      </w:r>
      <w:r>
        <w:t xml:space="preserve">. The dependent variable of the study was awareness </w:t>
      </w:r>
      <w:r w:rsidR="008063BC">
        <w:t>of adopting</w:t>
      </w:r>
      <w:r>
        <w:t xml:space="preserve"> permaculture practices among vegetable farmers. The focus of the study is the vegetable farmers in Perlis who registered under </w:t>
      </w:r>
      <w:r w:rsidR="006E6FC9">
        <w:t>the DOA</w:t>
      </w:r>
      <w:r>
        <w:t xml:space="preserve"> database. The </w:t>
      </w:r>
      <w:proofErr w:type="gramStart"/>
      <w:r>
        <w:t>probability</w:t>
      </w:r>
      <w:proofErr w:type="gramEnd"/>
      <w:r>
        <w:t xml:space="preserve"> cluster sampling technique was </w:t>
      </w:r>
      <w:r w:rsidR="006E6FC9">
        <w:t xml:space="preserve">used </w:t>
      </w:r>
      <w:r>
        <w:t xml:space="preserve">to collect </w:t>
      </w:r>
      <w:proofErr w:type="gramStart"/>
      <w:r>
        <w:t>the data</w:t>
      </w:r>
      <w:proofErr w:type="gramEnd"/>
      <w:r>
        <w:t xml:space="preserve"> from the respondent</w:t>
      </w:r>
      <w:r w:rsidR="006E6FC9">
        <w:t>s</w:t>
      </w:r>
      <w:r>
        <w:t xml:space="preserve"> in the study. There </w:t>
      </w:r>
      <w:r w:rsidR="00DD44C7">
        <w:t>were</w:t>
      </w:r>
      <w:r>
        <w:t xml:space="preserve"> 52 respondents altogether in this study</w:t>
      </w:r>
      <w:r w:rsidR="006E6FC9">
        <w:t>,</w:t>
      </w:r>
      <w:r>
        <w:t xml:space="preserve"> and the </w:t>
      </w:r>
      <w:r w:rsidR="006E6FC9">
        <w:t>data were collected</w:t>
      </w:r>
      <w:r>
        <w:t xml:space="preserve"> using a </w:t>
      </w:r>
      <w:r w:rsidR="006E6FC9">
        <w:t>Google F</w:t>
      </w:r>
      <w:r>
        <w:t>orm. In the study, a few analyses were used</w:t>
      </w:r>
      <w:r w:rsidR="006E6FC9">
        <w:t>,</w:t>
      </w:r>
      <w:r>
        <w:t xml:space="preserve"> such as the reliability test, the descriptive analysis, </w:t>
      </w:r>
      <w:r w:rsidR="008063BC">
        <w:t xml:space="preserve">the </w:t>
      </w:r>
      <w:r>
        <w:t>regression analysis</w:t>
      </w:r>
      <w:r w:rsidR="008063BC">
        <w:t>,</w:t>
      </w:r>
      <w:r>
        <w:t xml:space="preserve"> and the correlation analysis. </w:t>
      </w:r>
    </w:p>
    <w:p w14:paraId="068E8DC1" w14:textId="72B6E0A1" w:rsidR="007D2369" w:rsidRDefault="00DD44C7" w:rsidP="00DD44C7">
      <w:pPr>
        <w:spacing w:after="160"/>
        <w:jc w:val="both"/>
      </w:pPr>
      <w:r>
        <w:t xml:space="preserve">The findings of this study reinforce the central role of cost as a key determinant influencing the outcome variable. The significant positive effect of cost is consistent with prior </w:t>
      </w:r>
      <w:r w:rsidR="006E6FC9">
        <w:t xml:space="preserve">studies </w:t>
      </w:r>
      <w:r>
        <w:t>that emphasize financial considerations as a primary driver in decision-making</w:t>
      </w:r>
      <w:r w:rsidR="006E6FC9">
        <w:t>,</w:t>
      </w:r>
      <w:r>
        <w:t xml:space="preserve"> particularly in resource-constrained contexts (</w:t>
      </w:r>
      <w:r w:rsidRPr="00DD44C7">
        <w:t>e.g., Joseph F. Hair Jr. et al., 2019; Uma Sekaran &amp; Bougie, 2016).</w:t>
      </w:r>
      <w:r>
        <w:t xml:space="preserve"> In agricultural and technology adoption settings, cost has frequently been identified as a critical barrier or motivator, shaping both access and willingness to adopt new practice</w:t>
      </w:r>
      <w:r w:rsidR="006E6FC9">
        <w:t>s</w:t>
      </w:r>
      <w:r>
        <w:t xml:space="preserve">. </w:t>
      </w:r>
      <w:r w:rsidR="007D2369">
        <w:t xml:space="preserve">For future research, the independent variable could be varied to explore other factors that could influence the awareness </w:t>
      </w:r>
      <w:r>
        <w:t>of adopting</w:t>
      </w:r>
      <w:r w:rsidR="007D2369">
        <w:t xml:space="preserve"> permaculture practices among vegetable farmers</w:t>
      </w:r>
      <w:r>
        <w:t xml:space="preserve">. </w:t>
      </w:r>
      <w:r w:rsidR="006E6FC9">
        <w:t xml:space="preserve">Expanding </w:t>
      </w:r>
      <w:r>
        <w:t xml:space="preserve">sample size and geographical coverage would also improve generalizability and provide </w:t>
      </w:r>
      <w:r w:rsidR="006E6FC9">
        <w:t xml:space="preserve">a </w:t>
      </w:r>
      <w:r>
        <w:t xml:space="preserve">more comprehensive understanding of the factors influencing </w:t>
      </w:r>
      <w:r w:rsidR="006E6FC9">
        <w:t>decision-</w:t>
      </w:r>
      <w:r>
        <w:t xml:space="preserve">making in similar contexts. </w:t>
      </w:r>
    </w:p>
    <w:p w14:paraId="3897B6FC" w14:textId="77777777" w:rsidR="007D2369" w:rsidRPr="007D2369" w:rsidRDefault="007D2369" w:rsidP="007D2369"/>
    <w:p w14:paraId="7687AB2A" w14:textId="1E063181" w:rsidR="00152072" w:rsidRPr="00DC5419" w:rsidRDefault="00152072" w:rsidP="00504DD8">
      <w:pPr>
        <w:pStyle w:val="Heading1"/>
        <w:spacing w:before="0" w:after="0"/>
        <w:rPr>
          <w:color w:val="auto"/>
        </w:rPr>
      </w:pPr>
      <w:r w:rsidRPr="00DC5419">
        <w:rPr>
          <w:color w:val="auto"/>
        </w:rPr>
        <w:t xml:space="preserve">ACKNOWLEDGEMENTS </w:t>
      </w:r>
    </w:p>
    <w:p w14:paraId="10C385C8" w14:textId="77777777" w:rsidR="00A650A8" w:rsidRPr="00DC5419" w:rsidRDefault="00A650A8" w:rsidP="00A650A8"/>
    <w:p w14:paraId="4DBE6DE8" w14:textId="4DBE102E" w:rsidR="00152072" w:rsidRPr="00DC5419" w:rsidRDefault="00ED78B7" w:rsidP="00504DD8">
      <w:pPr>
        <w:jc w:val="both"/>
      </w:pPr>
      <w:r w:rsidRPr="00DC5419">
        <w:rPr>
          <w:lang w:val="en-MY"/>
        </w:rPr>
        <w:t xml:space="preserve">The author </w:t>
      </w:r>
      <w:r w:rsidR="00163DE3" w:rsidRPr="00DC5419">
        <w:rPr>
          <w:lang w:val="en-MY"/>
        </w:rPr>
        <w:t xml:space="preserve">would </w:t>
      </w:r>
      <w:r w:rsidRPr="00DC5419">
        <w:rPr>
          <w:lang w:val="en-MY"/>
        </w:rPr>
        <w:t xml:space="preserve">like to express gratitude to the reviewer for their insightful comments and ideas. </w:t>
      </w:r>
    </w:p>
    <w:p w14:paraId="1D8B3CAB" w14:textId="77777777" w:rsidR="00152072" w:rsidRPr="00DC5419" w:rsidRDefault="00152072" w:rsidP="00152072">
      <w:pPr>
        <w:jc w:val="both"/>
      </w:pPr>
    </w:p>
    <w:p w14:paraId="053DDDE6" w14:textId="0FD1305E" w:rsidR="00F77592" w:rsidRPr="00DC5419" w:rsidRDefault="00152072" w:rsidP="00A650A8">
      <w:pPr>
        <w:pStyle w:val="Heading1"/>
        <w:spacing w:before="0" w:after="0"/>
        <w:rPr>
          <w:color w:val="auto"/>
        </w:rPr>
      </w:pPr>
      <w:r w:rsidRPr="00DC5419">
        <w:rPr>
          <w:color w:val="auto"/>
        </w:rPr>
        <w:t>FUNDING</w:t>
      </w:r>
    </w:p>
    <w:p w14:paraId="1A89B39C" w14:textId="77777777" w:rsidR="00A650A8" w:rsidRPr="00DC5419" w:rsidRDefault="00A650A8" w:rsidP="00A650A8"/>
    <w:p w14:paraId="080814DB" w14:textId="2FBC1C59" w:rsidR="00152072" w:rsidRPr="00DC5419" w:rsidRDefault="008E592F" w:rsidP="00731317">
      <w:pPr>
        <w:jc w:val="both"/>
      </w:pPr>
      <w:r w:rsidRPr="00DC5419">
        <w:t>T</w:t>
      </w:r>
      <w:r w:rsidR="00152072" w:rsidRPr="00DC5419">
        <w:t>his research received no specific grant from any funding agency in the public, commercial, or not-for-profit sectors.</w:t>
      </w:r>
    </w:p>
    <w:p w14:paraId="4464718D" w14:textId="77777777" w:rsidR="00A650A8" w:rsidRPr="00DC5419" w:rsidRDefault="00A650A8" w:rsidP="00A650A8">
      <w:pPr>
        <w:jc w:val="both"/>
      </w:pPr>
    </w:p>
    <w:p w14:paraId="3914C3DD" w14:textId="4BC8C76A" w:rsidR="00152072" w:rsidRPr="00DC5419" w:rsidRDefault="00152072" w:rsidP="00F77592">
      <w:pPr>
        <w:pStyle w:val="Heading1"/>
        <w:spacing w:before="0" w:after="0"/>
        <w:rPr>
          <w:color w:val="auto"/>
        </w:rPr>
      </w:pPr>
      <w:r w:rsidRPr="00DC5419">
        <w:rPr>
          <w:color w:val="auto"/>
        </w:rPr>
        <w:t xml:space="preserve">AUTHORS’ CONTRIBUTION </w:t>
      </w:r>
    </w:p>
    <w:p w14:paraId="275413D5" w14:textId="77777777" w:rsidR="00F77592" w:rsidRPr="00DC5419" w:rsidRDefault="00F77592" w:rsidP="00F77592"/>
    <w:p w14:paraId="6CAAD8DD" w14:textId="1D491E86" w:rsidR="00152072" w:rsidRPr="00DC5419" w:rsidRDefault="00152072" w:rsidP="00F77592">
      <w:pPr>
        <w:jc w:val="both"/>
      </w:pPr>
      <w:r w:rsidRPr="00DC5419">
        <w:t>All authors provided critical feedback and helped shape the research, analysis</w:t>
      </w:r>
      <w:r w:rsidR="008063BC">
        <w:t>,</w:t>
      </w:r>
      <w:r w:rsidRPr="00DC5419">
        <w:t xml:space="preserve"> and manuscript.</w:t>
      </w:r>
    </w:p>
    <w:p w14:paraId="714E7F7B" w14:textId="77777777" w:rsidR="00152072" w:rsidRPr="00DC5419" w:rsidRDefault="00152072" w:rsidP="00152072">
      <w:pPr>
        <w:rPr>
          <w:b/>
          <w:sz w:val="24"/>
          <w:szCs w:val="24"/>
        </w:rPr>
      </w:pPr>
    </w:p>
    <w:p w14:paraId="6B7D92C8" w14:textId="5F829EF9" w:rsidR="00152072" w:rsidRPr="00DC5419" w:rsidRDefault="00152072" w:rsidP="00F77592">
      <w:pPr>
        <w:pStyle w:val="Heading1"/>
        <w:spacing w:before="0" w:after="0"/>
        <w:rPr>
          <w:color w:val="auto"/>
        </w:rPr>
      </w:pPr>
      <w:r w:rsidRPr="00DC5419">
        <w:rPr>
          <w:color w:val="auto"/>
        </w:rPr>
        <w:t xml:space="preserve">CONFLICT OF INTEREST DECLARATION </w:t>
      </w:r>
    </w:p>
    <w:p w14:paraId="3453E211" w14:textId="77777777" w:rsidR="00F77592" w:rsidRPr="00DC5419" w:rsidRDefault="00F77592" w:rsidP="00F77592"/>
    <w:p w14:paraId="0190793B" w14:textId="27C8AA41" w:rsidR="00152072" w:rsidRPr="00DC5419" w:rsidRDefault="00152072" w:rsidP="00F77592">
      <w:pPr>
        <w:jc w:val="both"/>
      </w:pPr>
      <w:r w:rsidRPr="00DC5419">
        <w:t xml:space="preserve">I certify that the article is the Authors’ and Co-Authors’ original work. The article has not received prior publication and is not under consideration for publication elsewhere. This research/manuscript has not been submitted for </w:t>
      </w:r>
      <w:proofErr w:type="gramStart"/>
      <w:r w:rsidRPr="00DC5419">
        <w:t>publication</w:t>
      </w:r>
      <w:proofErr w:type="gramEnd"/>
      <w:r w:rsidRPr="00DC5419">
        <w:t xml:space="preserve"> nor has it been published in whole or in part elsewhere. We testify to the fact that all Authors have contributed significantly to the work, </w:t>
      </w:r>
      <w:r w:rsidR="000443F6" w:rsidRPr="00DC5419">
        <w:t xml:space="preserve">the </w:t>
      </w:r>
      <w:r w:rsidRPr="00DC5419">
        <w:t>validity and legitimacy of the data</w:t>
      </w:r>
      <w:r w:rsidR="000443F6" w:rsidRPr="00DC5419">
        <w:t>,</w:t>
      </w:r>
      <w:r w:rsidRPr="00DC5419">
        <w:t xml:space="preserve"> and its interpretation for submission to </w:t>
      </w:r>
      <w:proofErr w:type="spellStart"/>
      <w:r w:rsidRPr="00DC5419">
        <w:t>Jurnal</w:t>
      </w:r>
      <w:proofErr w:type="spellEnd"/>
      <w:r w:rsidRPr="00DC5419">
        <w:t xml:space="preserve"> </w:t>
      </w:r>
      <w:proofErr w:type="spellStart"/>
      <w:r w:rsidRPr="00DC5419">
        <w:t>Intelek</w:t>
      </w:r>
      <w:proofErr w:type="spellEnd"/>
      <w:r w:rsidRPr="00DC5419">
        <w:t>.</w:t>
      </w:r>
      <w:r w:rsidRPr="00DC5419">
        <w:rPr>
          <w:rFonts w:ascii="Arial" w:eastAsia="Arial" w:hAnsi="Arial" w:cs="Arial"/>
          <w:b/>
          <w:sz w:val="24"/>
          <w:szCs w:val="24"/>
        </w:rPr>
        <w:t xml:space="preserve"> </w:t>
      </w:r>
    </w:p>
    <w:p w14:paraId="3DE13962" w14:textId="77777777" w:rsidR="00152072" w:rsidRPr="00DC5419" w:rsidRDefault="00152072" w:rsidP="00152072">
      <w:pPr>
        <w:jc w:val="both"/>
        <w:rPr>
          <w:rFonts w:ascii="Arial" w:eastAsia="Arial" w:hAnsi="Arial" w:cs="Arial"/>
          <w:b/>
          <w:sz w:val="24"/>
          <w:szCs w:val="24"/>
        </w:rPr>
      </w:pPr>
    </w:p>
    <w:p w14:paraId="0D74E009" w14:textId="77777777" w:rsidR="00152072" w:rsidRPr="00DC5419" w:rsidRDefault="00152072" w:rsidP="00152072">
      <w:pPr>
        <w:pStyle w:val="Heading1"/>
        <w:rPr>
          <w:color w:val="auto"/>
        </w:rPr>
      </w:pPr>
      <w:r w:rsidRPr="00DC5419">
        <w:rPr>
          <w:color w:val="auto"/>
        </w:rPr>
        <w:t xml:space="preserve">REFERENCES </w:t>
      </w:r>
    </w:p>
    <w:p w14:paraId="5109B6A3" w14:textId="30E94529" w:rsidR="004A1E3E" w:rsidRPr="004A1E3E" w:rsidRDefault="00026D00" w:rsidP="00E03BC9">
      <w:pPr>
        <w:widowControl w:val="0"/>
        <w:autoSpaceDE w:val="0"/>
        <w:autoSpaceDN w:val="0"/>
        <w:adjustRightInd w:val="0"/>
        <w:ind w:left="480" w:hanging="480"/>
        <w:jc w:val="both"/>
        <w:rPr>
          <w:noProof/>
        </w:rPr>
      </w:pPr>
      <w:r>
        <w:fldChar w:fldCharType="begin" w:fldLock="1"/>
      </w:r>
      <w:r>
        <w:instrText xml:space="preserve">ADDIN Mendeley Bibliography CSL_BIBLIOGRAPHY </w:instrText>
      </w:r>
      <w:r>
        <w:fldChar w:fldCharType="separate"/>
      </w:r>
      <w:r w:rsidR="004A1E3E" w:rsidRPr="004A1E3E">
        <w:rPr>
          <w:noProof/>
        </w:rPr>
        <w:t xml:space="preserve">Abbas, Q., &amp; Shafique, A. (2019). Integrated use of organic and inorganic fertilizers improves soil health, growth and yield of wheat (Triticum aestivum L.). </w:t>
      </w:r>
      <w:r w:rsidR="004A1E3E" w:rsidRPr="004A1E3E">
        <w:rPr>
          <w:i/>
          <w:iCs/>
          <w:noProof/>
        </w:rPr>
        <w:t>Advances in Agriculture and Biology</w:t>
      </w:r>
      <w:r w:rsidR="004A1E3E" w:rsidRPr="004A1E3E">
        <w:rPr>
          <w:noProof/>
        </w:rPr>
        <w:t>. https://doi.org/10.63072/aab.19007</w:t>
      </w:r>
    </w:p>
    <w:p w14:paraId="7CB065A6"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Abiddin, N. Z., Ghazali, M. F. M., Yahya, S. I., Jantan, N., &amp; Halim, N. H. A. (2023). Exploring the </w:t>
      </w:r>
      <w:r w:rsidRPr="004A1E3E">
        <w:rPr>
          <w:noProof/>
        </w:rPr>
        <w:lastRenderedPageBreak/>
        <w:t xml:space="preserve">wellbeing and challenges faced by smallholder plantation farmers in Malaysia: A systematic review. In </w:t>
      </w:r>
      <w:r w:rsidRPr="004A1E3E">
        <w:rPr>
          <w:i/>
          <w:iCs/>
          <w:noProof/>
        </w:rPr>
        <w:t>Environment and Social Psychology</w:t>
      </w:r>
      <w:r w:rsidRPr="004A1E3E">
        <w:rPr>
          <w:noProof/>
        </w:rPr>
        <w:t>. https://doi.org/10.18063/ESP.V8.I1.1574</w:t>
      </w:r>
    </w:p>
    <w:p w14:paraId="16389ABA"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BG, V. (2023). Permaculture - A sustainable farming approach. </w:t>
      </w:r>
      <w:r w:rsidRPr="004A1E3E">
        <w:rPr>
          <w:i/>
          <w:iCs/>
          <w:noProof/>
        </w:rPr>
        <w:t>International Journal for Scientific Research in Engineering and Management</w:t>
      </w:r>
      <w:r w:rsidRPr="004A1E3E">
        <w:rPr>
          <w:noProof/>
        </w:rPr>
        <w:t>. https://doi.org/10.55041/ijsrem27511</w:t>
      </w:r>
    </w:p>
    <w:p w14:paraId="14948A25"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Bhandari, D., &amp; Bista, B. (2019). Permaculture: A key driver for sustainable agriculture in Nepal. </w:t>
      </w:r>
      <w:r w:rsidRPr="004A1E3E">
        <w:rPr>
          <w:i/>
          <w:iCs/>
          <w:noProof/>
        </w:rPr>
        <w:t>International Journal of Applied Sciences and Biotechnology</w:t>
      </w:r>
      <w:r w:rsidRPr="004A1E3E">
        <w:rPr>
          <w:noProof/>
        </w:rPr>
        <w:t>. https://doi.org/10.3126/ijasbt.v7i2.24647</w:t>
      </w:r>
    </w:p>
    <w:p w14:paraId="2184663D"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Bhati, A., Makanur, B., &amp; Akshaya Bhati, C. (2019). Permaculture: A way of sustainable living. </w:t>
      </w:r>
      <w:r w:rsidRPr="004A1E3E">
        <w:rPr>
          <w:i/>
          <w:iCs/>
          <w:noProof/>
        </w:rPr>
        <w:t>~ 3028 ~ Journal of Pharmacognosy and Phytochemistry</w:t>
      </w:r>
      <w:r w:rsidRPr="004A1E3E">
        <w:rPr>
          <w:noProof/>
        </w:rPr>
        <w:t>.</w:t>
      </w:r>
    </w:p>
    <w:p w14:paraId="6F52FFDC"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Bouttes, M., Darnhofer, I., &amp; Martin, G. (2019). Converting to organic farming as a way to enhance adaptive capacity. </w:t>
      </w:r>
      <w:r w:rsidRPr="004A1E3E">
        <w:rPr>
          <w:i/>
          <w:iCs/>
          <w:noProof/>
        </w:rPr>
        <w:t>Organic Agriculture</w:t>
      </w:r>
      <w:r w:rsidRPr="004A1E3E">
        <w:rPr>
          <w:noProof/>
        </w:rPr>
        <w:t>. https://doi.org/10.1007/s13165-018-0225-y</w:t>
      </w:r>
    </w:p>
    <w:p w14:paraId="5E2E829F"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Cárceles Rodríguez, B., Durán-Zuazo, V. H., Soriano Rodríguez, M., García-Tejero, I. F., Gálvez Ruiz, B., &amp; Cuadros Tavira, S. (2022). Conservation agriculture as a sustainable system for soil health: A review. In </w:t>
      </w:r>
      <w:r w:rsidRPr="004A1E3E">
        <w:rPr>
          <w:i/>
          <w:iCs/>
          <w:noProof/>
        </w:rPr>
        <w:t>Soil Systems</w:t>
      </w:r>
      <w:r w:rsidRPr="004A1E3E">
        <w:rPr>
          <w:noProof/>
        </w:rPr>
        <w:t>. https://doi.org/10.3390/soilsystems6040087</w:t>
      </w:r>
    </w:p>
    <w:p w14:paraId="3955F696"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Chakroun, L., &amp; Droz, L. (2020). Sustainability through landscapes: natural parks, satoyama, and permaculture in Japan. </w:t>
      </w:r>
      <w:r w:rsidRPr="004A1E3E">
        <w:rPr>
          <w:i/>
          <w:iCs/>
          <w:noProof/>
        </w:rPr>
        <w:t>Ecosystems and People</w:t>
      </w:r>
      <w:r w:rsidRPr="004A1E3E">
        <w:rPr>
          <w:noProof/>
        </w:rPr>
        <w:t>. https://doi.org/10.1080/26395916.2020.1837244</w:t>
      </w:r>
    </w:p>
    <w:p w14:paraId="31E1B6C1"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Chimi, P. M., Fobane, J. L., Onguene, E. M. A., Nkoué, B. B., Kamdem, M. E. K., Pokam, E. Y. N., Djoumbi, B. L. T., Yonga, G., Dikoume, A. M. N., Abdel, K. N., &amp; Mala, A. W. (2025). A bibliometric analysis of agroecological practices: trends, impacts, and future directions. In </w:t>
      </w:r>
      <w:r w:rsidRPr="004A1E3E">
        <w:rPr>
          <w:i/>
          <w:iCs/>
          <w:noProof/>
        </w:rPr>
        <w:t>Environmental Systems Research</w:t>
      </w:r>
      <w:r w:rsidRPr="004A1E3E">
        <w:rPr>
          <w:noProof/>
        </w:rPr>
        <w:t>. https://doi.org/10.1186/s40068-025-00395-6</w:t>
      </w:r>
    </w:p>
    <w:p w14:paraId="3B2CD0EC"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Concepcion, R., Esguerra, B. J., Mendigoria, C. H., Aquino, H., Alajas, O. J., Francisco, K., Montanez, J. J., Bandala, A., &amp; Dadios, E. (2021). Intelligent permaculture: A Sustainable and profitable practice for tropical and maritime climate urban and peri-urban agricultural ecosystems. </w:t>
      </w:r>
      <w:r w:rsidRPr="004A1E3E">
        <w:rPr>
          <w:i/>
          <w:iCs/>
          <w:noProof/>
        </w:rPr>
        <w:t>2021 IEEE 13th International Conference on Humanoid, Nanotechnology, Information Technology, Communication and Control, Environment, and Management, HNICEM 2021</w:t>
      </w:r>
      <w:r w:rsidRPr="004A1E3E">
        <w:rPr>
          <w:noProof/>
        </w:rPr>
        <w:t>. https://doi.org/10.1109/HNICEM54116.2021.9732051</w:t>
      </w:r>
    </w:p>
    <w:p w14:paraId="4157BA29"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David, H. (2014). Permaculture principles &amp; pathways beyond sustainability. </w:t>
      </w:r>
      <w:r w:rsidRPr="004A1E3E">
        <w:rPr>
          <w:i/>
          <w:iCs/>
          <w:noProof/>
        </w:rPr>
        <w:t>Planet Savers: 301 Extraordinary Environmentalists</w:t>
      </w:r>
      <w:r w:rsidRPr="004A1E3E">
        <w:rPr>
          <w:noProof/>
        </w:rPr>
        <w:t>.</w:t>
      </w:r>
    </w:p>
    <w:p w14:paraId="5D8D9B39"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Didarali, Z., &amp; Gambiza, J. (2019). Permaculture: Challenges and benefits in improving rural livelihoods in South Africa and Zimbabwe. </w:t>
      </w:r>
      <w:r w:rsidRPr="004A1E3E">
        <w:rPr>
          <w:i/>
          <w:iCs/>
          <w:noProof/>
        </w:rPr>
        <w:t>Sustainability</w:t>
      </w:r>
      <w:r w:rsidRPr="004A1E3E">
        <w:rPr>
          <w:noProof/>
        </w:rPr>
        <w:t xml:space="preserve">, </w:t>
      </w:r>
      <w:r w:rsidRPr="004A1E3E">
        <w:rPr>
          <w:i/>
          <w:iCs/>
          <w:noProof/>
        </w:rPr>
        <w:t>11</w:t>
      </w:r>
      <w:r w:rsidRPr="004A1E3E">
        <w:rPr>
          <w:noProof/>
        </w:rPr>
        <w:t>(8), 2–19. https://doi.org/10.3390/su11082219</w:t>
      </w:r>
    </w:p>
    <w:p w14:paraId="1C88BBDE"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Dubbeling, M., &amp; Merzthal, G. (2010). Multistakeholder policy formulation and action planning for urban agriculture in Lima, Peru. </w:t>
      </w:r>
      <w:r w:rsidRPr="004A1E3E">
        <w:rPr>
          <w:i/>
          <w:iCs/>
          <w:noProof/>
        </w:rPr>
        <w:t>Journal of Agriculture, Food Systems, and Community Development</w:t>
      </w:r>
      <w:r w:rsidRPr="004A1E3E">
        <w:rPr>
          <w:noProof/>
        </w:rPr>
        <w:t>. https://doi.org/10.5304/jafscd.2010.012.010</w:t>
      </w:r>
    </w:p>
    <w:p w14:paraId="449BE52D"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Eigenbrod, C., &amp; Gruda, N. (2015). Urban vegetable for food security in cities. A review. In </w:t>
      </w:r>
      <w:r w:rsidRPr="004A1E3E">
        <w:rPr>
          <w:i/>
          <w:iCs/>
          <w:noProof/>
        </w:rPr>
        <w:t>Agronomy for Sustainable Development</w:t>
      </w:r>
      <w:r w:rsidRPr="004A1E3E">
        <w:rPr>
          <w:noProof/>
        </w:rPr>
        <w:t xml:space="preserve"> (Vol. 35, Issue 2, pp. 483–498). https://doi.org/10.1007/s13593-014-0273-y</w:t>
      </w:r>
    </w:p>
    <w:p w14:paraId="2BB3CBA9"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Fabregas, R., Kremer, M., &amp; Schilbach, F. (2019). Realizing the potential of digital development: The case of agricultural advice. In </w:t>
      </w:r>
      <w:r w:rsidRPr="004A1E3E">
        <w:rPr>
          <w:i/>
          <w:iCs/>
          <w:noProof/>
        </w:rPr>
        <w:t>Science</w:t>
      </w:r>
      <w:r w:rsidRPr="004A1E3E">
        <w:rPr>
          <w:noProof/>
        </w:rPr>
        <w:t>. https://doi.org/10.1126/science.aay3038</w:t>
      </w:r>
    </w:p>
    <w:p w14:paraId="2B98E3D8"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Ferguson, R. S., &amp; Lovell, S. T. (2014). Permaculture for agroecology: Design, movement, practice, and worldview. A review. In </w:t>
      </w:r>
      <w:r w:rsidRPr="004A1E3E">
        <w:rPr>
          <w:i/>
          <w:iCs/>
          <w:noProof/>
        </w:rPr>
        <w:t>Agronomy for Sustainable Development</w:t>
      </w:r>
      <w:r w:rsidRPr="004A1E3E">
        <w:rPr>
          <w:noProof/>
        </w:rPr>
        <w:t>. https://doi.org/10.1007/s13593-013-0181-6</w:t>
      </w:r>
    </w:p>
    <w:p w14:paraId="236999F5"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Fiebrig, I., Zikeli, S., Bach, S., &amp; Gruber, S. (2020). Perspectives on permaculture for commercial farming: aspirations and realities. </w:t>
      </w:r>
      <w:r w:rsidRPr="004A1E3E">
        <w:rPr>
          <w:i/>
          <w:iCs/>
          <w:noProof/>
        </w:rPr>
        <w:t>Organic Agriculture</w:t>
      </w:r>
      <w:r w:rsidRPr="004A1E3E">
        <w:rPr>
          <w:noProof/>
        </w:rPr>
        <w:t>. https://doi.org/10.1007/s13165-020-00281-8</w:t>
      </w:r>
    </w:p>
    <w:p w14:paraId="2544003B"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Gliessman, S. (2022). Can agricultural extension be of service to agroecology? In </w:t>
      </w:r>
      <w:r w:rsidRPr="004A1E3E">
        <w:rPr>
          <w:i/>
          <w:iCs/>
          <w:noProof/>
        </w:rPr>
        <w:t>Agroecology and Sustainable Food Systems</w:t>
      </w:r>
      <w:r w:rsidRPr="004A1E3E">
        <w:rPr>
          <w:noProof/>
        </w:rPr>
        <w:t>. https://doi.org/10.1080/21683565.2022.2095731</w:t>
      </w:r>
    </w:p>
    <w:p w14:paraId="3CC9A210"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Halim, F., &amp; Ishak, M. (2014). Post election behavior? Is it possible? A framework based on Hirschman (1970) model. </w:t>
      </w:r>
      <w:r w:rsidRPr="004A1E3E">
        <w:rPr>
          <w:i/>
          <w:iCs/>
          <w:noProof/>
        </w:rPr>
        <w:t>Australian Journal of Basic and Applied Sciences</w:t>
      </w:r>
      <w:r w:rsidRPr="004A1E3E">
        <w:rPr>
          <w:noProof/>
        </w:rPr>
        <w:t xml:space="preserve">, </w:t>
      </w:r>
      <w:r w:rsidRPr="004A1E3E">
        <w:rPr>
          <w:i/>
          <w:iCs/>
          <w:noProof/>
        </w:rPr>
        <w:t>8</w:t>
      </w:r>
      <w:r w:rsidRPr="004A1E3E">
        <w:rPr>
          <w:noProof/>
        </w:rPr>
        <w:t>(12), 67–75.</w:t>
      </w:r>
    </w:p>
    <w:p w14:paraId="1E5B165B"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Hinton, R. G. K., Macleod, C. J. A., Troldborg, M., Wanangwa, G., Kanjaye, M., Mbalame, E., Mleta, P., Harawa, K., Kumwenda, S., &amp; Kalin, R. M. (2021). Factors influencing the awareness and adoption of borehole-garden permaculture in malawi: Lessons for the promotion of sustainable practices. </w:t>
      </w:r>
      <w:r w:rsidRPr="004A1E3E">
        <w:rPr>
          <w:i/>
          <w:iCs/>
          <w:noProof/>
        </w:rPr>
        <w:t>Sustainability (Switzerland)</w:t>
      </w:r>
      <w:r w:rsidRPr="004A1E3E">
        <w:rPr>
          <w:noProof/>
        </w:rPr>
        <w:t xml:space="preserve">, </w:t>
      </w:r>
      <w:r w:rsidRPr="004A1E3E">
        <w:rPr>
          <w:i/>
          <w:iCs/>
          <w:noProof/>
        </w:rPr>
        <w:t>13</w:t>
      </w:r>
      <w:r w:rsidRPr="004A1E3E">
        <w:rPr>
          <w:noProof/>
        </w:rPr>
        <w:t>(21), 1–25. https://doi.org/10.3390/su132112196</w:t>
      </w:r>
    </w:p>
    <w:p w14:paraId="27757308"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Ickowitz, A., McMullin, S., Rosenstock, T., Dawson, I., Rowland, D., Powell, B., Mausch, K., Djoudi, H., Sunderland, T., Nurhasan, M., Novak, A., Gitz, V., Meybeck, A., Jamnadass, R., Guariguata, </w:t>
      </w:r>
      <w:r w:rsidRPr="004A1E3E">
        <w:rPr>
          <w:noProof/>
        </w:rPr>
        <w:lastRenderedPageBreak/>
        <w:t xml:space="preserve">M. R., Termote, C., &amp; Nasi, R. (2022). Transforming food systems with trees and forests. In </w:t>
      </w:r>
      <w:r w:rsidRPr="004A1E3E">
        <w:rPr>
          <w:i/>
          <w:iCs/>
          <w:noProof/>
        </w:rPr>
        <w:t>The Lancet Planetary Health</w:t>
      </w:r>
      <w:r w:rsidRPr="004A1E3E">
        <w:rPr>
          <w:noProof/>
        </w:rPr>
        <w:t>. https://doi.org/10.1016/S2542-5196(22)00091-2</w:t>
      </w:r>
    </w:p>
    <w:p w14:paraId="5FCAC8CE"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Ismail, N. A., &amp; Affendi, S. M. (2015). Awareness and acceptability of permaculture in a residential landscape design: A case study of Denai Alam community. </w:t>
      </w:r>
      <w:r w:rsidRPr="004A1E3E">
        <w:rPr>
          <w:i/>
          <w:iCs/>
          <w:noProof/>
        </w:rPr>
        <w:t>Research Journal of Fisheries and Hydrobiology</w:t>
      </w:r>
      <w:r w:rsidRPr="004A1E3E">
        <w:rPr>
          <w:noProof/>
        </w:rPr>
        <w:t xml:space="preserve">, </w:t>
      </w:r>
      <w:r w:rsidRPr="004A1E3E">
        <w:rPr>
          <w:i/>
          <w:iCs/>
          <w:noProof/>
        </w:rPr>
        <w:t>10</w:t>
      </w:r>
      <w:r w:rsidRPr="004A1E3E">
        <w:rPr>
          <w:noProof/>
        </w:rPr>
        <w:t>(14), 6–10.</w:t>
      </w:r>
    </w:p>
    <w:p w14:paraId="01866AF2"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Khan, M. M., Younis, A., Akram, M. T., Ijaz, M. M., &amp; Al-Sadi, A. M. (2024). Feeding the cities: Urban agriculture for food security and sustainability of urban areas. In </w:t>
      </w:r>
      <w:r w:rsidRPr="004A1E3E">
        <w:rPr>
          <w:i/>
          <w:iCs/>
          <w:noProof/>
        </w:rPr>
        <w:t>CAB Reviews: Perspectives in Agriculture, Veterinary Science, Nutrition and Natural Resources</w:t>
      </w:r>
      <w:r w:rsidRPr="004A1E3E">
        <w:rPr>
          <w:noProof/>
        </w:rPr>
        <w:t>. https://doi.org/10.1079/cabireviews.2024.0053</w:t>
      </w:r>
    </w:p>
    <w:p w14:paraId="1CC16CCE"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Khan, M. T., Aleinikovienė, J., &amp; Butkevičienė, L. M. (2024). Innovative organic fertilizers and cover crops: Perspectives for sustainable agriculture in the era of climate change and organic agriculture. In </w:t>
      </w:r>
      <w:r w:rsidRPr="004A1E3E">
        <w:rPr>
          <w:i/>
          <w:iCs/>
          <w:noProof/>
        </w:rPr>
        <w:t>Agronomy</w:t>
      </w:r>
      <w:r w:rsidRPr="004A1E3E">
        <w:rPr>
          <w:noProof/>
        </w:rPr>
        <w:t>. https://doi.org/10.3390/agronomy14122871</w:t>
      </w:r>
    </w:p>
    <w:p w14:paraId="4377D8BA"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Krebs, J., &amp; Bach, S. (2018). Permaculture-scientific evidence of principles for the agroecological design of farming systems. In </w:t>
      </w:r>
      <w:r w:rsidRPr="004A1E3E">
        <w:rPr>
          <w:i/>
          <w:iCs/>
          <w:noProof/>
        </w:rPr>
        <w:t>Sustainability (Switzerland)</w:t>
      </w:r>
      <w:r w:rsidRPr="004A1E3E">
        <w:rPr>
          <w:noProof/>
        </w:rPr>
        <w:t>. https://doi.org/10.3390/su10093218</w:t>
      </w:r>
    </w:p>
    <w:p w14:paraId="67C23E42"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Li, M. (2023). Designing co-curriculum experiential learning practice in permaculture for studying science classics. </w:t>
      </w:r>
      <w:r w:rsidRPr="004A1E3E">
        <w:rPr>
          <w:i/>
          <w:iCs/>
          <w:noProof/>
        </w:rPr>
        <w:t>International Conference on Higher Education Advances</w:t>
      </w:r>
      <w:r w:rsidRPr="004A1E3E">
        <w:rPr>
          <w:noProof/>
        </w:rPr>
        <w:t>. https://doi.org/10.4995/HEAd23.2023.16365</w:t>
      </w:r>
    </w:p>
    <w:p w14:paraId="21DB54AD"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Lori, M., Hartmann, M., Kundel, D., Mayer, J., Mueller, R. C., Mäder, P., &amp; Krause, H. M. (2023). Soil microbial communities are sensitive to differences in fertilization intensity in organic and conventional farming systems. </w:t>
      </w:r>
      <w:r w:rsidRPr="004A1E3E">
        <w:rPr>
          <w:i/>
          <w:iCs/>
          <w:noProof/>
        </w:rPr>
        <w:t>FEMS Microbiology Ecology</w:t>
      </w:r>
      <w:r w:rsidRPr="004A1E3E">
        <w:rPr>
          <w:noProof/>
        </w:rPr>
        <w:t>. https://doi.org/10.1093/femsec/fiad046</w:t>
      </w:r>
    </w:p>
    <w:p w14:paraId="764C3D7F"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Magesa, M. M., Michael, K., &amp; Ko, J. (2020). Access and use of agricultural market information by smallholder farmers: Measuring informational capabilities. </w:t>
      </w:r>
      <w:r w:rsidRPr="004A1E3E">
        <w:rPr>
          <w:i/>
          <w:iCs/>
          <w:noProof/>
        </w:rPr>
        <w:t>Electronic Journal of Information Systems in Developing Countries</w:t>
      </w:r>
      <w:r w:rsidRPr="004A1E3E">
        <w:rPr>
          <w:noProof/>
        </w:rPr>
        <w:t>. https://doi.org/10.1002/isd2.12134</w:t>
      </w:r>
    </w:p>
    <w:p w14:paraId="65E02A5E"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McLennon, E., Dari, B., Jha, G., Sihi, D., &amp; Kankarla, V. (2021). Regenerative agriculture and integrative permaculture for sustainable and technology driven global food production and security. </w:t>
      </w:r>
      <w:r w:rsidRPr="004A1E3E">
        <w:rPr>
          <w:i/>
          <w:iCs/>
          <w:noProof/>
        </w:rPr>
        <w:t>Agronomy Journal</w:t>
      </w:r>
      <w:r w:rsidRPr="004A1E3E">
        <w:rPr>
          <w:noProof/>
        </w:rPr>
        <w:t>. https://doi.org/10.1002/agj2.20814</w:t>
      </w:r>
    </w:p>
    <w:p w14:paraId="63C65474"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Mondal, S., &amp; Mondal, H. (2017). Value of r2 in statistical analysis by pearson correlation coefficient. In </w:t>
      </w:r>
      <w:r w:rsidRPr="004A1E3E">
        <w:rPr>
          <w:i/>
          <w:iCs/>
          <w:noProof/>
        </w:rPr>
        <w:t>Journal of Clinical and Diagnostic Research</w:t>
      </w:r>
      <w:r w:rsidRPr="004A1E3E">
        <w:rPr>
          <w:noProof/>
        </w:rPr>
        <w:t xml:space="preserve"> (Vol. 11, Issue 11, p. 1). https://doi.org/10.7860/JCDR/2017/29763.10812</w:t>
      </w:r>
    </w:p>
    <w:p w14:paraId="4AA2CD17"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Muche, M., Zegeye, A., Lemma, H., &amp; Gisila, T. (2022). Product optimization and antimicrobial efficiency of starch-based active packaging film prepared using amira (plumbago zeylanica) root extract. </w:t>
      </w:r>
      <w:r w:rsidRPr="004A1E3E">
        <w:rPr>
          <w:i/>
          <w:iCs/>
          <w:noProof/>
        </w:rPr>
        <w:t>Advances in Materials Science and Engineering</w:t>
      </w:r>
      <w:r w:rsidRPr="004A1E3E">
        <w:rPr>
          <w:noProof/>
        </w:rPr>
        <w:t>. https://doi.org/10.1155/2022/6313389</w:t>
      </w:r>
    </w:p>
    <w:p w14:paraId="62A2DB39"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Orsini, F., Kahane, R., Nono-Womdim, R., &amp; Gianquinto, G. (2013). Urban agriculture in the developing world: A review. In </w:t>
      </w:r>
      <w:r w:rsidRPr="004A1E3E">
        <w:rPr>
          <w:i/>
          <w:iCs/>
          <w:noProof/>
        </w:rPr>
        <w:t>Agronomy for Sustainable Development</w:t>
      </w:r>
      <w:r w:rsidRPr="004A1E3E">
        <w:rPr>
          <w:noProof/>
        </w:rPr>
        <w:t>. https://doi.org/10.1007/s13593-013-0143-z</w:t>
      </w:r>
    </w:p>
    <w:p w14:paraId="1CC0FAD1"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Orton, G., &amp; Lee, C.-L. (2025). Culturally informed knowledge transfer toward climate-smart agriculture adoption: Insights from smallholder farmers in Ethiopia and Zimbabwe. </w:t>
      </w:r>
      <w:r w:rsidRPr="004A1E3E">
        <w:rPr>
          <w:i/>
          <w:iCs/>
          <w:noProof/>
        </w:rPr>
        <w:t>Journal of International Agricultural and Extension Education</w:t>
      </w:r>
      <w:r w:rsidRPr="004A1E3E">
        <w:rPr>
          <w:noProof/>
        </w:rPr>
        <w:t>. https://doi.org/10.4148/2831-5960.1485</w:t>
      </w:r>
    </w:p>
    <w:p w14:paraId="3262E6FD"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Pandao, M. R., Thakare, A. A., Choudhari, R. J., Navghare, N. R., Sirsat, D. D., &amp; Rathod, S. R. (2024). Soil health and nutrient management. </w:t>
      </w:r>
      <w:r w:rsidRPr="004A1E3E">
        <w:rPr>
          <w:i/>
          <w:iCs/>
          <w:noProof/>
        </w:rPr>
        <w:t>International Journal of Plant &amp; Soil Science</w:t>
      </w:r>
      <w:r w:rsidRPr="004A1E3E">
        <w:rPr>
          <w:noProof/>
        </w:rPr>
        <w:t>. https://doi.org/10.9734/ijpss/2024/v36i54583</w:t>
      </w:r>
    </w:p>
    <w:p w14:paraId="17444131"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Pesaresi, P., &amp; Loit, E. (2024). Editorial: Options for transition of land towards intensive and sustainable agricultural systems, volume II. In </w:t>
      </w:r>
      <w:r w:rsidRPr="004A1E3E">
        <w:rPr>
          <w:i/>
          <w:iCs/>
          <w:noProof/>
        </w:rPr>
        <w:t>Frontiers in Plant Science</w:t>
      </w:r>
      <w:r w:rsidRPr="004A1E3E">
        <w:rPr>
          <w:noProof/>
        </w:rPr>
        <w:t>. https://doi.org/10.3389/fpls.2024.1437911</w:t>
      </w:r>
    </w:p>
    <w:p w14:paraId="3085C101"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Pr, A., Afiya, R., Senthilkumar, S., &amp; Manivannan, S. (2024). Permaculture: A sustainable farming approach for modern era. </w:t>
      </w:r>
      <w:r w:rsidRPr="004A1E3E">
        <w:rPr>
          <w:i/>
          <w:iCs/>
          <w:noProof/>
        </w:rPr>
        <w:t>Haya: The Saudi Journal of Life Sciences</w:t>
      </w:r>
      <w:r w:rsidRPr="004A1E3E">
        <w:rPr>
          <w:noProof/>
        </w:rPr>
        <w:t>. https://doi.org/10.36348/sjls.2024.v09i07.009</w:t>
      </w:r>
    </w:p>
    <w:p w14:paraId="164A12CA"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Prajapati, C. S., Priya, N. K., Bishnoi, S., Vishwakarma, S. K., Buvaneswari, K., Shastri, S., Tripathi, S., &amp; Jadhav, A. (2025). The role of participatory approaches in modern agricultural extension: Bridging knowledge gaps for sustainable farming practices. </w:t>
      </w:r>
      <w:r w:rsidRPr="004A1E3E">
        <w:rPr>
          <w:i/>
          <w:iCs/>
          <w:noProof/>
        </w:rPr>
        <w:t>Journal of Experimental Agriculture International</w:t>
      </w:r>
      <w:r w:rsidRPr="004A1E3E">
        <w:rPr>
          <w:noProof/>
        </w:rPr>
        <w:t>. https://doi.org/10.9734/jeai/2025/v47i23281</w:t>
      </w:r>
    </w:p>
    <w:p w14:paraId="32BF978A"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Rangra, N. (2023). Sustainablility and its benefits through permaculture and agriculture management. </w:t>
      </w:r>
      <w:r w:rsidRPr="004A1E3E">
        <w:rPr>
          <w:i/>
          <w:iCs/>
          <w:noProof/>
        </w:rPr>
        <w:t>Vìsnik Marìupolʹsʹkogo Deržavnogo Unìversitetu Serìâ Ekonomìka</w:t>
      </w:r>
      <w:r w:rsidRPr="004A1E3E">
        <w:rPr>
          <w:noProof/>
        </w:rPr>
        <w:t>. https://doi.org/10.34079/2226-2822-2023-13-26-38-44</w:t>
      </w:r>
    </w:p>
    <w:p w14:paraId="7B255FE6" w14:textId="77777777" w:rsidR="004A1E3E" w:rsidRPr="004A1E3E" w:rsidRDefault="004A1E3E" w:rsidP="00E03BC9">
      <w:pPr>
        <w:widowControl w:val="0"/>
        <w:autoSpaceDE w:val="0"/>
        <w:autoSpaceDN w:val="0"/>
        <w:adjustRightInd w:val="0"/>
        <w:ind w:left="480" w:hanging="480"/>
        <w:jc w:val="both"/>
        <w:rPr>
          <w:noProof/>
        </w:rPr>
      </w:pPr>
      <w:r w:rsidRPr="004A1E3E">
        <w:rPr>
          <w:noProof/>
        </w:rPr>
        <w:lastRenderedPageBreak/>
        <w:t xml:space="preserve">Rivera, I., Díaz de León, D., &amp; Pérez-Salazar, M. del R. (2024). Drivers of the food system based on food sovereignty domains: An integrative systematic literature review. In </w:t>
      </w:r>
      <w:r w:rsidRPr="004A1E3E">
        <w:rPr>
          <w:i/>
          <w:iCs/>
          <w:noProof/>
        </w:rPr>
        <w:t>Frontiers in Sustainable Food Systems</w:t>
      </w:r>
      <w:r w:rsidRPr="004A1E3E">
        <w:rPr>
          <w:noProof/>
        </w:rPr>
        <w:t>. https://doi.org/10.3389/fsufs.2024.1450321</w:t>
      </w:r>
    </w:p>
    <w:p w14:paraId="63DCE16E"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Russo, A., &amp; Cirella, G. T. (2019). Edible urbanism 5.0. In </w:t>
      </w:r>
      <w:r w:rsidRPr="004A1E3E">
        <w:rPr>
          <w:i/>
          <w:iCs/>
          <w:noProof/>
        </w:rPr>
        <w:t>Palgrave Communications</w:t>
      </w:r>
      <w:r w:rsidRPr="004A1E3E">
        <w:rPr>
          <w:noProof/>
        </w:rPr>
        <w:t>. https://doi.org/10.1057/s41599-019-0377-8</w:t>
      </w:r>
    </w:p>
    <w:p w14:paraId="2BC121F0"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Sekhar, M., Rastogi, M., Rajesh C M, Saikanth, D. R. K., Rout, S., Kumar, S., &amp; Patel, A. K. (2024). Exploring traditional agricultural techniques integrated with modern farming for a sustainable future : A review. </w:t>
      </w:r>
      <w:r w:rsidRPr="004A1E3E">
        <w:rPr>
          <w:i/>
          <w:iCs/>
          <w:noProof/>
        </w:rPr>
        <w:t>Journal of Scientific Research and Reports</w:t>
      </w:r>
      <w:r w:rsidRPr="004A1E3E">
        <w:rPr>
          <w:noProof/>
        </w:rPr>
        <w:t>. https://doi.org/10.9734/jsrr/2024/v30i31871</w:t>
      </w:r>
    </w:p>
    <w:p w14:paraId="2B3FBA06"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Sgroi, F. (2022). The circular economy for resilience of the agricultural landscape and promotion of the sustainable agriculture and food systems. </w:t>
      </w:r>
      <w:r w:rsidRPr="004A1E3E">
        <w:rPr>
          <w:i/>
          <w:iCs/>
          <w:noProof/>
        </w:rPr>
        <w:t>Journal of Agriculture and Food Research</w:t>
      </w:r>
      <w:r w:rsidRPr="004A1E3E">
        <w:rPr>
          <w:noProof/>
        </w:rPr>
        <w:t>. https://doi.org/10.1016/j.jafr.2022.100307</w:t>
      </w:r>
    </w:p>
    <w:p w14:paraId="46D036BF"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Simmons, I. G. (1980). Permaculture One: A Perennial Agriculture for Human Settlement, by B. Mollison &amp; David Holmgren. Corgi Books, London, UK &amp; Melbourne, Australia: vii + 128 pp., 28 × 21.7 × 0.9 cm, paperbound, $Aust. 4.95, $NZ.5.50, 1978. </w:t>
      </w:r>
      <w:r w:rsidRPr="004A1E3E">
        <w:rPr>
          <w:i/>
          <w:iCs/>
          <w:noProof/>
        </w:rPr>
        <w:t>Environmental Conservation</w:t>
      </w:r>
      <w:r w:rsidRPr="004A1E3E">
        <w:rPr>
          <w:noProof/>
        </w:rPr>
        <w:t>. https://doi.org/10.1017/s0376892900007384</w:t>
      </w:r>
    </w:p>
    <w:p w14:paraId="3CD10A90"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Siow, M. L., Ramachandran, S., &amp; Maizan, K. A. (2022). Trash to cash through permaculture for sustainable island tourism: the case of Semporna, Sabah, Malaysia. </w:t>
      </w:r>
      <w:r w:rsidRPr="004A1E3E">
        <w:rPr>
          <w:i/>
          <w:iCs/>
          <w:noProof/>
        </w:rPr>
        <w:t>International Journal of Environment and Waste Management</w:t>
      </w:r>
      <w:r w:rsidRPr="004A1E3E">
        <w:rPr>
          <w:noProof/>
        </w:rPr>
        <w:t>. https://doi.org/10.1504/IJEWM.2022.10032752</w:t>
      </w:r>
    </w:p>
    <w:p w14:paraId="3A8F1399"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Siti-Dina, R. P., Er, A. C., &amp; Cheah, W. Y. (2023). Social issues and challenges among oil palm smallholder farmers in Malaysia: Systematic literature review. In </w:t>
      </w:r>
      <w:r w:rsidRPr="004A1E3E">
        <w:rPr>
          <w:i/>
          <w:iCs/>
          <w:noProof/>
        </w:rPr>
        <w:t>Sustainability (Switzerland)</w:t>
      </w:r>
      <w:r w:rsidRPr="004A1E3E">
        <w:rPr>
          <w:noProof/>
        </w:rPr>
        <w:t>. https://doi.org/10.3390/su15043123</w:t>
      </w:r>
    </w:p>
    <w:p w14:paraId="1DEFB3E5"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Suh, J. (2014). Towards sustainable agricultural stewardship: Evolution and future directions of the permaculture concept. </w:t>
      </w:r>
      <w:r w:rsidRPr="004A1E3E">
        <w:rPr>
          <w:i/>
          <w:iCs/>
          <w:noProof/>
        </w:rPr>
        <w:t>Environmental Values</w:t>
      </w:r>
      <w:r w:rsidRPr="004A1E3E">
        <w:rPr>
          <w:noProof/>
        </w:rPr>
        <w:t>. https://doi.org/10.3197/096327114X13851122269089</w:t>
      </w:r>
    </w:p>
    <w:p w14:paraId="0FD50D78"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Sukmarani, E., &amp; Tsai, J.-F. (2021). Implementation of Permaculture Design to Achieve Food Self-Sufficiency in Mood Forest Farm, Hualien County, Eastern Taiwan. </w:t>
      </w:r>
      <w:r w:rsidRPr="004A1E3E">
        <w:rPr>
          <w:i/>
          <w:iCs/>
          <w:noProof/>
        </w:rPr>
        <w:t>Indonesian Scholars Scientific Summit Taiwan Proceeding</w:t>
      </w:r>
      <w:r w:rsidRPr="004A1E3E">
        <w:rPr>
          <w:noProof/>
        </w:rPr>
        <w:t>. https://doi.org/10.52162/3.2021117</w:t>
      </w:r>
    </w:p>
    <w:p w14:paraId="7B726DB0"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Xing, Y., Xie, Y., &amp; Wang, X. (2025). Enhancing soil health through balanced fertilization: a pathway to sustainable agriculture and food security. In </w:t>
      </w:r>
      <w:r w:rsidRPr="004A1E3E">
        <w:rPr>
          <w:i/>
          <w:iCs/>
          <w:noProof/>
        </w:rPr>
        <w:t>Frontiers in Microbiology</w:t>
      </w:r>
      <w:r w:rsidRPr="004A1E3E">
        <w:rPr>
          <w:noProof/>
        </w:rPr>
        <w:t>. https://doi.org/10.3389/fmicb.2025.1536524</w:t>
      </w:r>
    </w:p>
    <w:p w14:paraId="6FE6E282"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Yadav, S. P. S., Lahutiya, V., Ghimire, N. P., Yadav, B., &amp; Paudel, P. (2023). Exploring innovation for sustainable agriculture: A systematic case study of permaculture in Nepal. </w:t>
      </w:r>
      <w:r w:rsidRPr="004A1E3E">
        <w:rPr>
          <w:i/>
          <w:iCs/>
          <w:noProof/>
        </w:rPr>
        <w:t>Heliyon</w:t>
      </w:r>
      <w:r w:rsidRPr="004A1E3E">
        <w:rPr>
          <w:noProof/>
        </w:rPr>
        <w:t>. https://doi.org/10.1016/j.heliyon.2023.e15899</w:t>
      </w:r>
    </w:p>
    <w:p w14:paraId="078C92E3"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Zhang, D., Hussain, A., Manghwar, H., Xie, K., Xie, S., Zhao, S., Larkin, R. M., Qing, P., Jin, S., &amp; Ding, F. (2020). Genome editing with the CRISPR-Cas system: an art, ethics and global regulatory perspective. In </w:t>
      </w:r>
      <w:r w:rsidRPr="004A1E3E">
        <w:rPr>
          <w:i/>
          <w:iCs/>
          <w:noProof/>
        </w:rPr>
        <w:t>Plant Biotechnology Journal</w:t>
      </w:r>
      <w:r w:rsidRPr="004A1E3E">
        <w:rPr>
          <w:noProof/>
        </w:rPr>
        <w:t>. https://doi.org/10.1111/pbi.13383</w:t>
      </w:r>
    </w:p>
    <w:p w14:paraId="36EBB31B" w14:textId="77777777" w:rsidR="004A1E3E" w:rsidRPr="004A1E3E" w:rsidRDefault="004A1E3E" w:rsidP="00E03BC9">
      <w:pPr>
        <w:widowControl w:val="0"/>
        <w:autoSpaceDE w:val="0"/>
        <w:autoSpaceDN w:val="0"/>
        <w:adjustRightInd w:val="0"/>
        <w:ind w:left="480" w:hanging="480"/>
        <w:jc w:val="both"/>
        <w:rPr>
          <w:noProof/>
        </w:rPr>
      </w:pPr>
      <w:r w:rsidRPr="004A1E3E">
        <w:rPr>
          <w:noProof/>
        </w:rPr>
        <w:t xml:space="preserve">Zhang, Q. F. (2024). From sustainable agriculture to sustainable agrifood systems: A comparative review of alternative models. In </w:t>
      </w:r>
      <w:r w:rsidRPr="004A1E3E">
        <w:rPr>
          <w:i/>
          <w:iCs/>
          <w:noProof/>
        </w:rPr>
        <w:t>Sustainability (Switzerland)</w:t>
      </w:r>
      <w:r w:rsidRPr="004A1E3E">
        <w:rPr>
          <w:noProof/>
        </w:rPr>
        <w:t>. https://doi.org/10.3390/su16229675</w:t>
      </w:r>
    </w:p>
    <w:p w14:paraId="587AB80C" w14:textId="2B467AB8" w:rsidR="009934BE" w:rsidRPr="00DC5419" w:rsidRDefault="00026D00" w:rsidP="00E03BC9">
      <w:pPr>
        <w:jc w:val="both"/>
      </w:pPr>
      <w:r>
        <w:fldChar w:fldCharType="end"/>
      </w:r>
    </w:p>
    <w:sectPr w:rsidR="009934BE" w:rsidRPr="00DC5419" w:rsidSect="00063950">
      <w:headerReference w:type="default" r:id="rId13"/>
      <w:footerReference w:type="first" r:id="rId14"/>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84D58" w14:textId="77777777" w:rsidR="009A213F" w:rsidRDefault="009A213F">
      <w:r>
        <w:separator/>
      </w:r>
    </w:p>
  </w:endnote>
  <w:endnote w:type="continuationSeparator" w:id="0">
    <w:p w14:paraId="3F8AE7F3" w14:textId="77777777" w:rsidR="009A213F" w:rsidRDefault="009A2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9906" w14:textId="77777777" w:rsidR="00137FCE" w:rsidRDefault="00137FCE">
    <w:pPr>
      <w:pBdr>
        <w:top w:val="nil"/>
        <w:left w:val="nil"/>
        <w:bottom w:val="nil"/>
        <w:right w:val="nil"/>
        <w:between w:val="nil"/>
      </w:pBdr>
      <w:tabs>
        <w:tab w:val="center" w:pos="4513"/>
        <w:tab w:val="right" w:pos="9026"/>
      </w:tabs>
      <w:rPr>
        <w:color w:val="000000"/>
        <w:sz w:val="16"/>
        <w:szCs w:val="16"/>
      </w:rPr>
    </w:pPr>
  </w:p>
  <w:p w14:paraId="0697522D" w14:textId="77777777" w:rsidR="00137FCE" w:rsidRPr="00144EBC" w:rsidRDefault="00000000">
    <w:pPr>
      <w:pBdr>
        <w:top w:val="nil"/>
        <w:left w:val="nil"/>
        <w:bottom w:val="nil"/>
        <w:right w:val="nil"/>
        <w:between w:val="nil"/>
      </w:pBdr>
      <w:tabs>
        <w:tab w:val="center" w:pos="4513"/>
        <w:tab w:val="right" w:pos="9026"/>
      </w:tabs>
      <w:rPr>
        <w:color w:val="000000"/>
        <w:sz w:val="16"/>
        <w:szCs w:val="16"/>
        <w:lang w:val="it-IT"/>
      </w:rPr>
    </w:pPr>
    <w:r w:rsidRPr="00144EBC">
      <w:rPr>
        <w:color w:val="000000"/>
        <w:sz w:val="16"/>
        <w:szCs w:val="16"/>
        <w:lang w:val="it-IT"/>
      </w:rPr>
      <w:t>E-ISSN 2231-7716</w:t>
    </w:r>
  </w:p>
  <w:p w14:paraId="76383766" w14:textId="77777777" w:rsidR="00137FCE" w:rsidRPr="00144EBC" w:rsidRDefault="00000000">
    <w:pPr>
      <w:pBdr>
        <w:top w:val="nil"/>
        <w:left w:val="nil"/>
        <w:bottom w:val="nil"/>
        <w:right w:val="nil"/>
        <w:between w:val="nil"/>
      </w:pBdr>
      <w:tabs>
        <w:tab w:val="center" w:pos="4513"/>
        <w:tab w:val="right" w:pos="9026"/>
      </w:tabs>
      <w:rPr>
        <w:color w:val="000000"/>
        <w:sz w:val="16"/>
        <w:szCs w:val="16"/>
        <w:lang w:val="it-IT"/>
      </w:rPr>
    </w:pPr>
    <w:r w:rsidRPr="00144EBC">
      <w:rPr>
        <w:color w:val="000000"/>
        <w:sz w:val="16"/>
        <w:szCs w:val="16"/>
        <w:lang w:val="it-IT"/>
      </w:rPr>
      <w:t>DOI: http://10.24191/ji.v2</w:t>
    </w:r>
    <w:r w:rsidRPr="00144EBC">
      <w:rPr>
        <w:sz w:val="16"/>
        <w:szCs w:val="16"/>
        <w:lang w:val="it-IT"/>
      </w:rPr>
      <w:t>1</w:t>
    </w:r>
    <w:r w:rsidRPr="00144EBC">
      <w:rPr>
        <w:color w:val="000000"/>
        <w:sz w:val="16"/>
        <w:szCs w:val="16"/>
        <w:lang w:val="it-IT"/>
      </w:rPr>
      <w:t>i</w:t>
    </w:r>
    <w:r w:rsidRPr="00144EBC">
      <w:rPr>
        <w:sz w:val="16"/>
        <w:szCs w:val="16"/>
        <w:lang w:val="it-IT"/>
      </w:rPr>
      <w:t>1</w:t>
    </w:r>
    <w:r w:rsidRPr="00144EBC">
      <w:rPr>
        <w:color w:val="000000"/>
        <w:sz w:val="16"/>
        <w:szCs w:val="16"/>
        <w:lang w:val="it-IT"/>
      </w:rPr>
      <w:t>.XXX</w:t>
    </w:r>
  </w:p>
  <w:p w14:paraId="65B246F4" w14:textId="77777777" w:rsidR="00137FCE" w:rsidRDefault="00000000">
    <w:pPr>
      <w:pBdr>
        <w:top w:val="nil"/>
        <w:left w:val="nil"/>
        <w:bottom w:val="nil"/>
        <w:right w:val="nil"/>
        <w:between w:val="nil"/>
      </w:pBdr>
      <w:tabs>
        <w:tab w:val="center" w:pos="4513"/>
        <w:tab w:val="right" w:pos="9026"/>
      </w:tabs>
      <w:rPr>
        <w:color w:val="000000"/>
        <w:sz w:val="16"/>
        <w:szCs w:val="16"/>
      </w:rPr>
    </w:pPr>
    <w:r>
      <w:rPr>
        <w:color w:val="000000"/>
        <w:sz w:val="16"/>
        <w:szCs w:val="16"/>
      </w:rPr>
      <w:t xml:space="preserve">Copyright © Universiti </w:t>
    </w:r>
    <w:proofErr w:type="spellStart"/>
    <w:r>
      <w:rPr>
        <w:color w:val="000000"/>
        <w:sz w:val="16"/>
        <w:szCs w:val="16"/>
      </w:rPr>
      <w:t>Teknologi</w:t>
    </w:r>
    <w:proofErr w:type="spellEnd"/>
    <w:r>
      <w:rPr>
        <w:color w:val="000000"/>
        <w:sz w:val="16"/>
        <w:szCs w:val="16"/>
      </w:rPr>
      <w:t xml:space="preserve"> MARA</w:t>
    </w:r>
  </w:p>
  <w:p w14:paraId="0358E512" w14:textId="77777777" w:rsidR="00137FCE" w:rsidRDefault="00137FC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597DD" w14:textId="77777777" w:rsidR="009A213F" w:rsidRDefault="009A213F">
      <w:r>
        <w:separator/>
      </w:r>
    </w:p>
  </w:footnote>
  <w:footnote w:type="continuationSeparator" w:id="0">
    <w:p w14:paraId="3BA0602D" w14:textId="77777777" w:rsidR="009A213F" w:rsidRDefault="009A2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26E20" w14:textId="77777777" w:rsidR="00137FCE" w:rsidRDefault="00137FC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5FC1"/>
    <w:multiLevelType w:val="hybridMultilevel"/>
    <w:tmpl w:val="887C656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24657A0"/>
    <w:multiLevelType w:val="hybridMultilevel"/>
    <w:tmpl w:val="C7E68134"/>
    <w:lvl w:ilvl="0" w:tplc="79EA9934">
      <w:start w:val="23"/>
      <w:numFmt w:val="bullet"/>
      <w:lvlText w:val=""/>
      <w:lvlJc w:val="left"/>
      <w:pPr>
        <w:ind w:left="720" w:hanging="360"/>
      </w:pPr>
      <w:rPr>
        <w:rFonts w:ascii="Wingdings" w:eastAsia="DengXian" w:hAnsi="Wingdings"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3BC4EA1"/>
    <w:multiLevelType w:val="multilevel"/>
    <w:tmpl w:val="91EEB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6E4518"/>
    <w:multiLevelType w:val="multilevel"/>
    <w:tmpl w:val="F9721E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C7B6988"/>
    <w:multiLevelType w:val="multilevel"/>
    <w:tmpl w:val="8624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B43A4"/>
    <w:multiLevelType w:val="multilevel"/>
    <w:tmpl w:val="5D6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C117BE"/>
    <w:multiLevelType w:val="multilevel"/>
    <w:tmpl w:val="0B7CF9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5150E6"/>
    <w:multiLevelType w:val="hybridMultilevel"/>
    <w:tmpl w:val="790E8C30"/>
    <w:lvl w:ilvl="0" w:tplc="4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3089312">
    <w:abstractNumId w:val="0"/>
  </w:num>
  <w:num w:numId="2" w16cid:durableId="2130196716">
    <w:abstractNumId w:val="3"/>
  </w:num>
  <w:num w:numId="3" w16cid:durableId="2020963716">
    <w:abstractNumId w:val="6"/>
  </w:num>
  <w:num w:numId="4" w16cid:durableId="1482650895">
    <w:abstractNumId w:val="5"/>
  </w:num>
  <w:num w:numId="5" w16cid:durableId="1590775635">
    <w:abstractNumId w:val="4"/>
  </w:num>
  <w:num w:numId="6" w16cid:durableId="1211192393">
    <w:abstractNumId w:val="2"/>
  </w:num>
  <w:num w:numId="7" w16cid:durableId="1781073654">
    <w:abstractNumId w:val="1"/>
  </w:num>
  <w:num w:numId="8" w16cid:durableId="7211734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3NzA0MzKyNDewMDFW0lEKTi0uzszPAykwrwUASZyuwSwAAAA="/>
  </w:docVars>
  <w:rsids>
    <w:rsidRoot w:val="00137FCE"/>
    <w:rsid w:val="00000996"/>
    <w:rsid w:val="000137B6"/>
    <w:rsid w:val="00022931"/>
    <w:rsid w:val="00026D00"/>
    <w:rsid w:val="000364DA"/>
    <w:rsid w:val="000443F6"/>
    <w:rsid w:val="000627C7"/>
    <w:rsid w:val="00063950"/>
    <w:rsid w:val="00083FAA"/>
    <w:rsid w:val="0008648E"/>
    <w:rsid w:val="00087F17"/>
    <w:rsid w:val="00090D78"/>
    <w:rsid w:val="000958D2"/>
    <w:rsid w:val="000A14C5"/>
    <w:rsid w:val="000A3E29"/>
    <w:rsid w:val="000A5F41"/>
    <w:rsid w:val="000A744E"/>
    <w:rsid w:val="000C3048"/>
    <w:rsid w:val="000C69C6"/>
    <w:rsid w:val="000D77CB"/>
    <w:rsid w:val="000E0DC0"/>
    <w:rsid w:val="000E4E5C"/>
    <w:rsid w:val="001110AD"/>
    <w:rsid w:val="00130ED0"/>
    <w:rsid w:val="00134800"/>
    <w:rsid w:val="00137FCE"/>
    <w:rsid w:val="00141B7D"/>
    <w:rsid w:val="00144EBC"/>
    <w:rsid w:val="001472CC"/>
    <w:rsid w:val="00150637"/>
    <w:rsid w:val="00151FDA"/>
    <w:rsid w:val="00152072"/>
    <w:rsid w:val="00160D2A"/>
    <w:rsid w:val="001632CE"/>
    <w:rsid w:val="00163DE3"/>
    <w:rsid w:val="001704BC"/>
    <w:rsid w:val="00180318"/>
    <w:rsid w:val="001870BD"/>
    <w:rsid w:val="001B7554"/>
    <w:rsid w:val="001C2548"/>
    <w:rsid w:val="001C6AE4"/>
    <w:rsid w:val="001D6F8E"/>
    <w:rsid w:val="00200EBB"/>
    <w:rsid w:val="00204321"/>
    <w:rsid w:val="0021231E"/>
    <w:rsid w:val="00242366"/>
    <w:rsid w:val="00244065"/>
    <w:rsid w:val="00244E33"/>
    <w:rsid w:val="00261A94"/>
    <w:rsid w:val="00265C23"/>
    <w:rsid w:val="00271AF7"/>
    <w:rsid w:val="002731DD"/>
    <w:rsid w:val="0027509A"/>
    <w:rsid w:val="00277371"/>
    <w:rsid w:val="00280379"/>
    <w:rsid w:val="00285317"/>
    <w:rsid w:val="00293234"/>
    <w:rsid w:val="00295DC4"/>
    <w:rsid w:val="002A4CAE"/>
    <w:rsid w:val="002B13DC"/>
    <w:rsid w:val="002C11D5"/>
    <w:rsid w:val="002F23E6"/>
    <w:rsid w:val="002F26AC"/>
    <w:rsid w:val="0032336F"/>
    <w:rsid w:val="00346BDA"/>
    <w:rsid w:val="00363AF6"/>
    <w:rsid w:val="00377D89"/>
    <w:rsid w:val="0038506C"/>
    <w:rsid w:val="0039166F"/>
    <w:rsid w:val="003B1CBA"/>
    <w:rsid w:val="003B3221"/>
    <w:rsid w:val="003C0136"/>
    <w:rsid w:val="003D2E8F"/>
    <w:rsid w:val="003F2915"/>
    <w:rsid w:val="003F722F"/>
    <w:rsid w:val="00400B7F"/>
    <w:rsid w:val="00410AE9"/>
    <w:rsid w:val="00444E70"/>
    <w:rsid w:val="00453118"/>
    <w:rsid w:val="00454C9C"/>
    <w:rsid w:val="00456981"/>
    <w:rsid w:val="00457BE1"/>
    <w:rsid w:val="004606C4"/>
    <w:rsid w:val="004744BE"/>
    <w:rsid w:val="00476EA1"/>
    <w:rsid w:val="004775FF"/>
    <w:rsid w:val="0047786C"/>
    <w:rsid w:val="00482DE2"/>
    <w:rsid w:val="0049115B"/>
    <w:rsid w:val="004A1E3E"/>
    <w:rsid w:val="004A2767"/>
    <w:rsid w:val="004B5651"/>
    <w:rsid w:val="004B79F5"/>
    <w:rsid w:val="004C296E"/>
    <w:rsid w:val="004C34F7"/>
    <w:rsid w:val="004D64BF"/>
    <w:rsid w:val="004E3EE9"/>
    <w:rsid w:val="004F2C7F"/>
    <w:rsid w:val="00504DD8"/>
    <w:rsid w:val="00515DAA"/>
    <w:rsid w:val="00522C31"/>
    <w:rsid w:val="00533525"/>
    <w:rsid w:val="00535210"/>
    <w:rsid w:val="00536AB8"/>
    <w:rsid w:val="00547F04"/>
    <w:rsid w:val="00566D4A"/>
    <w:rsid w:val="005761A1"/>
    <w:rsid w:val="005831D7"/>
    <w:rsid w:val="00584B11"/>
    <w:rsid w:val="005A2DC6"/>
    <w:rsid w:val="005A62C6"/>
    <w:rsid w:val="005A6EC6"/>
    <w:rsid w:val="005B02C6"/>
    <w:rsid w:val="005E136B"/>
    <w:rsid w:val="00606F30"/>
    <w:rsid w:val="00610644"/>
    <w:rsid w:val="00612510"/>
    <w:rsid w:val="00616610"/>
    <w:rsid w:val="0062053A"/>
    <w:rsid w:val="00633384"/>
    <w:rsid w:val="00641A17"/>
    <w:rsid w:val="006455AB"/>
    <w:rsid w:val="00646D59"/>
    <w:rsid w:val="00647E33"/>
    <w:rsid w:val="0066347A"/>
    <w:rsid w:val="00674780"/>
    <w:rsid w:val="00692ABF"/>
    <w:rsid w:val="006A1D49"/>
    <w:rsid w:val="006A49A2"/>
    <w:rsid w:val="006A66AD"/>
    <w:rsid w:val="006D44A2"/>
    <w:rsid w:val="006E1FAA"/>
    <w:rsid w:val="006E6FC9"/>
    <w:rsid w:val="006E7326"/>
    <w:rsid w:val="006F115F"/>
    <w:rsid w:val="0071139F"/>
    <w:rsid w:val="00716231"/>
    <w:rsid w:val="00731317"/>
    <w:rsid w:val="00746D57"/>
    <w:rsid w:val="00772AA2"/>
    <w:rsid w:val="00780D14"/>
    <w:rsid w:val="0078464C"/>
    <w:rsid w:val="0078508A"/>
    <w:rsid w:val="00785D96"/>
    <w:rsid w:val="007A7216"/>
    <w:rsid w:val="007D2369"/>
    <w:rsid w:val="00805DC3"/>
    <w:rsid w:val="008063BC"/>
    <w:rsid w:val="008212D3"/>
    <w:rsid w:val="00830102"/>
    <w:rsid w:val="00835960"/>
    <w:rsid w:val="00837758"/>
    <w:rsid w:val="008453F8"/>
    <w:rsid w:val="00852D76"/>
    <w:rsid w:val="00855C12"/>
    <w:rsid w:val="00856CA8"/>
    <w:rsid w:val="008633A0"/>
    <w:rsid w:val="0086351D"/>
    <w:rsid w:val="00871912"/>
    <w:rsid w:val="00874812"/>
    <w:rsid w:val="008771CB"/>
    <w:rsid w:val="008A4130"/>
    <w:rsid w:val="008C7D2B"/>
    <w:rsid w:val="008D1D55"/>
    <w:rsid w:val="008E4926"/>
    <w:rsid w:val="008E592F"/>
    <w:rsid w:val="00904CAB"/>
    <w:rsid w:val="00906C8D"/>
    <w:rsid w:val="0091278B"/>
    <w:rsid w:val="00915017"/>
    <w:rsid w:val="009172B7"/>
    <w:rsid w:val="00920880"/>
    <w:rsid w:val="00921DBC"/>
    <w:rsid w:val="009223E6"/>
    <w:rsid w:val="00930C4E"/>
    <w:rsid w:val="0094695B"/>
    <w:rsid w:val="00952D81"/>
    <w:rsid w:val="009563CD"/>
    <w:rsid w:val="00956B94"/>
    <w:rsid w:val="00956E87"/>
    <w:rsid w:val="00956F6E"/>
    <w:rsid w:val="009934BE"/>
    <w:rsid w:val="009A213F"/>
    <w:rsid w:val="009A6254"/>
    <w:rsid w:val="009B5ED3"/>
    <w:rsid w:val="009E71DE"/>
    <w:rsid w:val="009F3A5D"/>
    <w:rsid w:val="00A0568B"/>
    <w:rsid w:val="00A074BC"/>
    <w:rsid w:val="00A17991"/>
    <w:rsid w:val="00A44629"/>
    <w:rsid w:val="00A53AC0"/>
    <w:rsid w:val="00A60361"/>
    <w:rsid w:val="00A650A8"/>
    <w:rsid w:val="00A67A42"/>
    <w:rsid w:val="00A752B8"/>
    <w:rsid w:val="00A772B9"/>
    <w:rsid w:val="00A7770B"/>
    <w:rsid w:val="00A82E33"/>
    <w:rsid w:val="00A9446C"/>
    <w:rsid w:val="00A97938"/>
    <w:rsid w:val="00AA6917"/>
    <w:rsid w:val="00AD59F6"/>
    <w:rsid w:val="00AE6896"/>
    <w:rsid w:val="00AF5FA3"/>
    <w:rsid w:val="00B0190A"/>
    <w:rsid w:val="00B048D8"/>
    <w:rsid w:val="00B055B0"/>
    <w:rsid w:val="00B1086F"/>
    <w:rsid w:val="00B10C6F"/>
    <w:rsid w:val="00B136B5"/>
    <w:rsid w:val="00B156F4"/>
    <w:rsid w:val="00B45A75"/>
    <w:rsid w:val="00B50B56"/>
    <w:rsid w:val="00B642E5"/>
    <w:rsid w:val="00B66A37"/>
    <w:rsid w:val="00B7149B"/>
    <w:rsid w:val="00B76EE7"/>
    <w:rsid w:val="00B8181F"/>
    <w:rsid w:val="00B90D68"/>
    <w:rsid w:val="00B92674"/>
    <w:rsid w:val="00B93CF4"/>
    <w:rsid w:val="00BB6B49"/>
    <w:rsid w:val="00BC73D0"/>
    <w:rsid w:val="00BD54FB"/>
    <w:rsid w:val="00BD6A15"/>
    <w:rsid w:val="00BE7D6B"/>
    <w:rsid w:val="00BF1829"/>
    <w:rsid w:val="00C132E2"/>
    <w:rsid w:val="00C45EB6"/>
    <w:rsid w:val="00C6505D"/>
    <w:rsid w:val="00C87EE5"/>
    <w:rsid w:val="00C951F3"/>
    <w:rsid w:val="00CB0C20"/>
    <w:rsid w:val="00CB5AF2"/>
    <w:rsid w:val="00CD3B1A"/>
    <w:rsid w:val="00CE3EA7"/>
    <w:rsid w:val="00CF3217"/>
    <w:rsid w:val="00CF432A"/>
    <w:rsid w:val="00CF5466"/>
    <w:rsid w:val="00CF77DF"/>
    <w:rsid w:val="00D305D1"/>
    <w:rsid w:val="00D41C87"/>
    <w:rsid w:val="00D428F9"/>
    <w:rsid w:val="00D447E3"/>
    <w:rsid w:val="00D54C88"/>
    <w:rsid w:val="00D55F64"/>
    <w:rsid w:val="00D60BBF"/>
    <w:rsid w:val="00D60D24"/>
    <w:rsid w:val="00D664A0"/>
    <w:rsid w:val="00D67558"/>
    <w:rsid w:val="00DC1E35"/>
    <w:rsid w:val="00DC5419"/>
    <w:rsid w:val="00DC54BA"/>
    <w:rsid w:val="00DD44C7"/>
    <w:rsid w:val="00DE0213"/>
    <w:rsid w:val="00DE2CA9"/>
    <w:rsid w:val="00DE375C"/>
    <w:rsid w:val="00DF16AA"/>
    <w:rsid w:val="00DF4973"/>
    <w:rsid w:val="00DF51B3"/>
    <w:rsid w:val="00E03BC9"/>
    <w:rsid w:val="00E116AE"/>
    <w:rsid w:val="00E1267D"/>
    <w:rsid w:val="00E15644"/>
    <w:rsid w:val="00E15D9E"/>
    <w:rsid w:val="00E1699B"/>
    <w:rsid w:val="00E16B26"/>
    <w:rsid w:val="00E44E48"/>
    <w:rsid w:val="00E77C4D"/>
    <w:rsid w:val="00E8517B"/>
    <w:rsid w:val="00E91751"/>
    <w:rsid w:val="00E9214E"/>
    <w:rsid w:val="00E93EB1"/>
    <w:rsid w:val="00E97D4B"/>
    <w:rsid w:val="00EA48CD"/>
    <w:rsid w:val="00EC21D9"/>
    <w:rsid w:val="00ED44D5"/>
    <w:rsid w:val="00ED78B7"/>
    <w:rsid w:val="00EE0D02"/>
    <w:rsid w:val="00EE0F6F"/>
    <w:rsid w:val="00EE413B"/>
    <w:rsid w:val="00EF7039"/>
    <w:rsid w:val="00F43C49"/>
    <w:rsid w:val="00F474F7"/>
    <w:rsid w:val="00F530FF"/>
    <w:rsid w:val="00F544F6"/>
    <w:rsid w:val="00F57027"/>
    <w:rsid w:val="00F60237"/>
    <w:rsid w:val="00F77119"/>
    <w:rsid w:val="00F77592"/>
    <w:rsid w:val="00F85FA8"/>
    <w:rsid w:val="00F900E3"/>
    <w:rsid w:val="00F903EA"/>
    <w:rsid w:val="00FA6E21"/>
    <w:rsid w:val="00FB4C04"/>
    <w:rsid w:val="00FD043F"/>
    <w:rsid w:val="00FD0C10"/>
    <w:rsid w:val="00FD6758"/>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3634"/>
  <w15:docId w15:val="{CEEAB187-D23B-45DB-936E-778E87937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40"/>
      <w:outlineLvl w:val="0"/>
    </w:pPr>
    <w:rPr>
      <w:rFonts w:ascii="Arial" w:eastAsia="Arial" w:hAnsi="Arial" w:cs="Arial"/>
      <w:b/>
      <w:color w:val="000000"/>
      <w:sz w:val="24"/>
      <w:szCs w:val="24"/>
    </w:rPr>
  </w:style>
  <w:style w:type="paragraph" w:styleId="Heading2">
    <w:name w:val="heading 2"/>
    <w:basedOn w:val="Normal"/>
    <w:next w:val="Normal"/>
    <w:link w:val="Heading2Char"/>
    <w:uiPriority w:val="9"/>
    <w:unhideWhenUsed/>
    <w:qFormat/>
    <w:pPr>
      <w:keepNext/>
      <w:spacing w:before="240" w:after="240"/>
      <w:outlineLvl w:val="1"/>
    </w:pPr>
    <w:rPr>
      <w:rFonts w:ascii="Arial" w:eastAsia="Arial" w:hAnsi="Arial" w:cs="Arial"/>
      <w:b/>
    </w:rPr>
  </w:style>
  <w:style w:type="paragraph" w:styleId="Heading3">
    <w:name w:val="heading 3"/>
    <w:basedOn w:val="Normal"/>
    <w:next w:val="Normal"/>
    <w:link w:val="Heading3Char"/>
    <w:uiPriority w:val="9"/>
    <w:unhideWhenUsed/>
    <w:qFormat/>
    <w:pPr>
      <w:keepNext/>
      <w:keepLines/>
      <w:spacing w:before="240"/>
      <w:outlineLvl w:val="2"/>
    </w:pPr>
    <w:rPr>
      <w:rFonts w:ascii="Arial" w:eastAsia="Arial" w:hAnsi="Arial" w:cs="Arial"/>
      <w:b/>
      <w:color w:val="00000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spacing w:before="240" w:after="6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EE7659"/>
    <w:rPr>
      <w:rFonts w:ascii="Arial" w:eastAsia="Times New Roman" w:hAnsi="Arial" w:cs="Times New Roman"/>
      <w:b/>
      <w:kern w:val="28"/>
    </w:rPr>
  </w:style>
  <w:style w:type="character" w:customStyle="1" w:styleId="Heading5Char">
    <w:name w:val="Heading 5 Char"/>
    <w:basedOn w:val="DefaultParagraphFont"/>
    <w:link w:val="Heading5"/>
    <w:rsid w:val="00CE25B1"/>
    <w:rPr>
      <w:rFonts w:ascii="Garamond" w:eastAsia="Times New Roman" w:hAnsi="Garamond" w:cs="Times New Roman"/>
      <w:b/>
      <w:snapToGrid w:val="0"/>
      <w:kern w:val="22"/>
    </w:rPr>
  </w:style>
  <w:style w:type="paragraph" w:customStyle="1" w:styleId="Dates">
    <w:name w:val="Date(s)"/>
    <w:basedOn w:val="Normal"/>
    <w:qFormat/>
    <w:rsid w:val="00EA7D28"/>
    <w:pPr>
      <w:jc w:val="center"/>
    </w:pPr>
  </w:style>
  <w:style w:type="paragraph" w:styleId="ListParagraph">
    <w:name w:val="List Paragraph"/>
    <w:basedOn w:val="Normal"/>
    <w:uiPriority w:val="34"/>
    <w:qFormat/>
    <w:rsid w:val="00CE25B1"/>
    <w:pPr>
      <w:spacing w:after="200" w:line="276" w:lineRule="auto"/>
      <w:ind w:left="720"/>
      <w:contextualSpacing/>
    </w:pPr>
    <w:rPr>
      <w:rFonts w:ascii="Calibri" w:eastAsia="Calibri" w:hAnsi="Calibri"/>
      <w:lang w:val="en-GB"/>
    </w:rPr>
  </w:style>
  <w:style w:type="paragraph" w:customStyle="1" w:styleId="Abstracttitle">
    <w:name w:val="Abstract (title)"/>
    <w:basedOn w:val="Normal"/>
    <w:qFormat/>
    <w:rsid w:val="00EA7D28"/>
    <w:pPr>
      <w:keepNext/>
      <w:spacing w:before="120" w:after="120"/>
      <w:jc w:val="center"/>
      <w:outlineLvl w:val="3"/>
    </w:pPr>
    <w:rPr>
      <w:b/>
    </w:rPr>
  </w:style>
  <w:style w:type="paragraph" w:customStyle="1" w:styleId="papertitle">
    <w:name w:val="paper title"/>
    <w:rsid w:val="008C581F"/>
    <w:pPr>
      <w:jc w:val="center"/>
    </w:pPr>
    <w:rPr>
      <w:rFonts w:ascii="Arial" w:eastAsia="MS Mincho" w:hAnsi="Arial"/>
      <w:b/>
      <w:noProof/>
      <w:sz w:val="28"/>
      <w:szCs w:val="48"/>
    </w:rPr>
  </w:style>
  <w:style w:type="paragraph" w:customStyle="1" w:styleId="Abstract">
    <w:name w:val="Abstract"/>
    <w:rsid w:val="008C581F"/>
    <w:pPr>
      <w:jc w:val="both"/>
    </w:pPr>
    <w:rPr>
      <w:rFonts w:eastAsia="SimSun"/>
      <w:bCs/>
      <w:i/>
      <w:szCs w:val="18"/>
    </w:rPr>
  </w:style>
  <w:style w:type="paragraph" w:styleId="BalloonText">
    <w:name w:val="Balloon Text"/>
    <w:basedOn w:val="Normal"/>
    <w:link w:val="BalloonTextChar"/>
    <w:uiPriority w:val="99"/>
    <w:semiHidden/>
    <w:unhideWhenUsed/>
    <w:rsid w:val="00CE25B1"/>
    <w:rPr>
      <w:rFonts w:ascii="Tahoma" w:hAnsi="Tahoma" w:cs="Tahoma"/>
      <w:sz w:val="16"/>
      <w:szCs w:val="16"/>
    </w:rPr>
  </w:style>
  <w:style w:type="character" w:customStyle="1" w:styleId="BalloonTextChar">
    <w:name w:val="Balloon Text Char"/>
    <w:basedOn w:val="DefaultParagraphFont"/>
    <w:link w:val="BalloonText"/>
    <w:uiPriority w:val="99"/>
    <w:semiHidden/>
    <w:rsid w:val="00CE25B1"/>
    <w:rPr>
      <w:rFonts w:ascii="Tahoma" w:eastAsia="Times New Roman" w:hAnsi="Tahoma" w:cs="Tahoma"/>
      <w:sz w:val="16"/>
      <w:szCs w:val="16"/>
    </w:rPr>
  </w:style>
  <w:style w:type="paragraph" w:customStyle="1" w:styleId="Default">
    <w:name w:val="Default"/>
    <w:rsid w:val="00F5594E"/>
    <w:pPr>
      <w:autoSpaceDE w:val="0"/>
      <w:autoSpaceDN w:val="0"/>
      <w:adjustRightInd w:val="0"/>
    </w:pPr>
    <w:rPr>
      <w:rFonts w:eastAsia="Calibri"/>
      <w:color w:val="000000"/>
      <w:sz w:val="24"/>
      <w:szCs w:val="24"/>
      <w:lang w:val="en-GB"/>
    </w:rPr>
  </w:style>
  <w:style w:type="table" w:styleId="TableGrid">
    <w:name w:val="Table Grid"/>
    <w:basedOn w:val="TableNormal"/>
    <w:uiPriority w:val="59"/>
    <w:rsid w:val="00EB2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7659"/>
    <w:rPr>
      <w:rFonts w:ascii="Arial" w:eastAsiaTheme="majorEastAsia" w:hAnsi="Arial" w:cstheme="majorBidi"/>
      <w:b/>
      <w:bCs/>
      <w:color w:val="000000" w:themeColor="text1"/>
      <w:sz w:val="24"/>
      <w:szCs w:val="28"/>
    </w:rPr>
  </w:style>
  <w:style w:type="character" w:customStyle="1" w:styleId="Heading3Char">
    <w:name w:val="Heading 3 Char"/>
    <w:basedOn w:val="DefaultParagraphFont"/>
    <w:link w:val="Heading3"/>
    <w:uiPriority w:val="9"/>
    <w:rsid w:val="00EE7659"/>
    <w:rPr>
      <w:rFonts w:ascii="Arial" w:eastAsiaTheme="majorEastAsia" w:hAnsi="Arial" w:cstheme="majorBidi"/>
      <w:b/>
      <w:bCs/>
      <w:color w:val="000000" w:themeColor="text1"/>
    </w:rPr>
  </w:style>
  <w:style w:type="paragraph" w:customStyle="1" w:styleId="Figure">
    <w:name w:val="Figure"/>
    <w:basedOn w:val="Normal"/>
    <w:qFormat/>
    <w:rsid w:val="00EE7659"/>
    <w:pPr>
      <w:spacing w:after="120"/>
      <w:jc w:val="center"/>
    </w:pPr>
    <w:rPr>
      <w:rFonts w:ascii="Arial" w:hAnsi="Arial"/>
      <w:b/>
      <w:sz w:val="18"/>
    </w:rPr>
  </w:style>
  <w:style w:type="paragraph" w:customStyle="1" w:styleId="Table">
    <w:name w:val="Table"/>
    <w:basedOn w:val="Figure"/>
    <w:qFormat/>
    <w:rsid w:val="00EE7659"/>
    <w:pPr>
      <w:spacing w:after="0"/>
    </w:pPr>
  </w:style>
  <w:style w:type="paragraph" w:customStyle="1" w:styleId="AuthorName">
    <w:name w:val="Author Name"/>
    <w:basedOn w:val="Normal"/>
    <w:qFormat/>
    <w:rsid w:val="00EA7D28"/>
    <w:pPr>
      <w:jc w:val="center"/>
    </w:pPr>
    <w:rPr>
      <w:b/>
      <w:color w:val="000000"/>
      <w:lang w:val="en-CA"/>
    </w:rPr>
  </w:style>
  <w:style w:type="paragraph" w:customStyle="1" w:styleId="Adress">
    <w:name w:val="Adress"/>
    <w:basedOn w:val="Normal"/>
    <w:qFormat/>
    <w:rsid w:val="00EA7D28"/>
    <w:pPr>
      <w:jc w:val="center"/>
    </w:pPr>
    <w:rPr>
      <w:i/>
      <w:color w:val="000000"/>
      <w:lang w:val="en-CA"/>
    </w:rPr>
  </w:style>
  <w:style w:type="paragraph" w:customStyle="1" w:styleId="Email">
    <w:name w:val="Email"/>
    <w:basedOn w:val="Normal"/>
    <w:qFormat/>
    <w:rsid w:val="00EA7D28"/>
    <w:pPr>
      <w:jc w:val="center"/>
    </w:pPr>
    <w:rPr>
      <w:i/>
      <w:lang w:val="en-CA"/>
    </w:rPr>
  </w:style>
  <w:style w:type="paragraph" w:styleId="Header">
    <w:name w:val="header"/>
    <w:basedOn w:val="Normal"/>
    <w:link w:val="HeaderChar"/>
    <w:uiPriority w:val="99"/>
    <w:rsid w:val="00904BD9"/>
    <w:pPr>
      <w:tabs>
        <w:tab w:val="center" w:pos="4320"/>
        <w:tab w:val="right" w:pos="8640"/>
      </w:tabs>
    </w:pPr>
    <w:rPr>
      <w:sz w:val="24"/>
      <w:szCs w:val="24"/>
    </w:rPr>
  </w:style>
  <w:style w:type="character" w:customStyle="1" w:styleId="HeaderChar">
    <w:name w:val="Header Char"/>
    <w:basedOn w:val="DefaultParagraphFont"/>
    <w:link w:val="Header"/>
    <w:uiPriority w:val="99"/>
    <w:rsid w:val="00904BD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04BD9"/>
    <w:pPr>
      <w:tabs>
        <w:tab w:val="center" w:pos="4513"/>
        <w:tab w:val="right" w:pos="9026"/>
      </w:tabs>
    </w:pPr>
  </w:style>
  <w:style w:type="character" w:customStyle="1" w:styleId="FooterChar">
    <w:name w:val="Footer Char"/>
    <w:basedOn w:val="DefaultParagraphFont"/>
    <w:link w:val="Footer"/>
    <w:uiPriority w:val="99"/>
    <w:rsid w:val="00904BD9"/>
    <w:rPr>
      <w:rFonts w:ascii="Times New Roman" w:eastAsia="Times New Roman" w:hAnsi="Times New Roman" w:cs="Times New Roman"/>
    </w:rPr>
  </w:style>
  <w:style w:type="paragraph" w:styleId="BodyTextIndent">
    <w:name w:val="Body Text Indent"/>
    <w:basedOn w:val="Normal"/>
    <w:link w:val="BodyTextIndentChar"/>
    <w:rsid w:val="004974A2"/>
    <w:pPr>
      <w:tabs>
        <w:tab w:val="left" w:pos="720"/>
      </w:tabs>
      <w:spacing w:line="480" w:lineRule="auto"/>
      <w:ind w:left="720" w:hanging="720"/>
      <w:jc w:val="both"/>
    </w:pPr>
    <w:rPr>
      <w:color w:val="000000"/>
      <w:sz w:val="24"/>
      <w:szCs w:val="24"/>
    </w:rPr>
  </w:style>
  <w:style w:type="character" w:customStyle="1" w:styleId="BodyTextIndentChar">
    <w:name w:val="Body Text Indent Char"/>
    <w:basedOn w:val="DefaultParagraphFont"/>
    <w:link w:val="BodyTextIndent"/>
    <w:rsid w:val="004974A2"/>
    <w:rPr>
      <w:rFonts w:ascii="Times New Roman" w:eastAsia="Times New Roman" w:hAnsi="Times New Roman" w:cs="Times New Roman"/>
      <w:color w:val="000000"/>
      <w:sz w:val="24"/>
      <w:szCs w:val="24"/>
    </w:rPr>
  </w:style>
  <w:style w:type="paragraph" w:customStyle="1" w:styleId="reference">
    <w:name w:val="reference"/>
    <w:basedOn w:val="Normal"/>
    <w:rsid w:val="004974A2"/>
    <w:pPr>
      <w:tabs>
        <w:tab w:val="left" w:pos="340"/>
      </w:tabs>
      <w:overflowPunct w:val="0"/>
      <w:autoSpaceDE w:val="0"/>
      <w:autoSpaceDN w:val="0"/>
      <w:adjustRightInd w:val="0"/>
      <w:spacing w:line="200" w:lineRule="atLeast"/>
      <w:ind w:left="238" w:hanging="238"/>
      <w:jc w:val="both"/>
      <w:textAlignment w:val="baseline"/>
    </w:pPr>
    <w:rPr>
      <w:rFonts w:eastAsia="SimSun"/>
      <w:sz w:val="18"/>
      <w:szCs w:val="20"/>
      <w:lang w:eastAsia="de-DE"/>
    </w:rPr>
  </w:style>
  <w:style w:type="paragraph" w:customStyle="1" w:styleId="ColorfulList-Accent11">
    <w:name w:val="Colorful List - Accent 11"/>
    <w:basedOn w:val="Normal"/>
    <w:qFormat/>
    <w:rsid w:val="004974A2"/>
    <w:pPr>
      <w:ind w:left="720"/>
    </w:pPr>
    <w:rPr>
      <w:rFonts w:ascii="Arial" w:eastAsia="Batang" w:hAnsi="Arial"/>
      <w:szCs w:val="24"/>
      <w:lang w:eastAsia="ko-KR"/>
    </w:rPr>
  </w:style>
  <w:style w:type="character" w:styleId="Hyperlink">
    <w:name w:val="Hyperlink"/>
    <w:basedOn w:val="DefaultParagraphFont"/>
    <w:uiPriority w:val="99"/>
    <w:unhideWhenUsed/>
    <w:rsid w:val="00C37DEA"/>
    <w:rPr>
      <w:color w:val="0000FF" w:themeColor="hyperlink"/>
      <w:u w:val="single"/>
    </w:rPr>
  </w:style>
  <w:style w:type="character" w:customStyle="1" w:styleId="UnresolvedMention1">
    <w:name w:val="Unresolved Mention1"/>
    <w:basedOn w:val="DefaultParagraphFont"/>
    <w:uiPriority w:val="99"/>
    <w:semiHidden/>
    <w:unhideWhenUsed/>
    <w:rsid w:val="00C37DEA"/>
    <w:rPr>
      <w:color w:val="605E5C"/>
      <w:shd w:val="clear" w:color="auto" w:fill="E1DFDD"/>
    </w:rPr>
  </w:style>
  <w:style w:type="character" w:styleId="Emphasis">
    <w:name w:val="Emphasis"/>
    <w:basedOn w:val="DefaultParagraphFont"/>
    <w:uiPriority w:val="20"/>
    <w:qFormat/>
    <w:rsid w:val="0039319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odyText">
    <w:name w:val="Body Text"/>
    <w:basedOn w:val="Normal"/>
    <w:link w:val="BodyTextChar"/>
    <w:uiPriority w:val="99"/>
    <w:unhideWhenUsed/>
    <w:rsid w:val="00AE6896"/>
    <w:pPr>
      <w:spacing w:after="120"/>
    </w:pPr>
  </w:style>
  <w:style w:type="character" w:customStyle="1" w:styleId="BodyTextChar">
    <w:name w:val="Body Text Char"/>
    <w:basedOn w:val="DefaultParagraphFont"/>
    <w:link w:val="BodyText"/>
    <w:uiPriority w:val="99"/>
    <w:rsid w:val="00AE6896"/>
  </w:style>
  <w:style w:type="table" w:styleId="PlainTable2">
    <w:name w:val="Plain Table 2"/>
    <w:basedOn w:val="TableNormal"/>
    <w:uiPriority w:val="42"/>
    <w:rsid w:val="00AE6896"/>
    <w:rPr>
      <w:rFonts w:asciiTheme="minorHAnsi" w:eastAsiaTheme="minorHAnsi" w:hAnsiTheme="minorHAnsi" w:cstheme="minorBidi"/>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3B1CBA"/>
    <w:pPr>
      <w:spacing w:after="160" w:line="259" w:lineRule="auto"/>
    </w:pPr>
    <w:rPr>
      <w:rFonts w:eastAsiaTheme="minorHAnsi"/>
      <w:kern w:val="2"/>
      <w:sz w:val="24"/>
      <w:szCs w:val="24"/>
      <w:lang w:val="en-MY" w:eastAsia="en-US"/>
    </w:rPr>
  </w:style>
  <w:style w:type="table" w:customStyle="1" w:styleId="TableGrid5">
    <w:name w:val="Table Grid5"/>
    <w:basedOn w:val="TableNormal"/>
    <w:next w:val="TableGrid"/>
    <w:uiPriority w:val="39"/>
    <w:rsid w:val="00A60361"/>
    <w:rPr>
      <w:rFonts w:asciiTheme="minorHAnsi" w:eastAsiaTheme="minorEastAsia" w:hAnsiTheme="minorHAnsi" w:cstheme="minorBidi"/>
      <w:kern w:val="2"/>
      <w:lang w:val="en-MY"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C34F7"/>
  </w:style>
  <w:style w:type="character" w:styleId="CommentReference">
    <w:name w:val="annotation reference"/>
    <w:basedOn w:val="DefaultParagraphFont"/>
    <w:uiPriority w:val="99"/>
    <w:semiHidden/>
    <w:unhideWhenUsed/>
    <w:rsid w:val="00EC21D9"/>
    <w:rPr>
      <w:sz w:val="16"/>
      <w:szCs w:val="16"/>
    </w:rPr>
  </w:style>
  <w:style w:type="paragraph" w:styleId="CommentText">
    <w:name w:val="annotation text"/>
    <w:basedOn w:val="Normal"/>
    <w:link w:val="CommentTextChar"/>
    <w:uiPriority w:val="99"/>
    <w:unhideWhenUsed/>
    <w:rsid w:val="00EC21D9"/>
    <w:rPr>
      <w:sz w:val="20"/>
      <w:szCs w:val="20"/>
    </w:rPr>
  </w:style>
  <w:style w:type="character" w:customStyle="1" w:styleId="CommentTextChar">
    <w:name w:val="Comment Text Char"/>
    <w:basedOn w:val="DefaultParagraphFont"/>
    <w:link w:val="CommentText"/>
    <w:uiPriority w:val="99"/>
    <w:rsid w:val="00EC21D9"/>
    <w:rPr>
      <w:sz w:val="20"/>
      <w:szCs w:val="20"/>
    </w:rPr>
  </w:style>
  <w:style w:type="paragraph" w:styleId="CommentSubject">
    <w:name w:val="annotation subject"/>
    <w:basedOn w:val="CommentText"/>
    <w:next w:val="CommentText"/>
    <w:link w:val="CommentSubjectChar"/>
    <w:uiPriority w:val="99"/>
    <w:semiHidden/>
    <w:unhideWhenUsed/>
    <w:rsid w:val="00EC21D9"/>
    <w:rPr>
      <w:b/>
      <w:bCs/>
    </w:rPr>
  </w:style>
  <w:style w:type="character" w:customStyle="1" w:styleId="CommentSubjectChar">
    <w:name w:val="Comment Subject Char"/>
    <w:basedOn w:val="CommentTextChar"/>
    <w:link w:val="CommentSubject"/>
    <w:uiPriority w:val="99"/>
    <w:semiHidden/>
    <w:rsid w:val="00EC21D9"/>
    <w:rPr>
      <w:b/>
      <w:bCs/>
      <w:sz w:val="20"/>
      <w:szCs w:val="20"/>
    </w:rPr>
  </w:style>
  <w:style w:type="paragraph" w:styleId="Caption">
    <w:name w:val="caption"/>
    <w:basedOn w:val="Normal"/>
    <w:next w:val="Normal"/>
    <w:uiPriority w:val="35"/>
    <w:unhideWhenUsed/>
    <w:qFormat/>
    <w:rsid w:val="00363AF6"/>
    <w:pPr>
      <w:spacing w:after="200" w:line="360" w:lineRule="auto"/>
      <w:jc w:val="both"/>
    </w:pPr>
    <w:rPr>
      <w:rFonts w:eastAsiaTheme="minorHAnsi" w:cstheme="minorBidi"/>
      <w:iCs/>
      <w:sz w:val="24"/>
      <w:szCs w:val="18"/>
      <w:lang w:val="en-GB" w:eastAsia="en-US"/>
    </w:rPr>
  </w:style>
  <w:style w:type="paragraph" w:styleId="NoSpacing">
    <w:name w:val="No Spacing"/>
    <w:uiPriority w:val="1"/>
    <w:qFormat/>
    <w:rsid w:val="00363AF6"/>
    <w:pPr>
      <w:jc w:val="both"/>
    </w:pPr>
    <w:rPr>
      <w:rFonts w:eastAsiaTheme="minorHAnsi" w:cstheme="minorBid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Races</a:t>
            </a:r>
            <a:r>
              <a:rPr lang="en-US" baseline="0">
                <a:solidFill>
                  <a:sysClr val="windowText" lastClr="000000"/>
                </a:solidFill>
              </a:rPr>
              <a:t> of the Farmers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259492563429571"/>
          <c:y val="0.17171296296296298"/>
          <c:w val="0.84407174103237093"/>
          <c:h val="0.62308654126567509"/>
        </c:manualLayout>
      </c:layout>
      <c:barChart>
        <c:barDir val="col"/>
        <c:grouping val="stacked"/>
        <c:varyColors val="0"/>
        <c:ser>
          <c:idx val="0"/>
          <c:order val="0"/>
          <c:tx>
            <c:strRef>
              <c:f>Sheet1!$G$6</c:f>
              <c:strCache>
                <c:ptCount val="1"/>
                <c:pt idx="0">
                  <c:v>Number of Farmers </c:v>
                </c:pt>
              </c:strCache>
            </c:strRef>
          </c:tx>
          <c:spPr>
            <a:solidFill>
              <a:srgbClr val="92D050"/>
            </a:solidFill>
            <a:ln>
              <a:noFill/>
            </a:ln>
            <a:effectLst/>
          </c:spPr>
          <c:invertIfNegative val="0"/>
          <c:cat>
            <c:strRef>
              <c:f>Sheet1!$F$7:$F$9</c:f>
              <c:strCache>
                <c:ptCount val="3"/>
                <c:pt idx="0">
                  <c:v>Malay</c:v>
                </c:pt>
                <c:pt idx="1">
                  <c:v>Chinese</c:v>
                </c:pt>
                <c:pt idx="2">
                  <c:v>Indian</c:v>
                </c:pt>
              </c:strCache>
            </c:strRef>
          </c:cat>
          <c:val>
            <c:numRef>
              <c:f>Sheet1!$G$7:$G$9</c:f>
              <c:numCache>
                <c:formatCode>General</c:formatCode>
                <c:ptCount val="3"/>
                <c:pt idx="0">
                  <c:v>39</c:v>
                </c:pt>
                <c:pt idx="1">
                  <c:v>9</c:v>
                </c:pt>
                <c:pt idx="2">
                  <c:v>4</c:v>
                </c:pt>
              </c:numCache>
            </c:numRef>
          </c:val>
          <c:extLst>
            <c:ext xmlns:c16="http://schemas.microsoft.com/office/drawing/2014/chart" uri="{C3380CC4-5D6E-409C-BE32-E72D297353CC}">
              <c16:uniqueId val="{00000000-AF2F-42D4-B349-C9241028B60A}"/>
            </c:ext>
          </c:extLst>
        </c:ser>
        <c:dLbls>
          <c:showLegendKey val="0"/>
          <c:showVal val="0"/>
          <c:showCatName val="0"/>
          <c:showSerName val="0"/>
          <c:showPercent val="0"/>
          <c:showBubbleSize val="0"/>
        </c:dLbls>
        <c:gapWidth val="55"/>
        <c:overlap val="100"/>
        <c:axId val="599420432"/>
        <c:axId val="599419952"/>
      </c:barChart>
      <c:catAx>
        <c:axId val="599420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MY">
                    <a:solidFill>
                      <a:sysClr val="windowText" lastClr="000000"/>
                    </a:solidFill>
                  </a:rPr>
                  <a:t>Races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9419952"/>
        <c:crosses val="autoZero"/>
        <c:auto val="1"/>
        <c:lblAlgn val="ctr"/>
        <c:lblOffset val="100"/>
        <c:noMultiLvlLbl val="0"/>
      </c:catAx>
      <c:valAx>
        <c:axId val="59941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MY">
                    <a:solidFill>
                      <a:sysClr val="windowText" lastClr="000000"/>
                    </a:solidFill>
                  </a:rPr>
                  <a:t>Number of Fatmers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9420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Location of Farmers</a:t>
            </a:r>
            <a:r>
              <a:rPr lang="en-US" baseline="0">
                <a:solidFill>
                  <a:sysClr val="windowText" lastClr="000000"/>
                </a:solidFill>
              </a:rPr>
              <a:t>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Sheet1!$F$25</c:f>
              <c:strCache>
                <c:ptCount val="1"/>
                <c:pt idx="0">
                  <c:v>Number of Farmers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EF0-4055-9872-52203378E1C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EF0-4055-9872-52203378E1C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EF0-4055-9872-52203378E1C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EF0-4055-9872-52203378E1C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EF0-4055-9872-52203378E1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Sheet1!$E$26:$E$30</c:f>
              <c:strCache>
                <c:ptCount val="5"/>
                <c:pt idx="0">
                  <c:v>Bintong</c:v>
                </c:pt>
                <c:pt idx="1">
                  <c:v>Paya</c:v>
                </c:pt>
                <c:pt idx="2">
                  <c:v>Padang Siding</c:v>
                </c:pt>
                <c:pt idx="3">
                  <c:v>Mata Ayer</c:v>
                </c:pt>
                <c:pt idx="4">
                  <c:v>Beseri</c:v>
                </c:pt>
              </c:strCache>
            </c:strRef>
          </c:cat>
          <c:val>
            <c:numRef>
              <c:f>Sheet1!$F$26:$F$30</c:f>
              <c:numCache>
                <c:formatCode>General</c:formatCode>
                <c:ptCount val="5"/>
                <c:pt idx="0">
                  <c:v>11</c:v>
                </c:pt>
                <c:pt idx="1">
                  <c:v>10</c:v>
                </c:pt>
                <c:pt idx="2">
                  <c:v>20</c:v>
                </c:pt>
                <c:pt idx="3">
                  <c:v>9</c:v>
                </c:pt>
                <c:pt idx="4">
                  <c:v>2</c:v>
                </c:pt>
              </c:numCache>
            </c:numRef>
          </c:val>
          <c:extLst>
            <c:ext xmlns:c16="http://schemas.microsoft.com/office/drawing/2014/chart" uri="{C3380CC4-5D6E-409C-BE32-E72D297353CC}">
              <c16:uniqueId val="{0000000A-3EF0-4055-9872-52203378E1C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Type</a:t>
            </a:r>
            <a:r>
              <a:rPr lang="en-US" baseline="0">
                <a:solidFill>
                  <a:sysClr val="windowText" lastClr="000000"/>
                </a:solidFill>
              </a:rPr>
              <a:t> of Vegetables of Farmers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Sheet1!$F$38</c:f>
              <c:strCache>
                <c:ptCount val="1"/>
                <c:pt idx="0">
                  <c:v>Number of Farmers </c:v>
                </c:pt>
              </c:strCache>
            </c:strRef>
          </c:tx>
          <c:spPr>
            <a:solidFill>
              <a:srgbClr val="00B0F0"/>
            </a:solidFill>
            <a:ln>
              <a:solidFill>
                <a:schemeClr val="tx1"/>
              </a:solidFill>
            </a:ln>
            <a:effectLst/>
          </c:spPr>
          <c:invertIfNegative val="0"/>
          <c:cat>
            <c:strRef>
              <c:f>Sheet1!$E$39:$E$51</c:f>
              <c:strCache>
                <c:ptCount val="13"/>
                <c:pt idx="0">
                  <c:v>Chili </c:v>
                </c:pt>
                <c:pt idx="1">
                  <c:v>Okra </c:v>
                </c:pt>
                <c:pt idx="2">
                  <c:v>Spinach </c:v>
                </c:pt>
                <c:pt idx="3">
                  <c:v>Corn </c:v>
                </c:pt>
                <c:pt idx="4">
                  <c:v>Cucumber </c:v>
                </c:pt>
                <c:pt idx="5">
                  <c:v>Eggplant </c:v>
                </c:pt>
                <c:pt idx="6">
                  <c:v>Bitter Melon</c:v>
                </c:pt>
                <c:pt idx="7">
                  <c:v>Patola </c:v>
                </c:pt>
                <c:pt idx="8">
                  <c:v>Long Beans </c:v>
                </c:pt>
                <c:pt idx="9">
                  <c:v>Tapioca </c:v>
                </c:pt>
                <c:pt idx="10">
                  <c:v>Leaf Mustard </c:v>
                </c:pt>
                <c:pt idx="11">
                  <c:v>Bottle Gourd </c:v>
                </c:pt>
                <c:pt idx="12">
                  <c:v>Water Spinach </c:v>
                </c:pt>
              </c:strCache>
            </c:strRef>
          </c:cat>
          <c:val>
            <c:numRef>
              <c:f>Sheet1!$F$39:$F$51</c:f>
              <c:numCache>
                <c:formatCode>General</c:formatCode>
                <c:ptCount val="13"/>
                <c:pt idx="0">
                  <c:v>10</c:v>
                </c:pt>
                <c:pt idx="1">
                  <c:v>14</c:v>
                </c:pt>
                <c:pt idx="2">
                  <c:v>3</c:v>
                </c:pt>
                <c:pt idx="3">
                  <c:v>9</c:v>
                </c:pt>
                <c:pt idx="4">
                  <c:v>3</c:v>
                </c:pt>
                <c:pt idx="5">
                  <c:v>3</c:v>
                </c:pt>
                <c:pt idx="6">
                  <c:v>2</c:v>
                </c:pt>
                <c:pt idx="7">
                  <c:v>1</c:v>
                </c:pt>
                <c:pt idx="8">
                  <c:v>2</c:v>
                </c:pt>
                <c:pt idx="9">
                  <c:v>1</c:v>
                </c:pt>
                <c:pt idx="10">
                  <c:v>1</c:v>
                </c:pt>
                <c:pt idx="11">
                  <c:v>1</c:v>
                </c:pt>
                <c:pt idx="12">
                  <c:v>2</c:v>
                </c:pt>
              </c:numCache>
            </c:numRef>
          </c:val>
          <c:extLst>
            <c:ext xmlns:c16="http://schemas.microsoft.com/office/drawing/2014/chart" uri="{C3380CC4-5D6E-409C-BE32-E72D297353CC}">
              <c16:uniqueId val="{00000000-B21A-49A5-B696-36879322A07B}"/>
            </c:ext>
          </c:extLst>
        </c:ser>
        <c:dLbls>
          <c:showLegendKey val="0"/>
          <c:showVal val="0"/>
          <c:showCatName val="0"/>
          <c:showSerName val="0"/>
          <c:showPercent val="0"/>
          <c:showBubbleSize val="0"/>
        </c:dLbls>
        <c:gapWidth val="55"/>
        <c:overlap val="100"/>
        <c:axId val="844405088"/>
        <c:axId val="844401728"/>
      </c:barChart>
      <c:catAx>
        <c:axId val="8444050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MY" b="0">
                    <a:solidFill>
                      <a:sysClr val="windowText" lastClr="000000"/>
                    </a:solidFill>
                  </a:rPr>
                  <a:t>Type</a:t>
                </a:r>
                <a:r>
                  <a:rPr lang="en-MY" b="0" baseline="0">
                    <a:solidFill>
                      <a:sysClr val="windowText" lastClr="000000"/>
                    </a:solidFill>
                  </a:rPr>
                  <a:t> of Vegetables </a:t>
                </a:r>
                <a:endParaRPr lang="en-MY" b="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MY"/>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4401728"/>
        <c:crosses val="autoZero"/>
        <c:auto val="1"/>
        <c:lblAlgn val="ctr"/>
        <c:lblOffset val="100"/>
        <c:noMultiLvlLbl val="0"/>
      </c:catAx>
      <c:valAx>
        <c:axId val="844401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solidFill>
                      <a:sysClr val="windowText" lastClr="000000"/>
                    </a:solidFill>
                  </a:rPr>
                  <a:t>Number</a:t>
                </a:r>
                <a:r>
                  <a:rPr lang="en-MY" baseline="0">
                    <a:solidFill>
                      <a:sysClr val="windowText" lastClr="000000"/>
                    </a:solidFill>
                  </a:rPr>
                  <a:t> of Farmers </a:t>
                </a:r>
                <a:endParaRPr lang="en-MY">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MY"/>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4405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l9AczAiLzNKB65uV7lYN2bwDhw==">CgMxLjAyDmguemllb2xocXNueWx0OAByITFZYk91cVNzaUdxUlVGaHNsWnVvbHhqUzV2M0J4R0lrRA==</go:docsCustomData>
</go:gDocsCustomXmlDataStorage>
</file>

<file path=customXml/itemProps1.xml><?xml version="1.0" encoding="utf-8"?>
<ds:datastoreItem xmlns:ds="http://schemas.openxmlformats.org/officeDocument/2006/customXml" ds:itemID="{38E93182-61CB-4D3E-B35E-C42AE5D8A2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31257</Words>
  <Characters>178170</Characters>
  <Application>Microsoft Office Word</Application>
  <DocSecurity>0</DocSecurity>
  <Lines>1484</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FSKM_JSK_KK</dc:creator>
  <cp:lastModifiedBy>NUR SYUHADA BINTI MUHAMMAT PAZIL</cp:lastModifiedBy>
  <cp:revision>2</cp:revision>
  <dcterms:created xsi:type="dcterms:W3CDTF">2026-07-09T02:54:00Z</dcterms:created>
  <dcterms:modified xsi:type="dcterms:W3CDTF">2026-07-09T02:54:00Z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a0e1919a-ade7-356f-906b-a4a1a08537ef</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18th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aea8aab4-4f32-4a3a-951f-12c47713bc7e</vt:lpwstr>
  </property>
</Properties>
</file>