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A3A7" w14:textId="77777777" w:rsidR="00B0499B" w:rsidRDefault="00B0499B" w:rsidP="00B0499B">
      <w:pPr>
        <w:spacing w:after="0"/>
        <w:jc w:val="center"/>
        <w:rPr>
          <w:rFonts w:ascii="Times New Roman" w:hAnsi="Times New Roman" w:cs="Times New Roman"/>
          <w:b/>
          <w:bCs/>
          <w:sz w:val="28"/>
          <w:szCs w:val="28"/>
        </w:rPr>
      </w:pPr>
      <w:r w:rsidRPr="00B0499B">
        <w:rPr>
          <w:rFonts w:ascii="Times New Roman" w:hAnsi="Times New Roman" w:cs="Times New Roman"/>
          <w:b/>
          <w:bCs/>
          <w:sz w:val="28"/>
          <w:szCs w:val="28"/>
        </w:rPr>
        <w:t>Using Gamified Activity-Based Learning to Transform Classroom Dynamics from Pedagogy to Heutagogy</w:t>
      </w:r>
    </w:p>
    <w:p w14:paraId="32F7735E" w14:textId="77777777" w:rsidR="00B0499B" w:rsidRPr="00B0499B" w:rsidRDefault="00B0499B" w:rsidP="00B0499B">
      <w:pPr>
        <w:spacing w:after="0"/>
        <w:jc w:val="center"/>
        <w:rPr>
          <w:rFonts w:ascii="Times New Roman" w:hAnsi="Times New Roman" w:cs="Times New Roman"/>
          <w:b/>
          <w:bCs/>
          <w:sz w:val="28"/>
          <w:szCs w:val="28"/>
        </w:rPr>
      </w:pPr>
    </w:p>
    <w:p w14:paraId="5852B2F6" w14:textId="5A11B111" w:rsidR="00E4399F" w:rsidRPr="00B569FD" w:rsidRDefault="00E4399F" w:rsidP="00B569FD">
      <w:pPr>
        <w:spacing w:after="0"/>
        <w:jc w:val="center"/>
        <w:rPr>
          <w:rFonts w:ascii="Times New Roman" w:hAnsi="Times New Roman" w:cs="Times New Roman"/>
        </w:rPr>
      </w:pPr>
      <w:r w:rsidRPr="00B569FD">
        <w:rPr>
          <w:rFonts w:ascii="Times New Roman" w:hAnsi="Times New Roman" w:cs="Times New Roman"/>
        </w:rPr>
        <w:t>T.</w:t>
      </w:r>
      <w:r w:rsidR="00B0499B">
        <w:rPr>
          <w:rFonts w:ascii="Times New Roman" w:hAnsi="Times New Roman" w:cs="Times New Roman"/>
        </w:rPr>
        <w:t xml:space="preserve"> </w:t>
      </w:r>
      <w:r w:rsidRPr="00B569FD">
        <w:rPr>
          <w:rFonts w:ascii="Times New Roman" w:hAnsi="Times New Roman" w:cs="Times New Roman"/>
        </w:rPr>
        <w:t>Su</w:t>
      </w:r>
      <w:r w:rsidR="00B569FD" w:rsidRPr="00B569FD">
        <w:rPr>
          <w:rFonts w:ascii="Times New Roman" w:hAnsi="Times New Roman" w:cs="Times New Roman"/>
        </w:rPr>
        <w:t>n</w:t>
      </w:r>
      <w:r w:rsidRPr="00B569FD">
        <w:rPr>
          <w:rFonts w:ascii="Times New Roman" w:hAnsi="Times New Roman" w:cs="Times New Roman"/>
        </w:rPr>
        <w:t>eel</w:t>
      </w:r>
      <w:r w:rsidR="00B569FD" w:rsidRPr="00B569FD">
        <w:rPr>
          <w:rFonts w:ascii="Times New Roman" w:hAnsi="Times New Roman" w:cs="Times New Roman"/>
        </w:rPr>
        <w:t xml:space="preserve"> Kumar</w:t>
      </w:r>
    </w:p>
    <w:p w14:paraId="65387229" w14:textId="0BBC1EBC" w:rsidR="00B569FD" w:rsidRDefault="00B569FD" w:rsidP="00B569FD">
      <w:pPr>
        <w:spacing w:after="0"/>
        <w:jc w:val="center"/>
        <w:rPr>
          <w:rFonts w:ascii="Times New Roman" w:hAnsi="Times New Roman" w:cs="Times New Roman"/>
        </w:rPr>
      </w:pPr>
      <w:r w:rsidRPr="00B569FD">
        <w:rPr>
          <w:rFonts w:ascii="Times New Roman" w:hAnsi="Times New Roman" w:cs="Times New Roman"/>
        </w:rPr>
        <w:t>Assistant Professor, Anurag University</w:t>
      </w:r>
      <w:r>
        <w:rPr>
          <w:rFonts w:ascii="Times New Roman" w:hAnsi="Times New Roman" w:cs="Times New Roman"/>
        </w:rPr>
        <w:t>, Hyderabad</w:t>
      </w:r>
    </w:p>
    <w:p w14:paraId="7175921A" w14:textId="2F62820B" w:rsidR="00077916" w:rsidRPr="00B569FD" w:rsidRDefault="005E20B5" w:rsidP="00B569FD">
      <w:pPr>
        <w:spacing w:after="0"/>
        <w:jc w:val="center"/>
        <w:rPr>
          <w:rFonts w:ascii="Times New Roman" w:hAnsi="Times New Roman" w:cs="Times New Roman"/>
        </w:rPr>
      </w:pPr>
      <w:r>
        <w:rPr>
          <w:rFonts w:ascii="Times New Roman" w:hAnsi="Times New Roman" w:cs="Times New Roman"/>
        </w:rPr>
        <w:t>s</w:t>
      </w:r>
      <w:r w:rsidR="00467E48">
        <w:rPr>
          <w:rFonts w:ascii="Times New Roman" w:hAnsi="Times New Roman" w:cs="Times New Roman"/>
        </w:rPr>
        <w:t>uneel.</w:t>
      </w:r>
      <w:r>
        <w:rPr>
          <w:rFonts w:ascii="Times New Roman" w:hAnsi="Times New Roman" w:cs="Times New Roman"/>
        </w:rPr>
        <w:t>danny@gmail.com</w:t>
      </w:r>
    </w:p>
    <w:p w14:paraId="1595E313" w14:textId="77777777" w:rsidR="00B569FD" w:rsidRPr="00DF205E" w:rsidRDefault="00B569FD" w:rsidP="00B569FD">
      <w:pPr>
        <w:rPr>
          <w:rFonts w:ascii="Times New Roman" w:hAnsi="Times New Roman" w:cs="Times New Roman"/>
          <w:b/>
          <w:bCs/>
          <w:sz w:val="28"/>
          <w:szCs w:val="28"/>
        </w:rPr>
      </w:pPr>
    </w:p>
    <w:p w14:paraId="2259D5D9" w14:textId="77777777" w:rsidR="00FB4EB4" w:rsidRPr="00FB4EB4" w:rsidRDefault="00DF205E" w:rsidP="00FB4EB4">
      <w:pPr>
        <w:jc w:val="both"/>
        <w:rPr>
          <w:rFonts w:ascii="Times New Roman" w:hAnsi="Times New Roman" w:cs="Times New Roman"/>
        </w:rPr>
      </w:pPr>
      <w:r w:rsidRPr="00DF205E">
        <w:rPr>
          <w:rFonts w:ascii="Times New Roman" w:hAnsi="Times New Roman" w:cs="Times New Roman"/>
          <w:b/>
          <w:bCs/>
        </w:rPr>
        <w:t>Abstract</w:t>
      </w:r>
      <w:r w:rsidRPr="00DF205E">
        <w:rPr>
          <w:rFonts w:ascii="Times New Roman" w:hAnsi="Times New Roman" w:cs="Times New Roman"/>
        </w:rPr>
        <w:br/>
      </w:r>
      <w:r w:rsidR="00FB4EB4" w:rsidRPr="00FB4EB4">
        <w:rPr>
          <w:rFonts w:ascii="Times New Roman" w:hAnsi="Times New Roman" w:cs="Times New Roman"/>
        </w:rPr>
        <w:t xml:space="preserve">This research study, which is both conceptual and design-oriented, contends that the incorporation of gamified activity-based learning (GABL) rooted in </w:t>
      </w:r>
      <w:proofErr w:type="spellStart"/>
      <w:r w:rsidR="00FB4EB4" w:rsidRPr="00FB4EB4">
        <w:rPr>
          <w:rFonts w:ascii="Times New Roman" w:hAnsi="Times New Roman" w:cs="Times New Roman"/>
        </w:rPr>
        <w:t>heutagogical</w:t>
      </w:r>
      <w:proofErr w:type="spellEnd"/>
      <w:r w:rsidR="00FB4EB4" w:rsidRPr="00FB4EB4">
        <w:rPr>
          <w:rFonts w:ascii="Times New Roman" w:hAnsi="Times New Roman" w:cs="Times New Roman"/>
        </w:rPr>
        <w:t xml:space="preserve"> principles can transform classroom dynamics from a teacher-centered transmission model to a learner-centered capability development approach. This paper, grounded in heutagogy (self-determined learning), self-determination theory, and gamification literature, (1) delineates a theoretical framework that aligns </w:t>
      </w:r>
      <w:proofErr w:type="spellStart"/>
      <w:r w:rsidR="00FB4EB4" w:rsidRPr="00FB4EB4">
        <w:rPr>
          <w:rFonts w:ascii="Times New Roman" w:hAnsi="Times New Roman" w:cs="Times New Roman"/>
        </w:rPr>
        <w:t>heutagogical</w:t>
      </w:r>
      <w:proofErr w:type="spellEnd"/>
      <w:r w:rsidR="00FB4EB4" w:rsidRPr="00FB4EB4">
        <w:rPr>
          <w:rFonts w:ascii="Times New Roman" w:hAnsi="Times New Roman" w:cs="Times New Roman"/>
        </w:rPr>
        <w:t xml:space="preserve"> constructs (autonomy, capability, double-loop learning, reflection) with gamified activity design; (2) proposes a design-based research (DBR) intervention for language and classroom environments; and (3) details data collection and analysis strategies, expected outcomes, and practical implications. The method emphasizes learner autonomy, collaborative evaluation, continuous reflection, and contextual game components to promote enduring engagement, metacognition, and transferable skills. The implications for teacher education, curriculum development, and future empirical research are examined.</w:t>
      </w:r>
    </w:p>
    <w:p w14:paraId="7BC6524B" w14:textId="6B6DA0E0" w:rsidR="00DF205E" w:rsidRPr="00DF205E" w:rsidRDefault="00DF205E" w:rsidP="00DF205E">
      <w:pPr>
        <w:jc w:val="both"/>
        <w:rPr>
          <w:rFonts w:ascii="Times New Roman" w:hAnsi="Times New Roman" w:cs="Times New Roman"/>
        </w:rPr>
      </w:pPr>
      <w:r w:rsidRPr="00DF205E">
        <w:rPr>
          <w:rFonts w:ascii="Times New Roman" w:hAnsi="Times New Roman" w:cs="Times New Roman"/>
          <w:b/>
          <w:bCs/>
        </w:rPr>
        <w:t>Keywords:</w:t>
      </w:r>
      <w:r w:rsidRPr="00DF205E">
        <w:rPr>
          <w:rFonts w:ascii="Times New Roman" w:hAnsi="Times New Roman" w:cs="Times New Roman"/>
        </w:rPr>
        <w:t xml:space="preserve"> heutagogy, gamification, activity-based learning, learner autonomy, design-based research, self-determination</w:t>
      </w:r>
    </w:p>
    <w:p w14:paraId="02500AAD"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1. Introduction</w:t>
      </w:r>
    </w:p>
    <w:p w14:paraId="2738D630" w14:textId="77777777" w:rsidR="00B17343" w:rsidRPr="00B17343" w:rsidRDefault="00B17343" w:rsidP="00B17343">
      <w:pPr>
        <w:jc w:val="both"/>
        <w:rPr>
          <w:rFonts w:ascii="Times New Roman" w:hAnsi="Times New Roman" w:cs="Times New Roman"/>
        </w:rPr>
      </w:pPr>
      <w:r w:rsidRPr="00B17343">
        <w:rPr>
          <w:rFonts w:ascii="Times New Roman" w:hAnsi="Times New Roman" w:cs="Times New Roman"/>
        </w:rPr>
        <w:t xml:space="preserve">Conventional educational models prioritize instructor guidance and fixed learning objectives; heutagogy redefines learning as a learner-centered process centered on competence and autonomy (Hase &amp; Kenyon, 2000; Blaschke, 2012). Simultaneously, gamification—the implementation of game design features in non-gaming contexts—has been extensively utilized to enhance motivation and engagement (Deterding et al., 2011; Kapp, 2012). This study integrates these elements: it posits that gamified activity-based learning (GABL), specifically designed from a </w:t>
      </w:r>
      <w:proofErr w:type="spellStart"/>
      <w:r w:rsidRPr="00B17343">
        <w:rPr>
          <w:rFonts w:ascii="Times New Roman" w:hAnsi="Times New Roman" w:cs="Times New Roman"/>
        </w:rPr>
        <w:t>heutagogical</w:t>
      </w:r>
      <w:proofErr w:type="spellEnd"/>
      <w:r w:rsidRPr="00B17343">
        <w:rPr>
          <w:rFonts w:ascii="Times New Roman" w:hAnsi="Times New Roman" w:cs="Times New Roman"/>
        </w:rPr>
        <w:t xml:space="preserve"> perspective, can revolutionize classroom dynamics by enabling learners to establish goals, make decisions, engage in profound reflection, and cultivate transferable skills. </w:t>
      </w:r>
      <w:r w:rsidRPr="00B17343">
        <w:rPr>
          <w:rFonts w:ascii="Times New Roman" w:hAnsi="Times New Roman" w:cs="Times New Roman"/>
        </w:rPr>
        <w:br/>
        <w:t xml:space="preserve">The primary study objective is to develop and examine GABL interventions that implement </w:t>
      </w:r>
      <w:proofErr w:type="spellStart"/>
      <w:r w:rsidRPr="00B17343">
        <w:rPr>
          <w:rFonts w:ascii="Times New Roman" w:hAnsi="Times New Roman" w:cs="Times New Roman"/>
        </w:rPr>
        <w:t>heutagogical</w:t>
      </w:r>
      <w:proofErr w:type="spellEnd"/>
      <w:r w:rsidRPr="00B17343">
        <w:rPr>
          <w:rFonts w:ascii="Times New Roman" w:hAnsi="Times New Roman" w:cs="Times New Roman"/>
        </w:rPr>
        <w:t xml:space="preserve"> principles, posing the question: How may gamified, activity-based learning be structured to facilitate heutagogy in classroom environments, and what transformations in classroom dynamics and learner competencies can be anticipated?</w:t>
      </w:r>
    </w:p>
    <w:p w14:paraId="4D98EE27"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2. Literature review</w:t>
      </w:r>
    </w:p>
    <w:p w14:paraId="7EF5369D"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2.1 Heutagogy: from andragogy to self-determined learning</w:t>
      </w:r>
    </w:p>
    <w:p w14:paraId="708FF68E" w14:textId="77777777" w:rsidR="009B26DD" w:rsidRPr="009B26DD" w:rsidRDefault="009B26DD" w:rsidP="009B26DD">
      <w:pPr>
        <w:jc w:val="both"/>
        <w:rPr>
          <w:rFonts w:ascii="Times New Roman" w:hAnsi="Times New Roman" w:cs="Times New Roman"/>
        </w:rPr>
      </w:pPr>
      <w:r w:rsidRPr="009B26DD">
        <w:rPr>
          <w:rFonts w:ascii="Times New Roman" w:hAnsi="Times New Roman" w:cs="Times New Roman"/>
        </w:rPr>
        <w:lastRenderedPageBreak/>
        <w:t xml:space="preserve">Heutagogy originated as an outgrowth of adult learning theory (andragogy) and focuses on self-directed learning, wherein learners take initiative, establish their own learning trajectories, and cultivate capabilities rather than merely acquiring competence (Hase &amp; Kenyon, 2000). Essential </w:t>
      </w:r>
      <w:proofErr w:type="spellStart"/>
      <w:r w:rsidRPr="009B26DD">
        <w:rPr>
          <w:rFonts w:ascii="Times New Roman" w:hAnsi="Times New Roman" w:cs="Times New Roman"/>
        </w:rPr>
        <w:t>heutagogical</w:t>
      </w:r>
      <w:proofErr w:type="spellEnd"/>
      <w:r w:rsidRPr="009B26DD">
        <w:rPr>
          <w:rFonts w:ascii="Times New Roman" w:hAnsi="Times New Roman" w:cs="Times New Roman"/>
        </w:rPr>
        <w:t xml:space="preserve"> constructs encompass learner autonomy, capacity (the ability to apply knowledge in novel circumstances), double-loop learning (reflection on underlying assumptions), and non-linear, self-directed learning trajectories (Blaschke, 2012).</w:t>
      </w:r>
    </w:p>
    <w:p w14:paraId="65FB1932"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2.2 Gamification and learning</w:t>
      </w:r>
    </w:p>
    <w:p w14:paraId="098F0A9E" w14:textId="77777777" w:rsidR="001C2947" w:rsidRPr="001C2947" w:rsidRDefault="001C2947" w:rsidP="001C2947">
      <w:pPr>
        <w:jc w:val="both"/>
        <w:rPr>
          <w:rFonts w:ascii="Times New Roman" w:hAnsi="Times New Roman" w:cs="Times New Roman"/>
        </w:rPr>
      </w:pPr>
      <w:r w:rsidRPr="001C2947">
        <w:rPr>
          <w:rFonts w:ascii="Times New Roman" w:hAnsi="Times New Roman" w:cs="Times New Roman"/>
        </w:rPr>
        <w:t>Gamification utilizes game design components—points, badges, leaderboards, challenges, narratives—to enhance motivation and deliver organized feedback (Deterding et al., 2011). When strategically integrated with pedagogy, gamification can facilitate practice, deliver fast feedback, and foster significant engagement (Kapp, 2012; Gee, 2003). Critics caution that superficial gamification (extrinsic rewards) may diminish intrinsic motivation unless it is congruent with learners' autonomy and objectives (Deci &amp; Ryan, 2000).</w:t>
      </w:r>
    </w:p>
    <w:p w14:paraId="159D3D2E"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2.3 Activity-based learning and constructivist alignment</w:t>
      </w:r>
    </w:p>
    <w:p w14:paraId="4C40BDE4"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t>Activity-based learning situates learning in authentic tasks that require active problem-solving, collaboration, and reflection (Biggs &amp; Tang, 2011). When activities are learner-</w:t>
      </w:r>
      <w:proofErr w:type="spellStart"/>
      <w:r w:rsidRPr="00DF205E">
        <w:rPr>
          <w:rFonts w:ascii="Times New Roman" w:hAnsi="Times New Roman" w:cs="Times New Roman"/>
        </w:rPr>
        <w:t>centred</w:t>
      </w:r>
      <w:proofErr w:type="spellEnd"/>
      <w:r w:rsidRPr="00DF205E">
        <w:rPr>
          <w:rFonts w:ascii="Times New Roman" w:hAnsi="Times New Roman" w:cs="Times New Roman"/>
        </w:rPr>
        <w:t>, they support constructivist processes and help learners build transferable skills.</w:t>
      </w:r>
    </w:p>
    <w:p w14:paraId="6AC1A5CC" w14:textId="685491F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 xml:space="preserve">2.4 Theoretical integration: heutagogy </w:t>
      </w:r>
      <w:r w:rsidR="002255CF">
        <w:rPr>
          <w:rFonts w:ascii="Times New Roman" w:hAnsi="Times New Roman" w:cs="Times New Roman"/>
          <w:b/>
          <w:bCs/>
        </w:rPr>
        <w:t xml:space="preserve">vs </w:t>
      </w:r>
      <w:r w:rsidRPr="00DF205E">
        <w:rPr>
          <w:rFonts w:ascii="Times New Roman" w:hAnsi="Times New Roman" w:cs="Times New Roman"/>
          <w:b/>
          <w:bCs/>
        </w:rPr>
        <w:t>gamification</w:t>
      </w:r>
    </w:p>
    <w:p w14:paraId="7D1D8BB2" w14:textId="77777777" w:rsidR="00B027E4" w:rsidRPr="00B027E4" w:rsidRDefault="00B027E4" w:rsidP="00B027E4">
      <w:pPr>
        <w:jc w:val="both"/>
        <w:rPr>
          <w:rFonts w:ascii="Times New Roman" w:hAnsi="Times New Roman" w:cs="Times New Roman"/>
        </w:rPr>
      </w:pPr>
      <w:r w:rsidRPr="00B027E4">
        <w:rPr>
          <w:rFonts w:ascii="Times New Roman" w:hAnsi="Times New Roman" w:cs="Times New Roman"/>
        </w:rPr>
        <w:t>Integrating heutagogy with gamification necessitates the alignment of game features to foster autonomy, competence, and relatedness—the fundamental requirements of self-determination theory (Deci &amp; Ryan, 2000)—while emphasizing capability and reflective practice (Blaschke, 2012). Narrative quests, choice-driven challenge frameworks, and structured reflection intervals can facilitate double-loop learning and knowledge transfer. It is essential that gamification should not diminish learning to mere extrinsic reward systems; rather, it should empower learners to collaboratively establish objectives, choose challenges, and contemplate strategies.</w:t>
      </w:r>
    </w:p>
    <w:p w14:paraId="094752A7"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3. Research design and methodology</w:t>
      </w:r>
    </w:p>
    <w:p w14:paraId="103A8E90"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3.1 Approach: Design-Based Research (DBR)</w:t>
      </w:r>
    </w:p>
    <w:p w14:paraId="1961102A" w14:textId="77777777" w:rsidR="002B6320" w:rsidRPr="002B6320" w:rsidRDefault="002B6320" w:rsidP="002B6320">
      <w:pPr>
        <w:jc w:val="both"/>
        <w:rPr>
          <w:rFonts w:ascii="Times New Roman" w:hAnsi="Times New Roman" w:cs="Times New Roman"/>
        </w:rPr>
      </w:pPr>
      <w:r w:rsidRPr="002B6320">
        <w:rPr>
          <w:rFonts w:ascii="Times New Roman" w:hAnsi="Times New Roman" w:cs="Times New Roman"/>
        </w:rPr>
        <w:t xml:space="preserve">Design-Based Research (DBR) is suitable for the iterative design and examination of educational interventions within authentic contexts (Reeves, 2006). The proposed study employs several DBR cycles in educational environments (language or general higher-education courses) to create, implement, observe, and revise GABL modules based on </w:t>
      </w:r>
      <w:proofErr w:type="spellStart"/>
      <w:r w:rsidRPr="002B6320">
        <w:rPr>
          <w:rFonts w:ascii="Times New Roman" w:hAnsi="Times New Roman" w:cs="Times New Roman"/>
        </w:rPr>
        <w:t>heutagogical</w:t>
      </w:r>
      <w:proofErr w:type="spellEnd"/>
      <w:r w:rsidRPr="002B6320">
        <w:rPr>
          <w:rFonts w:ascii="Times New Roman" w:hAnsi="Times New Roman" w:cs="Times New Roman"/>
        </w:rPr>
        <w:t xml:space="preserve"> concepts.</w:t>
      </w:r>
    </w:p>
    <w:p w14:paraId="782C1DB9"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3.2 Research questions</w:t>
      </w:r>
    </w:p>
    <w:p w14:paraId="2687C789" w14:textId="77777777" w:rsidR="00747180" w:rsidRPr="00747180" w:rsidRDefault="00747180" w:rsidP="00747180">
      <w:pPr>
        <w:rPr>
          <w:rFonts w:ascii="Times New Roman" w:hAnsi="Times New Roman" w:cs="Times New Roman"/>
        </w:rPr>
      </w:pPr>
      <w:r w:rsidRPr="00747180">
        <w:rPr>
          <w:rFonts w:ascii="Times New Roman" w:hAnsi="Times New Roman" w:cs="Times New Roman"/>
        </w:rPr>
        <w:t xml:space="preserve">1. In what manner can gamified activity-based modules be developed to implement essential </w:t>
      </w:r>
      <w:proofErr w:type="spellStart"/>
      <w:r w:rsidRPr="00747180">
        <w:rPr>
          <w:rFonts w:ascii="Times New Roman" w:hAnsi="Times New Roman" w:cs="Times New Roman"/>
        </w:rPr>
        <w:t>heutagogical</w:t>
      </w:r>
      <w:proofErr w:type="spellEnd"/>
      <w:r w:rsidRPr="00747180">
        <w:rPr>
          <w:rFonts w:ascii="Times New Roman" w:hAnsi="Times New Roman" w:cs="Times New Roman"/>
        </w:rPr>
        <w:t xml:space="preserve"> principles (autonomy, capability, double-loop learning)? </w:t>
      </w:r>
      <w:r w:rsidRPr="00747180">
        <w:rPr>
          <w:rFonts w:ascii="Times New Roman" w:hAnsi="Times New Roman" w:cs="Times New Roman"/>
        </w:rPr>
        <w:br/>
        <w:t xml:space="preserve">2. What alterations in classroom dynamics (teacher role, learner interactions, participation </w:t>
      </w:r>
      <w:r w:rsidRPr="00747180">
        <w:rPr>
          <w:rFonts w:ascii="Times New Roman" w:hAnsi="Times New Roman" w:cs="Times New Roman"/>
        </w:rPr>
        <w:lastRenderedPageBreak/>
        <w:t xml:space="preserve">patterns) transpire following the implementation of GABL? </w:t>
      </w:r>
      <w:r w:rsidRPr="00747180">
        <w:rPr>
          <w:rFonts w:ascii="Times New Roman" w:hAnsi="Times New Roman" w:cs="Times New Roman"/>
        </w:rPr>
        <w:br/>
        <w:t>3. In what manner does interaction with GABL affect learners' perceived autonomy, self-efficacy, reflective practice, and the application of learning to new tasks?</w:t>
      </w:r>
    </w:p>
    <w:p w14:paraId="32ABBF38"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3.3 Participants and context</w:t>
      </w:r>
    </w:p>
    <w:p w14:paraId="01D3A3F6"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t>Two to four undergraduate courses (20–30 students each) in a university setting over one academic semester. Mix of disciplines is possible; initial piloting in language learning classrooms is recommended because of activity-rich affordances (e.g., role-plays, simulations).</w:t>
      </w:r>
    </w:p>
    <w:p w14:paraId="2F45B4F6"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3.4 Intervention: GABL module design principles</w:t>
      </w:r>
    </w:p>
    <w:p w14:paraId="56D49496" w14:textId="77777777" w:rsidR="0007599E" w:rsidRDefault="0007599E" w:rsidP="0007599E">
      <w:pPr>
        <w:jc w:val="both"/>
        <w:rPr>
          <w:rFonts w:ascii="Times New Roman" w:hAnsi="Times New Roman" w:cs="Times New Roman"/>
        </w:rPr>
      </w:pPr>
      <w:r w:rsidRPr="0007599E">
        <w:rPr>
          <w:rFonts w:ascii="Times New Roman" w:hAnsi="Times New Roman" w:cs="Times New Roman"/>
        </w:rPr>
        <w:t xml:space="preserve">Each GABL module (about 3–4 weeks) adheres to these design principles: </w:t>
      </w:r>
    </w:p>
    <w:p w14:paraId="41D50C8E" w14:textId="09A3BD17" w:rsidR="0007599E" w:rsidRPr="001F71EE" w:rsidRDefault="0007599E" w:rsidP="001F71EE">
      <w:pPr>
        <w:pStyle w:val="ListParagraph"/>
        <w:numPr>
          <w:ilvl w:val="0"/>
          <w:numId w:val="14"/>
        </w:numPr>
        <w:jc w:val="both"/>
        <w:rPr>
          <w:rFonts w:ascii="Times New Roman" w:hAnsi="Times New Roman" w:cs="Times New Roman"/>
        </w:rPr>
      </w:pPr>
      <w:r w:rsidRPr="001F71EE">
        <w:rPr>
          <w:rFonts w:ascii="Times New Roman" w:hAnsi="Times New Roman" w:cs="Times New Roman"/>
          <w:b/>
          <w:bCs/>
        </w:rPr>
        <w:t>Learner autonomy and collaborative goal-setting:</w:t>
      </w:r>
      <w:r w:rsidRPr="001F71EE">
        <w:rPr>
          <w:rFonts w:ascii="Times New Roman" w:hAnsi="Times New Roman" w:cs="Times New Roman"/>
        </w:rPr>
        <w:t xml:space="preserve"> Learners articulate learning objectives and choose challenge pathways (quests) that correspond with course outcomes. Heutagogy: autonomy; Self-Determination Theory: autonomy/support. </w:t>
      </w:r>
    </w:p>
    <w:p w14:paraId="77D31603" w14:textId="1E84F04F" w:rsidR="0007599E" w:rsidRPr="001F71EE" w:rsidRDefault="0007599E" w:rsidP="001F71EE">
      <w:pPr>
        <w:pStyle w:val="ListParagraph"/>
        <w:numPr>
          <w:ilvl w:val="0"/>
          <w:numId w:val="14"/>
        </w:numPr>
        <w:jc w:val="both"/>
        <w:rPr>
          <w:rFonts w:ascii="Times New Roman" w:hAnsi="Times New Roman" w:cs="Times New Roman"/>
        </w:rPr>
      </w:pPr>
      <w:r w:rsidRPr="001F71EE">
        <w:rPr>
          <w:rFonts w:ascii="Times New Roman" w:hAnsi="Times New Roman" w:cs="Times New Roman"/>
          <w:b/>
          <w:bCs/>
        </w:rPr>
        <w:t>Engaging framework with significant mechanics:</w:t>
      </w:r>
      <w:r w:rsidRPr="001F71EE">
        <w:rPr>
          <w:rFonts w:ascii="Times New Roman" w:hAnsi="Times New Roman" w:cs="Times New Roman"/>
        </w:rPr>
        <w:t xml:space="preserve"> Implement narrative quests, divergent difficulties, badges as indicators of competence (rather than just scores), and cooperative missions necessitating peer bargaining. Gamification connected with competency and relatedness. </w:t>
      </w:r>
    </w:p>
    <w:p w14:paraId="45126FE4" w14:textId="698857CE" w:rsidR="0007599E" w:rsidRPr="001F71EE" w:rsidRDefault="0007599E" w:rsidP="001F71EE">
      <w:pPr>
        <w:pStyle w:val="ListParagraph"/>
        <w:numPr>
          <w:ilvl w:val="0"/>
          <w:numId w:val="14"/>
        </w:numPr>
        <w:jc w:val="both"/>
        <w:rPr>
          <w:rFonts w:ascii="Times New Roman" w:hAnsi="Times New Roman" w:cs="Times New Roman"/>
        </w:rPr>
      </w:pPr>
      <w:r w:rsidRPr="001F71EE">
        <w:rPr>
          <w:rFonts w:ascii="Times New Roman" w:hAnsi="Times New Roman" w:cs="Times New Roman"/>
          <w:b/>
          <w:bCs/>
        </w:rPr>
        <w:t>Authenticity of activities:</w:t>
      </w:r>
      <w:r w:rsidRPr="001F71EE">
        <w:rPr>
          <w:rFonts w:ascii="Times New Roman" w:hAnsi="Times New Roman" w:cs="Times New Roman"/>
        </w:rPr>
        <w:t xml:space="preserve"> Tasks replicate real-world events to facilitate transfer (e.g., community interviews, simulated negotiations). </w:t>
      </w:r>
    </w:p>
    <w:p w14:paraId="1E3F0CCC" w14:textId="41EBCD2F" w:rsidR="0007599E" w:rsidRPr="001F71EE" w:rsidRDefault="0007599E" w:rsidP="001F71EE">
      <w:pPr>
        <w:pStyle w:val="ListParagraph"/>
        <w:numPr>
          <w:ilvl w:val="0"/>
          <w:numId w:val="14"/>
        </w:numPr>
        <w:jc w:val="both"/>
        <w:rPr>
          <w:rFonts w:ascii="Times New Roman" w:hAnsi="Times New Roman" w:cs="Times New Roman"/>
        </w:rPr>
      </w:pPr>
      <w:r w:rsidRPr="001F71EE">
        <w:rPr>
          <w:rFonts w:ascii="Times New Roman" w:hAnsi="Times New Roman" w:cs="Times New Roman"/>
          <w:b/>
          <w:bCs/>
        </w:rPr>
        <w:t>Reflection checkpoints and double-loop tasks:</w:t>
      </w:r>
      <w:r w:rsidRPr="001F71EE">
        <w:rPr>
          <w:rFonts w:ascii="Times New Roman" w:hAnsi="Times New Roman" w:cs="Times New Roman"/>
        </w:rPr>
        <w:t xml:space="preserve"> Consistent reflective cues stimulate learners to scrutinize their assumptions and strategies (journals, peer debriefs). </w:t>
      </w:r>
    </w:p>
    <w:p w14:paraId="256A49AF" w14:textId="31BF09CB" w:rsidR="0007599E" w:rsidRPr="001F71EE" w:rsidRDefault="0007599E" w:rsidP="001F71EE">
      <w:pPr>
        <w:pStyle w:val="ListParagraph"/>
        <w:numPr>
          <w:ilvl w:val="0"/>
          <w:numId w:val="14"/>
        </w:numPr>
        <w:jc w:val="both"/>
        <w:rPr>
          <w:rFonts w:ascii="Times New Roman" w:hAnsi="Times New Roman" w:cs="Times New Roman"/>
        </w:rPr>
      </w:pPr>
      <w:r w:rsidRPr="001F71EE">
        <w:rPr>
          <w:rFonts w:ascii="Times New Roman" w:hAnsi="Times New Roman" w:cs="Times New Roman"/>
          <w:b/>
          <w:bCs/>
        </w:rPr>
        <w:t>Learner-centered assessment:</w:t>
      </w:r>
      <w:r w:rsidRPr="001F71EE">
        <w:rPr>
          <w:rFonts w:ascii="Times New Roman" w:hAnsi="Times New Roman" w:cs="Times New Roman"/>
        </w:rPr>
        <w:t xml:space="preserve"> Collaborative rubrics and peer/self-assessment fostered metacognition and accountability. </w:t>
      </w:r>
    </w:p>
    <w:p w14:paraId="0DBF2B9A" w14:textId="77777777" w:rsidR="001F71EE" w:rsidRDefault="0007599E" w:rsidP="001F71EE">
      <w:pPr>
        <w:pStyle w:val="ListParagraph"/>
        <w:numPr>
          <w:ilvl w:val="0"/>
          <w:numId w:val="14"/>
        </w:numPr>
        <w:jc w:val="both"/>
        <w:rPr>
          <w:rFonts w:ascii="Times New Roman" w:hAnsi="Times New Roman" w:cs="Times New Roman"/>
        </w:rPr>
      </w:pPr>
      <w:r w:rsidRPr="001F71EE">
        <w:rPr>
          <w:rFonts w:ascii="Times New Roman" w:hAnsi="Times New Roman" w:cs="Times New Roman"/>
          <w:b/>
          <w:bCs/>
        </w:rPr>
        <w:t>Facilitation supersedes instruction:</w:t>
      </w:r>
      <w:r w:rsidRPr="001F71EE">
        <w:rPr>
          <w:rFonts w:ascii="Times New Roman" w:hAnsi="Times New Roman" w:cs="Times New Roman"/>
        </w:rPr>
        <w:t xml:space="preserve"> The instructor functions as a coach, curator of challenges, and provider of feedback, rather than the exclusive source of knowledge (Hase &amp;Kenyon,2000).</w:t>
      </w:r>
    </w:p>
    <w:p w14:paraId="67FC956D" w14:textId="29A6FE52" w:rsidR="0007599E" w:rsidRPr="001F71EE" w:rsidRDefault="0007599E" w:rsidP="001F71EE">
      <w:pPr>
        <w:jc w:val="both"/>
        <w:rPr>
          <w:rFonts w:ascii="Times New Roman" w:hAnsi="Times New Roman" w:cs="Times New Roman"/>
        </w:rPr>
      </w:pPr>
      <w:r w:rsidRPr="001F71EE">
        <w:rPr>
          <w:rFonts w:ascii="Times New Roman" w:hAnsi="Times New Roman" w:cs="Times New Roman"/>
        </w:rPr>
        <w:t>A sample module (Language classroom): learners select from three tracks</w:t>
      </w:r>
      <w:r w:rsidR="00367ADF" w:rsidRPr="001F71EE">
        <w:rPr>
          <w:rFonts w:ascii="Times New Roman" w:hAnsi="Times New Roman" w:cs="Times New Roman"/>
        </w:rPr>
        <w:t>— “</w:t>
      </w:r>
      <w:r w:rsidRPr="001F71EE">
        <w:rPr>
          <w:rFonts w:ascii="Times New Roman" w:hAnsi="Times New Roman" w:cs="Times New Roman"/>
        </w:rPr>
        <w:t>Community Journalist” (field interviews), “Social Media Campaign” (digital storytelling), or “Oral History Project” (narrative collection)—each featuring structured quests, milestones, and reflective checkpoints.</w:t>
      </w:r>
    </w:p>
    <w:p w14:paraId="799040BB"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3.5 Data collection</w:t>
      </w:r>
    </w:p>
    <w:p w14:paraId="1420E8F1" w14:textId="4908EB7B" w:rsidR="002A5A29" w:rsidRPr="001F71EE" w:rsidRDefault="002A5A29" w:rsidP="001F71EE">
      <w:pPr>
        <w:pStyle w:val="ListParagraph"/>
        <w:numPr>
          <w:ilvl w:val="0"/>
          <w:numId w:val="13"/>
        </w:numPr>
        <w:spacing w:after="0" w:line="276" w:lineRule="auto"/>
        <w:rPr>
          <w:rFonts w:ascii="Times New Roman" w:eastAsia="Times New Roman" w:hAnsi="Times New Roman" w:cs="Times New Roman"/>
          <w:kern w:val="0"/>
          <w14:ligatures w14:val="none"/>
        </w:rPr>
      </w:pPr>
      <w:r w:rsidRPr="001F71EE">
        <w:rPr>
          <w:rFonts w:ascii="Times New Roman" w:eastAsia="Times New Roman" w:hAnsi="Times New Roman" w:cs="Times New Roman"/>
          <w:b/>
          <w:bCs/>
          <w:kern w:val="0"/>
          <w14:ligatures w14:val="none"/>
        </w:rPr>
        <w:t>Quantitative:</w:t>
      </w:r>
      <w:r w:rsidRPr="001F71EE">
        <w:rPr>
          <w:rFonts w:ascii="Times New Roman" w:eastAsia="Times New Roman" w:hAnsi="Times New Roman" w:cs="Times New Roman"/>
          <w:kern w:val="0"/>
          <w14:ligatures w14:val="none"/>
        </w:rPr>
        <w:t xml:space="preserve"> Pre/post surveys assessing perceived autonomy, intrinsic motivation (utilizing modified SDT measures), self-efficacy, and intent to transfer capabilities; LMS interaction logs (task completion, time spent on tasks). </w:t>
      </w:r>
    </w:p>
    <w:p w14:paraId="6D60C288" w14:textId="10D7A8AC" w:rsidR="002A5A29" w:rsidRPr="001F71EE" w:rsidRDefault="002A5A29" w:rsidP="001F71EE">
      <w:pPr>
        <w:pStyle w:val="ListParagraph"/>
        <w:numPr>
          <w:ilvl w:val="0"/>
          <w:numId w:val="13"/>
        </w:numPr>
        <w:spacing w:after="0" w:line="276" w:lineRule="auto"/>
        <w:rPr>
          <w:rFonts w:ascii="Times New Roman" w:eastAsia="Times New Roman" w:hAnsi="Times New Roman" w:cs="Times New Roman"/>
          <w:kern w:val="0"/>
          <w14:ligatures w14:val="none"/>
        </w:rPr>
      </w:pPr>
      <w:r w:rsidRPr="001F71EE">
        <w:rPr>
          <w:rFonts w:ascii="Times New Roman" w:eastAsia="Times New Roman" w:hAnsi="Times New Roman" w:cs="Times New Roman"/>
          <w:b/>
          <w:bCs/>
          <w:kern w:val="0"/>
          <w14:ligatures w14:val="none"/>
        </w:rPr>
        <w:t xml:space="preserve">Qualitative: </w:t>
      </w:r>
      <w:r w:rsidRPr="001F71EE">
        <w:rPr>
          <w:rFonts w:ascii="Times New Roman" w:eastAsia="Times New Roman" w:hAnsi="Times New Roman" w:cs="Times New Roman"/>
          <w:kern w:val="0"/>
          <w14:ligatures w14:val="none"/>
        </w:rPr>
        <w:t xml:space="preserve">Classroom observations (field notes), focus groups, artifact analysis (student projects, reflective journals), instructor interviews. </w:t>
      </w:r>
    </w:p>
    <w:p w14:paraId="281CF87C" w14:textId="040ED5DD" w:rsidR="002A5A29" w:rsidRPr="001F71EE" w:rsidRDefault="002A5A29" w:rsidP="001F71EE">
      <w:pPr>
        <w:pStyle w:val="ListParagraph"/>
        <w:numPr>
          <w:ilvl w:val="0"/>
          <w:numId w:val="13"/>
        </w:numPr>
        <w:spacing w:after="0" w:line="240" w:lineRule="auto"/>
        <w:rPr>
          <w:rFonts w:ascii="Times New Roman" w:eastAsia="Times New Roman" w:hAnsi="Times New Roman" w:cs="Times New Roman"/>
          <w:kern w:val="0"/>
          <w14:ligatures w14:val="none"/>
        </w:rPr>
      </w:pPr>
      <w:r w:rsidRPr="001F71EE">
        <w:rPr>
          <w:rFonts w:ascii="Times New Roman" w:eastAsia="Times New Roman" w:hAnsi="Times New Roman" w:cs="Times New Roman"/>
          <w:b/>
          <w:bCs/>
          <w:kern w:val="0"/>
          <w14:ligatures w14:val="none"/>
        </w:rPr>
        <w:lastRenderedPageBreak/>
        <w:t>Mixed measures</w:t>
      </w:r>
      <w:r w:rsidRPr="001F71EE">
        <w:rPr>
          <w:rFonts w:ascii="Times New Roman" w:eastAsia="Times New Roman" w:hAnsi="Times New Roman" w:cs="Times New Roman"/>
          <w:kern w:val="0"/>
          <w14:ligatures w14:val="none"/>
        </w:rPr>
        <w:t>: Performance evaluated through rubric on transfer tasks (new tasks following the module), alignment of peer and self-assessments.</w:t>
      </w:r>
    </w:p>
    <w:p w14:paraId="7BF8B3E2"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3.6 Data analysis</w:t>
      </w:r>
    </w:p>
    <w:p w14:paraId="0F19EB27" w14:textId="77777777" w:rsidR="00DF205E" w:rsidRPr="00DF205E" w:rsidRDefault="00DF205E" w:rsidP="00DF205E">
      <w:pPr>
        <w:numPr>
          <w:ilvl w:val="0"/>
          <w:numId w:val="4"/>
        </w:numPr>
        <w:jc w:val="both"/>
        <w:rPr>
          <w:rFonts w:ascii="Times New Roman" w:hAnsi="Times New Roman" w:cs="Times New Roman"/>
        </w:rPr>
      </w:pPr>
      <w:r w:rsidRPr="00DF205E">
        <w:rPr>
          <w:rFonts w:ascii="Times New Roman" w:hAnsi="Times New Roman" w:cs="Times New Roman"/>
          <w:b/>
          <w:bCs/>
        </w:rPr>
        <w:t>Quantitative:</w:t>
      </w:r>
      <w:r w:rsidRPr="00DF205E">
        <w:rPr>
          <w:rFonts w:ascii="Times New Roman" w:hAnsi="Times New Roman" w:cs="Times New Roman"/>
        </w:rPr>
        <w:t xml:space="preserve"> Paired t-tests or nonparametric equivalents for pre/post measures; correlation analyses between engagement metrics and self-reported autonomy.</w:t>
      </w:r>
    </w:p>
    <w:p w14:paraId="041D5076" w14:textId="3B08C022" w:rsidR="00DF205E" w:rsidRPr="00DF205E" w:rsidRDefault="00DF205E" w:rsidP="00DF205E">
      <w:pPr>
        <w:numPr>
          <w:ilvl w:val="0"/>
          <w:numId w:val="4"/>
        </w:numPr>
        <w:jc w:val="both"/>
        <w:rPr>
          <w:rFonts w:ascii="Times New Roman" w:hAnsi="Times New Roman" w:cs="Times New Roman"/>
        </w:rPr>
      </w:pPr>
      <w:r w:rsidRPr="00DF205E">
        <w:rPr>
          <w:rFonts w:ascii="Times New Roman" w:hAnsi="Times New Roman" w:cs="Times New Roman"/>
          <w:b/>
          <w:bCs/>
        </w:rPr>
        <w:t>Qualitative:</w:t>
      </w:r>
      <w:r w:rsidRPr="00DF205E">
        <w:rPr>
          <w:rFonts w:ascii="Times New Roman" w:hAnsi="Times New Roman" w:cs="Times New Roman"/>
        </w:rPr>
        <w:t xml:space="preserve"> Thematic analysis of reflections and interviews to identify changes in classroom dynamics (e.g., role shifts, patterns of collaboration). Evidence triangulation across data sources will strengthen claims.</w:t>
      </w:r>
    </w:p>
    <w:p w14:paraId="73A47FD4"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4. Anticipated findings and discussion</w:t>
      </w:r>
    </w:p>
    <w:p w14:paraId="2763E1D1" w14:textId="77777777" w:rsidR="00683DEA" w:rsidRDefault="00FD2301" w:rsidP="00FD2301">
      <w:pPr>
        <w:jc w:val="both"/>
        <w:rPr>
          <w:rFonts w:ascii="Times New Roman" w:hAnsi="Times New Roman" w:cs="Times New Roman"/>
        </w:rPr>
      </w:pPr>
      <w:r w:rsidRPr="00FD2301">
        <w:rPr>
          <w:rFonts w:ascii="Times New Roman" w:hAnsi="Times New Roman" w:cs="Times New Roman"/>
        </w:rPr>
        <w:t>According to existing literature, the study predicts that effectively structured GABL rooted on heutagogy will:</w:t>
      </w:r>
    </w:p>
    <w:p w14:paraId="6E75D9F8" w14:textId="2CB11781" w:rsidR="00FD2301" w:rsidRPr="001F71EE" w:rsidRDefault="00FD2301" w:rsidP="001F71EE">
      <w:pPr>
        <w:pStyle w:val="ListParagraph"/>
        <w:numPr>
          <w:ilvl w:val="0"/>
          <w:numId w:val="12"/>
        </w:numPr>
        <w:jc w:val="both"/>
        <w:rPr>
          <w:rFonts w:ascii="Times New Roman" w:hAnsi="Times New Roman" w:cs="Times New Roman"/>
        </w:rPr>
      </w:pPr>
      <w:r w:rsidRPr="001F71EE">
        <w:rPr>
          <w:rFonts w:ascii="Times New Roman" w:hAnsi="Times New Roman" w:cs="Times New Roman"/>
        </w:rPr>
        <w:t xml:space="preserve">Enhance learners' autonomy and intrinsic motivation when options are significant and assessments are collaboratively developed (Deci &amp; Ryan, 2000). </w:t>
      </w:r>
    </w:p>
    <w:p w14:paraId="0E10DD67" w14:textId="3D4EFAC6" w:rsidR="00FD2301" w:rsidRPr="001F71EE" w:rsidRDefault="00FD2301" w:rsidP="001F71EE">
      <w:pPr>
        <w:pStyle w:val="ListParagraph"/>
        <w:numPr>
          <w:ilvl w:val="0"/>
          <w:numId w:val="12"/>
        </w:numPr>
        <w:jc w:val="both"/>
        <w:rPr>
          <w:rFonts w:ascii="Times New Roman" w:hAnsi="Times New Roman" w:cs="Times New Roman"/>
        </w:rPr>
      </w:pPr>
      <w:r w:rsidRPr="001F71EE">
        <w:rPr>
          <w:rFonts w:ascii="Times New Roman" w:hAnsi="Times New Roman" w:cs="Times New Roman"/>
        </w:rPr>
        <w:t xml:space="preserve">Encourage profound reflective practice and double-loop learning through organized reflection checkpoints, enhancing learners' capacity to modify tactics in unfamiliar circumstances (Blaschke, 2012). </w:t>
      </w:r>
    </w:p>
    <w:p w14:paraId="01CEADE5" w14:textId="61270A90" w:rsidR="00FD2301" w:rsidRPr="001F71EE" w:rsidRDefault="00FD2301" w:rsidP="001F71EE">
      <w:pPr>
        <w:pStyle w:val="ListParagraph"/>
        <w:numPr>
          <w:ilvl w:val="0"/>
          <w:numId w:val="12"/>
        </w:numPr>
        <w:jc w:val="both"/>
        <w:rPr>
          <w:rFonts w:ascii="Times New Roman" w:hAnsi="Times New Roman" w:cs="Times New Roman"/>
        </w:rPr>
      </w:pPr>
      <w:r w:rsidRPr="001F71EE">
        <w:rPr>
          <w:rFonts w:ascii="Times New Roman" w:hAnsi="Times New Roman" w:cs="Times New Roman"/>
        </w:rPr>
        <w:t xml:space="preserve">Transform classroom dynamics: educators will function primarily as facilitators or coaches; cooperation among peers and learner initiative will be enhanced; class discussions will focus on problem-solving and strategy rather than mere information delivery. </w:t>
      </w:r>
    </w:p>
    <w:p w14:paraId="7A508C78" w14:textId="77777777" w:rsidR="001F71EE" w:rsidRDefault="00FD2301" w:rsidP="001F71EE">
      <w:pPr>
        <w:pStyle w:val="ListParagraph"/>
        <w:numPr>
          <w:ilvl w:val="0"/>
          <w:numId w:val="12"/>
        </w:numPr>
        <w:jc w:val="both"/>
        <w:rPr>
          <w:rFonts w:ascii="Times New Roman" w:hAnsi="Times New Roman" w:cs="Times New Roman"/>
        </w:rPr>
      </w:pPr>
      <w:r w:rsidRPr="001F71EE">
        <w:rPr>
          <w:rFonts w:ascii="Times New Roman" w:hAnsi="Times New Roman" w:cs="Times New Roman"/>
        </w:rPr>
        <w:t xml:space="preserve">Enhance the transfer of learning, as evidenced by performance on post-module novel tasks, due to the authenticity of activities that prioritize capacity over mere rote competence (Biggs &amp;Tang,2011). </w:t>
      </w:r>
    </w:p>
    <w:p w14:paraId="3188D299" w14:textId="168B5535" w:rsidR="00DF205E" w:rsidRPr="001F71EE" w:rsidRDefault="00FD2301" w:rsidP="001F71EE">
      <w:pPr>
        <w:jc w:val="both"/>
        <w:rPr>
          <w:rFonts w:ascii="Times New Roman" w:hAnsi="Times New Roman" w:cs="Times New Roman"/>
        </w:rPr>
      </w:pPr>
      <w:r w:rsidRPr="001F71EE">
        <w:rPr>
          <w:rFonts w:ascii="Times New Roman" w:hAnsi="Times New Roman" w:cs="Times New Roman"/>
        </w:rPr>
        <w:t>Potential tensions encompass the risk that superficial gamification (points/badges devoid of substantive choice) may erode autonomy, and that heightened learner freedom might initially induce anxiety in individuals unaccustomed to self-directed practices—thereby requiring scaffolding and a gradual transfer of responsibility.</w:t>
      </w:r>
    </w:p>
    <w:p w14:paraId="690401AF"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5. Practical implications</w:t>
      </w:r>
    </w:p>
    <w:p w14:paraId="59C18910"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5.1 For teachers and instructional designers</w:t>
      </w:r>
    </w:p>
    <w:p w14:paraId="41CF7E65" w14:textId="692F48EF" w:rsidR="001F71EE" w:rsidRPr="001F71EE" w:rsidRDefault="00446E49" w:rsidP="001F71EE">
      <w:pPr>
        <w:pStyle w:val="ListParagraph"/>
        <w:numPr>
          <w:ilvl w:val="0"/>
          <w:numId w:val="10"/>
        </w:numPr>
        <w:jc w:val="both"/>
        <w:rPr>
          <w:rFonts w:ascii="Times New Roman" w:hAnsi="Times New Roman" w:cs="Times New Roman"/>
        </w:rPr>
      </w:pPr>
      <w:r w:rsidRPr="001F71EE">
        <w:rPr>
          <w:rFonts w:ascii="Times New Roman" w:hAnsi="Times New Roman" w:cs="Times New Roman"/>
        </w:rPr>
        <w:t xml:space="preserve">Develop co-designed rubrics and implement scaffolded decision architecture; minimize dependence on extrinsic rewards. </w:t>
      </w:r>
    </w:p>
    <w:p w14:paraId="3A4E774E" w14:textId="79954DB9" w:rsidR="00446E49" w:rsidRPr="001F71EE" w:rsidRDefault="00446E49" w:rsidP="001F71EE">
      <w:pPr>
        <w:pStyle w:val="ListParagraph"/>
        <w:numPr>
          <w:ilvl w:val="0"/>
          <w:numId w:val="10"/>
        </w:numPr>
        <w:jc w:val="both"/>
        <w:rPr>
          <w:rFonts w:ascii="Times New Roman" w:hAnsi="Times New Roman" w:cs="Times New Roman"/>
        </w:rPr>
      </w:pPr>
      <w:r w:rsidRPr="001F71EE">
        <w:rPr>
          <w:rFonts w:ascii="Times New Roman" w:hAnsi="Times New Roman" w:cs="Times New Roman"/>
        </w:rPr>
        <w:t xml:space="preserve">Commence with hybrid courses that retain certain structure as learners engage in decision-making exercise. </w:t>
      </w:r>
    </w:p>
    <w:p w14:paraId="742EBEAC" w14:textId="117A09FC" w:rsidR="00446E49" w:rsidRPr="001F71EE" w:rsidRDefault="00446E49" w:rsidP="001F71EE">
      <w:pPr>
        <w:pStyle w:val="ListParagraph"/>
        <w:numPr>
          <w:ilvl w:val="0"/>
          <w:numId w:val="10"/>
        </w:numPr>
        <w:jc w:val="both"/>
        <w:rPr>
          <w:rFonts w:ascii="Times New Roman" w:hAnsi="Times New Roman" w:cs="Times New Roman"/>
        </w:rPr>
      </w:pPr>
      <w:r w:rsidRPr="001F71EE">
        <w:rPr>
          <w:rFonts w:ascii="Times New Roman" w:hAnsi="Times New Roman" w:cs="Times New Roman"/>
        </w:rPr>
        <w:t>Educate instructors in facilitation competencies: coaching, aligning feedback with capabilities, and crafting reflective prompts.</w:t>
      </w:r>
    </w:p>
    <w:p w14:paraId="72764360"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5.2 For institutions</w:t>
      </w:r>
    </w:p>
    <w:p w14:paraId="4B46ADAB" w14:textId="0A0D90E5" w:rsidR="002170DC" w:rsidRPr="002170DC" w:rsidRDefault="002170DC" w:rsidP="002170DC">
      <w:pPr>
        <w:pStyle w:val="ListParagraph"/>
        <w:numPr>
          <w:ilvl w:val="0"/>
          <w:numId w:val="15"/>
        </w:numPr>
        <w:jc w:val="both"/>
        <w:rPr>
          <w:rFonts w:ascii="Times New Roman" w:hAnsi="Times New Roman" w:cs="Times New Roman"/>
        </w:rPr>
      </w:pPr>
      <w:r w:rsidRPr="002170DC">
        <w:rPr>
          <w:rFonts w:ascii="Times New Roman" w:hAnsi="Times New Roman" w:cs="Times New Roman"/>
        </w:rPr>
        <w:lastRenderedPageBreak/>
        <w:t xml:space="preserve">Facilitate faculty advancement in </w:t>
      </w:r>
      <w:proofErr w:type="spellStart"/>
      <w:r w:rsidRPr="002170DC">
        <w:rPr>
          <w:rFonts w:ascii="Times New Roman" w:hAnsi="Times New Roman" w:cs="Times New Roman"/>
        </w:rPr>
        <w:t>heutagogical</w:t>
      </w:r>
      <w:proofErr w:type="spellEnd"/>
      <w:r w:rsidRPr="002170DC">
        <w:rPr>
          <w:rFonts w:ascii="Times New Roman" w:hAnsi="Times New Roman" w:cs="Times New Roman"/>
        </w:rPr>
        <w:t xml:space="preserve"> and gamified design. </w:t>
      </w:r>
    </w:p>
    <w:p w14:paraId="1E89A12F" w14:textId="4059B1ED" w:rsidR="002170DC" w:rsidRPr="002170DC" w:rsidRDefault="002170DC" w:rsidP="002170DC">
      <w:pPr>
        <w:pStyle w:val="ListParagraph"/>
        <w:numPr>
          <w:ilvl w:val="0"/>
          <w:numId w:val="15"/>
        </w:numPr>
        <w:jc w:val="both"/>
        <w:rPr>
          <w:rFonts w:ascii="Times New Roman" w:hAnsi="Times New Roman" w:cs="Times New Roman"/>
        </w:rPr>
      </w:pPr>
      <w:r w:rsidRPr="002170DC">
        <w:rPr>
          <w:rFonts w:ascii="Times New Roman" w:hAnsi="Times New Roman" w:cs="Times New Roman"/>
        </w:rPr>
        <w:t>Acknowledge co-created evaluations within credit schemes and quality assurance mechanisms.</w:t>
      </w:r>
    </w:p>
    <w:p w14:paraId="50DC2A47"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6. Limitations and future research</w:t>
      </w:r>
    </w:p>
    <w:p w14:paraId="7A71B9DD" w14:textId="77777777" w:rsidR="000B6B35" w:rsidRPr="000B6B35" w:rsidRDefault="000B6B35" w:rsidP="000B6B35">
      <w:pPr>
        <w:jc w:val="both"/>
        <w:rPr>
          <w:rFonts w:ascii="Times New Roman" w:hAnsi="Times New Roman" w:cs="Times New Roman"/>
        </w:rPr>
      </w:pPr>
      <w:r w:rsidRPr="000B6B35">
        <w:rPr>
          <w:rFonts w:ascii="Times New Roman" w:hAnsi="Times New Roman" w:cs="Times New Roman"/>
        </w:rPr>
        <w:t>This study is constrained by its context (namely higher education/language classrooms) and the intricacy of distinguishing gamification impacts from activity design. Subsequent investigations ought to incorporate randomized controlled trials when practicable, extended follow-ups to assess enduring transfer, and an examination of cultural variances in learner receptivity to self-directed gamified frameworks.</w:t>
      </w:r>
    </w:p>
    <w:p w14:paraId="7455208D" w14:textId="77777777"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7. Conclusion</w:t>
      </w:r>
    </w:p>
    <w:p w14:paraId="027E6FEC" w14:textId="77777777" w:rsidR="00FE7BFF" w:rsidRPr="00FE7BFF" w:rsidRDefault="00FE7BFF" w:rsidP="00FE7BFF">
      <w:pPr>
        <w:jc w:val="both"/>
        <w:rPr>
          <w:rFonts w:ascii="Times New Roman" w:hAnsi="Times New Roman" w:cs="Times New Roman"/>
        </w:rPr>
      </w:pPr>
      <w:r w:rsidRPr="00FE7BFF">
        <w:rPr>
          <w:rFonts w:ascii="Times New Roman" w:hAnsi="Times New Roman" w:cs="Times New Roman"/>
        </w:rPr>
        <w:t>Transitioning from pedagogy to heutagogy does not necessitate the relinquishment of structure; rather, it reconceptualizes structure as a facilitator of choice, competence, and introspection. Gamified activity-based learning provides significant design opportunities for implementing heutagogy when game features are intentionally matched with autonomy, competence, and relatedness, and when learners actively co-create their educational experiences. Design-based research utilizing iterative cycles can enhance interventions and record changes in classroom dynamics, fostering more empowered and capable learners.</w:t>
      </w:r>
    </w:p>
    <w:p w14:paraId="534D38B3" w14:textId="28DFB5A1" w:rsidR="00DF205E" w:rsidRPr="00DF205E" w:rsidRDefault="00DF205E" w:rsidP="00DF205E">
      <w:pPr>
        <w:jc w:val="both"/>
        <w:rPr>
          <w:rFonts w:ascii="Times New Roman" w:hAnsi="Times New Roman" w:cs="Times New Roman"/>
          <w:b/>
          <w:bCs/>
        </w:rPr>
      </w:pPr>
      <w:r w:rsidRPr="00DF205E">
        <w:rPr>
          <w:rFonts w:ascii="Times New Roman" w:hAnsi="Times New Roman" w:cs="Times New Roman"/>
          <w:b/>
          <w:bCs/>
        </w:rPr>
        <w:t xml:space="preserve">References </w:t>
      </w:r>
    </w:p>
    <w:p w14:paraId="54851802"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t xml:space="preserve">Biggs, J., &amp; Tang, C. (2011). </w:t>
      </w:r>
      <w:r w:rsidRPr="00DF205E">
        <w:rPr>
          <w:rFonts w:ascii="Times New Roman" w:hAnsi="Times New Roman" w:cs="Times New Roman"/>
          <w:i/>
          <w:iCs/>
        </w:rPr>
        <w:t>Teaching for quality learning at university</w:t>
      </w:r>
      <w:r w:rsidRPr="00DF205E">
        <w:rPr>
          <w:rFonts w:ascii="Times New Roman" w:hAnsi="Times New Roman" w:cs="Times New Roman"/>
        </w:rPr>
        <w:t xml:space="preserve"> (4th ed.). Open University Press.</w:t>
      </w:r>
    </w:p>
    <w:p w14:paraId="10F6F951"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t xml:space="preserve">Blaschke, L. M. (2012). Heutagogy and lifelong learning: A review of </w:t>
      </w:r>
      <w:proofErr w:type="spellStart"/>
      <w:r w:rsidRPr="00DF205E">
        <w:rPr>
          <w:rFonts w:ascii="Times New Roman" w:hAnsi="Times New Roman" w:cs="Times New Roman"/>
        </w:rPr>
        <w:t>heutagogical</w:t>
      </w:r>
      <w:proofErr w:type="spellEnd"/>
      <w:r w:rsidRPr="00DF205E">
        <w:rPr>
          <w:rFonts w:ascii="Times New Roman" w:hAnsi="Times New Roman" w:cs="Times New Roman"/>
        </w:rPr>
        <w:t xml:space="preserve"> practice and self-determined learning. </w:t>
      </w:r>
      <w:r w:rsidRPr="00DF205E">
        <w:rPr>
          <w:rFonts w:ascii="Times New Roman" w:hAnsi="Times New Roman" w:cs="Times New Roman"/>
          <w:i/>
          <w:iCs/>
        </w:rPr>
        <w:t>International Review of Research in Open and Distributed Learning, 13</w:t>
      </w:r>
      <w:r w:rsidRPr="00DF205E">
        <w:rPr>
          <w:rFonts w:ascii="Times New Roman" w:hAnsi="Times New Roman" w:cs="Times New Roman"/>
        </w:rPr>
        <w:t>(1), 56–71.</w:t>
      </w:r>
    </w:p>
    <w:p w14:paraId="6DC7642D"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t xml:space="preserve">Deci, E. L., &amp; Ryan, R. M. (2000). The “what” and “why” of goal pursuits: Human needs and the self-determination of behavior. </w:t>
      </w:r>
      <w:r w:rsidRPr="00DF205E">
        <w:rPr>
          <w:rFonts w:ascii="Times New Roman" w:hAnsi="Times New Roman" w:cs="Times New Roman"/>
          <w:i/>
          <w:iCs/>
        </w:rPr>
        <w:t>Psychological Inquiry, 11</w:t>
      </w:r>
      <w:r w:rsidRPr="00DF205E">
        <w:rPr>
          <w:rFonts w:ascii="Times New Roman" w:hAnsi="Times New Roman" w:cs="Times New Roman"/>
        </w:rPr>
        <w:t>(4), 227–268.</w:t>
      </w:r>
    </w:p>
    <w:p w14:paraId="155B04B1"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t xml:space="preserve">Deterding, S., Dixon, D., Khaled, R., &amp; Nacke, L. (2011). From game design elements to </w:t>
      </w:r>
      <w:proofErr w:type="spellStart"/>
      <w:r w:rsidRPr="00DF205E">
        <w:rPr>
          <w:rFonts w:ascii="Times New Roman" w:hAnsi="Times New Roman" w:cs="Times New Roman"/>
        </w:rPr>
        <w:t>gamefulness</w:t>
      </w:r>
      <w:proofErr w:type="spellEnd"/>
      <w:r w:rsidRPr="00DF205E">
        <w:rPr>
          <w:rFonts w:ascii="Times New Roman" w:hAnsi="Times New Roman" w:cs="Times New Roman"/>
        </w:rPr>
        <w:t xml:space="preserve">: Defining “gamification”. In A. </w:t>
      </w:r>
      <w:proofErr w:type="spellStart"/>
      <w:r w:rsidRPr="00DF205E">
        <w:rPr>
          <w:rFonts w:ascii="Times New Roman" w:hAnsi="Times New Roman" w:cs="Times New Roman"/>
        </w:rPr>
        <w:t>Lugmayr</w:t>
      </w:r>
      <w:proofErr w:type="spellEnd"/>
      <w:r w:rsidRPr="00DF205E">
        <w:rPr>
          <w:rFonts w:ascii="Times New Roman" w:hAnsi="Times New Roman" w:cs="Times New Roman"/>
        </w:rPr>
        <w:t xml:space="preserve">, S. Franssila, &amp; J. H. Nguyen (Eds.), </w:t>
      </w:r>
      <w:r w:rsidRPr="00DF205E">
        <w:rPr>
          <w:rFonts w:ascii="Times New Roman" w:hAnsi="Times New Roman" w:cs="Times New Roman"/>
          <w:i/>
          <w:iCs/>
        </w:rPr>
        <w:t xml:space="preserve">Proceedings of the 15th International Academic </w:t>
      </w:r>
      <w:proofErr w:type="spellStart"/>
      <w:r w:rsidRPr="00DF205E">
        <w:rPr>
          <w:rFonts w:ascii="Times New Roman" w:hAnsi="Times New Roman" w:cs="Times New Roman"/>
          <w:i/>
          <w:iCs/>
        </w:rPr>
        <w:t>MindTrek</w:t>
      </w:r>
      <w:proofErr w:type="spellEnd"/>
      <w:r w:rsidRPr="00DF205E">
        <w:rPr>
          <w:rFonts w:ascii="Times New Roman" w:hAnsi="Times New Roman" w:cs="Times New Roman"/>
          <w:i/>
          <w:iCs/>
        </w:rPr>
        <w:t xml:space="preserve"> Conference</w:t>
      </w:r>
      <w:r w:rsidRPr="00DF205E">
        <w:rPr>
          <w:rFonts w:ascii="Times New Roman" w:hAnsi="Times New Roman" w:cs="Times New Roman"/>
        </w:rPr>
        <w:t xml:space="preserve"> (pp. 9–15).</w:t>
      </w:r>
    </w:p>
    <w:p w14:paraId="5FCFB4F8"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t xml:space="preserve">Gee, J. P. (2003). </w:t>
      </w:r>
      <w:r w:rsidRPr="00DF205E">
        <w:rPr>
          <w:rFonts w:ascii="Times New Roman" w:hAnsi="Times New Roman" w:cs="Times New Roman"/>
          <w:i/>
          <w:iCs/>
        </w:rPr>
        <w:t>What video games have to teach us about learning and literacy.</w:t>
      </w:r>
      <w:r w:rsidRPr="00DF205E">
        <w:rPr>
          <w:rFonts w:ascii="Times New Roman" w:hAnsi="Times New Roman" w:cs="Times New Roman"/>
        </w:rPr>
        <w:t xml:space="preserve"> Palgrave Macmillan.</w:t>
      </w:r>
    </w:p>
    <w:p w14:paraId="3E5E708D"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t xml:space="preserve">Hase, S., &amp; Kenyon, C. (2000). From andragogy to heutagogy. </w:t>
      </w:r>
      <w:r w:rsidRPr="00DF205E">
        <w:rPr>
          <w:rFonts w:ascii="Times New Roman" w:hAnsi="Times New Roman" w:cs="Times New Roman"/>
          <w:i/>
          <w:iCs/>
        </w:rPr>
        <w:t>Lifelong Learning: Proceedings / practice-oriented publication.</w:t>
      </w:r>
      <w:r w:rsidRPr="00DF205E">
        <w:rPr>
          <w:rFonts w:ascii="Times New Roman" w:hAnsi="Times New Roman" w:cs="Times New Roman"/>
        </w:rPr>
        <w:t xml:space="preserve"> (Foundational work on heutagogy.)</w:t>
      </w:r>
    </w:p>
    <w:p w14:paraId="48109EA0"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t xml:space="preserve">Kapp, K. M. (2012). </w:t>
      </w:r>
      <w:r w:rsidRPr="00DF205E">
        <w:rPr>
          <w:rFonts w:ascii="Times New Roman" w:hAnsi="Times New Roman" w:cs="Times New Roman"/>
          <w:i/>
          <w:iCs/>
        </w:rPr>
        <w:t>The gamification of learning and instruction: Game-based methods and strategies for training and education.</w:t>
      </w:r>
      <w:r w:rsidRPr="00DF205E">
        <w:rPr>
          <w:rFonts w:ascii="Times New Roman" w:hAnsi="Times New Roman" w:cs="Times New Roman"/>
        </w:rPr>
        <w:t xml:space="preserve"> Pfeiffer.</w:t>
      </w:r>
    </w:p>
    <w:p w14:paraId="40A22BF4"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lastRenderedPageBreak/>
        <w:t xml:space="preserve">Reeves, T. C. (2006). Design research from a technology perspective. In J. van den Akker, K. </w:t>
      </w:r>
      <w:proofErr w:type="spellStart"/>
      <w:r w:rsidRPr="00DF205E">
        <w:rPr>
          <w:rFonts w:ascii="Times New Roman" w:hAnsi="Times New Roman" w:cs="Times New Roman"/>
        </w:rPr>
        <w:t>Gravemeijer</w:t>
      </w:r>
      <w:proofErr w:type="spellEnd"/>
      <w:r w:rsidRPr="00DF205E">
        <w:rPr>
          <w:rFonts w:ascii="Times New Roman" w:hAnsi="Times New Roman" w:cs="Times New Roman"/>
        </w:rPr>
        <w:t xml:space="preserve">, S. McKenney, &amp; N. </w:t>
      </w:r>
      <w:proofErr w:type="spellStart"/>
      <w:r w:rsidRPr="00DF205E">
        <w:rPr>
          <w:rFonts w:ascii="Times New Roman" w:hAnsi="Times New Roman" w:cs="Times New Roman"/>
        </w:rPr>
        <w:t>Nieveen</w:t>
      </w:r>
      <w:proofErr w:type="spellEnd"/>
      <w:r w:rsidRPr="00DF205E">
        <w:rPr>
          <w:rFonts w:ascii="Times New Roman" w:hAnsi="Times New Roman" w:cs="Times New Roman"/>
        </w:rPr>
        <w:t xml:space="preserve"> (Eds.), </w:t>
      </w:r>
      <w:r w:rsidRPr="00DF205E">
        <w:rPr>
          <w:rFonts w:ascii="Times New Roman" w:hAnsi="Times New Roman" w:cs="Times New Roman"/>
          <w:i/>
          <w:iCs/>
        </w:rPr>
        <w:t>Educational design research</w:t>
      </w:r>
      <w:r w:rsidRPr="00DF205E">
        <w:rPr>
          <w:rFonts w:ascii="Times New Roman" w:hAnsi="Times New Roman" w:cs="Times New Roman"/>
        </w:rPr>
        <w:t xml:space="preserve"> (pp. 52–66). Routledge.</w:t>
      </w:r>
    </w:p>
    <w:p w14:paraId="287D0297" w14:textId="77777777" w:rsidR="00DF205E" w:rsidRPr="00DF205E" w:rsidRDefault="00DF205E" w:rsidP="00DF205E">
      <w:pPr>
        <w:jc w:val="both"/>
        <w:rPr>
          <w:rFonts w:ascii="Times New Roman" w:hAnsi="Times New Roman" w:cs="Times New Roman"/>
        </w:rPr>
      </w:pPr>
      <w:r w:rsidRPr="00DF205E">
        <w:rPr>
          <w:rFonts w:ascii="Times New Roman" w:hAnsi="Times New Roman" w:cs="Times New Roman"/>
        </w:rPr>
        <w:t xml:space="preserve">Siemens, G. (2005). Connectivism: A learning theory for the digital age. </w:t>
      </w:r>
      <w:r w:rsidRPr="00DF205E">
        <w:rPr>
          <w:rFonts w:ascii="Times New Roman" w:hAnsi="Times New Roman" w:cs="Times New Roman"/>
          <w:i/>
          <w:iCs/>
        </w:rPr>
        <w:t>International Journal of Instructional Technology and Distance Learning, 2</w:t>
      </w:r>
      <w:r w:rsidRPr="00DF205E">
        <w:rPr>
          <w:rFonts w:ascii="Times New Roman" w:hAnsi="Times New Roman" w:cs="Times New Roman"/>
        </w:rPr>
        <w:t>(1).</w:t>
      </w:r>
    </w:p>
    <w:p w14:paraId="13976F0D" w14:textId="77777777" w:rsidR="00E02D89" w:rsidRPr="00D3545B" w:rsidRDefault="00E02D89" w:rsidP="00DF205E">
      <w:pPr>
        <w:jc w:val="both"/>
        <w:rPr>
          <w:rFonts w:ascii="Times New Roman" w:hAnsi="Times New Roman" w:cs="Times New Roman"/>
        </w:rPr>
      </w:pPr>
    </w:p>
    <w:sectPr w:rsidR="00E02D89" w:rsidRPr="00D35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D7C"/>
    <w:multiLevelType w:val="hybridMultilevel"/>
    <w:tmpl w:val="5EF8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1614F"/>
    <w:multiLevelType w:val="multilevel"/>
    <w:tmpl w:val="C67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17472"/>
    <w:multiLevelType w:val="hybridMultilevel"/>
    <w:tmpl w:val="40C4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A5B12"/>
    <w:multiLevelType w:val="multilevel"/>
    <w:tmpl w:val="2D6C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97112"/>
    <w:multiLevelType w:val="multilevel"/>
    <w:tmpl w:val="3108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C6ECD"/>
    <w:multiLevelType w:val="multilevel"/>
    <w:tmpl w:val="FED4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353C7"/>
    <w:multiLevelType w:val="hybridMultilevel"/>
    <w:tmpl w:val="9738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94E57"/>
    <w:multiLevelType w:val="hybridMultilevel"/>
    <w:tmpl w:val="54A82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0C2481"/>
    <w:multiLevelType w:val="multilevel"/>
    <w:tmpl w:val="4C7C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921DF"/>
    <w:multiLevelType w:val="hybridMultilevel"/>
    <w:tmpl w:val="1EBEC7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BE77069"/>
    <w:multiLevelType w:val="hybridMultilevel"/>
    <w:tmpl w:val="AC8E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91D81"/>
    <w:multiLevelType w:val="multilevel"/>
    <w:tmpl w:val="476A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C7EC8"/>
    <w:multiLevelType w:val="hybridMultilevel"/>
    <w:tmpl w:val="5EC4F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C317E4"/>
    <w:multiLevelType w:val="multilevel"/>
    <w:tmpl w:val="52AE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ED5A19"/>
    <w:multiLevelType w:val="hybridMultilevel"/>
    <w:tmpl w:val="0002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423372">
    <w:abstractNumId w:val="5"/>
  </w:num>
  <w:num w:numId="2" w16cid:durableId="1489320487">
    <w:abstractNumId w:val="1"/>
  </w:num>
  <w:num w:numId="3" w16cid:durableId="1097825167">
    <w:abstractNumId w:val="4"/>
  </w:num>
  <w:num w:numId="4" w16cid:durableId="1156527551">
    <w:abstractNumId w:val="13"/>
  </w:num>
  <w:num w:numId="5" w16cid:durableId="392509786">
    <w:abstractNumId w:val="3"/>
  </w:num>
  <w:num w:numId="6" w16cid:durableId="1100444934">
    <w:abstractNumId w:val="11"/>
  </w:num>
  <w:num w:numId="7" w16cid:durableId="1454443880">
    <w:abstractNumId w:val="8"/>
  </w:num>
  <w:num w:numId="8" w16cid:durableId="828908811">
    <w:abstractNumId w:val="9"/>
  </w:num>
  <w:num w:numId="9" w16cid:durableId="975718002">
    <w:abstractNumId w:val="7"/>
  </w:num>
  <w:num w:numId="10" w16cid:durableId="1654528031">
    <w:abstractNumId w:val="6"/>
  </w:num>
  <w:num w:numId="11" w16cid:durableId="557396146">
    <w:abstractNumId w:val="12"/>
  </w:num>
  <w:num w:numId="12" w16cid:durableId="1899896296">
    <w:abstractNumId w:val="0"/>
  </w:num>
  <w:num w:numId="13" w16cid:durableId="281110912">
    <w:abstractNumId w:val="2"/>
  </w:num>
  <w:num w:numId="14" w16cid:durableId="1707410467">
    <w:abstractNumId w:val="10"/>
  </w:num>
  <w:num w:numId="15" w16cid:durableId="1496720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A1"/>
    <w:rsid w:val="0007599E"/>
    <w:rsid w:val="00077916"/>
    <w:rsid w:val="000B6B35"/>
    <w:rsid w:val="001C2947"/>
    <w:rsid w:val="001F71EE"/>
    <w:rsid w:val="00215664"/>
    <w:rsid w:val="002170DC"/>
    <w:rsid w:val="002255CF"/>
    <w:rsid w:val="00265894"/>
    <w:rsid w:val="002A5A29"/>
    <w:rsid w:val="002B6320"/>
    <w:rsid w:val="00367ADF"/>
    <w:rsid w:val="00446E49"/>
    <w:rsid w:val="00467E48"/>
    <w:rsid w:val="005920D5"/>
    <w:rsid w:val="005E20B5"/>
    <w:rsid w:val="00683DEA"/>
    <w:rsid w:val="00747180"/>
    <w:rsid w:val="007F5676"/>
    <w:rsid w:val="00835E91"/>
    <w:rsid w:val="008B1EA1"/>
    <w:rsid w:val="008E213C"/>
    <w:rsid w:val="009B26DD"/>
    <w:rsid w:val="00B027E4"/>
    <w:rsid w:val="00B0499B"/>
    <w:rsid w:val="00B17343"/>
    <w:rsid w:val="00B569FD"/>
    <w:rsid w:val="00D3545B"/>
    <w:rsid w:val="00D72126"/>
    <w:rsid w:val="00DF205E"/>
    <w:rsid w:val="00E02D89"/>
    <w:rsid w:val="00E4399F"/>
    <w:rsid w:val="00E74159"/>
    <w:rsid w:val="00F10772"/>
    <w:rsid w:val="00F53411"/>
    <w:rsid w:val="00FB4EB4"/>
    <w:rsid w:val="00FD2301"/>
    <w:rsid w:val="00FE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5AC0"/>
  <w15:chartTrackingRefBased/>
  <w15:docId w15:val="{158A2573-9932-43C1-9282-F8BE07F6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1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1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1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1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1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1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1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EA1"/>
    <w:rPr>
      <w:rFonts w:eastAsiaTheme="majorEastAsia" w:cstheme="majorBidi"/>
      <w:color w:val="272727" w:themeColor="text1" w:themeTint="D8"/>
    </w:rPr>
  </w:style>
  <w:style w:type="paragraph" w:styleId="Title">
    <w:name w:val="Title"/>
    <w:basedOn w:val="Normal"/>
    <w:next w:val="Normal"/>
    <w:link w:val="TitleChar"/>
    <w:uiPriority w:val="10"/>
    <w:qFormat/>
    <w:rsid w:val="008B1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EA1"/>
    <w:pPr>
      <w:spacing w:before="160"/>
      <w:jc w:val="center"/>
    </w:pPr>
    <w:rPr>
      <w:i/>
      <w:iCs/>
      <w:color w:val="404040" w:themeColor="text1" w:themeTint="BF"/>
    </w:rPr>
  </w:style>
  <w:style w:type="character" w:customStyle="1" w:styleId="QuoteChar">
    <w:name w:val="Quote Char"/>
    <w:basedOn w:val="DefaultParagraphFont"/>
    <w:link w:val="Quote"/>
    <w:uiPriority w:val="29"/>
    <w:rsid w:val="008B1EA1"/>
    <w:rPr>
      <w:i/>
      <w:iCs/>
      <w:color w:val="404040" w:themeColor="text1" w:themeTint="BF"/>
    </w:rPr>
  </w:style>
  <w:style w:type="paragraph" w:styleId="ListParagraph">
    <w:name w:val="List Paragraph"/>
    <w:basedOn w:val="Normal"/>
    <w:uiPriority w:val="34"/>
    <w:qFormat/>
    <w:rsid w:val="008B1EA1"/>
    <w:pPr>
      <w:ind w:left="720"/>
      <w:contextualSpacing/>
    </w:pPr>
  </w:style>
  <w:style w:type="character" w:styleId="IntenseEmphasis">
    <w:name w:val="Intense Emphasis"/>
    <w:basedOn w:val="DefaultParagraphFont"/>
    <w:uiPriority w:val="21"/>
    <w:qFormat/>
    <w:rsid w:val="008B1EA1"/>
    <w:rPr>
      <w:i/>
      <w:iCs/>
      <w:color w:val="2F5496" w:themeColor="accent1" w:themeShade="BF"/>
    </w:rPr>
  </w:style>
  <w:style w:type="paragraph" w:styleId="IntenseQuote">
    <w:name w:val="Intense Quote"/>
    <w:basedOn w:val="Normal"/>
    <w:next w:val="Normal"/>
    <w:link w:val="IntenseQuoteChar"/>
    <w:uiPriority w:val="30"/>
    <w:qFormat/>
    <w:rsid w:val="008B1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1EA1"/>
    <w:rPr>
      <w:i/>
      <w:iCs/>
      <w:color w:val="2F5496" w:themeColor="accent1" w:themeShade="BF"/>
    </w:rPr>
  </w:style>
  <w:style w:type="character" w:styleId="IntenseReference">
    <w:name w:val="Intense Reference"/>
    <w:basedOn w:val="DefaultParagraphFont"/>
    <w:uiPriority w:val="32"/>
    <w:qFormat/>
    <w:rsid w:val="008B1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Suneel Kumar</dc:creator>
  <cp:keywords/>
  <dc:description/>
  <cp:lastModifiedBy>Suneel Kumar</cp:lastModifiedBy>
  <cp:revision>27</cp:revision>
  <dcterms:created xsi:type="dcterms:W3CDTF">2025-09-23T04:22:00Z</dcterms:created>
  <dcterms:modified xsi:type="dcterms:W3CDTF">2026-03-25T08:49:00Z</dcterms:modified>
</cp:coreProperties>
</file>