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DF77B" w14:textId="6ED9C384" w:rsidR="004556FA" w:rsidRPr="00C27631" w:rsidRDefault="004556FA" w:rsidP="004556FA">
      <w:pPr>
        <w:autoSpaceDE w:val="0"/>
        <w:autoSpaceDN w:val="0"/>
        <w:adjustRightInd w:val="0"/>
        <w:spacing w:after="0" w:line="240" w:lineRule="auto"/>
        <w:jc w:val="center"/>
        <w:rPr>
          <w:rFonts w:ascii="Times New Roman" w:eastAsia="Yu Mincho" w:hAnsi="Times New Roman" w:cs="Times New Roman"/>
          <w:color w:val="000000"/>
          <w:sz w:val="24"/>
          <w:szCs w:val="24"/>
        </w:rPr>
      </w:pPr>
      <w:r w:rsidRPr="00C27631">
        <w:rPr>
          <w:rFonts w:ascii="Times New Roman" w:hAnsi="Times New Roman" w:cs="Times New Roman"/>
          <w:b/>
          <w:color w:val="000000"/>
          <w:sz w:val="24"/>
          <w:szCs w:val="24"/>
          <w:lang w:val="en-GB"/>
        </w:rPr>
        <w:t>ASSESSING POTENTIAL RISKS AND CHALLENGES OF FINTECH IMPLEMENTATION IN THE ZAMBIAN INSURANCE SECTOR</w:t>
      </w:r>
    </w:p>
    <w:p w14:paraId="045C1F66" w14:textId="77777777" w:rsidR="004556FA" w:rsidRPr="00C27631" w:rsidRDefault="004556FA" w:rsidP="004556FA">
      <w:pPr>
        <w:autoSpaceDE w:val="0"/>
        <w:autoSpaceDN w:val="0"/>
        <w:adjustRightInd w:val="0"/>
        <w:spacing w:after="0" w:line="240" w:lineRule="auto"/>
        <w:jc w:val="center"/>
        <w:rPr>
          <w:rFonts w:ascii="Times New Roman" w:hAnsi="Times New Roman" w:cs="Times New Roman"/>
          <w:bCs/>
          <w:iCs/>
          <w:sz w:val="24"/>
          <w:szCs w:val="24"/>
        </w:rPr>
      </w:pPr>
      <w:r w:rsidRPr="00C27631">
        <w:rPr>
          <w:rFonts w:ascii="Times New Roman" w:hAnsi="Times New Roman" w:cs="Times New Roman"/>
          <w:bCs/>
          <w:iCs/>
          <w:sz w:val="24"/>
          <w:szCs w:val="24"/>
        </w:rPr>
        <w:t>Yande Nambela</w:t>
      </w:r>
    </w:p>
    <w:p w14:paraId="5D2D4D51" w14:textId="77777777" w:rsidR="004556FA" w:rsidRPr="00C27631" w:rsidRDefault="004556FA" w:rsidP="004556FA">
      <w:pPr>
        <w:autoSpaceDE w:val="0"/>
        <w:autoSpaceDN w:val="0"/>
        <w:adjustRightInd w:val="0"/>
        <w:spacing w:after="0" w:line="240" w:lineRule="auto"/>
        <w:jc w:val="center"/>
        <w:rPr>
          <w:rFonts w:ascii="Times New Roman" w:eastAsia="Yu Mincho" w:hAnsi="Times New Roman" w:cs="Times New Roman"/>
          <w:color w:val="000000"/>
          <w:sz w:val="24"/>
          <w:szCs w:val="24"/>
        </w:rPr>
      </w:pPr>
      <w:r w:rsidRPr="00C27631">
        <w:rPr>
          <w:rFonts w:ascii="Times New Roman" w:eastAsia="Yu Mincho" w:hAnsi="Times New Roman" w:cs="Times New Roman"/>
          <w:color w:val="000000"/>
          <w:sz w:val="24"/>
          <w:szCs w:val="24"/>
        </w:rPr>
        <w:t>University of Zambia - Zambia</w:t>
      </w:r>
    </w:p>
    <w:p w14:paraId="2DFBFE49" w14:textId="3ABF8BD9" w:rsidR="004556FA" w:rsidRPr="00C27631" w:rsidRDefault="004556FA" w:rsidP="004556FA">
      <w:pPr>
        <w:autoSpaceDE w:val="0"/>
        <w:autoSpaceDN w:val="0"/>
        <w:adjustRightInd w:val="0"/>
        <w:spacing w:after="0" w:line="240" w:lineRule="auto"/>
        <w:jc w:val="center"/>
        <w:rPr>
          <w:rFonts w:ascii="Times New Roman" w:eastAsia="Yu Mincho" w:hAnsi="Times New Roman" w:cs="Times New Roman"/>
          <w:color w:val="000000"/>
          <w:sz w:val="24"/>
          <w:szCs w:val="24"/>
        </w:rPr>
      </w:pPr>
      <w:r w:rsidRPr="00C27631">
        <w:rPr>
          <w:rFonts w:ascii="Times New Roman" w:eastAsia="Yu Mincho" w:hAnsi="Times New Roman" w:cs="Times New Roman"/>
          <w:color w:val="000000"/>
          <w:sz w:val="24"/>
          <w:szCs w:val="24"/>
        </w:rPr>
        <w:t>Email. Yandenambela</w:t>
      </w:r>
      <w:r w:rsidR="00BD43E4">
        <w:rPr>
          <w:rFonts w:ascii="Times New Roman" w:eastAsia="Yu Mincho" w:hAnsi="Times New Roman" w:cs="Times New Roman"/>
          <w:color w:val="000000"/>
          <w:sz w:val="24"/>
          <w:szCs w:val="24"/>
        </w:rPr>
        <w:t>97</w:t>
      </w:r>
      <w:r w:rsidRPr="00C27631">
        <w:rPr>
          <w:rFonts w:ascii="Times New Roman" w:eastAsia="Yu Mincho" w:hAnsi="Times New Roman" w:cs="Times New Roman"/>
          <w:color w:val="000000"/>
          <w:sz w:val="24"/>
          <w:szCs w:val="24"/>
        </w:rPr>
        <w:t>@gmail.com</w:t>
      </w:r>
    </w:p>
    <w:p w14:paraId="3756F28A" w14:textId="77777777" w:rsidR="004556FA" w:rsidRPr="00C27631" w:rsidRDefault="004556FA" w:rsidP="004556FA">
      <w:pPr>
        <w:autoSpaceDE w:val="0"/>
        <w:autoSpaceDN w:val="0"/>
        <w:adjustRightInd w:val="0"/>
        <w:spacing w:after="0" w:line="240" w:lineRule="auto"/>
        <w:jc w:val="center"/>
        <w:rPr>
          <w:rFonts w:ascii="Times New Roman" w:eastAsia="Yu Mincho" w:hAnsi="Times New Roman" w:cs="Times New Roman"/>
          <w:color w:val="000000"/>
          <w:sz w:val="24"/>
          <w:szCs w:val="24"/>
        </w:rPr>
      </w:pPr>
    </w:p>
    <w:p w14:paraId="1DA35E91" w14:textId="77777777" w:rsidR="004556FA" w:rsidRPr="00C27631" w:rsidRDefault="004556FA" w:rsidP="004556FA">
      <w:pPr>
        <w:autoSpaceDE w:val="0"/>
        <w:autoSpaceDN w:val="0"/>
        <w:adjustRightInd w:val="0"/>
        <w:spacing w:after="0" w:line="240" w:lineRule="auto"/>
        <w:jc w:val="center"/>
        <w:rPr>
          <w:rFonts w:ascii="Times New Roman" w:eastAsia="Yu Mincho" w:hAnsi="Times New Roman" w:cs="Times New Roman"/>
          <w:color w:val="000000"/>
          <w:sz w:val="24"/>
          <w:szCs w:val="24"/>
        </w:rPr>
      </w:pPr>
      <w:r w:rsidRPr="00C27631">
        <w:rPr>
          <w:rFonts w:ascii="Times New Roman" w:eastAsia="Yu Mincho" w:hAnsi="Times New Roman" w:cs="Times New Roman"/>
          <w:color w:val="000000"/>
          <w:sz w:val="24"/>
          <w:szCs w:val="24"/>
        </w:rPr>
        <w:t>Supervisor:</w:t>
      </w:r>
      <w:r w:rsidRPr="00C27631">
        <w:rPr>
          <w:rFonts w:ascii="Times New Roman" w:hAnsi="Times New Roman" w:cs="Times New Roman"/>
          <w:sz w:val="24"/>
          <w:szCs w:val="24"/>
        </w:rPr>
        <w:t xml:space="preserve"> Dr. Martin Chasha</w:t>
      </w:r>
    </w:p>
    <w:p w14:paraId="1F6FB0A0" w14:textId="77777777" w:rsidR="004556FA" w:rsidRPr="00C27631" w:rsidRDefault="004556FA" w:rsidP="004556FA">
      <w:pPr>
        <w:pStyle w:val="Default"/>
        <w:pBdr>
          <w:bottom w:val="single" w:sz="12" w:space="1" w:color="auto"/>
        </w:pBdr>
        <w:jc w:val="center"/>
        <w:rPr>
          <w:rFonts w:eastAsia="Yu Mincho"/>
          <w:lang w:val="en-US"/>
        </w:rPr>
      </w:pPr>
      <w:r w:rsidRPr="00C27631">
        <w:rPr>
          <w:rFonts w:eastAsia="Yu Mincho"/>
          <w:lang w:val="en-US"/>
        </w:rPr>
        <w:t>University of Zambia – Zambia</w:t>
      </w:r>
    </w:p>
    <w:p w14:paraId="1AD7BCB3" w14:textId="77777777" w:rsidR="004556FA" w:rsidRPr="00C27631" w:rsidRDefault="004556FA" w:rsidP="004556FA">
      <w:pPr>
        <w:pStyle w:val="Default"/>
        <w:pBdr>
          <w:bottom w:val="single" w:sz="12" w:space="1" w:color="auto"/>
        </w:pBdr>
        <w:jc w:val="center"/>
        <w:rPr>
          <w:rFonts w:eastAsia="Yu Mincho"/>
          <w:sz w:val="20"/>
          <w:szCs w:val="20"/>
          <w:lang w:val="en-US"/>
        </w:rPr>
      </w:pPr>
    </w:p>
    <w:p w14:paraId="616ED8F2" w14:textId="77777777" w:rsidR="004556FA" w:rsidRPr="00C27631" w:rsidRDefault="004556FA" w:rsidP="004556FA">
      <w:pPr>
        <w:pStyle w:val="Heading1"/>
        <w:rPr>
          <w:rFonts w:eastAsia="Yu Mincho" w:cs="Times New Roman"/>
        </w:rPr>
      </w:pPr>
      <w:r w:rsidRPr="00C27631">
        <w:rPr>
          <w:rFonts w:eastAsia="Yu Mincho" w:cs="Times New Roman"/>
        </w:rPr>
        <w:t>ABSTRACT</w:t>
      </w:r>
    </w:p>
    <w:p w14:paraId="25E7D5FD" w14:textId="7703FABA" w:rsidR="00C26CCA" w:rsidRPr="00C26CCA" w:rsidRDefault="00C26CCA" w:rsidP="00386EE7">
      <w:pPr>
        <w:shd w:val="clear" w:color="auto" w:fill="D9E2F3" w:themeFill="accent1" w:themeFillTint="33"/>
        <w:spacing w:before="100" w:beforeAutospacing="1" w:after="100" w:afterAutospacing="1" w:line="276" w:lineRule="auto"/>
        <w:jc w:val="both"/>
        <w:rPr>
          <w:rFonts w:ascii="Times New Roman" w:eastAsia="Times New Roman" w:hAnsi="Times New Roman" w:cs="Times New Roman"/>
        </w:rPr>
      </w:pPr>
      <w:r w:rsidRPr="00C26CCA">
        <w:rPr>
          <w:rFonts w:ascii="Times New Roman" w:eastAsia="Times New Roman" w:hAnsi="Times New Roman" w:cs="Times New Roman"/>
        </w:rPr>
        <w:t>This study examined the impact of Financial Technology (FinTech) adoption in the Zambian insurance industry, with a focus on business model transformation, risks and challenges, and risk management strategies. Findings showed that 64.1% of companies reported noticeable changes in their business models following FinTech adoption, underscoring a strong transformative effect. Data security emerged as the leading risk (52.6%), followed by technology integration (34.9%), regulatory compliance (28.6%), and dependence on third parties (24.5%). To manage these risks, companies most commonly implemented robust security measures (47.1%), regular compliance checks (33.6%), technology integration investments (29.2%), and vendor diversification (22.9%).</w:t>
      </w:r>
      <w:r w:rsidRPr="00C27631">
        <w:rPr>
          <w:rFonts w:ascii="Times New Roman" w:eastAsia="Times New Roman" w:hAnsi="Times New Roman" w:cs="Times New Roman"/>
        </w:rPr>
        <w:t xml:space="preserve"> </w:t>
      </w:r>
      <w:r w:rsidRPr="00C26CCA">
        <w:rPr>
          <w:rFonts w:ascii="Times New Roman" w:eastAsia="Times New Roman" w:hAnsi="Times New Roman" w:cs="Times New Roman"/>
        </w:rPr>
        <w:t xml:space="preserve">The study revealed that risk management strategies varied by company size: smaller firms prioritized infrastructure improvements and incremental adoption, while medium and large firms focused more on collaboration, regulatory engagement, and employee training. Qualitative insights highlighted that FinTech adoption enhanced operational efficiency, improved customer experience, and facilitated product innovation, but also brought challenges such as high implementation costs, employee resistance, and regulatory uncertainty. </w:t>
      </w:r>
      <w:r w:rsidRPr="00C27631">
        <w:rPr>
          <w:rFonts w:ascii="Times New Roman" w:eastAsia="Times New Roman" w:hAnsi="Times New Roman" w:cs="Times New Roman"/>
        </w:rPr>
        <w:t xml:space="preserve"> </w:t>
      </w:r>
      <w:r w:rsidRPr="00C26CCA">
        <w:rPr>
          <w:rFonts w:ascii="Times New Roman" w:eastAsia="Times New Roman" w:hAnsi="Times New Roman" w:cs="Times New Roman"/>
        </w:rPr>
        <w:t xml:space="preserve">Overall, FinTech adoption in Zambia’s insurance sector was found to be moderate to high, with larger companies more likely to adopt digital solutions. The study concluded that coordinated strategies, enhanced regulatory frameworks, and continued capacity building are essential for maximizing FinTech’s potential in the industry. </w:t>
      </w:r>
    </w:p>
    <w:p w14:paraId="2C987DAA" w14:textId="42D7B01E" w:rsidR="004556FA" w:rsidRPr="00C27631" w:rsidRDefault="004556FA" w:rsidP="00386EE7">
      <w:pPr>
        <w:shd w:val="clear" w:color="auto" w:fill="D9E2F3" w:themeFill="accent1" w:themeFillTint="33"/>
        <w:rPr>
          <w:rFonts w:ascii="Times New Roman" w:hAnsi="Times New Roman" w:cs="Times New Roman"/>
          <w:i/>
          <w:iCs/>
          <w:sz w:val="20"/>
          <w:szCs w:val="20"/>
        </w:rPr>
      </w:pPr>
      <w:r w:rsidRPr="00C27631">
        <w:rPr>
          <w:rFonts w:ascii="Times New Roman" w:hAnsi="Times New Roman" w:cs="Times New Roman"/>
          <w:b/>
          <w:bCs/>
          <w:sz w:val="20"/>
          <w:szCs w:val="20"/>
        </w:rPr>
        <w:t>Key words</w:t>
      </w:r>
      <w:r w:rsidRPr="00C27631">
        <w:rPr>
          <w:rFonts w:ascii="Times New Roman" w:hAnsi="Times New Roman" w:cs="Times New Roman"/>
          <w:sz w:val="20"/>
          <w:szCs w:val="20"/>
        </w:rPr>
        <w:t xml:space="preserve">: </w:t>
      </w:r>
      <w:r w:rsidRPr="00C27631">
        <w:rPr>
          <w:rFonts w:ascii="Times New Roman" w:hAnsi="Times New Roman" w:cs="Times New Roman"/>
          <w:i/>
          <w:iCs/>
          <w:sz w:val="20"/>
          <w:szCs w:val="20"/>
        </w:rPr>
        <w:t>FinTech Adoption, Customer Experience, Insurance. Operational Efficiency, Technological Innovation.</w:t>
      </w:r>
    </w:p>
    <w:p w14:paraId="678C3C30" w14:textId="77777777" w:rsidR="00386EE7" w:rsidRPr="00C27631" w:rsidRDefault="00386EE7" w:rsidP="004556FA">
      <w:pPr>
        <w:rPr>
          <w:rFonts w:ascii="Times New Roman" w:hAnsi="Times New Roman" w:cs="Times New Roman"/>
          <w:i/>
          <w:iCs/>
          <w:sz w:val="24"/>
          <w:szCs w:val="24"/>
        </w:rPr>
      </w:pPr>
    </w:p>
    <w:p w14:paraId="1F819E0E" w14:textId="77777777" w:rsidR="00C26CCA" w:rsidRPr="00C26CCA" w:rsidRDefault="00C26CCA" w:rsidP="00C26CCA">
      <w:pPr>
        <w:spacing w:before="100" w:beforeAutospacing="1" w:after="100" w:afterAutospacing="1" w:line="240" w:lineRule="auto"/>
        <w:rPr>
          <w:rFonts w:ascii="Times New Roman" w:eastAsia="Times New Roman" w:hAnsi="Times New Roman" w:cs="Times New Roman"/>
          <w:sz w:val="24"/>
          <w:szCs w:val="24"/>
        </w:rPr>
      </w:pPr>
      <w:r w:rsidRPr="00C26CCA">
        <w:rPr>
          <w:rFonts w:ascii="Times New Roman" w:eastAsia="Times New Roman" w:hAnsi="Times New Roman" w:cs="Times New Roman"/>
          <w:b/>
          <w:bCs/>
          <w:sz w:val="24"/>
          <w:szCs w:val="24"/>
        </w:rPr>
        <w:t>1.1 Introduction and Background</w:t>
      </w:r>
    </w:p>
    <w:p w14:paraId="4A994F09" w14:textId="77777777" w:rsidR="00C26CCA" w:rsidRPr="00C26CCA" w:rsidRDefault="00C26CCA" w:rsidP="00386EE7">
      <w:pPr>
        <w:spacing w:before="100" w:beforeAutospacing="1" w:after="100" w:afterAutospacing="1" w:line="276" w:lineRule="auto"/>
        <w:jc w:val="both"/>
        <w:rPr>
          <w:rFonts w:ascii="Times New Roman" w:eastAsia="Times New Roman" w:hAnsi="Times New Roman" w:cs="Times New Roman"/>
        </w:rPr>
      </w:pPr>
      <w:r w:rsidRPr="00C26CCA">
        <w:rPr>
          <w:rFonts w:ascii="Times New Roman" w:eastAsia="Times New Roman" w:hAnsi="Times New Roman" w:cs="Times New Roman"/>
        </w:rPr>
        <w:t xml:space="preserve">Financial technology (FinTech) encompasses the innovative deployment of digital technologies to enhance and automate the provision of financial services, spanning domains such as mobile banking, online payments, crowdfunding, insurtech, and robo-advisory (Arner, Barberis &amp; Buckley, 2016). Over the past decade, the proliferation of FinTech has precipitated profound transformations within the global financial landscape, disrupting traditional business models and markedly improving the efficiency, accessibility, and inclusiveness of financial services (Philippon, 2016). The ubiquity of smartphones and expanded internet connectivity have been instrumental in driving this evolution, particularly in emerging markets where conventional financial infrastructure remains underdeveloped (Gomber et al., 2018). As a result, FinTech enterprises have succeeded in extending financial services to previously underserved populations, thereby advancing the goals of financial inclusion and accessibility (Ozili, 2018). The influence of FinTech is both </w:t>
      </w:r>
      <w:r w:rsidRPr="00C26CCA">
        <w:rPr>
          <w:rFonts w:ascii="Times New Roman" w:eastAsia="Times New Roman" w:hAnsi="Times New Roman" w:cs="Times New Roman"/>
        </w:rPr>
        <w:lastRenderedPageBreak/>
        <w:t>multidimensional and far-reaching, revolutionizing not only payments and banking but also lending, investments, and the insurance industry, each presenting distinct opportunities and challenges (Vives, 2017).</w:t>
      </w:r>
    </w:p>
    <w:p w14:paraId="7679DED6" w14:textId="2CB65928" w:rsidR="00C26CCA" w:rsidRPr="00C26CCA" w:rsidRDefault="00C26CCA" w:rsidP="00386EE7">
      <w:pPr>
        <w:spacing w:before="100" w:beforeAutospacing="1" w:after="100" w:afterAutospacing="1" w:line="276" w:lineRule="auto"/>
        <w:jc w:val="both"/>
        <w:rPr>
          <w:rFonts w:ascii="Times New Roman" w:eastAsia="Times New Roman" w:hAnsi="Times New Roman" w:cs="Times New Roman"/>
        </w:rPr>
      </w:pPr>
      <w:r w:rsidRPr="00C26CCA">
        <w:rPr>
          <w:rFonts w:ascii="Times New Roman" w:eastAsia="Times New Roman" w:hAnsi="Times New Roman" w:cs="Times New Roman"/>
        </w:rPr>
        <w:t>Within Africa, the adoption of FinTech has accelerated, propelled by expanding digital infrastructure, rising mobile penetration, and an acute need to mitigate financial exclusion (Mothobi &amp; Grzybowski, 2017). Across the continent, innovative FinTech solutions—especially in mobile banking and digital payments</w:t>
      </w:r>
      <w:r w:rsidR="00972830" w:rsidRPr="00C27631">
        <w:rPr>
          <w:rFonts w:ascii="Times New Roman" w:eastAsia="Times New Roman" w:hAnsi="Times New Roman" w:cs="Times New Roman"/>
        </w:rPr>
        <w:t xml:space="preserve"> </w:t>
      </w:r>
      <w:r w:rsidRPr="00C26CCA">
        <w:rPr>
          <w:rFonts w:ascii="Times New Roman" w:eastAsia="Times New Roman" w:hAnsi="Times New Roman" w:cs="Times New Roman"/>
        </w:rPr>
        <w:t>have begun to address enduring gaps in traditional financial systems (Demirgüç-Kunt et al., 2022). In Zambia, the insurance sector has long contended with low market penetration, limited technological innovation, and a reliance on manual processes (PWC Zambia, 2022). Historically, the sector was characterized by laborious procedures, heavy dependence on brokers and agents, and slow, costly access to insurance products. However, the sector is undergoing significant transformation, driven by technological advancements, regulatory reforms, and the widespread adoption of mobile devices, which collectively present new prospects for innovation and growth (Zambia Information and Communications Technology Authority, 2022).</w:t>
      </w:r>
    </w:p>
    <w:p w14:paraId="3C66BE64" w14:textId="77777777" w:rsidR="00C26CCA" w:rsidRPr="00C26CCA" w:rsidRDefault="00C26CCA" w:rsidP="00386EE7">
      <w:pPr>
        <w:spacing w:before="100" w:beforeAutospacing="1" w:after="100" w:afterAutospacing="1" w:line="276" w:lineRule="auto"/>
        <w:jc w:val="both"/>
        <w:rPr>
          <w:rFonts w:ascii="Times New Roman" w:eastAsia="Times New Roman" w:hAnsi="Times New Roman" w:cs="Times New Roman"/>
        </w:rPr>
      </w:pPr>
      <w:r w:rsidRPr="00C26CCA">
        <w:rPr>
          <w:rFonts w:ascii="Times New Roman" w:eastAsia="Times New Roman" w:hAnsi="Times New Roman" w:cs="Times New Roman"/>
        </w:rPr>
        <w:t>The insurance industry, with origins in ancient risk-sharing arrangements and formalized in seventeenth-century Europe, has been continually reshaped by successive waves of innovation, particularly throughout the twentieth and twenty-first centuries (Harper, 2017; Outreville, 2013). Recent developments—including online policy management, automated claims processing, and predictive analytics—have further revolutionized the sector (Deloitte, 2022). In Zambia, insurers are increasingly leveraging digital platforms, automating claims processes, and utilizing artificial intelligence-driven customer service tools to enhance operational efficiency and improve client experiences. Nonetheless, persistent obstacles such as regulatory complexities, cybersecurity risks, and infrastructural limitations continue to impede the comprehensive adoption and integration of FinTech solutions (Chowa et al., 2020).</w:t>
      </w:r>
    </w:p>
    <w:p w14:paraId="4CA2C58A" w14:textId="77777777" w:rsidR="00C26CCA" w:rsidRPr="00C26CCA" w:rsidRDefault="00C26CCA" w:rsidP="00386EE7">
      <w:pPr>
        <w:spacing w:before="100" w:beforeAutospacing="1" w:after="100" w:afterAutospacing="1" w:line="276" w:lineRule="auto"/>
        <w:jc w:val="both"/>
        <w:rPr>
          <w:rFonts w:ascii="Times New Roman" w:eastAsia="Times New Roman" w:hAnsi="Times New Roman" w:cs="Times New Roman"/>
        </w:rPr>
      </w:pPr>
      <w:r w:rsidRPr="00C26CCA">
        <w:rPr>
          <w:rFonts w:ascii="Times New Roman" w:eastAsia="Times New Roman" w:hAnsi="Times New Roman" w:cs="Times New Roman"/>
        </w:rPr>
        <w:t>This study critically examines the transformative impact of FinTech adoption within Zambia’s insurance industry. Specifically, it aims to identify the primary factors influencing adoption, assess the attendant benefits and challenges, and evaluate the resultant effects on operational efficiency, customer experience, and firm competitiveness. By addressing these dimensions, the research aspires to furnish actionable insights for industry stakeholders and policymakers, thereby supporting the sustainable growth and modernization of Zambia’s insurance sector through the strategic deployment of FinTech.</w:t>
      </w:r>
    </w:p>
    <w:p w14:paraId="1B81165A" w14:textId="77777777" w:rsidR="00C26CCA" w:rsidRPr="00C27631" w:rsidRDefault="00C26CCA" w:rsidP="00386EE7">
      <w:pPr>
        <w:pStyle w:val="Heading2"/>
        <w:rPr>
          <w:rFonts w:eastAsia="Times New Roman"/>
        </w:rPr>
      </w:pPr>
      <w:r w:rsidRPr="00C27631">
        <w:rPr>
          <w:rFonts w:eastAsia="Times New Roman"/>
        </w:rPr>
        <w:t>1.2 Statement of the Problem</w:t>
      </w:r>
    </w:p>
    <w:p w14:paraId="42433EA8" w14:textId="6B36A672" w:rsidR="00C26CCA" w:rsidRPr="00C27631" w:rsidRDefault="00C26CCA" w:rsidP="00386EE7">
      <w:pPr>
        <w:spacing w:before="100" w:beforeAutospacing="1" w:after="100" w:afterAutospacing="1" w:line="276" w:lineRule="auto"/>
        <w:jc w:val="both"/>
        <w:rPr>
          <w:rFonts w:ascii="Times New Roman" w:eastAsia="Times New Roman" w:hAnsi="Times New Roman" w:cs="Times New Roman"/>
        </w:rPr>
      </w:pPr>
      <w:r w:rsidRPr="00C26CCA">
        <w:rPr>
          <w:rFonts w:ascii="Times New Roman" w:eastAsia="Times New Roman" w:hAnsi="Times New Roman" w:cs="Times New Roman"/>
        </w:rPr>
        <w:t xml:space="preserve">Despite the transformative potential of Financial Technology (FinTech) in streamlining operations and enhancing customer experiences within the insurance industry, Zambia’s sector continues to lag behind regional counterparts, with an insurance penetration rate of just 2.8% compared to 14.3% in South Africa and 3.3% in Kenya (African Insurance Organisation, 2021; Pensions and Insurance Authority, 2022). Key impediments include infrastructural inadequacies, persistent rural-urban digital divides, and systemic challenges such as low insurance literacy, regulatory fragmentation, and prohibitively high technology adoption costs (Moonga &amp; Katongo, 2019; Bank of Zambia, 2023). Empirical studies reveal that only a minority of Zambian insurers have adopted even basic digital tools, leaving a substantial proportion of customers excluded from mobile-based insurance platforms (Kanyembo et al., 2020; Mutanga et al., 2019). </w:t>
      </w:r>
      <w:r w:rsidRPr="00C26CCA">
        <w:rPr>
          <w:rFonts w:ascii="Times New Roman" w:eastAsia="Times New Roman" w:hAnsi="Times New Roman" w:cs="Times New Roman"/>
        </w:rPr>
        <w:lastRenderedPageBreak/>
        <w:t>While international research underscores operational efficiency gains of 30–40% following FinTech adoption (McKinsey &amp; Company, 2022), there remains a dearth of localized, empirical evidence from Zambia. This knowledge gap constrains evidence-based policymaking and hinders sectoral innovation. Accordingly, this study seeks to address the deficiency by conducting a rigorous, context-specific analysis of the drivers, impacts, and barriers associated with FinTech adoption in Zambia’s insurance sector. The findings aim to inform policy, guide strategic investments, and catalyze the digital transformation of the industry.</w:t>
      </w:r>
    </w:p>
    <w:p w14:paraId="2A9C5D06" w14:textId="402F964D" w:rsidR="00897605" w:rsidRPr="00C27631" w:rsidRDefault="00386EE7" w:rsidP="00386EE7">
      <w:pPr>
        <w:pStyle w:val="Heading3"/>
      </w:pPr>
      <w:r w:rsidRPr="00C27631">
        <w:t xml:space="preserve">1.3 </w:t>
      </w:r>
      <w:r w:rsidR="00897605" w:rsidRPr="00C27631">
        <w:t>Aim of the study</w:t>
      </w:r>
    </w:p>
    <w:p w14:paraId="1DCD2FF6" w14:textId="10016D3D" w:rsidR="00897605" w:rsidRPr="00C27631" w:rsidRDefault="00897605" w:rsidP="00C26CCA">
      <w:pPr>
        <w:spacing w:before="100" w:beforeAutospacing="1" w:after="100" w:afterAutospacing="1" w:line="240" w:lineRule="auto"/>
        <w:rPr>
          <w:rStyle w:val="Strong"/>
          <w:rFonts w:ascii="Times New Roman" w:hAnsi="Times New Roman" w:cs="Times New Roman"/>
          <w:b w:val="0"/>
          <w:bCs w:val="0"/>
        </w:rPr>
      </w:pPr>
      <w:r w:rsidRPr="00C27631">
        <w:rPr>
          <w:rStyle w:val="Strong"/>
          <w:rFonts w:ascii="Times New Roman" w:hAnsi="Times New Roman" w:cs="Times New Roman"/>
          <w:b w:val="0"/>
          <w:bCs w:val="0"/>
        </w:rPr>
        <w:t>The main aim of this paper was to assess the Risks and Challenges associated with FinTech Adoption in Zambia’s Insurance Industry.</w:t>
      </w:r>
    </w:p>
    <w:p w14:paraId="21C8764C" w14:textId="0F846A4F" w:rsidR="00897605" w:rsidRPr="00C27631" w:rsidRDefault="00386EE7" w:rsidP="00386EE7">
      <w:pPr>
        <w:pStyle w:val="Heading3"/>
        <w:rPr>
          <w:rStyle w:val="Strong"/>
        </w:rPr>
      </w:pPr>
      <w:r w:rsidRPr="00C27631">
        <w:t xml:space="preserve">1.4 </w:t>
      </w:r>
      <w:r w:rsidR="00897605" w:rsidRPr="00C27631">
        <w:t>Research Objectives</w:t>
      </w:r>
    </w:p>
    <w:p w14:paraId="22C255D9" w14:textId="337A2E9C" w:rsidR="00897605" w:rsidRPr="00C27631" w:rsidRDefault="00897605" w:rsidP="00915E8E">
      <w:pPr>
        <w:pStyle w:val="ListParagraph"/>
        <w:numPr>
          <w:ilvl w:val="0"/>
          <w:numId w:val="6"/>
        </w:numPr>
        <w:rPr>
          <w:rFonts w:ascii="Times New Roman" w:hAnsi="Times New Roman" w:cs="Times New Roman"/>
          <w:b/>
          <w:bCs/>
        </w:rPr>
      </w:pPr>
      <w:r w:rsidRPr="00C27631">
        <w:rPr>
          <w:rStyle w:val="Strong"/>
          <w:rFonts w:ascii="Times New Roman" w:hAnsi="Times New Roman" w:cs="Times New Roman"/>
          <w:b w:val="0"/>
          <w:bCs w:val="0"/>
        </w:rPr>
        <w:t>To identify the key risks associated with FinTech adoption in Zambia's insurance industry.</w:t>
      </w:r>
    </w:p>
    <w:p w14:paraId="49D2175D" w14:textId="77777777" w:rsidR="00897605" w:rsidRPr="00C27631" w:rsidRDefault="00897605" w:rsidP="00915E8E">
      <w:pPr>
        <w:pStyle w:val="ListParagraph"/>
        <w:numPr>
          <w:ilvl w:val="0"/>
          <w:numId w:val="6"/>
        </w:numPr>
        <w:spacing w:after="91" w:line="360" w:lineRule="auto"/>
        <w:ind w:right="6"/>
        <w:jc w:val="both"/>
        <w:rPr>
          <w:rFonts w:ascii="Times New Roman" w:hAnsi="Times New Roman" w:cs="Times New Roman"/>
          <w:b/>
          <w:bCs/>
          <w:sz w:val="24"/>
          <w:szCs w:val="24"/>
        </w:rPr>
      </w:pPr>
      <w:r w:rsidRPr="00C27631">
        <w:rPr>
          <w:rStyle w:val="Strong"/>
          <w:rFonts w:ascii="Times New Roman" w:hAnsi="Times New Roman" w:cs="Times New Roman"/>
          <w:b w:val="0"/>
          <w:bCs w:val="0"/>
        </w:rPr>
        <w:t>To examine the primary challenges faced by insurance companies when implementing FinTech solutions.</w:t>
      </w:r>
      <w:r w:rsidRPr="00C27631">
        <w:rPr>
          <w:rFonts w:ascii="Times New Roman" w:hAnsi="Times New Roman" w:cs="Times New Roman"/>
          <w:b/>
          <w:bCs/>
          <w:sz w:val="24"/>
          <w:szCs w:val="24"/>
        </w:rPr>
        <w:t xml:space="preserve"> </w:t>
      </w:r>
    </w:p>
    <w:p w14:paraId="71FAC1BC" w14:textId="715AF767" w:rsidR="00897605" w:rsidRPr="00C27631" w:rsidRDefault="00897605" w:rsidP="00915E8E">
      <w:pPr>
        <w:pStyle w:val="ListParagraph"/>
        <w:numPr>
          <w:ilvl w:val="0"/>
          <w:numId w:val="6"/>
        </w:numPr>
        <w:spacing w:after="91" w:line="360" w:lineRule="auto"/>
        <w:ind w:right="6"/>
        <w:jc w:val="both"/>
        <w:rPr>
          <w:rFonts w:ascii="Times New Roman" w:hAnsi="Times New Roman" w:cs="Times New Roman"/>
          <w:sz w:val="24"/>
          <w:szCs w:val="24"/>
        </w:rPr>
      </w:pPr>
      <w:r w:rsidRPr="00C27631">
        <w:rPr>
          <w:rFonts w:ascii="Times New Roman" w:hAnsi="Times New Roman" w:cs="Times New Roman"/>
          <w:sz w:val="24"/>
          <w:szCs w:val="24"/>
        </w:rPr>
        <w:t xml:space="preserve">To propose strategies and recommendations for insurance firms and policymakers to enhance FinTech adoption in Zambia. </w:t>
      </w:r>
    </w:p>
    <w:p w14:paraId="5753FECC" w14:textId="3E81E62A" w:rsidR="00B10648" w:rsidRPr="00C27631" w:rsidRDefault="00B10648" w:rsidP="00386EE7">
      <w:pPr>
        <w:pStyle w:val="Heading1"/>
        <w:rPr>
          <w:rFonts w:cs="Times New Roman"/>
        </w:rPr>
      </w:pPr>
      <w:r w:rsidRPr="00C27631">
        <w:rPr>
          <w:rStyle w:val="Strong"/>
          <w:rFonts w:cs="Times New Roman"/>
          <w:b/>
          <w:bCs w:val="0"/>
        </w:rPr>
        <w:t>2. Literature Review</w:t>
      </w:r>
    </w:p>
    <w:p w14:paraId="6565CF1D" w14:textId="77777777" w:rsidR="00386EE7" w:rsidRPr="00C27631" w:rsidRDefault="00B10648" w:rsidP="00386EE7">
      <w:pPr>
        <w:pStyle w:val="Heading2"/>
        <w:rPr>
          <w:rStyle w:val="Strong"/>
          <w:b/>
          <w:bCs/>
        </w:rPr>
      </w:pPr>
      <w:r w:rsidRPr="00C27631">
        <w:rPr>
          <w:rStyle w:val="Strong"/>
          <w:b/>
          <w:bCs/>
        </w:rPr>
        <w:t>2.1 Overview of FinTech in the Insurance Sector (InsurTech)</w:t>
      </w:r>
    </w:p>
    <w:p w14:paraId="4C62B0E6" w14:textId="495EF3E3" w:rsidR="00B10648" w:rsidRPr="00C27631" w:rsidRDefault="00B10648" w:rsidP="00290D60">
      <w:pPr>
        <w:pStyle w:val="muitypography-root"/>
        <w:spacing w:line="276" w:lineRule="auto"/>
        <w:jc w:val="both"/>
        <w:rPr>
          <w:sz w:val="22"/>
          <w:szCs w:val="22"/>
        </w:rPr>
      </w:pPr>
      <w:r w:rsidRPr="00C27631">
        <w:rPr>
          <w:sz w:val="22"/>
          <w:szCs w:val="22"/>
        </w:rPr>
        <w:t>The integration of Financial Technology (FinTech) into the insurance industry</w:t>
      </w:r>
      <w:r w:rsidR="00386EE7" w:rsidRPr="00C27631">
        <w:rPr>
          <w:sz w:val="22"/>
          <w:szCs w:val="22"/>
        </w:rPr>
        <w:t xml:space="preserve"> </w:t>
      </w:r>
      <w:r w:rsidRPr="00C27631">
        <w:rPr>
          <w:sz w:val="22"/>
          <w:szCs w:val="22"/>
        </w:rPr>
        <w:t>often referred to as InsurTech</w:t>
      </w:r>
      <w:r w:rsidR="00386EE7" w:rsidRPr="00C27631">
        <w:rPr>
          <w:sz w:val="22"/>
          <w:szCs w:val="22"/>
        </w:rPr>
        <w:t xml:space="preserve"> </w:t>
      </w:r>
      <w:r w:rsidRPr="00C27631">
        <w:rPr>
          <w:sz w:val="22"/>
          <w:szCs w:val="22"/>
        </w:rPr>
        <w:t>has redefined traditional insurance operations globally. InsurTech leverages technologies such as artificial intelligence, blockchain, big data analytics, cloud computing, and mobile applications to streamline processes, reduce costs, and enhance customer engagement (Puschmann, 2017; Gomber et al., 2018). These innovations have enabled insurers to automate claims management, personalize product offerings, improve risk assessment, and increase market reach, particularly in previously underserved segments (Lloyd’s, 2019).</w:t>
      </w:r>
    </w:p>
    <w:p w14:paraId="3FA77596" w14:textId="77777777" w:rsidR="00B10648" w:rsidRPr="00C27631" w:rsidRDefault="00B10648" w:rsidP="00386EE7">
      <w:pPr>
        <w:pStyle w:val="Heading2"/>
        <w:rPr>
          <w:rFonts w:eastAsia="Times New Roman"/>
        </w:rPr>
      </w:pPr>
      <w:r w:rsidRPr="00C27631">
        <w:rPr>
          <w:rFonts w:eastAsia="Times New Roman"/>
        </w:rPr>
        <w:t>2.2 Risks Associated with FinTech Adoption in Insurance</w:t>
      </w:r>
    </w:p>
    <w:p w14:paraId="1656D077" w14:textId="77777777" w:rsidR="00B10648" w:rsidRPr="00B10648" w:rsidRDefault="00B10648" w:rsidP="00290D60">
      <w:pPr>
        <w:spacing w:before="100" w:beforeAutospacing="1" w:after="100" w:afterAutospacing="1" w:line="276" w:lineRule="auto"/>
        <w:jc w:val="both"/>
        <w:rPr>
          <w:rFonts w:ascii="Times New Roman" w:eastAsia="Times New Roman" w:hAnsi="Times New Roman" w:cs="Times New Roman"/>
        </w:rPr>
      </w:pPr>
      <w:r w:rsidRPr="00B10648">
        <w:rPr>
          <w:rFonts w:ascii="Times New Roman" w:eastAsia="Times New Roman" w:hAnsi="Times New Roman" w:cs="Times New Roman"/>
        </w:rPr>
        <w:t xml:space="preserve">Despite the transformative potential that FinTech offers to the insurance industry, its adoption is not without substantial risks. One of the most pronounced risks concerns data security. As insurance firms increasingly digitize their operations and rely on cloud-based platforms, they collect, process, and store vast amounts of sensitive customer data, including personal identification, medical records, and financial details (Arner et al., 2016). This heightened reliance on digital infrastructure exposes insurers to a broader array of cybersecurity threats, such as phishing, hacking, malware, and ransomware attacks, which can result in significant data breaches. The consequences of such breaches go beyond immediate financial losses; they can severely erode customer trust, damage brand reputation, and invite regulatory penalties (Deloitte, 2022). </w:t>
      </w:r>
      <w:r w:rsidRPr="00B10648">
        <w:rPr>
          <w:rFonts w:ascii="Times New Roman" w:eastAsia="Times New Roman" w:hAnsi="Times New Roman" w:cs="Times New Roman"/>
        </w:rPr>
        <w:lastRenderedPageBreak/>
        <w:t>In high-profile cases globally, cybersecurity lapses have led to millions of compromised customer records, resulting in prolonged litigation and costly remediation efforts.</w:t>
      </w:r>
    </w:p>
    <w:p w14:paraId="1B8817F6" w14:textId="77777777" w:rsidR="00B10648" w:rsidRPr="00B10648" w:rsidRDefault="00B10648" w:rsidP="00290D60">
      <w:pPr>
        <w:spacing w:before="100" w:beforeAutospacing="1" w:after="100" w:afterAutospacing="1" w:line="276" w:lineRule="auto"/>
        <w:jc w:val="both"/>
        <w:rPr>
          <w:rFonts w:ascii="Times New Roman" w:eastAsia="Times New Roman" w:hAnsi="Times New Roman" w:cs="Times New Roman"/>
        </w:rPr>
      </w:pPr>
      <w:r w:rsidRPr="00B10648">
        <w:rPr>
          <w:rFonts w:ascii="Times New Roman" w:eastAsia="Times New Roman" w:hAnsi="Times New Roman" w:cs="Times New Roman"/>
        </w:rPr>
        <w:t>Another major risk centers on regulatory compliance. The rapid evolution of FinTech often outpaces the development and enforcement of appropriate legal frameworks (Zetzsche et al., 2017). Insurers venturing into FinTech must navigate a complex landscape of regulations that may be inconsistently applied or lack clarity regarding new digital products and services. In markets with underdeveloped regulatory environments, the lack of clear guidelines can create ambiguities and uncertainties, increasing the risk of non-compliance and associated legal repercussions. This is particularly pertinent in emerging economies, where regulatory bodies may struggle to keep pace with technological advancements, creating potential bottlenecks for insurance innovation.</w:t>
      </w:r>
    </w:p>
    <w:p w14:paraId="4F0BEAB8" w14:textId="77777777" w:rsidR="00B10648" w:rsidRPr="00B10648" w:rsidRDefault="00B10648" w:rsidP="00290D60">
      <w:pPr>
        <w:spacing w:before="100" w:beforeAutospacing="1" w:after="100" w:afterAutospacing="1" w:line="276" w:lineRule="auto"/>
        <w:jc w:val="both"/>
        <w:rPr>
          <w:rFonts w:ascii="Times New Roman" w:eastAsia="Times New Roman" w:hAnsi="Times New Roman" w:cs="Times New Roman"/>
        </w:rPr>
      </w:pPr>
      <w:r w:rsidRPr="00B10648">
        <w:rPr>
          <w:rFonts w:ascii="Times New Roman" w:eastAsia="Times New Roman" w:hAnsi="Times New Roman" w:cs="Times New Roman"/>
        </w:rPr>
        <w:t>FinTech adoption also introduces increased dependence on third-party technology vendors and service providers. The use of external platforms for functions such as claims automation, customer onboarding, and payment processing can expose insurers to vendor-related risks (PwC, 2019). If a critical vendor experiences outages, data breaches, or fails to comply with regulatory requirements, the insurer may suffer operational disruptions or reputational harm. Furthermore, over-reliance on a single vendor could reduce an insurer’s bargaining power and flexibility, making it more difficult to adapt quickly to technological changes or regulatory shifts.</w:t>
      </w:r>
    </w:p>
    <w:p w14:paraId="6B56FD1B" w14:textId="54D2258A" w:rsidR="00B10648" w:rsidRPr="00B10648" w:rsidRDefault="00B10648" w:rsidP="00290D60">
      <w:pPr>
        <w:spacing w:before="100" w:beforeAutospacing="1" w:after="100" w:afterAutospacing="1" w:line="276" w:lineRule="auto"/>
        <w:jc w:val="both"/>
        <w:rPr>
          <w:rFonts w:ascii="Times New Roman" w:eastAsia="Times New Roman" w:hAnsi="Times New Roman" w:cs="Times New Roman"/>
        </w:rPr>
      </w:pPr>
      <w:r w:rsidRPr="00B10648">
        <w:rPr>
          <w:rFonts w:ascii="Times New Roman" w:eastAsia="Times New Roman" w:hAnsi="Times New Roman" w:cs="Times New Roman"/>
        </w:rPr>
        <w:t>Operational risk is another important consideration, especially when integrating FinTech tools into existing workflows. System failures, software bugs, or incompatibilities with legacy systems can lead to interruptions in service delivery and financial losses. These risks are exacerbated in environments with limited IT governance or insufficient expertise to oversee complex digital transformations.</w:t>
      </w:r>
      <w:r w:rsidRPr="00C27631">
        <w:rPr>
          <w:rFonts w:ascii="Times New Roman" w:eastAsia="Times New Roman" w:hAnsi="Times New Roman" w:cs="Times New Roman"/>
        </w:rPr>
        <w:t xml:space="preserve"> </w:t>
      </w:r>
      <w:r w:rsidRPr="00B10648">
        <w:rPr>
          <w:rFonts w:ascii="Times New Roman" w:eastAsia="Times New Roman" w:hAnsi="Times New Roman" w:cs="Times New Roman"/>
        </w:rPr>
        <w:t>Lastly, there are strategic risks associated with innovation cycles. The rapid pace of FinTech development means that insurers face the possibility of investing in technologies that may quickly become obsolete. Keeping up with technological trends requires ongoing investment and can strain the resources of smaller insurers who may lack the scale to absorb such risks (Eling &amp; Lehmann, 2018).</w:t>
      </w:r>
    </w:p>
    <w:p w14:paraId="0338E3C8" w14:textId="77777777" w:rsidR="00B10648" w:rsidRPr="00C27631" w:rsidRDefault="00B10648" w:rsidP="00C27631">
      <w:pPr>
        <w:pStyle w:val="Heading2"/>
        <w:rPr>
          <w:rFonts w:eastAsia="Times New Roman"/>
        </w:rPr>
      </w:pPr>
      <w:r w:rsidRPr="00C27631">
        <w:rPr>
          <w:rFonts w:eastAsia="Times New Roman"/>
        </w:rPr>
        <w:t>2.3 Challenges in Implementing FinTech Solutions</w:t>
      </w:r>
    </w:p>
    <w:p w14:paraId="336CE040" w14:textId="2C0BBCB0" w:rsidR="00B10648" w:rsidRPr="00C27631" w:rsidRDefault="00B10648" w:rsidP="00290D60">
      <w:pPr>
        <w:spacing w:before="100" w:beforeAutospacing="1" w:after="100" w:afterAutospacing="1" w:line="276" w:lineRule="auto"/>
        <w:jc w:val="both"/>
        <w:rPr>
          <w:rFonts w:ascii="Times New Roman" w:eastAsia="Times New Roman" w:hAnsi="Times New Roman" w:cs="Times New Roman"/>
        </w:rPr>
      </w:pPr>
      <w:r w:rsidRPr="00B10648">
        <w:rPr>
          <w:rFonts w:ascii="Times New Roman" w:eastAsia="Times New Roman" w:hAnsi="Times New Roman" w:cs="Times New Roman"/>
        </w:rPr>
        <w:t>Beyond inherent risks, the successful implementation of FinTech solutions in insurance is beset by numerous operational and strategic challenges. Legacy IT infrastructure remains a critical barrier. Many insurers, particularly in developing markets, operate on outdated technology platforms that are ill-equipped to support modern FinTech applications (Gozman, Hedman &amp; Olsen, 2018). Integrating new digital tools often necessitates substantial upgrades to core systems, which can be both costly and time-consuming.</w:t>
      </w:r>
      <w:r w:rsidRPr="00C27631">
        <w:rPr>
          <w:rFonts w:ascii="Times New Roman" w:eastAsia="Times New Roman" w:hAnsi="Times New Roman" w:cs="Times New Roman"/>
        </w:rPr>
        <w:t xml:space="preserve"> </w:t>
      </w:r>
      <w:r w:rsidRPr="00B10648">
        <w:rPr>
          <w:rFonts w:ascii="Times New Roman" w:eastAsia="Times New Roman" w:hAnsi="Times New Roman" w:cs="Times New Roman"/>
        </w:rPr>
        <w:t>Human capital constraints further complicate the adoption process. Limited digital literacy among staff and resistance to organizational change can slow down or derail technology projects. Employees accustomed to traditional processes may be hesitant to embrace new digital workflows, necessitating comprehensive change management strategies and ongoing skills development initiatives (Eling &amp; Lehmann, 2018). Training programs must be tailored to ensure that all staff, from executives to frontline workers, can adapt to and leverage new technologies effectively.</w:t>
      </w:r>
    </w:p>
    <w:p w14:paraId="2885D4C8" w14:textId="1FBAE6F0" w:rsidR="00B10648" w:rsidRPr="00B10648" w:rsidRDefault="00B10648" w:rsidP="00290D60">
      <w:pPr>
        <w:spacing w:before="100" w:beforeAutospacing="1" w:after="100" w:afterAutospacing="1" w:line="276" w:lineRule="auto"/>
        <w:jc w:val="both"/>
        <w:rPr>
          <w:rFonts w:ascii="Times New Roman" w:eastAsia="Times New Roman" w:hAnsi="Times New Roman" w:cs="Times New Roman"/>
        </w:rPr>
      </w:pPr>
      <w:r w:rsidRPr="00B10648">
        <w:rPr>
          <w:rFonts w:ascii="Times New Roman" w:eastAsia="Times New Roman" w:hAnsi="Times New Roman" w:cs="Times New Roman"/>
        </w:rPr>
        <w:lastRenderedPageBreak/>
        <w:t>The financial burden of FinTech implementation is significant, particularly for small and mid-sized insurers. High upfront costs for software development or procurement, ongoing maintenance expenses, and the need for specialized personnel can strain limited budgets (Lee &amp; Shin, 2018). This can lead to disparities in FinTech adoption, with larger insurers able to invest in robust digital solutions while smaller firms lag behind.</w:t>
      </w:r>
      <w:r w:rsidRPr="00C27631">
        <w:rPr>
          <w:rFonts w:ascii="Times New Roman" w:eastAsia="Times New Roman" w:hAnsi="Times New Roman" w:cs="Times New Roman"/>
        </w:rPr>
        <w:t xml:space="preserve"> </w:t>
      </w:r>
      <w:r w:rsidRPr="00B10648">
        <w:rPr>
          <w:rFonts w:ascii="Times New Roman" w:eastAsia="Times New Roman" w:hAnsi="Times New Roman" w:cs="Times New Roman"/>
        </w:rPr>
        <w:t>In developing economies such as Zambia, infrastructural deficits further amplify these challenges. Unreliable electricity supply, limited broadband coverage, and inadequate digital infrastructure restrict the ability of insurers to deploy and maintain FinTech solutions (Mothobi &amp; Grzybowski, 2017). Additionally, low levels of financial and digital literacy among the population constrain customer uptake of digital insurance products, limiting the scale and impact of technology investments (Demirgüç-Kunt et al., 2022).</w:t>
      </w:r>
    </w:p>
    <w:p w14:paraId="4C2A2737" w14:textId="484FFC23" w:rsidR="00B10648" w:rsidRPr="00C27631" w:rsidRDefault="00B10648" w:rsidP="00290D60">
      <w:pPr>
        <w:spacing w:before="100" w:beforeAutospacing="1" w:after="100" w:afterAutospacing="1" w:line="276" w:lineRule="auto"/>
        <w:jc w:val="both"/>
        <w:rPr>
          <w:rFonts w:ascii="Times New Roman" w:eastAsia="Times New Roman" w:hAnsi="Times New Roman" w:cs="Times New Roman"/>
        </w:rPr>
      </w:pPr>
      <w:r w:rsidRPr="00B10648">
        <w:rPr>
          <w:rFonts w:ascii="Times New Roman" w:eastAsia="Times New Roman" w:hAnsi="Times New Roman" w:cs="Times New Roman"/>
        </w:rPr>
        <w:t>Regulatory fragmentation is another challenge facing insurers in emerging markets. Overlapping or poorly defined regulations can create uncertainty and impede digital innovation. In some cases, regulatory requirements may be overly restrictive, discouraging experimentation with new products or delivery channels.</w:t>
      </w:r>
      <w:r w:rsidRPr="00C27631">
        <w:rPr>
          <w:rFonts w:ascii="Times New Roman" w:eastAsia="Times New Roman" w:hAnsi="Times New Roman" w:cs="Times New Roman"/>
        </w:rPr>
        <w:t xml:space="preserve"> </w:t>
      </w:r>
      <w:r w:rsidRPr="00B10648">
        <w:rPr>
          <w:rFonts w:ascii="Times New Roman" w:eastAsia="Times New Roman" w:hAnsi="Times New Roman" w:cs="Times New Roman"/>
        </w:rPr>
        <w:t>Finally, achieving interoperability between new FinTech applications and existing business models requires careful planning and phased implementation. The transition from manual to automated processes often exposes gaps in workflow design, necessitating iterative adjustments and close collaboration with technology providers.</w:t>
      </w:r>
      <w:r w:rsidRPr="00C27631">
        <w:rPr>
          <w:rFonts w:ascii="Times New Roman" w:eastAsia="Times New Roman" w:hAnsi="Times New Roman" w:cs="Times New Roman"/>
        </w:rPr>
        <w:t xml:space="preserve"> W</w:t>
      </w:r>
      <w:r w:rsidRPr="00B10648">
        <w:rPr>
          <w:rFonts w:ascii="Times New Roman" w:eastAsia="Times New Roman" w:hAnsi="Times New Roman" w:cs="Times New Roman"/>
        </w:rPr>
        <w:t>hile FinTech adoption offers substantial opportunities for innovation and growth in the insurance sector, it also introduces a complex array of risks and challenges</w:t>
      </w:r>
      <w:r w:rsidRPr="00C27631">
        <w:rPr>
          <w:rFonts w:ascii="Times New Roman" w:eastAsia="Times New Roman" w:hAnsi="Times New Roman" w:cs="Times New Roman"/>
        </w:rPr>
        <w:t xml:space="preserve"> which then need to be examined further.</w:t>
      </w:r>
    </w:p>
    <w:p w14:paraId="77153927" w14:textId="1530D67F" w:rsidR="00B10648" w:rsidRPr="00C27631" w:rsidRDefault="00C27631" w:rsidP="00B10648">
      <w:pPr>
        <w:pStyle w:val="Heading2"/>
      </w:pPr>
      <w:r w:rsidRPr="00C27631">
        <w:t xml:space="preserve">2.4 </w:t>
      </w:r>
      <w:r w:rsidR="00B10648" w:rsidRPr="00C27631">
        <w:t>Global Perspective of FinTech Adoption in the Insurance Industry</w:t>
      </w:r>
    </w:p>
    <w:p w14:paraId="043E886E" w14:textId="77777777" w:rsidR="00B10648" w:rsidRPr="00C27631" w:rsidRDefault="00B10648" w:rsidP="00B10648">
      <w:pPr>
        <w:spacing w:line="276" w:lineRule="auto"/>
        <w:jc w:val="both"/>
        <w:rPr>
          <w:rFonts w:ascii="Times New Roman" w:hAnsi="Times New Roman" w:cs="Times New Roman"/>
        </w:rPr>
      </w:pPr>
      <w:r w:rsidRPr="00C27631">
        <w:rPr>
          <w:rFonts w:ascii="Times New Roman" w:hAnsi="Times New Roman" w:cs="Times New Roman"/>
        </w:rPr>
        <w:t>The global insurance industry has experienced a profound transformation with the adoption of FinTech, a movement that has reshaped traditional business models, enhanced operational efficiency, and improved customer engagement. FinTech, and specifically its insurance-focused subset Insurtech encompasses a wide array of advanced digital technologies, including artificial intelligence (AI), blockchain, big data analytics, and cloud computing (Baker &amp; Dellaert, 2019; Gomber et al., 2017).</w:t>
      </w:r>
    </w:p>
    <w:p w14:paraId="6E048FCB" w14:textId="77777777" w:rsidR="00B10648" w:rsidRPr="00C27631" w:rsidRDefault="00B10648" w:rsidP="00B10648">
      <w:pPr>
        <w:spacing w:line="276" w:lineRule="auto"/>
        <w:jc w:val="both"/>
        <w:rPr>
          <w:rFonts w:ascii="Times New Roman" w:hAnsi="Times New Roman" w:cs="Times New Roman"/>
        </w:rPr>
      </w:pPr>
      <w:r w:rsidRPr="00C27631">
        <w:rPr>
          <w:rFonts w:ascii="Times New Roman" w:hAnsi="Times New Roman" w:cs="Times New Roman"/>
        </w:rPr>
        <w:t>A synthesis of academic and industry literature reveals that FinTech adoption is driven by the need for greater efficiency, competitive differentiation, and responsiveness to changing consumer expectations (Biener, Eling, &amp; Wirfs, 2015; Chen, Liu, &amp; Wang, 2020). Digitalization has enabled insurers to move beyond rigid legacy systems, allowing for the optimization of underwriting, automation of claims processing, and the development of highly personalized insurance products and services (Bharadwaj et al., 2013). For example, AI-powered analytics now facilitate precision in risk assessment, leading to dynamic pricing models and tailored offerings that cater to diverse consumer segments (Dorfleitner, Hornuf, Schmitt, &amp; Weber, 2017).</w:t>
      </w:r>
    </w:p>
    <w:p w14:paraId="400D428D" w14:textId="77777777" w:rsidR="00B10648" w:rsidRPr="00C27631" w:rsidRDefault="00B10648" w:rsidP="00B10648">
      <w:pPr>
        <w:spacing w:line="276" w:lineRule="auto"/>
        <w:jc w:val="both"/>
        <w:rPr>
          <w:rFonts w:ascii="Times New Roman" w:hAnsi="Times New Roman" w:cs="Times New Roman"/>
        </w:rPr>
      </w:pPr>
      <w:r w:rsidRPr="00C27631">
        <w:rPr>
          <w:rFonts w:ascii="Times New Roman" w:hAnsi="Times New Roman" w:cs="Times New Roman"/>
        </w:rPr>
        <w:t>Insurtech startups have become central to this global shift. They offer innovative solutions that target long-standing pain points in the industry, such as fraud detection, process inefficiencies, and customer service bottlenecks (Schenck, 2021). According to Chen et al. (2020), Insurtech investments have surged globally, reflecting the insurance sector’s recognition of the necessity to innovate or risk obsolescence. Notably, the adoption of FinTech in insurance is not confined to developed markets. Emerging economies in Southeast Asia, Latin America, and Africa are witnessing leaps in mobile-based insurance models, which address unique market challenges such as financial exclusion and low insurance penetration (Arner, Barberis, &amp; Buckley, 2016; KPMG, 2021).</w:t>
      </w:r>
    </w:p>
    <w:p w14:paraId="57BEF2F6" w14:textId="77777777" w:rsidR="00B10648" w:rsidRPr="00C27631" w:rsidRDefault="00B10648" w:rsidP="00B10648">
      <w:pPr>
        <w:spacing w:line="276" w:lineRule="auto"/>
        <w:jc w:val="both"/>
        <w:rPr>
          <w:rFonts w:ascii="Times New Roman" w:hAnsi="Times New Roman" w:cs="Times New Roman"/>
        </w:rPr>
      </w:pPr>
      <w:r w:rsidRPr="00C27631">
        <w:rPr>
          <w:rFonts w:ascii="Times New Roman" w:hAnsi="Times New Roman" w:cs="Times New Roman"/>
        </w:rPr>
        <w:lastRenderedPageBreak/>
        <w:t>This global phenomenon demonstrates that FinTech is not only revolutionizing established markets but is also acting as an enabler for financial inclusion and improved risk mitigation in developing contexts (Sia, Soh, &amp; Weill, 2016).</w:t>
      </w:r>
    </w:p>
    <w:p w14:paraId="625E9242" w14:textId="07D1818E" w:rsidR="00B10648" w:rsidRPr="00C27631" w:rsidRDefault="00B10648" w:rsidP="00B10648">
      <w:pPr>
        <w:pStyle w:val="Heading2"/>
      </w:pPr>
      <w:bookmarkStart w:id="0" w:name="_Toc219510715"/>
      <w:r w:rsidRPr="00C27631">
        <w:t>2.</w:t>
      </w:r>
      <w:r w:rsidR="00C27631" w:rsidRPr="00C27631">
        <w:t>5</w:t>
      </w:r>
      <w:r w:rsidRPr="00C27631">
        <w:t xml:space="preserve"> Regional Perspective</w:t>
      </w:r>
      <w:bookmarkEnd w:id="0"/>
    </w:p>
    <w:p w14:paraId="611DD1A1" w14:textId="77777777" w:rsidR="00B10648" w:rsidRPr="00C27631" w:rsidRDefault="00B10648" w:rsidP="00B10648">
      <w:pPr>
        <w:spacing w:line="276" w:lineRule="auto"/>
        <w:jc w:val="both"/>
        <w:rPr>
          <w:rFonts w:ascii="Times New Roman" w:hAnsi="Times New Roman" w:cs="Times New Roman"/>
        </w:rPr>
      </w:pPr>
      <w:r w:rsidRPr="00C27631">
        <w:rPr>
          <w:rFonts w:ascii="Times New Roman" w:hAnsi="Times New Roman" w:cs="Times New Roman"/>
        </w:rPr>
        <w:t>The literature on FinTech and insurtech adoption in the Southern African Development Community (SADC) is relatively nascent, but studies at the national level, particularly from Zambia and neighboring countries, provide valuable insights for the broader region. Within the SADC, the insurance industry faces persistent challenges, including low penetration rates, limited product offerings, and infrastructural constraints. FinTech presents a promising avenue to address these gaps by enhancing operational efficiency, expanding access, and improving risk management (Kanyembo et al., 2020). Research in Zambia highlights several factors influencing FinTech adoption in insurance. Kanyembo et al. (2020) applied the Technology Acceptance Model (TAM) and found that perceived usefulness and perceived ease of use are significant determinants. Trust, perceived risk, and regulatory environment also play crucial roles in shaping adoption decisions, echoing findings from FinTech studies in other developing markets.</w:t>
      </w:r>
    </w:p>
    <w:p w14:paraId="4FFFFDA8" w14:textId="77777777" w:rsidR="00B10648" w:rsidRPr="00C27631" w:rsidRDefault="00B10648" w:rsidP="00B10648">
      <w:pPr>
        <w:spacing w:line="276" w:lineRule="auto"/>
        <w:jc w:val="both"/>
        <w:rPr>
          <w:rFonts w:ascii="Times New Roman" w:hAnsi="Times New Roman" w:cs="Times New Roman"/>
        </w:rPr>
      </w:pPr>
      <w:r w:rsidRPr="00C27631">
        <w:rPr>
          <w:rFonts w:ascii="Times New Roman" w:hAnsi="Times New Roman" w:cs="Times New Roman"/>
        </w:rPr>
        <w:t>Mutanga et al. (2019) explored the impact of FinTech on financial inclusion in Zambia’s insurance sector. Their study revealed that digital platforms, particularly mobile insurance, have enabled insurers to reach previously underserved populations by reducing costs and logistical barriers. However, the study also noted that a supportive regulatory framework is essential for maximizing FinTech’s impact and ensuring consumer protection. Comparative insights from Kenya, though outside the SADC, further inform the regional perspective. Maghanga et al. (2021) identified trust, perceived risk, usability, and regulatory clarity as significant drivers of FinTech adoption in insurance. The development of interoperable digital payment systems and supportive policy frameworks in Kenya has contributed to rapid growth in mobile insurance and other digital insurance products.</w:t>
      </w:r>
    </w:p>
    <w:p w14:paraId="2AB2ECA6" w14:textId="77777777" w:rsidR="00B10648" w:rsidRPr="00C27631" w:rsidRDefault="00B10648" w:rsidP="00B10648">
      <w:pPr>
        <w:spacing w:line="276" w:lineRule="auto"/>
        <w:jc w:val="both"/>
        <w:rPr>
          <w:rFonts w:ascii="Times New Roman" w:hAnsi="Times New Roman" w:cs="Times New Roman"/>
        </w:rPr>
      </w:pPr>
      <w:r w:rsidRPr="00C27631">
        <w:rPr>
          <w:rFonts w:ascii="Times New Roman" w:hAnsi="Times New Roman" w:cs="Times New Roman"/>
        </w:rPr>
        <w:t>Despite these positive trends, the SADC region faces persistent challenges related to digital infrastructure, regulatory harmonization, and consumer education. The limited availability of high-speed internet, uneven distribution of digital literacy, and varying regulatory approaches across member states create obstacles to broader FinTech adoption (World Bank, 2022). Furthermore, the lack of comprehensive data on insurtech in the SADC underscores the need for further research and regional collaboration. Nonetheless, the evidence suggests that with targeted policy support, investment in infrastructure, and cross-sector partnerships, FinTech has the potential to drive significant improvements in insurance accessibility, efficiency, and innovation within the region.</w:t>
      </w:r>
    </w:p>
    <w:p w14:paraId="2D2D753F" w14:textId="2C6B688F" w:rsidR="00B10648" w:rsidRPr="00C27631" w:rsidRDefault="00B10648" w:rsidP="00B10648">
      <w:pPr>
        <w:pStyle w:val="Heading2"/>
      </w:pPr>
      <w:bookmarkStart w:id="1" w:name="_Toc219510716"/>
      <w:r w:rsidRPr="00C27631">
        <w:t>2.</w:t>
      </w:r>
      <w:r w:rsidR="00C27631" w:rsidRPr="00C27631">
        <w:t>6</w:t>
      </w:r>
      <w:r w:rsidRPr="00C27631">
        <w:t xml:space="preserve"> Zambian Perspective</w:t>
      </w:r>
      <w:bookmarkEnd w:id="1"/>
    </w:p>
    <w:p w14:paraId="43F7BCAA" w14:textId="77777777" w:rsidR="00B10648" w:rsidRPr="00C27631" w:rsidRDefault="00B10648" w:rsidP="00B10648">
      <w:pPr>
        <w:spacing w:line="276" w:lineRule="auto"/>
        <w:jc w:val="both"/>
        <w:rPr>
          <w:rFonts w:ascii="Times New Roman" w:hAnsi="Times New Roman" w:cs="Times New Roman"/>
        </w:rPr>
      </w:pPr>
      <w:r w:rsidRPr="00C27631">
        <w:rPr>
          <w:rFonts w:ascii="Times New Roman" w:hAnsi="Times New Roman" w:cs="Times New Roman"/>
        </w:rPr>
        <w:t>The Zambian insurance industry, much like its counterparts in other developing economies, has traditionally been characterized by low penetration, limited product variety, and widespread insurance illiteracy. These challenges have constrained the industry’s ability to contribute effectively to financial sector development and socio-economic resilience. However, the advent of FinTech is catalyzing significant transformation within the sector (Dai &amp; Kauffman, 2020).</w:t>
      </w:r>
    </w:p>
    <w:p w14:paraId="120DAA3D" w14:textId="77777777" w:rsidR="00B10648" w:rsidRPr="00C27631" w:rsidRDefault="00B10648" w:rsidP="00B10648">
      <w:pPr>
        <w:spacing w:line="276" w:lineRule="auto"/>
        <w:jc w:val="both"/>
        <w:rPr>
          <w:rFonts w:ascii="Times New Roman" w:hAnsi="Times New Roman" w:cs="Times New Roman"/>
        </w:rPr>
      </w:pPr>
      <w:r w:rsidRPr="00C27631">
        <w:rPr>
          <w:rFonts w:ascii="Times New Roman" w:hAnsi="Times New Roman" w:cs="Times New Roman"/>
        </w:rPr>
        <w:t xml:space="preserve">Several studies have examined the drivers and outcomes of FinTech adoption in Zambia’s insurance industry. Dai and Kauffman (2020) emphasized the role of changing customer preferences, regulatory support, and digital infrastructure in shaping FinTech uptake. With an increasingly young and tech-savvy </w:t>
      </w:r>
      <w:r w:rsidRPr="00C27631">
        <w:rPr>
          <w:rFonts w:ascii="Times New Roman" w:hAnsi="Times New Roman" w:cs="Times New Roman"/>
        </w:rPr>
        <w:lastRenderedPageBreak/>
        <w:t>population, Zambian insurers recognize the need to offer digital channels, mobile insurance, and personalized products to meet evolving consumer expectations.</w:t>
      </w:r>
    </w:p>
    <w:p w14:paraId="3148AFE4" w14:textId="77777777" w:rsidR="00B10648" w:rsidRPr="00C27631" w:rsidRDefault="00B10648" w:rsidP="00B10648">
      <w:pPr>
        <w:spacing w:line="276" w:lineRule="auto"/>
        <w:jc w:val="both"/>
        <w:rPr>
          <w:rFonts w:ascii="Times New Roman" w:hAnsi="Times New Roman" w:cs="Times New Roman"/>
        </w:rPr>
      </w:pPr>
      <w:r w:rsidRPr="00C27631">
        <w:rPr>
          <w:rFonts w:ascii="Times New Roman" w:hAnsi="Times New Roman" w:cs="Times New Roman"/>
        </w:rPr>
        <w:t>Copestake et al. (2018) highlighted the role of mobile technology in advancing financial inclusion. Their research found that mobile insurance products help bridge the gap for underserved populations by offering affordable, accessible, and convenient coverage. The study also underscored the importance of collaboration between insurers, mobile network operators, and regulators in driving FinTech adoption and ensuring successful scale-up. Insurtech startups are playing an increasingly prominent role in Zambia’s insurance ecosystem. These firms leverage data analytics, AI, and blockchain to deliver innovative solutions that address local market needs. Accenture (2017) noted that partnerships between traditional insurers and insurtech startups can accelerate digital transformation, allowing incumbents to modernize operations and introduce new, customer-centric products.</w:t>
      </w:r>
    </w:p>
    <w:p w14:paraId="078DA0BF" w14:textId="77777777" w:rsidR="00C27631" w:rsidRPr="00C27631" w:rsidRDefault="00B10648" w:rsidP="00C27631">
      <w:pPr>
        <w:spacing w:line="276" w:lineRule="auto"/>
        <w:jc w:val="both"/>
        <w:rPr>
          <w:rFonts w:ascii="Times New Roman" w:hAnsi="Times New Roman" w:cs="Times New Roman"/>
        </w:rPr>
      </w:pPr>
      <w:r w:rsidRPr="00C27631">
        <w:rPr>
          <w:rFonts w:ascii="Times New Roman" w:hAnsi="Times New Roman" w:cs="Times New Roman"/>
        </w:rPr>
        <w:t>Moonga and Katongo (2019) specifically investigated the adoption of mobile insurance in Zambia, finding that perceived usefulness, ease of use, and trust significantly influence individuals’ intention to adopt. These findings align with global evidence and suggest that successful FinTech integration in Zambia’s insurance sector hinges on both technological capability and consumer perceptions. Despite these promising developments, challenges persist. The sector continues to grapple with infrastructural limitations, particularly in rural areas, and a shortage of digital skills. Regulatory frameworks are still evolving, sometimes lagging behind the pace of technological innovation and creating uncertainty for market participants (World Bank, 2022). Nonetheless, Zambia’s experience demonstrates that FinTech adoption can drive operational efficiency, enhance customer experience, and expand access to insurance services. Strategic investments in digital infrastructure, regulatory capacity, and consumer education will be essential for unlocking the full potential of FinTech in Zambia’s insurance industry.</w:t>
      </w:r>
      <w:r w:rsidR="00C27631" w:rsidRPr="00C27631">
        <w:rPr>
          <w:rFonts w:ascii="Times New Roman" w:hAnsi="Times New Roman" w:cs="Times New Roman"/>
        </w:rPr>
        <w:t xml:space="preserve"> </w:t>
      </w:r>
    </w:p>
    <w:p w14:paraId="3ADED9F0" w14:textId="48412DFA" w:rsidR="00C8347C" w:rsidRPr="00C27631" w:rsidRDefault="00C8347C" w:rsidP="00C27631">
      <w:pPr>
        <w:spacing w:line="276" w:lineRule="auto"/>
        <w:jc w:val="both"/>
        <w:rPr>
          <w:rFonts w:ascii="Times New Roman" w:hAnsi="Times New Roman" w:cs="Times New Roman"/>
        </w:rPr>
      </w:pPr>
      <w:r w:rsidRPr="00C27631">
        <w:rPr>
          <w:rFonts w:ascii="Times New Roman" w:hAnsi="Times New Roman" w:cs="Times New Roman"/>
        </w:rPr>
        <w:t>Effective risk management is vital for successful FinTech integration. Insurers are increasingly investing in robust cybersecurity measures, regular compliance audits, and staff training to mitigate operational and regulatory risks (Deloitte, 2022). Collaboration with FinTech startups and technology providers, as well as participation in industry associations, can facilitate knowledge-sharing and support capacity-building (World Bank, 2022). Regulatory sandboxes and flexible policy frameworks have proven beneficial in enabling insurers to test new digital solutions while ensuring consumer protection (Zetzsche et al., 2017). For smaller firms, incremental adoption and infrastructure development are essential strategies to ensure sustainability and minimize disruption (Eling &amp; Lehmann, 2018).</w:t>
      </w:r>
    </w:p>
    <w:p w14:paraId="48A597C3" w14:textId="171AB3D6" w:rsidR="00290D60" w:rsidRPr="00C27631" w:rsidRDefault="00C8347C" w:rsidP="00290D60">
      <w:pPr>
        <w:pStyle w:val="muitypography-root"/>
        <w:spacing w:line="276" w:lineRule="auto"/>
        <w:jc w:val="both"/>
        <w:rPr>
          <w:rStyle w:val="Strong"/>
          <w:sz w:val="22"/>
          <w:szCs w:val="22"/>
        </w:rPr>
      </w:pPr>
      <w:r w:rsidRPr="00C27631">
        <w:rPr>
          <w:rStyle w:val="Strong"/>
          <w:sz w:val="22"/>
          <w:szCs w:val="22"/>
        </w:rPr>
        <w:t>2.</w:t>
      </w:r>
      <w:r w:rsidR="00C27631" w:rsidRPr="00C27631">
        <w:rPr>
          <w:rStyle w:val="Strong"/>
          <w:sz w:val="22"/>
          <w:szCs w:val="22"/>
        </w:rPr>
        <w:t xml:space="preserve">7 </w:t>
      </w:r>
      <w:r w:rsidRPr="00C27631">
        <w:rPr>
          <w:rStyle w:val="Strong"/>
          <w:sz w:val="22"/>
          <w:szCs w:val="22"/>
        </w:rPr>
        <w:t>Research Gaps</w:t>
      </w:r>
    </w:p>
    <w:p w14:paraId="125B9060" w14:textId="13BBDC99" w:rsidR="00C8347C" w:rsidRPr="00C27631" w:rsidRDefault="00C8347C" w:rsidP="00290D60">
      <w:pPr>
        <w:pStyle w:val="muitypography-root"/>
        <w:spacing w:line="276" w:lineRule="auto"/>
        <w:jc w:val="both"/>
        <w:rPr>
          <w:sz w:val="22"/>
          <w:szCs w:val="22"/>
        </w:rPr>
      </w:pPr>
      <w:r w:rsidRPr="00C27631">
        <w:rPr>
          <w:sz w:val="22"/>
          <w:szCs w:val="22"/>
        </w:rPr>
        <w:t>Although international literature underscores the transformative potential of FinTech in insurance, there is a paucity of context-specific studies addressing the unique risks and challenges in Zambia. Most existing research focuses on developed markets, with limited empirical evidence from sub-Saharan Africa. This gap highlights the need for comprehensive studies that examine the drivers, barriers, and effects of FinTech adoption within Zambia’s insurance sector, thereby informing policy and industry practice.</w:t>
      </w:r>
    </w:p>
    <w:p w14:paraId="2D1A747F" w14:textId="0AF00143" w:rsidR="00A95358" w:rsidRPr="00C27631" w:rsidRDefault="00A95358" w:rsidP="00A95358">
      <w:pPr>
        <w:pStyle w:val="Heading2"/>
      </w:pPr>
      <w:r w:rsidRPr="00C27631">
        <w:t>2.</w:t>
      </w:r>
      <w:r w:rsidR="00C27631" w:rsidRPr="00C27631">
        <w:t>8</w:t>
      </w:r>
      <w:r w:rsidRPr="00C27631">
        <w:t xml:space="preserve"> Theoretical Framework</w:t>
      </w:r>
    </w:p>
    <w:p w14:paraId="734C9BB3" w14:textId="6AF3FB2F" w:rsidR="00A95358" w:rsidRPr="00C27631" w:rsidRDefault="00A95358" w:rsidP="00290D60">
      <w:pPr>
        <w:spacing w:before="100" w:beforeAutospacing="1" w:after="100" w:afterAutospacing="1" w:line="276" w:lineRule="auto"/>
        <w:jc w:val="both"/>
        <w:rPr>
          <w:rFonts w:ascii="Times New Roman" w:hAnsi="Times New Roman" w:cs="Times New Roman"/>
        </w:rPr>
      </w:pPr>
      <w:r w:rsidRPr="00C27631">
        <w:rPr>
          <w:rFonts w:ascii="Times New Roman" w:hAnsi="Times New Roman" w:cs="Times New Roman"/>
        </w:rPr>
        <w:t xml:space="preserve">this study used the Technology Acceptance Model and Diffusion of Innovations Theory to analyze FinTech adoption in Zambia’s insurance sector, examining how factors such as perceived usefulness, ease of use, </w:t>
      </w:r>
      <w:r w:rsidRPr="00C27631">
        <w:rPr>
          <w:rFonts w:ascii="Times New Roman" w:hAnsi="Times New Roman" w:cs="Times New Roman"/>
        </w:rPr>
        <w:lastRenderedPageBreak/>
        <w:t>and innovation complexity affected adoption. These frameworks contextualized the risks, challenges, and key drivers that influenced the integration of FinTech solutions within the industry.</w:t>
      </w:r>
    </w:p>
    <w:p w14:paraId="4F80C9C2" w14:textId="13469D95" w:rsidR="00290D60" w:rsidRPr="00C27631" w:rsidRDefault="00C27631" w:rsidP="00290D60">
      <w:pPr>
        <w:spacing w:before="100" w:beforeAutospacing="1" w:after="100" w:afterAutospacing="1" w:line="276" w:lineRule="auto"/>
        <w:jc w:val="both"/>
        <w:rPr>
          <w:rFonts w:ascii="Times New Roman" w:eastAsia="Times New Roman" w:hAnsi="Times New Roman" w:cs="Times New Roman"/>
          <w:b/>
          <w:bCs/>
        </w:rPr>
      </w:pPr>
      <w:r w:rsidRPr="00C27631">
        <w:rPr>
          <w:rFonts w:ascii="Times New Roman" w:eastAsia="Times New Roman" w:hAnsi="Times New Roman" w:cs="Times New Roman"/>
          <w:b/>
          <w:bCs/>
        </w:rPr>
        <w:t>2.8.1</w:t>
      </w:r>
      <w:r w:rsidR="00C8347C" w:rsidRPr="00C8347C">
        <w:rPr>
          <w:rFonts w:ascii="Times New Roman" w:eastAsia="Times New Roman" w:hAnsi="Times New Roman" w:cs="Times New Roman"/>
          <w:b/>
          <w:bCs/>
        </w:rPr>
        <w:t>Technology Acceptance Model (TAM)</w:t>
      </w:r>
      <w:r w:rsidR="00290D60" w:rsidRPr="00C27631">
        <w:rPr>
          <w:rFonts w:ascii="Times New Roman" w:eastAsia="Times New Roman" w:hAnsi="Times New Roman" w:cs="Times New Roman"/>
          <w:b/>
          <w:bCs/>
        </w:rPr>
        <w:t>.</w:t>
      </w:r>
    </w:p>
    <w:p w14:paraId="033C2BAF" w14:textId="1AC908C5" w:rsidR="00C8347C" w:rsidRPr="00C8347C" w:rsidRDefault="00C8347C" w:rsidP="00290D60">
      <w:pPr>
        <w:spacing w:before="100" w:beforeAutospacing="1" w:after="100" w:afterAutospacing="1" w:line="276" w:lineRule="auto"/>
        <w:jc w:val="both"/>
        <w:rPr>
          <w:rFonts w:ascii="Times New Roman" w:eastAsia="Times New Roman" w:hAnsi="Times New Roman" w:cs="Times New Roman"/>
        </w:rPr>
      </w:pPr>
      <w:r w:rsidRPr="00C8347C">
        <w:rPr>
          <w:rFonts w:ascii="Times New Roman" w:eastAsia="Times New Roman" w:hAnsi="Times New Roman" w:cs="Times New Roman"/>
        </w:rPr>
        <w:t>The Technology Acceptance Model (TAM) is highly relevant for understanding FinTech adoption in Zambia’s insurance sector. This theory emphasizes the importance of perceived usefulness and perceived ease of use</w:t>
      </w:r>
      <w:r w:rsidR="00290D60" w:rsidRPr="00C27631">
        <w:rPr>
          <w:rFonts w:ascii="Times New Roman" w:eastAsia="Times New Roman" w:hAnsi="Times New Roman" w:cs="Times New Roman"/>
        </w:rPr>
        <w:t xml:space="preserve"> </w:t>
      </w:r>
      <w:r w:rsidRPr="00C8347C">
        <w:rPr>
          <w:rFonts w:ascii="Times New Roman" w:eastAsia="Times New Roman" w:hAnsi="Times New Roman" w:cs="Times New Roman"/>
        </w:rPr>
        <w:t>factors that directly influence whether employees and customers are willing to embrace FinTech solutions. In the Zambian context, where digital literacy and technological readiness can vary widely, the TAM framework helps explain how user perceptions shape the adoption process. If FinTech platforms are seen as beneficial and user-friendly, adoption increases; conversely, perceived complexity or limited demonstrable value can become major barriers. Applying TAM thus allows for a nuanced analysis of how individual and organizational attitudes toward technology affect the uptake of FinTech innovations, particularly in environments facing infrastructural and educational challenges.</w:t>
      </w:r>
    </w:p>
    <w:p w14:paraId="46EA17BA" w14:textId="1F878E0E" w:rsidR="00290D60" w:rsidRPr="00C27631" w:rsidRDefault="00C27631" w:rsidP="00290D60">
      <w:pPr>
        <w:spacing w:before="100" w:beforeAutospacing="1" w:after="100" w:afterAutospacing="1" w:line="276" w:lineRule="auto"/>
        <w:jc w:val="both"/>
        <w:rPr>
          <w:rFonts w:ascii="Times New Roman" w:eastAsia="Times New Roman" w:hAnsi="Times New Roman" w:cs="Times New Roman"/>
          <w:b/>
          <w:bCs/>
          <w:sz w:val="24"/>
          <w:szCs w:val="24"/>
        </w:rPr>
      </w:pPr>
      <w:r w:rsidRPr="00C27631">
        <w:rPr>
          <w:rFonts w:ascii="Times New Roman" w:eastAsia="Times New Roman" w:hAnsi="Times New Roman" w:cs="Times New Roman"/>
          <w:b/>
          <w:bCs/>
          <w:sz w:val="24"/>
          <w:szCs w:val="24"/>
        </w:rPr>
        <w:t xml:space="preserve">2.8.2 </w:t>
      </w:r>
      <w:r w:rsidR="00C8347C" w:rsidRPr="00C8347C">
        <w:rPr>
          <w:rFonts w:ascii="Times New Roman" w:eastAsia="Times New Roman" w:hAnsi="Times New Roman" w:cs="Times New Roman"/>
          <w:b/>
          <w:bCs/>
          <w:sz w:val="24"/>
          <w:szCs w:val="24"/>
        </w:rPr>
        <w:t>Diffusion of Innovations Theory</w:t>
      </w:r>
    </w:p>
    <w:p w14:paraId="77128235" w14:textId="1D9D080C" w:rsidR="00C8347C" w:rsidRPr="00C8347C" w:rsidRDefault="00C8347C" w:rsidP="00290D60">
      <w:pPr>
        <w:spacing w:before="100" w:beforeAutospacing="1" w:after="100" w:afterAutospacing="1" w:line="276" w:lineRule="auto"/>
        <w:jc w:val="both"/>
        <w:rPr>
          <w:rFonts w:ascii="Times New Roman" w:eastAsia="Times New Roman" w:hAnsi="Times New Roman" w:cs="Times New Roman"/>
        </w:rPr>
      </w:pPr>
      <w:r w:rsidRPr="00C8347C">
        <w:rPr>
          <w:rFonts w:ascii="Times New Roman" w:eastAsia="Times New Roman" w:hAnsi="Times New Roman" w:cs="Times New Roman"/>
        </w:rPr>
        <w:t>The Diffusion of Innovations Theory provides a robust lens for examining how FinTech spreads through Zambia’s insurance industry. This framework highlights how attributes such as relative advantage, compatibility, complexity, trialability, and observability determine the pace and extent of innovation adoption. The theory’s focus on the stages of adoption</w:t>
      </w:r>
      <w:r w:rsidRPr="00C27631">
        <w:rPr>
          <w:rFonts w:ascii="Times New Roman" w:eastAsia="Times New Roman" w:hAnsi="Times New Roman" w:cs="Times New Roman"/>
        </w:rPr>
        <w:t xml:space="preserve"> </w:t>
      </w:r>
      <w:r w:rsidRPr="00C8347C">
        <w:rPr>
          <w:rFonts w:ascii="Times New Roman" w:eastAsia="Times New Roman" w:hAnsi="Times New Roman" w:cs="Times New Roman"/>
        </w:rPr>
        <w:t>knowledge, persuasion, decision, implementation, and confirmation</w:t>
      </w:r>
      <w:r w:rsidRPr="00C27631">
        <w:rPr>
          <w:rFonts w:ascii="Times New Roman" w:eastAsia="Times New Roman" w:hAnsi="Times New Roman" w:cs="Times New Roman"/>
        </w:rPr>
        <w:t xml:space="preserve"> </w:t>
      </w:r>
      <w:r w:rsidRPr="00C8347C">
        <w:rPr>
          <w:rFonts w:ascii="Times New Roman" w:eastAsia="Times New Roman" w:hAnsi="Times New Roman" w:cs="Times New Roman"/>
        </w:rPr>
        <w:t>aligns well with the realities of the Zambian market, where resource constraints, regulatory uncertainty, and varying organizational capacities can slow or unevenly distribute FinTech adoption. Using this theory, the study can analyze why some insurance firms quickly adopt and integrate FinTech solutions while others remain hesitant, and how targeted interventions can address specific barriers at different stages of the adoption process.</w:t>
      </w:r>
      <w:r w:rsidRPr="00C27631">
        <w:rPr>
          <w:rFonts w:ascii="Times New Roman" w:eastAsia="Times New Roman" w:hAnsi="Times New Roman" w:cs="Times New Roman"/>
        </w:rPr>
        <w:t xml:space="preserve"> The </w:t>
      </w:r>
      <w:r w:rsidRPr="00C8347C">
        <w:rPr>
          <w:rFonts w:ascii="Times New Roman" w:eastAsia="Times New Roman" w:hAnsi="Times New Roman" w:cs="Times New Roman"/>
        </w:rPr>
        <w:t>TAM and Diffusion of Innovations are more closely aligned with the article’s primary concerns: understanding adoption behaviors and the process by which new technologies diffuse through organizations facing risk, resistance, and operational challenges</w:t>
      </w:r>
      <w:r w:rsidR="00A95358" w:rsidRPr="00C27631">
        <w:rPr>
          <w:rFonts w:ascii="Times New Roman" w:eastAsia="Times New Roman" w:hAnsi="Times New Roman" w:cs="Times New Roman"/>
        </w:rPr>
        <w:t>, hence the adoption.</w:t>
      </w:r>
    </w:p>
    <w:p w14:paraId="2A812037" w14:textId="77777777" w:rsidR="00A95358" w:rsidRPr="00C27631" w:rsidRDefault="00A95358" w:rsidP="00A95358">
      <w:pPr>
        <w:pStyle w:val="Heading1"/>
        <w:rPr>
          <w:rFonts w:cs="Times New Roman"/>
        </w:rPr>
      </w:pPr>
      <w:r w:rsidRPr="00C27631">
        <w:rPr>
          <w:rFonts w:cs="Times New Roman"/>
        </w:rPr>
        <w:t>3.METHODOLOGY AND DESIGN</w:t>
      </w:r>
    </w:p>
    <w:p w14:paraId="15570F82" w14:textId="0B71E87D" w:rsidR="00A95358" w:rsidRPr="00C27631" w:rsidRDefault="00A95358" w:rsidP="00A95358">
      <w:pPr>
        <w:pStyle w:val="Heading2"/>
        <w:rPr>
          <w:rFonts w:eastAsia="Times New Roman"/>
        </w:rPr>
      </w:pPr>
      <w:r w:rsidRPr="00C27631">
        <w:rPr>
          <w:rFonts w:eastAsia="Times New Roman"/>
        </w:rPr>
        <w:t>3.1 Research Design</w:t>
      </w:r>
    </w:p>
    <w:p w14:paraId="47FAB1F6" w14:textId="77777777" w:rsidR="00A95358" w:rsidRPr="00C27631" w:rsidRDefault="00A95358" w:rsidP="00A95358">
      <w:pPr>
        <w:spacing w:before="100" w:beforeAutospacing="1" w:after="100" w:afterAutospacing="1" w:line="276" w:lineRule="auto"/>
        <w:jc w:val="both"/>
        <w:rPr>
          <w:rFonts w:ascii="Times New Roman" w:eastAsia="Times New Roman" w:hAnsi="Times New Roman" w:cs="Times New Roman"/>
        </w:rPr>
      </w:pPr>
      <w:r w:rsidRPr="00C27631">
        <w:rPr>
          <w:rFonts w:ascii="Times New Roman" w:eastAsia="Times New Roman" w:hAnsi="Times New Roman" w:cs="Times New Roman"/>
        </w:rPr>
        <w:t>A mixed-methods case study design was used, integrating structured surveys of all 29 registered insurance companies with semi-structured interviews and focus groups among key stakeholders, including executives, FinTech innovators, regulators, and customers. This design was chosen to capture both statistical trends and nuanced, contextual information. The research was anchored in established theoretical frameworks, including Rogers’ Diffusion of Innovations Theory, Davis’s Technology Acceptance Model, and the Resource-Based View.</w:t>
      </w:r>
    </w:p>
    <w:p w14:paraId="778A0BFF" w14:textId="4EB5DC57" w:rsidR="00A95358" w:rsidRPr="00C27631" w:rsidRDefault="00A95358" w:rsidP="00A95358">
      <w:pPr>
        <w:pStyle w:val="Heading2"/>
        <w:rPr>
          <w:rFonts w:eastAsia="Times New Roman"/>
        </w:rPr>
      </w:pPr>
      <w:r w:rsidRPr="00C27631">
        <w:rPr>
          <w:rFonts w:eastAsia="Times New Roman"/>
        </w:rPr>
        <w:t>3.</w:t>
      </w:r>
      <w:r w:rsidR="00102506" w:rsidRPr="00C27631">
        <w:rPr>
          <w:rFonts w:eastAsia="Times New Roman"/>
        </w:rPr>
        <w:t>2</w:t>
      </w:r>
      <w:r w:rsidRPr="00C27631">
        <w:rPr>
          <w:rFonts w:eastAsia="Times New Roman"/>
        </w:rPr>
        <w:t xml:space="preserve"> Target Population and Sampling Frame</w:t>
      </w:r>
    </w:p>
    <w:p w14:paraId="05FB297B" w14:textId="77777777" w:rsidR="00A95358" w:rsidRPr="00C27631" w:rsidRDefault="00A95358" w:rsidP="00A95358">
      <w:pPr>
        <w:spacing w:before="100" w:beforeAutospacing="1" w:after="100" w:afterAutospacing="1" w:line="276" w:lineRule="auto"/>
        <w:jc w:val="both"/>
        <w:rPr>
          <w:rFonts w:ascii="Times New Roman" w:eastAsia="Times New Roman" w:hAnsi="Times New Roman" w:cs="Times New Roman"/>
          <w:b/>
          <w:bCs/>
        </w:rPr>
      </w:pPr>
      <w:r w:rsidRPr="00C27631">
        <w:rPr>
          <w:rFonts w:ascii="Times New Roman" w:eastAsia="Times New Roman" w:hAnsi="Times New Roman" w:cs="Times New Roman"/>
        </w:rPr>
        <w:t xml:space="preserve">The target population comprised all 29 registered insurance companies, relevant FinTech startups, regulatory bodies (such as the PIA and Bank of Zambia), and key stakeholders including executives, IT </w:t>
      </w:r>
      <w:r w:rsidRPr="00C27631">
        <w:rPr>
          <w:rFonts w:ascii="Times New Roman" w:eastAsia="Times New Roman" w:hAnsi="Times New Roman" w:cs="Times New Roman"/>
        </w:rPr>
        <w:lastRenderedPageBreak/>
        <w:t>managers, FinTech entrepreneurs, regulators, and customers. This broad approach ensured diverse perspectives and comprehensive findings representative of the Zambian insurance and FinTech ecosystem.</w:t>
      </w:r>
    </w:p>
    <w:p w14:paraId="0F730045" w14:textId="00B4CB59" w:rsidR="00A95358" w:rsidRPr="00C27631" w:rsidRDefault="00A95358" w:rsidP="00A95358">
      <w:pPr>
        <w:pStyle w:val="Heading2"/>
        <w:rPr>
          <w:rFonts w:eastAsia="Times New Roman"/>
        </w:rPr>
      </w:pPr>
      <w:r w:rsidRPr="00C27631">
        <w:rPr>
          <w:rFonts w:eastAsia="Times New Roman"/>
        </w:rPr>
        <w:t>3.</w:t>
      </w:r>
      <w:r w:rsidR="00102506" w:rsidRPr="00C27631">
        <w:rPr>
          <w:rFonts w:eastAsia="Times New Roman"/>
        </w:rPr>
        <w:t>3</w:t>
      </w:r>
      <w:r w:rsidRPr="00C27631">
        <w:rPr>
          <w:rFonts w:eastAsia="Times New Roman"/>
        </w:rPr>
        <w:t xml:space="preserve"> Sample Size</w:t>
      </w:r>
    </w:p>
    <w:p w14:paraId="49DE0D77" w14:textId="77777777" w:rsidR="00A95358" w:rsidRPr="00C27631" w:rsidRDefault="00A95358" w:rsidP="00A95358">
      <w:pPr>
        <w:spacing w:before="100" w:beforeAutospacing="1" w:after="100" w:afterAutospacing="1" w:line="276" w:lineRule="auto"/>
        <w:jc w:val="both"/>
        <w:rPr>
          <w:rFonts w:ascii="Times New Roman" w:eastAsia="Times New Roman" w:hAnsi="Times New Roman" w:cs="Times New Roman"/>
          <w:b/>
          <w:bCs/>
        </w:rPr>
      </w:pPr>
      <w:r w:rsidRPr="00C27631">
        <w:rPr>
          <w:rFonts w:ascii="Times New Roman" w:eastAsia="Times New Roman" w:hAnsi="Times New Roman" w:cs="Times New Roman"/>
          <w:b/>
          <w:bCs/>
        </w:rPr>
        <w:t>Quantitative Sample Size</w:t>
      </w:r>
    </w:p>
    <w:p w14:paraId="66B7631F" w14:textId="77777777" w:rsidR="00A95358" w:rsidRPr="00C27631" w:rsidRDefault="00A95358" w:rsidP="00A95358">
      <w:pPr>
        <w:spacing w:before="100" w:beforeAutospacing="1" w:after="100" w:afterAutospacing="1" w:line="276" w:lineRule="auto"/>
        <w:jc w:val="both"/>
        <w:rPr>
          <w:rFonts w:ascii="Times New Roman" w:eastAsia="Times New Roman" w:hAnsi="Times New Roman" w:cs="Times New Roman"/>
        </w:rPr>
      </w:pPr>
      <w:r w:rsidRPr="00C27631">
        <w:rPr>
          <w:rFonts w:ascii="Times New Roman" w:eastAsia="Times New Roman" w:hAnsi="Times New Roman" w:cs="Times New Roman"/>
        </w:rPr>
        <w:t>The study used Cochran formula to determine the quantitative  sample size, and a minimum of 384 survey respondents was determined for statistical validity.</w:t>
      </w:r>
    </w:p>
    <w:p w14:paraId="246294C0" w14:textId="77777777" w:rsidR="00A95358" w:rsidRPr="00C27631" w:rsidRDefault="00A95358" w:rsidP="00A95358">
      <w:pPr>
        <w:spacing w:line="276" w:lineRule="auto"/>
        <w:rPr>
          <w:rFonts w:ascii="Times New Roman" w:hAnsi="Times New Roman" w:cs="Times New Roman"/>
        </w:rPr>
      </w:pPr>
      <w:r w:rsidRPr="00C27631">
        <w:rPr>
          <w:rFonts w:ascii="Times New Roman" w:hAnsi="Times New Roman" w:cs="Times New Roman"/>
        </w:rPr>
        <w:t>The formula is:</w:t>
      </w:r>
    </w:p>
    <w:p w14:paraId="74F14038" w14:textId="77777777" w:rsidR="00A95358" w:rsidRPr="00C27631" w:rsidRDefault="00A95358" w:rsidP="00A95358">
      <w:pPr>
        <w:spacing w:line="276" w:lineRule="auto"/>
        <w:rPr>
          <w:rFonts w:ascii="Times New Roman" w:hAnsi="Times New Roman" w:cs="Times New Roman"/>
        </w:rPr>
      </w:pPr>
      <w:r w:rsidRPr="00C27631">
        <w:rPr>
          <w:rFonts w:ascii="Times New Roman" w:hAnsi="Times New Roman" w:cs="Times New Roman"/>
        </w:rPr>
        <w:t>n = Z² × p × (1 – p) / d²</w:t>
      </w:r>
    </w:p>
    <w:p w14:paraId="6639A691" w14:textId="77777777" w:rsidR="00A95358" w:rsidRPr="00C27631" w:rsidRDefault="00A95358" w:rsidP="00A95358">
      <w:pPr>
        <w:spacing w:line="276" w:lineRule="auto"/>
        <w:rPr>
          <w:rFonts w:ascii="Times New Roman" w:hAnsi="Times New Roman" w:cs="Times New Roman"/>
        </w:rPr>
      </w:pPr>
      <w:r w:rsidRPr="00C27631">
        <w:rPr>
          <w:rFonts w:ascii="Times New Roman" w:hAnsi="Times New Roman" w:cs="Times New Roman"/>
        </w:rPr>
        <w:t>Where:</w:t>
      </w:r>
    </w:p>
    <w:p w14:paraId="4CB7FD30" w14:textId="77777777" w:rsidR="00A95358" w:rsidRPr="00C27631" w:rsidRDefault="00A95358" w:rsidP="00A95358">
      <w:pPr>
        <w:numPr>
          <w:ilvl w:val="0"/>
          <w:numId w:val="7"/>
        </w:numPr>
        <w:spacing w:before="100" w:beforeAutospacing="1" w:after="100" w:afterAutospacing="1" w:line="276" w:lineRule="auto"/>
        <w:rPr>
          <w:rFonts w:ascii="Times New Roman" w:hAnsi="Times New Roman" w:cs="Times New Roman"/>
        </w:rPr>
      </w:pPr>
      <w:r w:rsidRPr="00C27631">
        <w:rPr>
          <w:rStyle w:val="Strong"/>
          <w:rFonts w:ascii="Times New Roman" w:hAnsi="Times New Roman" w:cs="Times New Roman"/>
        </w:rPr>
        <w:t>n</w:t>
      </w:r>
      <w:r w:rsidRPr="00C27631">
        <w:rPr>
          <w:rFonts w:ascii="Times New Roman" w:hAnsi="Times New Roman" w:cs="Times New Roman"/>
        </w:rPr>
        <w:t xml:space="preserve"> is the required sample size,</w:t>
      </w:r>
    </w:p>
    <w:p w14:paraId="49790596" w14:textId="77777777" w:rsidR="00A95358" w:rsidRPr="00C27631" w:rsidRDefault="00A95358" w:rsidP="00A95358">
      <w:pPr>
        <w:numPr>
          <w:ilvl w:val="0"/>
          <w:numId w:val="7"/>
        </w:numPr>
        <w:spacing w:before="100" w:beforeAutospacing="1" w:after="100" w:afterAutospacing="1" w:line="276" w:lineRule="auto"/>
        <w:rPr>
          <w:rFonts w:ascii="Times New Roman" w:hAnsi="Times New Roman" w:cs="Times New Roman"/>
        </w:rPr>
      </w:pPr>
      <w:r w:rsidRPr="00C27631">
        <w:rPr>
          <w:rStyle w:val="Strong"/>
          <w:rFonts w:ascii="Times New Roman" w:hAnsi="Times New Roman" w:cs="Times New Roman"/>
        </w:rPr>
        <w:t>Z</w:t>
      </w:r>
      <w:r w:rsidRPr="00C27631">
        <w:rPr>
          <w:rFonts w:ascii="Times New Roman" w:hAnsi="Times New Roman" w:cs="Times New Roman"/>
        </w:rPr>
        <w:t xml:space="preserve"> is the Z-score corresponding to the desired confidence level (1.96 for 95%),</w:t>
      </w:r>
    </w:p>
    <w:p w14:paraId="42D81B97" w14:textId="77777777" w:rsidR="00A95358" w:rsidRPr="00C27631" w:rsidRDefault="00A95358" w:rsidP="00A95358">
      <w:pPr>
        <w:numPr>
          <w:ilvl w:val="0"/>
          <w:numId w:val="7"/>
        </w:numPr>
        <w:spacing w:before="100" w:beforeAutospacing="1" w:after="100" w:afterAutospacing="1" w:line="276" w:lineRule="auto"/>
        <w:rPr>
          <w:rFonts w:ascii="Times New Roman" w:hAnsi="Times New Roman" w:cs="Times New Roman"/>
        </w:rPr>
      </w:pPr>
      <w:r w:rsidRPr="00C27631">
        <w:rPr>
          <w:rStyle w:val="Strong"/>
          <w:rFonts w:ascii="Times New Roman" w:hAnsi="Times New Roman" w:cs="Times New Roman"/>
        </w:rPr>
        <w:t>p</w:t>
      </w:r>
      <w:r w:rsidRPr="00C27631">
        <w:rPr>
          <w:rFonts w:ascii="Times New Roman" w:hAnsi="Times New Roman" w:cs="Times New Roman"/>
        </w:rPr>
        <w:t xml:space="preserve"> is the estimated proportion of the population (0.5, maximizing sample size due to lack of prior data),</w:t>
      </w:r>
    </w:p>
    <w:p w14:paraId="77A7505C" w14:textId="77777777" w:rsidR="00A95358" w:rsidRPr="00C27631" w:rsidRDefault="00A95358" w:rsidP="00A95358">
      <w:pPr>
        <w:numPr>
          <w:ilvl w:val="0"/>
          <w:numId w:val="7"/>
        </w:numPr>
        <w:spacing w:before="100" w:beforeAutospacing="1" w:after="100" w:afterAutospacing="1" w:line="276" w:lineRule="auto"/>
        <w:rPr>
          <w:rFonts w:ascii="Times New Roman" w:hAnsi="Times New Roman" w:cs="Times New Roman"/>
        </w:rPr>
      </w:pPr>
      <w:r w:rsidRPr="00C27631">
        <w:rPr>
          <w:rStyle w:val="Strong"/>
          <w:rFonts w:ascii="Times New Roman" w:hAnsi="Times New Roman" w:cs="Times New Roman"/>
        </w:rPr>
        <w:t>d</w:t>
      </w:r>
      <w:r w:rsidRPr="00C27631">
        <w:rPr>
          <w:rFonts w:ascii="Times New Roman" w:hAnsi="Times New Roman" w:cs="Times New Roman"/>
        </w:rPr>
        <w:t xml:space="preserve"> is the margin of error (set at 0.05).</w:t>
      </w:r>
    </w:p>
    <w:p w14:paraId="68C2D7D3" w14:textId="77777777" w:rsidR="00A95358" w:rsidRPr="00C27631" w:rsidRDefault="00A95358" w:rsidP="00A95358">
      <w:pPr>
        <w:spacing w:line="276" w:lineRule="auto"/>
        <w:rPr>
          <w:rFonts w:ascii="Times New Roman" w:hAnsi="Times New Roman" w:cs="Times New Roman"/>
        </w:rPr>
      </w:pPr>
      <w:r w:rsidRPr="00C27631">
        <w:rPr>
          <w:rFonts w:ascii="Times New Roman" w:hAnsi="Times New Roman" w:cs="Times New Roman"/>
        </w:rPr>
        <w:t>n = (1.96) ² × 0.5 × (1 – 0.5) / (0.05) ²</w:t>
      </w:r>
      <w:r w:rsidRPr="00C27631">
        <w:rPr>
          <w:rFonts w:ascii="Times New Roman" w:hAnsi="Times New Roman" w:cs="Times New Roman"/>
        </w:rPr>
        <w:br/>
        <w:t>n = 3.8416 × 0.25 / 0.0025</w:t>
      </w:r>
      <w:r w:rsidRPr="00C27631">
        <w:rPr>
          <w:rFonts w:ascii="Times New Roman" w:hAnsi="Times New Roman" w:cs="Times New Roman"/>
        </w:rPr>
        <w:br/>
        <w:t>n = 0.9604 / 0.0025</w:t>
      </w:r>
      <w:r w:rsidRPr="00C27631">
        <w:rPr>
          <w:rFonts w:ascii="Times New Roman" w:hAnsi="Times New Roman" w:cs="Times New Roman"/>
        </w:rPr>
        <w:br/>
        <w:t>n = 384.16</w:t>
      </w:r>
    </w:p>
    <w:p w14:paraId="15DEA3FA" w14:textId="77777777" w:rsidR="00A95358" w:rsidRPr="00C27631" w:rsidRDefault="00A95358" w:rsidP="00A95358">
      <w:pPr>
        <w:spacing w:before="100" w:beforeAutospacing="1" w:after="100" w:afterAutospacing="1" w:line="276" w:lineRule="auto"/>
        <w:jc w:val="both"/>
        <w:rPr>
          <w:rFonts w:ascii="Times New Roman" w:eastAsia="Times New Roman" w:hAnsi="Times New Roman" w:cs="Times New Roman"/>
        </w:rPr>
      </w:pPr>
      <w:r w:rsidRPr="00C27631">
        <w:rPr>
          <w:rFonts w:ascii="Times New Roman" w:eastAsia="Times New Roman" w:hAnsi="Times New Roman" w:cs="Times New Roman"/>
        </w:rPr>
        <w:br/>
      </w:r>
      <w:r w:rsidRPr="00C27631">
        <w:rPr>
          <w:rFonts w:ascii="Times New Roman" w:eastAsia="Times New Roman" w:hAnsi="Times New Roman" w:cs="Times New Roman"/>
          <w:b/>
          <w:bCs/>
          <w:i/>
          <w:iCs/>
        </w:rPr>
        <w:t>Qualitative Sample Size</w:t>
      </w:r>
      <w:r w:rsidRPr="00C27631">
        <w:rPr>
          <w:rFonts w:ascii="Times New Roman" w:eastAsia="Times New Roman" w:hAnsi="Times New Roman" w:cs="Times New Roman"/>
        </w:rPr>
        <w:t>: Eighteen purposively selected participants were included for qualitative analysis, achieving data saturation and balancing depth and breadth.</w:t>
      </w:r>
    </w:p>
    <w:p w14:paraId="3D31FC18" w14:textId="77777777" w:rsidR="00290D60" w:rsidRPr="00C27631" w:rsidRDefault="00102506" w:rsidP="00290D60">
      <w:pPr>
        <w:spacing w:before="100" w:beforeAutospacing="1" w:after="100" w:afterAutospacing="1" w:line="276" w:lineRule="auto"/>
        <w:jc w:val="both"/>
        <w:rPr>
          <w:rFonts w:ascii="Times New Roman" w:eastAsia="Times New Roman" w:hAnsi="Times New Roman" w:cs="Times New Roman"/>
          <w:b/>
          <w:bCs/>
        </w:rPr>
      </w:pPr>
      <w:r w:rsidRPr="00C27631">
        <w:rPr>
          <w:rFonts w:ascii="Times New Roman" w:eastAsia="Times New Roman" w:hAnsi="Times New Roman" w:cs="Times New Roman"/>
          <w:b/>
          <w:bCs/>
        </w:rPr>
        <w:t xml:space="preserve">3.4 </w:t>
      </w:r>
      <w:r w:rsidRPr="00102506">
        <w:rPr>
          <w:rFonts w:ascii="Times New Roman" w:eastAsia="Times New Roman" w:hAnsi="Times New Roman" w:cs="Times New Roman"/>
          <w:b/>
          <w:bCs/>
        </w:rPr>
        <w:t>Sampling and Data Collection</w:t>
      </w:r>
    </w:p>
    <w:p w14:paraId="3FD1BD8A" w14:textId="66E0164C" w:rsidR="00102506" w:rsidRPr="00102506" w:rsidRDefault="00102506" w:rsidP="00290D60">
      <w:pPr>
        <w:spacing w:before="100" w:beforeAutospacing="1" w:after="100" w:afterAutospacing="1" w:line="276" w:lineRule="auto"/>
        <w:jc w:val="both"/>
        <w:rPr>
          <w:rFonts w:ascii="Times New Roman" w:eastAsia="Times New Roman" w:hAnsi="Times New Roman" w:cs="Times New Roman"/>
        </w:rPr>
      </w:pPr>
      <w:r w:rsidRPr="00102506">
        <w:rPr>
          <w:rFonts w:ascii="Times New Roman" w:eastAsia="Times New Roman" w:hAnsi="Times New Roman" w:cs="Times New Roman"/>
        </w:rPr>
        <w:t>A census approach was used for quantitative surveys to ensure full industry representation, while purposive sampling targeted key informants for qualitative research. Data collection combined structured electronic surveys, semi-structured interviews, focus groups, and participant observation, complemented by secondary sources such as literature and policy documents.</w:t>
      </w:r>
    </w:p>
    <w:p w14:paraId="30372DC4" w14:textId="77777777" w:rsidR="00290D60" w:rsidRPr="00C27631" w:rsidRDefault="00102506" w:rsidP="00290D60">
      <w:pPr>
        <w:spacing w:before="100" w:beforeAutospacing="1" w:after="100" w:afterAutospacing="1" w:line="276" w:lineRule="auto"/>
        <w:jc w:val="both"/>
        <w:rPr>
          <w:rFonts w:ascii="Times New Roman" w:eastAsia="Times New Roman" w:hAnsi="Times New Roman" w:cs="Times New Roman"/>
          <w:b/>
          <w:bCs/>
        </w:rPr>
      </w:pPr>
      <w:r w:rsidRPr="00C27631">
        <w:rPr>
          <w:rFonts w:ascii="Times New Roman" w:eastAsia="Times New Roman" w:hAnsi="Times New Roman" w:cs="Times New Roman"/>
          <w:b/>
          <w:bCs/>
        </w:rPr>
        <w:t xml:space="preserve">3.5 </w:t>
      </w:r>
      <w:r w:rsidRPr="00102506">
        <w:rPr>
          <w:rFonts w:ascii="Times New Roman" w:eastAsia="Times New Roman" w:hAnsi="Times New Roman" w:cs="Times New Roman"/>
          <w:b/>
          <w:bCs/>
        </w:rPr>
        <w:t>Instrument Validation and Data Analysis</w:t>
      </w:r>
    </w:p>
    <w:p w14:paraId="6C6130F8" w14:textId="69C8255C" w:rsidR="00102506" w:rsidRPr="00102506" w:rsidRDefault="00102506" w:rsidP="00290D60">
      <w:pPr>
        <w:spacing w:before="100" w:beforeAutospacing="1" w:after="100" w:afterAutospacing="1" w:line="276" w:lineRule="auto"/>
        <w:jc w:val="both"/>
        <w:rPr>
          <w:rFonts w:ascii="Times New Roman" w:eastAsia="Times New Roman" w:hAnsi="Times New Roman" w:cs="Times New Roman"/>
        </w:rPr>
      </w:pPr>
      <w:r w:rsidRPr="00102506">
        <w:rPr>
          <w:rFonts w:ascii="Times New Roman" w:eastAsia="Times New Roman" w:hAnsi="Times New Roman" w:cs="Times New Roman"/>
        </w:rPr>
        <w:t>Pilot testing refined data collection instruments for clarity and reliability, with diagnostic tools like the Shapiro-Wilk test and Cronbach’s Alpha ensuring validity. Qualitative data were thematically analyzed, and quantitative data were examined using descriptive and inferential statistics, allowing for integrated and robust findings.</w:t>
      </w:r>
    </w:p>
    <w:p w14:paraId="58E9EC48" w14:textId="77777777" w:rsidR="00290D60" w:rsidRPr="00C27631" w:rsidRDefault="00102506" w:rsidP="00290D60">
      <w:pPr>
        <w:spacing w:before="100" w:beforeAutospacing="1" w:after="100" w:afterAutospacing="1" w:line="276" w:lineRule="auto"/>
        <w:jc w:val="both"/>
        <w:rPr>
          <w:rFonts w:ascii="Times New Roman" w:eastAsia="Times New Roman" w:hAnsi="Times New Roman" w:cs="Times New Roman"/>
          <w:b/>
          <w:bCs/>
        </w:rPr>
      </w:pPr>
      <w:r w:rsidRPr="00C27631">
        <w:rPr>
          <w:rFonts w:ascii="Times New Roman" w:eastAsia="Times New Roman" w:hAnsi="Times New Roman" w:cs="Times New Roman"/>
          <w:b/>
          <w:bCs/>
        </w:rPr>
        <w:t xml:space="preserve">3.6 </w:t>
      </w:r>
      <w:r w:rsidRPr="00102506">
        <w:rPr>
          <w:rFonts w:ascii="Times New Roman" w:eastAsia="Times New Roman" w:hAnsi="Times New Roman" w:cs="Times New Roman"/>
          <w:b/>
          <w:bCs/>
        </w:rPr>
        <w:t>Ethical Considerations and Limitations</w:t>
      </w:r>
    </w:p>
    <w:p w14:paraId="67A09220" w14:textId="480B4B0A" w:rsidR="00102506" w:rsidRPr="00102506" w:rsidRDefault="00102506" w:rsidP="00290D60">
      <w:pPr>
        <w:spacing w:before="100" w:beforeAutospacing="1" w:after="100" w:afterAutospacing="1" w:line="276" w:lineRule="auto"/>
        <w:jc w:val="both"/>
        <w:rPr>
          <w:rFonts w:ascii="Times New Roman" w:eastAsia="Times New Roman" w:hAnsi="Times New Roman" w:cs="Times New Roman"/>
        </w:rPr>
      </w:pPr>
      <w:r w:rsidRPr="00102506">
        <w:rPr>
          <w:rFonts w:ascii="Times New Roman" w:eastAsia="Times New Roman" w:hAnsi="Times New Roman" w:cs="Times New Roman"/>
        </w:rPr>
        <w:lastRenderedPageBreak/>
        <w:t>Ethical standards included informed consent, confidentiality, secure data storage, and voluntary participation, with efforts to reduce bias through anonymity and data triangulation. Methodological limitations involved restricted access to financial data, potential self-reporting bias, rapid FinTech evolution, and limited generalizability beyond the Zambian context.</w:t>
      </w:r>
    </w:p>
    <w:p w14:paraId="5565BDBD" w14:textId="77777777" w:rsidR="00A95358" w:rsidRPr="00C27631" w:rsidRDefault="00A95358" w:rsidP="00A95358">
      <w:pPr>
        <w:pStyle w:val="Heading1"/>
        <w:rPr>
          <w:rFonts w:cs="Times New Roman"/>
        </w:rPr>
      </w:pPr>
      <w:r w:rsidRPr="00C27631">
        <w:rPr>
          <w:rFonts w:cs="Times New Roman"/>
        </w:rPr>
        <w:t>4. RESULTS</w:t>
      </w:r>
    </w:p>
    <w:p w14:paraId="3B2CEBFA" w14:textId="752F9C06" w:rsidR="00A95358" w:rsidRPr="00C27631" w:rsidRDefault="00A95358" w:rsidP="00A95358">
      <w:pPr>
        <w:pStyle w:val="Heading2"/>
      </w:pPr>
      <w:r w:rsidRPr="00C27631">
        <w:t>4.1 Introduction</w:t>
      </w:r>
    </w:p>
    <w:p w14:paraId="43EF1D32" w14:textId="77777777" w:rsidR="00AA3234" w:rsidRPr="00C27631" w:rsidRDefault="00A95358" w:rsidP="00AA3234">
      <w:pPr>
        <w:spacing w:line="276" w:lineRule="auto"/>
        <w:jc w:val="both"/>
        <w:rPr>
          <w:rFonts w:ascii="Times New Roman" w:hAnsi="Times New Roman" w:cs="Times New Roman"/>
        </w:rPr>
      </w:pPr>
      <w:r w:rsidRPr="00C27631">
        <w:rPr>
          <w:rFonts w:ascii="Times New Roman" w:hAnsi="Times New Roman" w:cs="Times New Roman"/>
        </w:rPr>
        <w:t>Chapter Four presents the results of the study, providing a detailed analysis of the data collected on FinTech adoption in Zambia’s insurance industry. This chapter highlights the key findings related to business model transformation, risks, challenges, and the strategies employed by insurance companies to manage FinTech integration. The results are presented using both quantitative and qualitative evidence</w:t>
      </w:r>
      <w:r w:rsidR="00AA3234" w:rsidRPr="00C27631">
        <w:rPr>
          <w:rFonts w:ascii="Times New Roman" w:hAnsi="Times New Roman" w:cs="Times New Roman"/>
        </w:rPr>
        <w:t>.</w:t>
      </w:r>
    </w:p>
    <w:p w14:paraId="798DAAB0" w14:textId="77777777" w:rsidR="00AA3234" w:rsidRPr="00C27631" w:rsidRDefault="00AA3234" w:rsidP="00AA3234">
      <w:pPr>
        <w:spacing w:line="276" w:lineRule="auto"/>
        <w:jc w:val="both"/>
        <w:rPr>
          <w:rFonts w:ascii="Times New Roman" w:eastAsia="Times New Roman" w:hAnsi="Times New Roman" w:cs="Times New Roman"/>
          <w:b/>
          <w:bCs/>
          <w:sz w:val="24"/>
          <w:szCs w:val="24"/>
        </w:rPr>
      </w:pPr>
      <w:r w:rsidRPr="00AA3234">
        <w:rPr>
          <w:rFonts w:ascii="Times New Roman" w:eastAsia="Times New Roman" w:hAnsi="Times New Roman" w:cs="Times New Roman"/>
          <w:b/>
          <w:bCs/>
          <w:sz w:val="24"/>
          <w:szCs w:val="24"/>
        </w:rPr>
        <w:t>4.2 Demographic Variables</w:t>
      </w:r>
    </w:p>
    <w:p w14:paraId="5747DA44" w14:textId="4ADA0AE9" w:rsidR="00AA3234" w:rsidRPr="00AA3234" w:rsidRDefault="00AA3234" w:rsidP="00AA3234">
      <w:pPr>
        <w:spacing w:line="276" w:lineRule="auto"/>
        <w:jc w:val="both"/>
        <w:rPr>
          <w:rFonts w:ascii="Times New Roman" w:eastAsia="Times New Roman" w:hAnsi="Times New Roman" w:cs="Times New Roman"/>
        </w:rPr>
      </w:pPr>
      <w:r w:rsidRPr="00AA3234">
        <w:rPr>
          <w:rFonts w:ascii="Times New Roman" w:eastAsia="Times New Roman" w:hAnsi="Times New Roman" w:cs="Times New Roman"/>
        </w:rPr>
        <w:t>Table 4.1 outlines the demographic characteristics of the 384 survey respondents. Males comprised a slight majority (56%), while females accounted for 44%. The workforce was relatively young, with 28.1% under 30 years old, 46.1% aged 30–45, and 25.8% over 45. Most respondents (62%) held managerial or supervisory roles, while 38% represented technical or frontline staff, reflecting both strategic and operational perspectives. Regarding company size, 34.1% worked in large insurance firms, 40.9% in medium-sized, and 25% in small companies, ensuring a representative sectoral distribution. Notably, 71.1% had over five years of industry experience, enhancing the credibility of the findings.</w:t>
      </w:r>
    </w:p>
    <w:p w14:paraId="7A8D5125" w14:textId="77777777" w:rsidR="00AA3234" w:rsidRPr="00AA3234" w:rsidRDefault="00AA3234" w:rsidP="00C27631">
      <w:pPr>
        <w:spacing w:before="100" w:beforeAutospacing="1" w:after="100" w:afterAutospacing="1" w:line="276" w:lineRule="auto"/>
        <w:rPr>
          <w:rFonts w:ascii="Times New Roman" w:eastAsia="Times New Roman" w:hAnsi="Times New Roman" w:cs="Times New Roman"/>
        </w:rPr>
      </w:pPr>
      <w:r w:rsidRPr="00AA3234">
        <w:rPr>
          <w:rFonts w:ascii="Times New Roman" w:eastAsia="Times New Roman" w:hAnsi="Times New Roman" w:cs="Times New Roman"/>
          <w:b/>
          <w:bCs/>
        </w:rPr>
        <w:t>Table 4.1: Respondent Demographics</w:t>
      </w:r>
    </w:p>
    <w:tbl>
      <w:tblPr>
        <w:tblStyle w:val="PlainTable4"/>
        <w:tblW w:w="9422" w:type="dxa"/>
        <w:tblBorders>
          <w:top w:val="single" w:sz="4" w:space="0" w:color="auto"/>
          <w:bottom w:val="single" w:sz="4" w:space="0" w:color="auto"/>
        </w:tblBorders>
        <w:tblLook w:val="04A0" w:firstRow="1" w:lastRow="0" w:firstColumn="1" w:lastColumn="0" w:noHBand="0" w:noVBand="1"/>
      </w:tblPr>
      <w:tblGrid>
        <w:gridCol w:w="2651"/>
        <w:gridCol w:w="2777"/>
        <w:gridCol w:w="1682"/>
        <w:gridCol w:w="2312"/>
      </w:tblGrid>
      <w:tr w:rsidR="00AA3234" w:rsidRPr="00AA3234" w14:paraId="4533452A" w14:textId="77777777" w:rsidTr="00AA3234">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1A6EEE9B" w14:textId="77777777" w:rsidR="00AA3234" w:rsidRPr="00AA3234" w:rsidRDefault="00AA3234" w:rsidP="00C27631">
            <w:pPr>
              <w:spacing w:line="276" w:lineRule="auto"/>
              <w:jc w:val="center"/>
              <w:rPr>
                <w:rFonts w:ascii="Times New Roman" w:eastAsia="Times New Roman" w:hAnsi="Times New Roman" w:cs="Times New Roman"/>
              </w:rPr>
            </w:pPr>
            <w:r w:rsidRPr="00AA3234">
              <w:rPr>
                <w:rFonts w:ascii="Times New Roman" w:eastAsia="Times New Roman" w:hAnsi="Times New Roman" w:cs="Times New Roman"/>
              </w:rPr>
              <w:t xml:space="preserve">Variable </w:t>
            </w:r>
          </w:p>
        </w:tc>
        <w:tc>
          <w:tcPr>
            <w:tcW w:w="0" w:type="auto"/>
            <w:hideMark/>
          </w:tcPr>
          <w:p w14:paraId="2CC47505" w14:textId="77777777" w:rsidR="00AA3234" w:rsidRPr="00AA3234" w:rsidRDefault="00AA3234" w:rsidP="00C2763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Category </w:t>
            </w:r>
          </w:p>
        </w:tc>
        <w:tc>
          <w:tcPr>
            <w:tcW w:w="0" w:type="auto"/>
            <w:hideMark/>
          </w:tcPr>
          <w:p w14:paraId="07CA09F3" w14:textId="77777777" w:rsidR="00AA3234" w:rsidRPr="00AA3234" w:rsidRDefault="00AA3234" w:rsidP="00C2763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Frequency </w:t>
            </w:r>
          </w:p>
        </w:tc>
        <w:tc>
          <w:tcPr>
            <w:tcW w:w="0" w:type="auto"/>
            <w:hideMark/>
          </w:tcPr>
          <w:p w14:paraId="6CEC6D8A" w14:textId="77777777" w:rsidR="00AA3234" w:rsidRPr="00AA3234" w:rsidRDefault="00AA3234" w:rsidP="00C27631">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Percentage (%) </w:t>
            </w:r>
          </w:p>
        </w:tc>
      </w:tr>
      <w:tr w:rsidR="00AA3234" w:rsidRPr="00AA3234" w14:paraId="425B21F2" w14:textId="77777777" w:rsidTr="00AA323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5AF123D0" w14:textId="77777777" w:rsidR="00AA3234" w:rsidRPr="00AA3234" w:rsidRDefault="00AA3234" w:rsidP="00C27631">
            <w:pPr>
              <w:spacing w:line="276" w:lineRule="auto"/>
              <w:rPr>
                <w:rFonts w:ascii="Times New Roman" w:eastAsia="Times New Roman" w:hAnsi="Times New Roman" w:cs="Times New Roman"/>
              </w:rPr>
            </w:pPr>
            <w:r w:rsidRPr="00AA3234">
              <w:rPr>
                <w:rFonts w:ascii="Times New Roman" w:eastAsia="Times New Roman" w:hAnsi="Times New Roman" w:cs="Times New Roman"/>
              </w:rPr>
              <w:t xml:space="preserve">Gender </w:t>
            </w:r>
          </w:p>
        </w:tc>
        <w:tc>
          <w:tcPr>
            <w:tcW w:w="0" w:type="auto"/>
            <w:hideMark/>
          </w:tcPr>
          <w:p w14:paraId="6FF7CE4F"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Male </w:t>
            </w:r>
          </w:p>
        </w:tc>
        <w:tc>
          <w:tcPr>
            <w:tcW w:w="0" w:type="auto"/>
            <w:hideMark/>
          </w:tcPr>
          <w:p w14:paraId="10B28E2F"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215 </w:t>
            </w:r>
          </w:p>
        </w:tc>
        <w:tc>
          <w:tcPr>
            <w:tcW w:w="0" w:type="auto"/>
            <w:hideMark/>
          </w:tcPr>
          <w:p w14:paraId="2D0560B1"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56 </w:t>
            </w:r>
          </w:p>
        </w:tc>
      </w:tr>
      <w:tr w:rsidR="00AA3234" w:rsidRPr="00AA3234" w14:paraId="126D730A" w14:textId="77777777" w:rsidTr="00AA3234">
        <w:trPr>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3D320ADE" w14:textId="77777777" w:rsidR="00AA3234" w:rsidRPr="00AA3234" w:rsidRDefault="00AA3234" w:rsidP="00C27631">
            <w:pPr>
              <w:spacing w:line="276" w:lineRule="auto"/>
              <w:rPr>
                <w:rFonts w:ascii="Times New Roman" w:eastAsia="Times New Roman" w:hAnsi="Times New Roman" w:cs="Times New Roman"/>
              </w:rPr>
            </w:pPr>
          </w:p>
        </w:tc>
        <w:tc>
          <w:tcPr>
            <w:tcW w:w="0" w:type="auto"/>
            <w:hideMark/>
          </w:tcPr>
          <w:p w14:paraId="43D7CB34"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Female </w:t>
            </w:r>
          </w:p>
        </w:tc>
        <w:tc>
          <w:tcPr>
            <w:tcW w:w="0" w:type="auto"/>
            <w:hideMark/>
          </w:tcPr>
          <w:p w14:paraId="489B5A97"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169 </w:t>
            </w:r>
          </w:p>
        </w:tc>
        <w:tc>
          <w:tcPr>
            <w:tcW w:w="0" w:type="auto"/>
            <w:hideMark/>
          </w:tcPr>
          <w:p w14:paraId="0AEF1E63"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44 </w:t>
            </w:r>
          </w:p>
        </w:tc>
      </w:tr>
      <w:tr w:rsidR="00AA3234" w:rsidRPr="00AA3234" w14:paraId="4D7DA834" w14:textId="77777777" w:rsidTr="00AA323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0BE30D85" w14:textId="77777777" w:rsidR="00AA3234" w:rsidRPr="00AA3234" w:rsidRDefault="00AA3234" w:rsidP="00C27631">
            <w:pPr>
              <w:spacing w:line="276" w:lineRule="auto"/>
              <w:rPr>
                <w:rFonts w:ascii="Times New Roman" w:eastAsia="Times New Roman" w:hAnsi="Times New Roman" w:cs="Times New Roman"/>
              </w:rPr>
            </w:pPr>
            <w:r w:rsidRPr="00AA3234">
              <w:rPr>
                <w:rFonts w:ascii="Times New Roman" w:eastAsia="Times New Roman" w:hAnsi="Times New Roman" w:cs="Times New Roman"/>
              </w:rPr>
              <w:t xml:space="preserve">Age </w:t>
            </w:r>
          </w:p>
        </w:tc>
        <w:tc>
          <w:tcPr>
            <w:tcW w:w="0" w:type="auto"/>
            <w:hideMark/>
          </w:tcPr>
          <w:p w14:paraId="208A545A"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Under 30 </w:t>
            </w:r>
          </w:p>
        </w:tc>
        <w:tc>
          <w:tcPr>
            <w:tcW w:w="0" w:type="auto"/>
            <w:hideMark/>
          </w:tcPr>
          <w:p w14:paraId="75D2BA89"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108 </w:t>
            </w:r>
          </w:p>
        </w:tc>
        <w:tc>
          <w:tcPr>
            <w:tcW w:w="0" w:type="auto"/>
            <w:hideMark/>
          </w:tcPr>
          <w:p w14:paraId="304B22AA"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28.1 </w:t>
            </w:r>
          </w:p>
        </w:tc>
      </w:tr>
      <w:tr w:rsidR="00AA3234" w:rsidRPr="00AA3234" w14:paraId="606D3662" w14:textId="77777777" w:rsidTr="00AA3234">
        <w:trPr>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68AAA190" w14:textId="77777777" w:rsidR="00AA3234" w:rsidRPr="00AA3234" w:rsidRDefault="00AA3234" w:rsidP="00C27631">
            <w:pPr>
              <w:spacing w:line="276" w:lineRule="auto"/>
              <w:rPr>
                <w:rFonts w:ascii="Times New Roman" w:eastAsia="Times New Roman" w:hAnsi="Times New Roman" w:cs="Times New Roman"/>
              </w:rPr>
            </w:pPr>
          </w:p>
        </w:tc>
        <w:tc>
          <w:tcPr>
            <w:tcW w:w="0" w:type="auto"/>
            <w:hideMark/>
          </w:tcPr>
          <w:p w14:paraId="750506DF"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30–45 </w:t>
            </w:r>
          </w:p>
        </w:tc>
        <w:tc>
          <w:tcPr>
            <w:tcW w:w="0" w:type="auto"/>
            <w:hideMark/>
          </w:tcPr>
          <w:p w14:paraId="5CE598FD"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177 </w:t>
            </w:r>
          </w:p>
        </w:tc>
        <w:tc>
          <w:tcPr>
            <w:tcW w:w="0" w:type="auto"/>
            <w:hideMark/>
          </w:tcPr>
          <w:p w14:paraId="6F2B050A"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46.1 </w:t>
            </w:r>
          </w:p>
        </w:tc>
      </w:tr>
      <w:tr w:rsidR="00AA3234" w:rsidRPr="00AA3234" w14:paraId="69A05FE2" w14:textId="77777777" w:rsidTr="00AA323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58CC4137" w14:textId="77777777" w:rsidR="00AA3234" w:rsidRPr="00AA3234" w:rsidRDefault="00AA3234" w:rsidP="00C27631">
            <w:pPr>
              <w:spacing w:line="276" w:lineRule="auto"/>
              <w:rPr>
                <w:rFonts w:ascii="Times New Roman" w:eastAsia="Times New Roman" w:hAnsi="Times New Roman" w:cs="Times New Roman"/>
              </w:rPr>
            </w:pPr>
          </w:p>
        </w:tc>
        <w:tc>
          <w:tcPr>
            <w:tcW w:w="0" w:type="auto"/>
            <w:hideMark/>
          </w:tcPr>
          <w:p w14:paraId="2EEEBF3C"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Over 45 </w:t>
            </w:r>
          </w:p>
        </w:tc>
        <w:tc>
          <w:tcPr>
            <w:tcW w:w="0" w:type="auto"/>
            <w:hideMark/>
          </w:tcPr>
          <w:p w14:paraId="182B3BFD"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99 </w:t>
            </w:r>
          </w:p>
        </w:tc>
        <w:tc>
          <w:tcPr>
            <w:tcW w:w="0" w:type="auto"/>
            <w:hideMark/>
          </w:tcPr>
          <w:p w14:paraId="4DA90E8F"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25.8 </w:t>
            </w:r>
          </w:p>
        </w:tc>
      </w:tr>
      <w:tr w:rsidR="00AA3234" w:rsidRPr="00AA3234" w14:paraId="602E7264" w14:textId="77777777" w:rsidTr="00AA3234">
        <w:trPr>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488B5C6F" w14:textId="77777777" w:rsidR="00AA3234" w:rsidRPr="00AA3234" w:rsidRDefault="00AA3234" w:rsidP="00C27631">
            <w:pPr>
              <w:spacing w:line="276" w:lineRule="auto"/>
              <w:rPr>
                <w:rFonts w:ascii="Times New Roman" w:eastAsia="Times New Roman" w:hAnsi="Times New Roman" w:cs="Times New Roman"/>
              </w:rPr>
            </w:pPr>
            <w:r w:rsidRPr="00AA3234">
              <w:rPr>
                <w:rFonts w:ascii="Times New Roman" w:eastAsia="Times New Roman" w:hAnsi="Times New Roman" w:cs="Times New Roman"/>
              </w:rPr>
              <w:t xml:space="preserve">Position </w:t>
            </w:r>
          </w:p>
        </w:tc>
        <w:tc>
          <w:tcPr>
            <w:tcW w:w="0" w:type="auto"/>
            <w:hideMark/>
          </w:tcPr>
          <w:p w14:paraId="2565E76A"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Manager/Supervisor </w:t>
            </w:r>
          </w:p>
        </w:tc>
        <w:tc>
          <w:tcPr>
            <w:tcW w:w="0" w:type="auto"/>
            <w:hideMark/>
          </w:tcPr>
          <w:p w14:paraId="516BA639"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238 </w:t>
            </w:r>
          </w:p>
        </w:tc>
        <w:tc>
          <w:tcPr>
            <w:tcW w:w="0" w:type="auto"/>
            <w:hideMark/>
          </w:tcPr>
          <w:p w14:paraId="29D4B4F2"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62 </w:t>
            </w:r>
          </w:p>
        </w:tc>
      </w:tr>
      <w:tr w:rsidR="00AA3234" w:rsidRPr="00AA3234" w14:paraId="48011CBB" w14:textId="77777777" w:rsidTr="00AA323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70E7554B" w14:textId="77777777" w:rsidR="00AA3234" w:rsidRPr="00AA3234" w:rsidRDefault="00AA3234" w:rsidP="00C27631">
            <w:pPr>
              <w:spacing w:line="276" w:lineRule="auto"/>
              <w:rPr>
                <w:rFonts w:ascii="Times New Roman" w:eastAsia="Times New Roman" w:hAnsi="Times New Roman" w:cs="Times New Roman"/>
              </w:rPr>
            </w:pPr>
          </w:p>
        </w:tc>
        <w:tc>
          <w:tcPr>
            <w:tcW w:w="0" w:type="auto"/>
            <w:hideMark/>
          </w:tcPr>
          <w:p w14:paraId="75C01ED2"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Technical/Frontline</w:t>
            </w:r>
          </w:p>
        </w:tc>
        <w:tc>
          <w:tcPr>
            <w:tcW w:w="0" w:type="auto"/>
            <w:hideMark/>
          </w:tcPr>
          <w:p w14:paraId="666B52CD"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146 </w:t>
            </w:r>
          </w:p>
        </w:tc>
        <w:tc>
          <w:tcPr>
            <w:tcW w:w="0" w:type="auto"/>
            <w:hideMark/>
          </w:tcPr>
          <w:p w14:paraId="3E546DB2"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38 </w:t>
            </w:r>
          </w:p>
        </w:tc>
      </w:tr>
      <w:tr w:rsidR="00AA3234" w:rsidRPr="00AA3234" w14:paraId="0D6F2FE5" w14:textId="77777777" w:rsidTr="00AA3234">
        <w:trPr>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6DB80E51" w14:textId="77777777" w:rsidR="00AA3234" w:rsidRPr="00AA3234" w:rsidRDefault="00AA3234" w:rsidP="00C27631">
            <w:pPr>
              <w:spacing w:line="276" w:lineRule="auto"/>
              <w:rPr>
                <w:rFonts w:ascii="Times New Roman" w:eastAsia="Times New Roman" w:hAnsi="Times New Roman" w:cs="Times New Roman"/>
              </w:rPr>
            </w:pPr>
            <w:r w:rsidRPr="00AA3234">
              <w:rPr>
                <w:rFonts w:ascii="Times New Roman" w:eastAsia="Times New Roman" w:hAnsi="Times New Roman" w:cs="Times New Roman"/>
              </w:rPr>
              <w:t xml:space="preserve">Company Size </w:t>
            </w:r>
          </w:p>
        </w:tc>
        <w:tc>
          <w:tcPr>
            <w:tcW w:w="0" w:type="auto"/>
            <w:hideMark/>
          </w:tcPr>
          <w:p w14:paraId="490A3834"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Large </w:t>
            </w:r>
          </w:p>
        </w:tc>
        <w:tc>
          <w:tcPr>
            <w:tcW w:w="0" w:type="auto"/>
            <w:hideMark/>
          </w:tcPr>
          <w:p w14:paraId="281B099E"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131 </w:t>
            </w:r>
          </w:p>
        </w:tc>
        <w:tc>
          <w:tcPr>
            <w:tcW w:w="0" w:type="auto"/>
            <w:hideMark/>
          </w:tcPr>
          <w:p w14:paraId="304CCD5D"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34.1 </w:t>
            </w:r>
          </w:p>
        </w:tc>
      </w:tr>
      <w:tr w:rsidR="00AA3234" w:rsidRPr="00AA3234" w14:paraId="25733669" w14:textId="77777777" w:rsidTr="00AA323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7D8D2620" w14:textId="77777777" w:rsidR="00AA3234" w:rsidRPr="00AA3234" w:rsidRDefault="00AA3234" w:rsidP="00C27631">
            <w:pPr>
              <w:spacing w:line="276" w:lineRule="auto"/>
              <w:rPr>
                <w:rFonts w:ascii="Times New Roman" w:eastAsia="Times New Roman" w:hAnsi="Times New Roman" w:cs="Times New Roman"/>
              </w:rPr>
            </w:pPr>
          </w:p>
        </w:tc>
        <w:tc>
          <w:tcPr>
            <w:tcW w:w="0" w:type="auto"/>
            <w:hideMark/>
          </w:tcPr>
          <w:p w14:paraId="2AFC93D6"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Medium </w:t>
            </w:r>
          </w:p>
        </w:tc>
        <w:tc>
          <w:tcPr>
            <w:tcW w:w="0" w:type="auto"/>
            <w:hideMark/>
          </w:tcPr>
          <w:p w14:paraId="36C0361C"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157 </w:t>
            </w:r>
          </w:p>
        </w:tc>
        <w:tc>
          <w:tcPr>
            <w:tcW w:w="0" w:type="auto"/>
            <w:hideMark/>
          </w:tcPr>
          <w:p w14:paraId="06E8A0F3"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40.9 </w:t>
            </w:r>
          </w:p>
        </w:tc>
      </w:tr>
      <w:tr w:rsidR="00AA3234" w:rsidRPr="00AA3234" w14:paraId="6D73FF97" w14:textId="77777777" w:rsidTr="00AA3234">
        <w:trPr>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4FFB3375" w14:textId="77777777" w:rsidR="00AA3234" w:rsidRPr="00AA3234" w:rsidRDefault="00AA3234" w:rsidP="00C27631">
            <w:pPr>
              <w:spacing w:line="276" w:lineRule="auto"/>
              <w:rPr>
                <w:rFonts w:ascii="Times New Roman" w:eastAsia="Times New Roman" w:hAnsi="Times New Roman" w:cs="Times New Roman"/>
              </w:rPr>
            </w:pPr>
          </w:p>
        </w:tc>
        <w:tc>
          <w:tcPr>
            <w:tcW w:w="0" w:type="auto"/>
            <w:hideMark/>
          </w:tcPr>
          <w:p w14:paraId="72F1FD1F"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Small </w:t>
            </w:r>
          </w:p>
        </w:tc>
        <w:tc>
          <w:tcPr>
            <w:tcW w:w="0" w:type="auto"/>
            <w:hideMark/>
          </w:tcPr>
          <w:p w14:paraId="48888480"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96 </w:t>
            </w:r>
          </w:p>
        </w:tc>
        <w:tc>
          <w:tcPr>
            <w:tcW w:w="0" w:type="auto"/>
            <w:hideMark/>
          </w:tcPr>
          <w:p w14:paraId="384FEE41"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25 </w:t>
            </w:r>
          </w:p>
        </w:tc>
      </w:tr>
      <w:tr w:rsidR="00AA3234" w:rsidRPr="00AA3234" w14:paraId="35EB8FE8" w14:textId="77777777" w:rsidTr="00AA323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162124BE" w14:textId="77777777" w:rsidR="00AA3234" w:rsidRPr="00AA3234" w:rsidRDefault="00AA3234" w:rsidP="00C27631">
            <w:pPr>
              <w:spacing w:line="276" w:lineRule="auto"/>
              <w:rPr>
                <w:rFonts w:ascii="Times New Roman" w:eastAsia="Times New Roman" w:hAnsi="Times New Roman" w:cs="Times New Roman"/>
              </w:rPr>
            </w:pPr>
            <w:r w:rsidRPr="00AA3234">
              <w:rPr>
                <w:rFonts w:ascii="Times New Roman" w:eastAsia="Times New Roman" w:hAnsi="Times New Roman" w:cs="Times New Roman"/>
              </w:rPr>
              <w:t>Sector Experience</w:t>
            </w:r>
          </w:p>
        </w:tc>
        <w:tc>
          <w:tcPr>
            <w:tcW w:w="0" w:type="auto"/>
            <w:hideMark/>
          </w:tcPr>
          <w:p w14:paraId="108B3B42"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&gt;5 years </w:t>
            </w:r>
          </w:p>
        </w:tc>
        <w:tc>
          <w:tcPr>
            <w:tcW w:w="0" w:type="auto"/>
            <w:hideMark/>
          </w:tcPr>
          <w:p w14:paraId="486D0939"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273 </w:t>
            </w:r>
          </w:p>
        </w:tc>
        <w:tc>
          <w:tcPr>
            <w:tcW w:w="0" w:type="auto"/>
            <w:hideMark/>
          </w:tcPr>
          <w:p w14:paraId="1A07BD08" w14:textId="77777777" w:rsidR="00AA3234" w:rsidRPr="00AA3234" w:rsidRDefault="00AA3234" w:rsidP="00C27631">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71.1 </w:t>
            </w:r>
          </w:p>
        </w:tc>
      </w:tr>
      <w:tr w:rsidR="00AA3234" w:rsidRPr="00AA3234" w14:paraId="17265EF3" w14:textId="77777777" w:rsidTr="00AA3234">
        <w:trPr>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28FC935F" w14:textId="77777777" w:rsidR="00AA3234" w:rsidRPr="00AA3234" w:rsidRDefault="00AA3234" w:rsidP="00C27631">
            <w:pPr>
              <w:spacing w:line="276" w:lineRule="auto"/>
              <w:rPr>
                <w:rFonts w:ascii="Times New Roman" w:eastAsia="Times New Roman" w:hAnsi="Times New Roman" w:cs="Times New Roman"/>
              </w:rPr>
            </w:pPr>
          </w:p>
        </w:tc>
        <w:tc>
          <w:tcPr>
            <w:tcW w:w="0" w:type="auto"/>
            <w:hideMark/>
          </w:tcPr>
          <w:p w14:paraId="7CAE600D"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≤5 years </w:t>
            </w:r>
          </w:p>
        </w:tc>
        <w:tc>
          <w:tcPr>
            <w:tcW w:w="0" w:type="auto"/>
            <w:hideMark/>
          </w:tcPr>
          <w:p w14:paraId="48A7C9EF"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111 </w:t>
            </w:r>
          </w:p>
        </w:tc>
        <w:tc>
          <w:tcPr>
            <w:tcW w:w="0" w:type="auto"/>
            <w:hideMark/>
          </w:tcPr>
          <w:p w14:paraId="67FAAF5D" w14:textId="77777777" w:rsidR="00AA3234" w:rsidRPr="00AA3234" w:rsidRDefault="00AA3234" w:rsidP="00C2763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A3234">
              <w:rPr>
                <w:rFonts w:ascii="Times New Roman" w:eastAsia="Times New Roman" w:hAnsi="Times New Roman" w:cs="Times New Roman"/>
              </w:rPr>
              <w:t xml:space="preserve">28.9 </w:t>
            </w:r>
          </w:p>
        </w:tc>
      </w:tr>
    </w:tbl>
    <w:p w14:paraId="361553CA" w14:textId="77777777" w:rsidR="00AA3234" w:rsidRPr="00AA3234" w:rsidRDefault="00AA3234" w:rsidP="00C27631">
      <w:pPr>
        <w:spacing w:before="100" w:beforeAutospacing="1" w:after="100" w:afterAutospacing="1" w:line="276" w:lineRule="auto"/>
        <w:rPr>
          <w:rFonts w:ascii="Times New Roman" w:eastAsia="Times New Roman" w:hAnsi="Times New Roman" w:cs="Times New Roman"/>
        </w:rPr>
      </w:pPr>
      <w:r w:rsidRPr="00AA3234">
        <w:rPr>
          <w:rFonts w:ascii="Times New Roman" w:eastAsia="Times New Roman" w:hAnsi="Times New Roman" w:cs="Times New Roman"/>
          <w:i/>
          <w:iCs/>
        </w:rPr>
        <w:t>Source: Primary Survey, October 2024</w:t>
      </w:r>
    </w:p>
    <w:p w14:paraId="0067C104" w14:textId="77777777" w:rsidR="00AA3234" w:rsidRPr="00AA3234" w:rsidRDefault="00AA3234" w:rsidP="00AA3234">
      <w:pPr>
        <w:spacing w:before="100" w:beforeAutospacing="1" w:after="100" w:afterAutospacing="1"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b/>
          <w:bCs/>
          <w:sz w:val="24"/>
          <w:szCs w:val="24"/>
        </w:rPr>
        <w:t>4.3 Current Level of FinTech Adoption</w:t>
      </w:r>
    </w:p>
    <w:p w14:paraId="6DDCA586" w14:textId="77777777" w:rsidR="00C27631" w:rsidRPr="00C27631" w:rsidRDefault="00AA3234" w:rsidP="00C27631">
      <w:pPr>
        <w:spacing w:before="100" w:beforeAutospacing="1" w:after="100" w:afterAutospacing="1" w:line="276" w:lineRule="auto"/>
        <w:jc w:val="both"/>
        <w:rPr>
          <w:rFonts w:ascii="Times New Roman" w:eastAsia="Times New Roman" w:hAnsi="Times New Roman" w:cs="Times New Roman"/>
          <w:b/>
          <w:bCs/>
          <w:sz w:val="24"/>
          <w:szCs w:val="24"/>
        </w:rPr>
      </w:pPr>
      <w:r w:rsidRPr="00AA3234">
        <w:rPr>
          <w:rFonts w:ascii="Times New Roman" w:eastAsia="Times New Roman" w:hAnsi="Times New Roman" w:cs="Times New Roman"/>
          <w:b/>
          <w:bCs/>
          <w:sz w:val="24"/>
          <w:szCs w:val="24"/>
        </w:rPr>
        <w:t>4.3.1 Types of Insurance Products Offered</w:t>
      </w:r>
    </w:p>
    <w:p w14:paraId="276461D7" w14:textId="44C70475" w:rsidR="00AA3234" w:rsidRPr="00C27631" w:rsidRDefault="00AA3234" w:rsidP="00C27631">
      <w:pPr>
        <w:spacing w:before="100" w:beforeAutospacing="1" w:after="100" w:afterAutospacing="1" w:line="276" w:lineRule="auto"/>
        <w:jc w:val="both"/>
        <w:rPr>
          <w:rFonts w:ascii="Times New Roman" w:eastAsia="Times New Roman" w:hAnsi="Times New Roman" w:cs="Times New Roman"/>
          <w:sz w:val="24"/>
          <w:szCs w:val="24"/>
        </w:rPr>
      </w:pPr>
      <w:r w:rsidRPr="00AA3234">
        <w:rPr>
          <w:rFonts w:ascii="Times New Roman" w:eastAsia="Times New Roman" w:hAnsi="Times New Roman" w:cs="Times New Roman"/>
        </w:rPr>
        <w:lastRenderedPageBreak/>
        <w:t>Life insurance was the most prevalent product, offered by 54.7% of companies. Health insurance followed (50.0%), with auto (37.8%) and property insurance (32.3%) also commonly provided. Less widely offered products included microinsurance and agriculture insurance (13.5%). This diversity highlights the sector’s broad service offerings.</w:t>
      </w:r>
    </w:p>
    <w:p w14:paraId="1D7F0F85" w14:textId="2E83152B" w:rsidR="00A4332D" w:rsidRPr="00AA3234" w:rsidRDefault="00A4332D" w:rsidP="00AA3234">
      <w:pPr>
        <w:spacing w:before="100" w:beforeAutospacing="1" w:after="100" w:afterAutospacing="1" w:line="240" w:lineRule="auto"/>
        <w:rPr>
          <w:rFonts w:ascii="Times New Roman" w:eastAsia="Times New Roman" w:hAnsi="Times New Roman" w:cs="Times New Roman"/>
          <w:sz w:val="24"/>
          <w:szCs w:val="24"/>
        </w:rPr>
      </w:pPr>
      <w:r w:rsidRPr="00C27631">
        <w:rPr>
          <w:rFonts w:ascii="Times New Roman" w:hAnsi="Times New Roman" w:cs="Times New Roman"/>
          <w:noProof/>
        </w:rPr>
        <w:drawing>
          <wp:inline distT="0" distB="0" distL="0" distR="0" wp14:anchorId="75CFE0C5" wp14:editId="6A4D6D41">
            <wp:extent cx="5961888" cy="2172614"/>
            <wp:effectExtent l="0" t="0" r="1270" b="18415"/>
            <wp:docPr id="1" name="Chart 1">
              <a:extLst xmlns:a="http://schemas.openxmlformats.org/drawingml/2006/main">
                <a:ext uri="{FF2B5EF4-FFF2-40B4-BE49-F238E27FC236}">
                  <a16:creationId xmlns:a16="http://schemas.microsoft.com/office/drawing/2014/main" id="{18DE479A-9F40-4F75-9FE1-F5690687C5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03A9F6B" w14:textId="77777777" w:rsidR="00C27631" w:rsidRPr="00C27631" w:rsidRDefault="00AA3234" w:rsidP="00C27631">
      <w:pPr>
        <w:spacing w:before="100" w:beforeAutospacing="1" w:after="100" w:afterAutospacing="1" w:line="276" w:lineRule="auto"/>
        <w:jc w:val="both"/>
        <w:rPr>
          <w:rFonts w:ascii="Times New Roman" w:eastAsia="Times New Roman" w:hAnsi="Times New Roman" w:cs="Times New Roman"/>
          <w:b/>
          <w:bCs/>
          <w:sz w:val="24"/>
          <w:szCs w:val="24"/>
        </w:rPr>
      </w:pPr>
      <w:r w:rsidRPr="00AA3234">
        <w:rPr>
          <w:rFonts w:ascii="Times New Roman" w:eastAsia="Times New Roman" w:hAnsi="Times New Roman" w:cs="Times New Roman"/>
          <w:b/>
          <w:bCs/>
          <w:sz w:val="24"/>
          <w:szCs w:val="24"/>
        </w:rPr>
        <w:t>4.3.2 Level of FinTech Adoption</w:t>
      </w:r>
    </w:p>
    <w:p w14:paraId="0EBDD0F0" w14:textId="3F44FB3A" w:rsidR="00AA3234" w:rsidRPr="00AA3234" w:rsidRDefault="00AA3234" w:rsidP="00C27631">
      <w:pPr>
        <w:spacing w:before="100" w:beforeAutospacing="1" w:after="100" w:afterAutospacing="1" w:line="276" w:lineRule="auto"/>
        <w:jc w:val="both"/>
        <w:rPr>
          <w:rFonts w:ascii="Times New Roman" w:eastAsia="Times New Roman" w:hAnsi="Times New Roman" w:cs="Times New Roman"/>
          <w:sz w:val="24"/>
          <w:szCs w:val="24"/>
        </w:rPr>
      </w:pPr>
      <w:r w:rsidRPr="00AA3234">
        <w:rPr>
          <w:rFonts w:ascii="Times New Roman" w:eastAsia="Times New Roman" w:hAnsi="Times New Roman" w:cs="Times New Roman"/>
        </w:rPr>
        <w:t>Only 8.6% of companies reported no FinTech adoption, indicating widespread digital integration. Limited adoption was observed in 23.7% of firms, while 41.7% reported moderate use of FinTech systems. Extensive adoption</w:t>
      </w:r>
      <w:r w:rsidR="00C27631" w:rsidRPr="00C27631">
        <w:rPr>
          <w:rFonts w:ascii="Times New Roman" w:eastAsia="Times New Roman" w:hAnsi="Times New Roman" w:cs="Times New Roman"/>
        </w:rPr>
        <w:t xml:space="preserve"> </w:t>
      </w:r>
      <w:r w:rsidRPr="00AA3234">
        <w:rPr>
          <w:rFonts w:ascii="Times New Roman" w:eastAsia="Times New Roman" w:hAnsi="Times New Roman" w:cs="Times New Roman"/>
        </w:rPr>
        <w:t>where FinTech forms a core part of operations</w:t>
      </w:r>
      <w:r w:rsidR="00C27631" w:rsidRPr="00C27631">
        <w:rPr>
          <w:rFonts w:ascii="Times New Roman" w:eastAsia="Times New Roman" w:hAnsi="Times New Roman" w:cs="Times New Roman"/>
        </w:rPr>
        <w:t xml:space="preserve"> </w:t>
      </w:r>
      <w:r w:rsidRPr="00AA3234">
        <w:rPr>
          <w:rFonts w:ascii="Times New Roman" w:eastAsia="Times New Roman" w:hAnsi="Times New Roman" w:cs="Times New Roman"/>
        </w:rPr>
        <w:t>was noted in 26.0% of companies.</w:t>
      </w:r>
    </w:p>
    <w:p w14:paraId="23054E85" w14:textId="77777777" w:rsidR="00AA3234" w:rsidRPr="00AA3234" w:rsidRDefault="00AA3234" w:rsidP="00AA3234">
      <w:pPr>
        <w:spacing w:before="100" w:beforeAutospacing="1" w:after="100" w:afterAutospacing="1"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b/>
          <w:bCs/>
          <w:sz w:val="24"/>
          <w:szCs w:val="24"/>
        </w:rPr>
        <w:t>Table 4.2: Extent of FinTech Adoption</w:t>
      </w:r>
    </w:p>
    <w:tbl>
      <w:tblPr>
        <w:tblW w:w="9381"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389"/>
        <w:gridCol w:w="2584"/>
        <w:gridCol w:w="3408"/>
      </w:tblGrid>
      <w:tr w:rsidR="00AA3234" w:rsidRPr="00AA3234" w14:paraId="48F28A58" w14:textId="77777777" w:rsidTr="00AA3234">
        <w:trPr>
          <w:trHeight w:val="282"/>
          <w:tblHeader/>
          <w:tblCellSpacing w:w="15" w:type="dxa"/>
        </w:trPr>
        <w:tc>
          <w:tcPr>
            <w:tcW w:w="0" w:type="auto"/>
            <w:tcMar>
              <w:top w:w="0" w:type="dxa"/>
              <w:left w:w="240" w:type="dxa"/>
              <w:bottom w:w="0" w:type="dxa"/>
              <w:right w:w="240" w:type="dxa"/>
            </w:tcMar>
            <w:vAlign w:val="center"/>
            <w:hideMark/>
          </w:tcPr>
          <w:p w14:paraId="1DA21B29" w14:textId="77777777" w:rsidR="00AA3234" w:rsidRPr="00AA3234" w:rsidRDefault="00AA3234" w:rsidP="00AA3234">
            <w:pPr>
              <w:spacing w:after="0" w:line="240" w:lineRule="auto"/>
              <w:rPr>
                <w:rFonts w:ascii="Times New Roman" w:eastAsia="Times New Roman" w:hAnsi="Times New Roman" w:cs="Times New Roman"/>
                <w:b/>
                <w:bCs/>
                <w:sz w:val="24"/>
                <w:szCs w:val="24"/>
              </w:rPr>
            </w:pPr>
            <w:r w:rsidRPr="00AA3234">
              <w:rPr>
                <w:rFonts w:ascii="Times New Roman" w:eastAsia="Times New Roman" w:hAnsi="Times New Roman" w:cs="Times New Roman"/>
                <w:b/>
                <w:bCs/>
                <w:sz w:val="24"/>
                <w:szCs w:val="24"/>
              </w:rPr>
              <w:t xml:space="preserve">Adoption Level </w:t>
            </w:r>
          </w:p>
        </w:tc>
        <w:tc>
          <w:tcPr>
            <w:tcW w:w="0" w:type="auto"/>
            <w:tcMar>
              <w:top w:w="0" w:type="dxa"/>
              <w:left w:w="240" w:type="dxa"/>
              <w:bottom w:w="0" w:type="dxa"/>
              <w:right w:w="240" w:type="dxa"/>
            </w:tcMar>
            <w:vAlign w:val="center"/>
            <w:hideMark/>
          </w:tcPr>
          <w:p w14:paraId="6EF8BB60" w14:textId="77777777" w:rsidR="00AA3234" w:rsidRPr="00AA3234" w:rsidRDefault="00AA3234" w:rsidP="00AA3234">
            <w:pPr>
              <w:spacing w:after="0" w:line="240" w:lineRule="auto"/>
              <w:jc w:val="center"/>
              <w:rPr>
                <w:rFonts w:ascii="Times New Roman" w:eastAsia="Times New Roman" w:hAnsi="Times New Roman" w:cs="Times New Roman"/>
                <w:b/>
                <w:bCs/>
                <w:sz w:val="24"/>
                <w:szCs w:val="24"/>
              </w:rPr>
            </w:pPr>
            <w:r w:rsidRPr="00AA3234">
              <w:rPr>
                <w:rFonts w:ascii="Times New Roman" w:eastAsia="Times New Roman" w:hAnsi="Times New Roman" w:cs="Times New Roman"/>
                <w:b/>
                <w:bCs/>
                <w:sz w:val="24"/>
                <w:szCs w:val="24"/>
              </w:rPr>
              <w:t xml:space="preserve">Frequency </w:t>
            </w:r>
          </w:p>
        </w:tc>
        <w:tc>
          <w:tcPr>
            <w:tcW w:w="0" w:type="auto"/>
            <w:tcMar>
              <w:top w:w="0" w:type="dxa"/>
              <w:left w:w="240" w:type="dxa"/>
              <w:bottom w:w="0" w:type="dxa"/>
              <w:right w:w="240" w:type="dxa"/>
            </w:tcMar>
            <w:vAlign w:val="center"/>
            <w:hideMark/>
          </w:tcPr>
          <w:p w14:paraId="573936A7" w14:textId="77777777" w:rsidR="00AA3234" w:rsidRPr="00AA3234" w:rsidRDefault="00AA3234" w:rsidP="00AA3234">
            <w:pPr>
              <w:spacing w:after="0" w:line="240" w:lineRule="auto"/>
              <w:jc w:val="center"/>
              <w:rPr>
                <w:rFonts w:ascii="Times New Roman" w:eastAsia="Times New Roman" w:hAnsi="Times New Roman" w:cs="Times New Roman"/>
                <w:b/>
                <w:bCs/>
                <w:sz w:val="24"/>
                <w:szCs w:val="24"/>
              </w:rPr>
            </w:pPr>
            <w:r w:rsidRPr="00AA3234">
              <w:rPr>
                <w:rFonts w:ascii="Times New Roman" w:eastAsia="Times New Roman" w:hAnsi="Times New Roman" w:cs="Times New Roman"/>
                <w:b/>
                <w:bCs/>
                <w:sz w:val="24"/>
                <w:szCs w:val="24"/>
              </w:rPr>
              <w:t xml:space="preserve">Percentage (%) </w:t>
            </w:r>
          </w:p>
        </w:tc>
      </w:tr>
      <w:tr w:rsidR="00AA3234" w:rsidRPr="00AA3234" w14:paraId="17B8D122" w14:textId="77777777" w:rsidTr="00AA3234">
        <w:trPr>
          <w:trHeight w:val="259"/>
          <w:tblCellSpacing w:w="15" w:type="dxa"/>
        </w:trPr>
        <w:tc>
          <w:tcPr>
            <w:tcW w:w="0" w:type="auto"/>
            <w:vAlign w:val="center"/>
            <w:hideMark/>
          </w:tcPr>
          <w:p w14:paraId="1BB23E78" w14:textId="77777777" w:rsidR="00AA3234" w:rsidRPr="00AA3234" w:rsidRDefault="00AA3234" w:rsidP="00AA3234">
            <w:pPr>
              <w:spacing w:after="0"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sz w:val="24"/>
                <w:szCs w:val="24"/>
              </w:rPr>
              <w:t xml:space="preserve">No adoption </w:t>
            </w:r>
          </w:p>
        </w:tc>
        <w:tc>
          <w:tcPr>
            <w:tcW w:w="0" w:type="auto"/>
            <w:vAlign w:val="center"/>
            <w:hideMark/>
          </w:tcPr>
          <w:p w14:paraId="201335AC" w14:textId="77777777" w:rsidR="00AA3234" w:rsidRPr="00AA3234" w:rsidRDefault="00AA3234" w:rsidP="00AA3234">
            <w:pPr>
              <w:spacing w:after="0"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sz w:val="24"/>
                <w:szCs w:val="24"/>
              </w:rPr>
              <w:t xml:space="preserve">33 </w:t>
            </w:r>
          </w:p>
        </w:tc>
        <w:tc>
          <w:tcPr>
            <w:tcW w:w="0" w:type="auto"/>
            <w:vAlign w:val="center"/>
            <w:hideMark/>
          </w:tcPr>
          <w:p w14:paraId="1BFEC42E" w14:textId="77777777" w:rsidR="00AA3234" w:rsidRPr="00AA3234" w:rsidRDefault="00AA3234" w:rsidP="00AA3234">
            <w:pPr>
              <w:spacing w:after="0"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sz w:val="24"/>
                <w:szCs w:val="24"/>
              </w:rPr>
              <w:t xml:space="preserve">8.6 </w:t>
            </w:r>
          </w:p>
        </w:tc>
      </w:tr>
      <w:tr w:rsidR="00AA3234" w:rsidRPr="00AA3234" w14:paraId="2BD1D83E" w14:textId="77777777" w:rsidTr="00AA3234">
        <w:trPr>
          <w:trHeight w:val="259"/>
          <w:tblCellSpacing w:w="15" w:type="dxa"/>
        </w:trPr>
        <w:tc>
          <w:tcPr>
            <w:tcW w:w="0" w:type="auto"/>
            <w:vAlign w:val="center"/>
            <w:hideMark/>
          </w:tcPr>
          <w:p w14:paraId="283BD693" w14:textId="77777777" w:rsidR="00AA3234" w:rsidRPr="00AA3234" w:rsidRDefault="00AA3234" w:rsidP="00AA3234">
            <w:pPr>
              <w:spacing w:after="0"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sz w:val="24"/>
                <w:szCs w:val="24"/>
              </w:rPr>
              <w:t xml:space="preserve">Limited adoption </w:t>
            </w:r>
          </w:p>
        </w:tc>
        <w:tc>
          <w:tcPr>
            <w:tcW w:w="0" w:type="auto"/>
            <w:vAlign w:val="center"/>
            <w:hideMark/>
          </w:tcPr>
          <w:p w14:paraId="1AA39B59" w14:textId="77777777" w:rsidR="00AA3234" w:rsidRPr="00AA3234" w:rsidRDefault="00AA3234" w:rsidP="00AA3234">
            <w:pPr>
              <w:spacing w:after="0"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sz w:val="24"/>
                <w:szCs w:val="24"/>
              </w:rPr>
              <w:t xml:space="preserve">91 </w:t>
            </w:r>
          </w:p>
        </w:tc>
        <w:tc>
          <w:tcPr>
            <w:tcW w:w="0" w:type="auto"/>
            <w:vAlign w:val="center"/>
            <w:hideMark/>
          </w:tcPr>
          <w:p w14:paraId="118B65EC" w14:textId="77777777" w:rsidR="00AA3234" w:rsidRPr="00AA3234" w:rsidRDefault="00AA3234" w:rsidP="00AA3234">
            <w:pPr>
              <w:spacing w:after="0"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sz w:val="24"/>
                <w:szCs w:val="24"/>
              </w:rPr>
              <w:t xml:space="preserve">23.7 </w:t>
            </w:r>
          </w:p>
        </w:tc>
      </w:tr>
      <w:tr w:rsidR="00AA3234" w:rsidRPr="00AA3234" w14:paraId="5A2EED44" w14:textId="77777777" w:rsidTr="00AA3234">
        <w:trPr>
          <w:trHeight w:val="259"/>
          <w:tblCellSpacing w:w="15" w:type="dxa"/>
        </w:trPr>
        <w:tc>
          <w:tcPr>
            <w:tcW w:w="0" w:type="auto"/>
            <w:vAlign w:val="center"/>
            <w:hideMark/>
          </w:tcPr>
          <w:p w14:paraId="2C617D45" w14:textId="77777777" w:rsidR="00AA3234" w:rsidRPr="00AA3234" w:rsidRDefault="00AA3234" w:rsidP="00AA3234">
            <w:pPr>
              <w:spacing w:after="0"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sz w:val="24"/>
                <w:szCs w:val="24"/>
              </w:rPr>
              <w:t xml:space="preserve">Moderate adoption </w:t>
            </w:r>
          </w:p>
        </w:tc>
        <w:tc>
          <w:tcPr>
            <w:tcW w:w="0" w:type="auto"/>
            <w:vAlign w:val="center"/>
            <w:hideMark/>
          </w:tcPr>
          <w:p w14:paraId="330F8321" w14:textId="77777777" w:rsidR="00AA3234" w:rsidRPr="00AA3234" w:rsidRDefault="00AA3234" w:rsidP="00AA3234">
            <w:pPr>
              <w:spacing w:after="0"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sz w:val="24"/>
                <w:szCs w:val="24"/>
              </w:rPr>
              <w:t xml:space="preserve">160 </w:t>
            </w:r>
          </w:p>
        </w:tc>
        <w:tc>
          <w:tcPr>
            <w:tcW w:w="0" w:type="auto"/>
            <w:vAlign w:val="center"/>
            <w:hideMark/>
          </w:tcPr>
          <w:p w14:paraId="75265244" w14:textId="77777777" w:rsidR="00AA3234" w:rsidRPr="00AA3234" w:rsidRDefault="00AA3234" w:rsidP="00AA3234">
            <w:pPr>
              <w:spacing w:after="0"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sz w:val="24"/>
                <w:szCs w:val="24"/>
              </w:rPr>
              <w:t xml:space="preserve">41.7 </w:t>
            </w:r>
          </w:p>
        </w:tc>
      </w:tr>
      <w:tr w:rsidR="00AA3234" w:rsidRPr="00AA3234" w14:paraId="0595B127" w14:textId="77777777" w:rsidTr="00AA3234">
        <w:trPr>
          <w:trHeight w:val="259"/>
          <w:tblCellSpacing w:w="15" w:type="dxa"/>
        </w:trPr>
        <w:tc>
          <w:tcPr>
            <w:tcW w:w="0" w:type="auto"/>
            <w:vAlign w:val="center"/>
            <w:hideMark/>
          </w:tcPr>
          <w:p w14:paraId="55513F90" w14:textId="77777777" w:rsidR="00AA3234" w:rsidRPr="00AA3234" w:rsidRDefault="00AA3234" w:rsidP="00AA3234">
            <w:pPr>
              <w:spacing w:after="0"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sz w:val="24"/>
                <w:szCs w:val="24"/>
              </w:rPr>
              <w:t xml:space="preserve">Extensive adoption </w:t>
            </w:r>
          </w:p>
        </w:tc>
        <w:tc>
          <w:tcPr>
            <w:tcW w:w="0" w:type="auto"/>
            <w:vAlign w:val="center"/>
            <w:hideMark/>
          </w:tcPr>
          <w:p w14:paraId="29006CCD" w14:textId="77777777" w:rsidR="00AA3234" w:rsidRPr="00AA3234" w:rsidRDefault="00AA3234" w:rsidP="00AA3234">
            <w:pPr>
              <w:spacing w:after="0"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sz w:val="24"/>
                <w:szCs w:val="24"/>
              </w:rPr>
              <w:t xml:space="preserve">100 </w:t>
            </w:r>
          </w:p>
        </w:tc>
        <w:tc>
          <w:tcPr>
            <w:tcW w:w="0" w:type="auto"/>
            <w:vAlign w:val="center"/>
            <w:hideMark/>
          </w:tcPr>
          <w:p w14:paraId="105AC71F" w14:textId="77777777" w:rsidR="00AA3234" w:rsidRPr="00AA3234" w:rsidRDefault="00AA3234" w:rsidP="00AA3234">
            <w:pPr>
              <w:spacing w:after="0"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sz w:val="24"/>
                <w:szCs w:val="24"/>
              </w:rPr>
              <w:t xml:space="preserve">26.0 </w:t>
            </w:r>
          </w:p>
        </w:tc>
      </w:tr>
    </w:tbl>
    <w:p w14:paraId="5AB9E42E" w14:textId="77777777" w:rsidR="00AA3234" w:rsidRPr="00AA3234" w:rsidRDefault="00AA3234" w:rsidP="00AA3234">
      <w:pPr>
        <w:spacing w:before="100" w:beforeAutospacing="1" w:after="100" w:afterAutospacing="1" w:line="240" w:lineRule="auto"/>
        <w:rPr>
          <w:rFonts w:ascii="Times New Roman" w:eastAsia="Times New Roman" w:hAnsi="Times New Roman" w:cs="Times New Roman"/>
          <w:sz w:val="24"/>
          <w:szCs w:val="24"/>
        </w:rPr>
      </w:pPr>
      <w:r w:rsidRPr="00AA3234">
        <w:rPr>
          <w:rFonts w:ascii="Times New Roman" w:eastAsia="Times New Roman" w:hAnsi="Times New Roman" w:cs="Times New Roman"/>
          <w:i/>
          <w:iCs/>
          <w:sz w:val="24"/>
          <w:szCs w:val="24"/>
        </w:rPr>
        <w:t>Source: Primary Survey, October 2024</w:t>
      </w:r>
    </w:p>
    <w:p w14:paraId="7F0A151D" w14:textId="05938011" w:rsidR="00A4332D" w:rsidRPr="00C27631" w:rsidRDefault="00A4332D" w:rsidP="00386EE7">
      <w:pPr>
        <w:pStyle w:val="Heading3"/>
      </w:pPr>
      <w:bookmarkStart w:id="2" w:name="_Toc219510753"/>
      <w:r w:rsidRPr="00C27631">
        <w:t>4.3.</w:t>
      </w:r>
      <w:r w:rsidR="00986DD5" w:rsidRPr="00C27631">
        <w:t>3</w:t>
      </w:r>
      <w:r w:rsidRPr="00C27631">
        <w:t xml:space="preserve"> Drivers and Barriers to Adoption</w:t>
      </w:r>
      <w:bookmarkEnd w:id="2"/>
    </w:p>
    <w:p w14:paraId="69D43AD3" w14:textId="309FD70F" w:rsidR="00A4332D" w:rsidRPr="00C27631" w:rsidRDefault="00A4332D" w:rsidP="00C27631">
      <w:pPr>
        <w:spacing w:line="276" w:lineRule="auto"/>
        <w:jc w:val="both"/>
        <w:rPr>
          <w:rFonts w:ascii="Times New Roman" w:hAnsi="Times New Roman" w:cs="Times New Roman"/>
        </w:rPr>
      </w:pPr>
      <w:r w:rsidRPr="00C27631">
        <w:rPr>
          <w:rFonts w:ascii="Times New Roman" w:hAnsi="Times New Roman" w:cs="Times New Roman"/>
        </w:rPr>
        <w:t>Improved operational efficiency, selected by 270 companies (70.3%), was the dominant driver. Enhanced customer experience was also highly valued (238, 62.0%). Cost reduction (140, 36.5%) and gaining a competitive advantage (128, 33.3%) were both important, while regulatory compliance was a lesser but still significant motivator (84, 21.9%).</w:t>
      </w:r>
    </w:p>
    <w:p w14:paraId="0DE1A41F" w14:textId="77777777" w:rsidR="00A4332D" w:rsidRPr="00C27631" w:rsidRDefault="00A4332D" w:rsidP="00A4332D">
      <w:pPr>
        <w:spacing w:line="276" w:lineRule="auto"/>
        <w:jc w:val="both"/>
        <w:rPr>
          <w:rFonts w:ascii="Times New Roman" w:hAnsi="Times New Roman" w:cs="Times New Roman"/>
          <w:b/>
          <w:bCs/>
        </w:rPr>
      </w:pPr>
      <w:r w:rsidRPr="00C27631">
        <w:rPr>
          <w:rFonts w:ascii="Times New Roman" w:hAnsi="Times New Roman" w:cs="Times New Roman"/>
          <w:b/>
          <w:bCs/>
        </w:rPr>
        <w:t>Table 4.3: Primary Drivers for FinTech Adoption</w:t>
      </w:r>
    </w:p>
    <w:tbl>
      <w:tblPr>
        <w:tblStyle w:val="PlainTable4"/>
        <w:tblW w:w="9348" w:type="dxa"/>
        <w:tblBorders>
          <w:top w:val="single" w:sz="4" w:space="0" w:color="auto"/>
          <w:bottom w:val="single" w:sz="4" w:space="0" w:color="auto"/>
        </w:tblBorders>
        <w:tblLook w:val="04A0" w:firstRow="1" w:lastRow="0" w:firstColumn="1" w:lastColumn="0" w:noHBand="0" w:noVBand="1"/>
      </w:tblPr>
      <w:tblGrid>
        <w:gridCol w:w="4924"/>
        <w:gridCol w:w="1863"/>
        <w:gridCol w:w="2561"/>
      </w:tblGrid>
      <w:tr w:rsidR="00A4332D" w:rsidRPr="00C27631" w14:paraId="6DCEC9C2" w14:textId="77777777" w:rsidTr="007543CE">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0" w:type="auto"/>
            <w:hideMark/>
          </w:tcPr>
          <w:p w14:paraId="2461E938" w14:textId="77777777" w:rsidR="00A4332D" w:rsidRPr="00C27631" w:rsidRDefault="00A4332D" w:rsidP="00A22E38">
            <w:pPr>
              <w:spacing w:line="276" w:lineRule="auto"/>
              <w:jc w:val="both"/>
              <w:rPr>
                <w:rFonts w:ascii="Times New Roman" w:hAnsi="Times New Roman" w:cs="Times New Roman"/>
                <w:b w:val="0"/>
                <w:bCs w:val="0"/>
              </w:rPr>
            </w:pPr>
            <w:r w:rsidRPr="00C27631">
              <w:rPr>
                <w:rFonts w:ascii="Times New Roman" w:hAnsi="Times New Roman" w:cs="Times New Roman"/>
              </w:rPr>
              <w:t xml:space="preserve">Driver </w:t>
            </w:r>
          </w:p>
        </w:tc>
        <w:tc>
          <w:tcPr>
            <w:tcW w:w="0" w:type="auto"/>
            <w:hideMark/>
          </w:tcPr>
          <w:p w14:paraId="5B3CC669" w14:textId="77777777" w:rsidR="00A4332D" w:rsidRPr="00C27631" w:rsidRDefault="00A4332D" w:rsidP="00A22E3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27631">
              <w:rPr>
                <w:rFonts w:ascii="Times New Roman" w:hAnsi="Times New Roman" w:cs="Times New Roman"/>
              </w:rPr>
              <w:t xml:space="preserve">Frequency </w:t>
            </w:r>
          </w:p>
        </w:tc>
        <w:tc>
          <w:tcPr>
            <w:tcW w:w="0" w:type="auto"/>
            <w:hideMark/>
          </w:tcPr>
          <w:p w14:paraId="45948568" w14:textId="77777777" w:rsidR="00A4332D" w:rsidRPr="00C27631" w:rsidRDefault="00A4332D" w:rsidP="00A22E3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27631">
              <w:rPr>
                <w:rFonts w:ascii="Times New Roman" w:hAnsi="Times New Roman" w:cs="Times New Roman"/>
              </w:rPr>
              <w:t xml:space="preserve">Percentage (%) </w:t>
            </w:r>
          </w:p>
        </w:tc>
      </w:tr>
      <w:tr w:rsidR="00A4332D" w:rsidRPr="00C27631" w14:paraId="69A62C86" w14:textId="77777777" w:rsidTr="007543C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0" w:type="auto"/>
            <w:hideMark/>
          </w:tcPr>
          <w:p w14:paraId="311F15A8" w14:textId="77777777" w:rsidR="00A4332D" w:rsidRPr="00C27631" w:rsidRDefault="00A4332D" w:rsidP="00A22E38">
            <w:pPr>
              <w:spacing w:line="276" w:lineRule="auto"/>
              <w:jc w:val="both"/>
              <w:rPr>
                <w:rFonts w:ascii="Times New Roman" w:hAnsi="Times New Roman" w:cs="Times New Roman"/>
              </w:rPr>
            </w:pPr>
            <w:r w:rsidRPr="00C27631">
              <w:rPr>
                <w:rFonts w:ascii="Times New Roman" w:hAnsi="Times New Roman" w:cs="Times New Roman"/>
              </w:rPr>
              <w:lastRenderedPageBreak/>
              <w:t>Improved operational efficiency</w:t>
            </w:r>
          </w:p>
        </w:tc>
        <w:tc>
          <w:tcPr>
            <w:tcW w:w="0" w:type="auto"/>
            <w:hideMark/>
          </w:tcPr>
          <w:p w14:paraId="108EA361" w14:textId="77777777" w:rsidR="00A4332D" w:rsidRPr="00C27631" w:rsidRDefault="00A4332D" w:rsidP="00A22E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270 </w:t>
            </w:r>
          </w:p>
        </w:tc>
        <w:tc>
          <w:tcPr>
            <w:tcW w:w="0" w:type="auto"/>
            <w:hideMark/>
          </w:tcPr>
          <w:p w14:paraId="4B1E6F71" w14:textId="77777777" w:rsidR="00A4332D" w:rsidRPr="00C27631" w:rsidRDefault="00A4332D" w:rsidP="00A22E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70.3 </w:t>
            </w:r>
          </w:p>
        </w:tc>
      </w:tr>
      <w:tr w:rsidR="00A4332D" w:rsidRPr="00C27631" w14:paraId="442493C1" w14:textId="77777777" w:rsidTr="007543CE">
        <w:trPr>
          <w:trHeight w:val="311"/>
        </w:trPr>
        <w:tc>
          <w:tcPr>
            <w:cnfStyle w:val="001000000000" w:firstRow="0" w:lastRow="0" w:firstColumn="1" w:lastColumn="0" w:oddVBand="0" w:evenVBand="0" w:oddHBand="0" w:evenHBand="0" w:firstRowFirstColumn="0" w:firstRowLastColumn="0" w:lastRowFirstColumn="0" w:lastRowLastColumn="0"/>
            <w:tcW w:w="0" w:type="auto"/>
            <w:hideMark/>
          </w:tcPr>
          <w:p w14:paraId="2706EECB" w14:textId="77777777" w:rsidR="00A4332D" w:rsidRPr="00C27631" w:rsidRDefault="00A4332D" w:rsidP="00A22E38">
            <w:pPr>
              <w:spacing w:line="276" w:lineRule="auto"/>
              <w:jc w:val="both"/>
              <w:rPr>
                <w:rFonts w:ascii="Times New Roman" w:hAnsi="Times New Roman" w:cs="Times New Roman"/>
              </w:rPr>
            </w:pPr>
            <w:r w:rsidRPr="00C27631">
              <w:rPr>
                <w:rFonts w:ascii="Times New Roman" w:hAnsi="Times New Roman" w:cs="Times New Roman"/>
              </w:rPr>
              <w:t xml:space="preserve">Enhanced customer experience </w:t>
            </w:r>
          </w:p>
        </w:tc>
        <w:tc>
          <w:tcPr>
            <w:tcW w:w="0" w:type="auto"/>
            <w:hideMark/>
          </w:tcPr>
          <w:p w14:paraId="50039A9E" w14:textId="77777777" w:rsidR="00A4332D" w:rsidRPr="00C27631" w:rsidRDefault="00A4332D" w:rsidP="00A22E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238 </w:t>
            </w:r>
          </w:p>
        </w:tc>
        <w:tc>
          <w:tcPr>
            <w:tcW w:w="0" w:type="auto"/>
            <w:hideMark/>
          </w:tcPr>
          <w:p w14:paraId="354F7412" w14:textId="77777777" w:rsidR="00A4332D" w:rsidRPr="00C27631" w:rsidRDefault="00A4332D" w:rsidP="00A22E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62.0 </w:t>
            </w:r>
          </w:p>
        </w:tc>
      </w:tr>
      <w:tr w:rsidR="00A4332D" w:rsidRPr="00C27631" w14:paraId="75DDF5EE" w14:textId="77777777" w:rsidTr="007543C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0" w:type="auto"/>
            <w:hideMark/>
          </w:tcPr>
          <w:p w14:paraId="4A453C50" w14:textId="77777777" w:rsidR="00A4332D" w:rsidRPr="00C27631" w:rsidRDefault="00A4332D" w:rsidP="00A22E38">
            <w:pPr>
              <w:spacing w:line="276" w:lineRule="auto"/>
              <w:jc w:val="both"/>
              <w:rPr>
                <w:rFonts w:ascii="Times New Roman" w:hAnsi="Times New Roman" w:cs="Times New Roman"/>
              </w:rPr>
            </w:pPr>
            <w:r w:rsidRPr="00C27631">
              <w:rPr>
                <w:rFonts w:ascii="Times New Roman" w:hAnsi="Times New Roman" w:cs="Times New Roman"/>
              </w:rPr>
              <w:t xml:space="preserve">Cost reduction </w:t>
            </w:r>
          </w:p>
        </w:tc>
        <w:tc>
          <w:tcPr>
            <w:tcW w:w="0" w:type="auto"/>
            <w:hideMark/>
          </w:tcPr>
          <w:p w14:paraId="5D27A3CD" w14:textId="77777777" w:rsidR="00A4332D" w:rsidRPr="00C27631" w:rsidRDefault="00A4332D" w:rsidP="00A22E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140 </w:t>
            </w:r>
          </w:p>
        </w:tc>
        <w:tc>
          <w:tcPr>
            <w:tcW w:w="0" w:type="auto"/>
            <w:hideMark/>
          </w:tcPr>
          <w:p w14:paraId="54C3C809" w14:textId="77777777" w:rsidR="00A4332D" w:rsidRPr="00C27631" w:rsidRDefault="00A4332D" w:rsidP="00A22E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36.5 </w:t>
            </w:r>
          </w:p>
        </w:tc>
      </w:tr>
      <w:tr w:rsidR="00A4332D" w:rsidRPr="00C27631" w14:paraId="7409A2A8" w14:textId="77777777" w:rsidTr="007543CE">
        <w:trPr>
          <w:trHeight w:val="311"/>
        </w:trPr>
        <w:tc>
          <w:tcPr>
            <w:cnfStyle w:val="001000000000" w:firstRow="0" w:lastRow="0" w:firstColumn="1" w:lastColumn="0" w:oddVBand="0" w:evenVBand="0" w:oddHBand="0" w:evenHBand="0" w:firstRowFirstColumn="0" w:firstRowLastColumn="0" w:lastRowFirstColumn="0" w:lastRowLastColumn="0"/>
            <w:tcW w:w="0" w:type="auto"/>
            <w:hideMark/>
          </w:tcPr>
          <w:p w14:paraId="5F30A48B" w14:textId="77777777" w:rsidR="00A4332D" w:rsidRPr="00C27631" w:rsidRDefault="00A4332D" w:rsidP="00A22E38">
            <w:pPr>
              <w:spacing w:line="276" w:lineRule="auto"/>
              <w:jc w:val="both"/>
              <w:rPr>
                <w:rFonts w:ascii="Times New Roman" w:hAnsi="Times New Roman" w:cs="Times New Roman"/>
              </w:rPr>
            </w:pPr>
            <w:r w:rsidRPr="00C27631">
              <w:rPr>
                <w:rFonts w:ascii="Times New Roman" w:hAnsi="Times New Roman" w:cs="Times New Roman"/>
              </w:rPr>
              <w:t xml:space="preserve">Competitive advantage </w:t>
            </w:r>
          </w:p>
        </w:tc>
        <w:tc>
          <w:tcPr>
            <w:tcW w:w="0" w:type="auto"/>
            <w:hideMark/>
          </w:tcPr>
          <w:p w14:paraId="682556B7" w14:textId="77777777" w:rsidR="00A4332D" w:rsidRPr="00C27631" w:rsidRDefault="00A4332D" w:rsidP="00A22E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128 </w:t>
            </w:r>
          </w:p>
        </w:tc>
        <w:tc>
          <w:tcPr>
            <w:tcW w:w="0" w:type="auto"/>
            <w:hideMark/>
          </w:tcPr>
          <w:p w14:paraId="7B7C8BBC" w14:textId="77777777" w:rsidR="00A4332D" w:rsidRPr="00C27631" w:rsidRDefault="00A4332D" w:rsidP="00A22E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33.3 </w:t>
            </w:r>
          </w:p>
        </w:tc>
      </w:tr>
      <w:tr w:rsidR="00A4332D" w:rsidRPr="00C27631" w14:paraId="53A946C0" w14:textId="77777777" w:rsidTr="007543CE">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0" w:type="auto"/>
            <w:hideMark/>
          </w:tcPr>
          <w:p w14:paraId="30B1EE82" w14:textId="77777777" w:rsidR="00A4332D" w:rsidRPr="00C27631" w:rsidRDefault="00A4332D" w:rsidP="00A22E38">
            <w:pPr>
              <w:spacing w:line="276" w:lineRule="auto"/>
              <w:jc w:val="both"/>
              <w:rPr>
                <w:rFonts w:ascii="Times New Roman" w:hAnsi="Times New Roman" w:cs="Times New Roman"/>
              </w:rPr>
            </w:pPr>
            <w:r w:rsidRPr="00C27631">
              <w:rPr>
                <w:rFonts w:ascii="Times New Roman" w:hAnsi="Times New Roman" w:cs="Times New Roman"/>
              </w:rPr>
              <w:t xml:space="preserve">Regulatory compliance </w:t>
            </w:r>
          </w:p>
        </w:tc>
        <w:tc>
          <w:tcPr>
            <w:tcW w:w="0" w:type="auto"/>
            <w:hideMark/>
          </w:tcPr>
          <w:p w14:paraId="3517C539" w14:textId="77777777" w:rsidR="00A4332D" w:rsidRPr="00C27631" w:rsidRDefault="00A4332D" w:rsidP="00A22E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84 </w:t>
            </w:r>
          </w:p>
        </w:tc>
        <w:tc>
          <w:tcPr>
            <w:tcW w:w="0" w:type="auto"/>
            <w:hideMark/>
          </w:tcPr>
          <w:p w14:paraId="6BF5E6EF" w14:textId="77777777" w:rsidR="00A4332D" w:rsidRPr="00C27631" w:rsidRDefault="00A4332D" w:rsidP="00A22E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21.9 </w:t>
            </w:r>
          </w:p>
        </w:tc>
      </w:tr>
    </w:tbl>
    <w:p w14:paraId="200C0B32" w14:textId="77777777" w:rsidR="00A4332D" w:rsidRPr="00C27631" w:rsidRDefault="00A4332D" w:rsidP="00386EE7">
      <w:pPr>
        <w:pStyle w:val="Heading3"/>
      </w:pPr>
      <w:bookmarkStart w:id="3" w:name="_Toc219510754"/>
      <w:r w:rsidRPr="00C27631">
        <w:t>Source: Primary Survey, October, 2024</w:t>
      </w:r>
      <w:bookmarkEnd w:id="3"/>
    </w:p>
    <w:p w14:paraId="09162FAB" w14:textId="79CF1609" w:rsidR="00A4332D" w:rsidRPr="00C27631" w:rsidRDefault="00A4332D" w:rsidP="00386EE7">
      <w:pPr>
        <w:pStyle w:val="Heading3"/>
      </w:pPr>
      <w:bookmarkStart w:id="4" w:name="_Toc219510755"/>
      <w:r w:rsidRPr="00C27631">
        <w:t>4.3.</w:t>
      </w:r>
      <w:r w:rsidR="00986DD5" w:rsidRPr="00C27631">
        <w:t>4</w:t>
      </w:r>
      <w:r w:rsidRPr="00C27631">
        <w:t>: Barriers to FinTech Adoption</w:t>
      </w:r>
      <w:bookmarkEnd w:id="4"/>
    </w:p>
    <w:p w14:paraId="332F76EF" w14:textId="77777777" w:rsidR="00A4332D" w:rsidRPr="00C27631" w:rsidRDefault="00A4332D" w:rsidP="00A4332D">
      <w:pPr>
        <w:spacing w:line="276" w:lineRule="auto"/>
        <w:jc w:val="both"/>
        <w:rPr>
          <w:rFonts w:ascii="Times New Roman" w:hAnsi="Times New Roman" w:cs="Times New Roman"/>
        </w:rPr>
      </w:pPr>
      <w:r w:rsidRPr="00C27631">
        <w:rPr>
          <w:rFonts w:ascii="Times New Roman" w:hAnsi="Times New Roman" w:cs="Times New Roman"/>
        </w:rPr>
        <w:t>High implementation costs were the greatest barrier, affecting 186 companies (48.4%). Lack of skilled personnel (169, 44.0%) and regulatory challenges (146, 38.0%) were also major obstacles. Resistance to organizational change was cited by 127 (33.1%), and security concerns by 95 (24.7%).</w:t>
      </w:r>
    </w:p>
    <w:p w14:paraId="3EF27110" w14:textId="77777777" w:rsidR="00A4332D" w:rsidRPr="00C27631" w:rsidRDefault="00A4332D" w:rsidP="00A4332D">
      <w:pPr>
        <w:spacing w:line="276" w:lineRule="auto"/>
        <w:jc w:val="both"/>
        <w:rPr>
          <w:rFonts w:ascii="Times New Roman" w:hAnsi="Times New Roman" w:cs="Times New Roman"/>
          <w:b/>
          <w:bCs/>
        </w:rPr>
      </w:pPr>
      <w:r w:rsidRPr="00C27631">
        <w:rPr>
          <w:rFonts w:ascii="Times New Roman" w:hAnsi="Times New Roman" w:cs="Times New Roman"/>
          <w:b/>
          <w:bCs/>
        </w:rPr>
        <w:t>Table 4.4: Barriers to FinTech Adoption</w:t>
      </w:r>
    </w:p>
    <w:tbl>
      <w:tblPr>
        <w:tblStyle w:val="PlainTable4"/>
        <w:tblW w:w="9503" w:type="dxa"/>
        <w:tblBorders>
          <w:top w:val="single" w:sz="4" w:space="0" w:color="auto"/>
          <w:bottom w:val="single" w:sz="4" w:space="0" w:color="auto"/>
        </w:tblBorders>
        <w:tblLook w:val="04A0" w:firstRow="1" w:lastRow="0" w:firstColumn="1" w:lastColumn="0" w:noHBand="0" w:noVBand="1"/>
      </w:tblPr>
      <w:tblGrid>
        <w:gridCol w:w="4605"/>
        <w:gridCol w:w="2062"/>
        <w:gridCol w:w="2836"/>
      </w:tblGrid>
      <w:tr w:rsidR="00A4332D" w:rsidRPr="00C27631" w14:paraId="4BAF05FF" w14:textId="77777777" w:rsidTr="007543CE">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0" w:type="auto"/>
            <w:hideMark/>
          </w:tcPr>
          <w:p w14:paraId="75E83C2A" w14:textId="77777777" w:rsidR="00A4332D" w:rsidRPr="00C27631" w:rsidRDefault="00A4332D" w:rsidP="00A22E38">
            <w:pPr>
              <w:spacing w:line="276" w:lineRule="auto"/>
              <w:jc w:val="both"/>
              <w:rPr>
                <w:rFonts w:ascii="Times New Roman" w:hAnsi="Times New Roman" w:cs="Times New Roman"/>
                <w:b w:val="0"/>
                <w:bCs w:val="0"/>
              </w:rPr>
            </w:pPr>
            <w:r w:rsidRPr="00C27631">
              <w:rPr>
                <w:rFonts w:ascii="Times New Roman" w:hAnsi="Times New Roman" w:cs="Times New Roman"/>
              </w:rPr>
              <w:t xml:space="preserve">Barrier </w:t>
            </w:r>
          </w:p>
        </w:tc>
        <w:tc>
          <w:tcPr>
            <w:tcW w:w="0" w:type="auto"/>
            <w:hideMark/>
          </w:tcPr>
          <w:p w14:paraId="695910CA" w14:textId="77777777" w:rsidR="00A4332D" w:rsidRPr="00C27631" w:rsidRDefault="00A4332D" w:rsidP="00A22E3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27631">
              <w:rPr>
                <w:rFonts w:ascii="Times New Roman" w:hAnsi="Times New Roman" w:cs="Times New Roman"/>
              </w:rPr>
              <w:t xml:space="preserve">Frequency </w:t>
            </w:r>
          </w:p>
        </w:tc>
        <w:tc>
          <w:tcPr>
            <w:tcW w:w="0" w:type="auto"/>
            <w:hideMark/>
          </w:tcPr>
          <w:p w14:paraId="18E60734" w14:textId="77777777" w:rsidR="00A4332D" w:rsidRPr="00C27631" w:rsidRDefault="00A4332D" w:rsidP="00A22E38">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27631">
              <w:rPr>
                <w:rFonts w:ascii="Times New Roman" w:hAnsi="Times New Roman" w:cs="Times New Roman"/>
              </w:rPr>
              <w:t xml:space="preserve">Percentage (%) </w:t>
            </w:r>
          </w:p>
        </w:tc>
      </w:tr>
      <w:tr w:rsidR="00A4332D" w:rsidRPr="00C27631" w14:paraId="5779EAE9" w14:textId="77777777" w:rsidTr="007543CE">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0" w:type="auto"/>
            <w:hideMark/>
          </w:tcPr>
          <w:p w14:paraId="1485D2A5" w14:textId="77777777" w:rsidR="00A4332D" w:rsidRPr="00C27631" w:rsidRDefault="00A4332D" w:rsidP="00A22E38">
            <w:pPr>
              <w:spacing w:line="276" w:lineRule="auto"/>
              <w:jc w:val="both"/>
              <w:rPr>
                <w:rFonts w:ascii="Times New Roman" w:hAnsi="Times New Roman" w:cs="Times New Roman"/>
              </w:rPr>
            </w:pPr>
            <w:r w:rsidRPr="00C27631">
              <w:rPr>
                <w:rFonts w:ascii="Times New Roman" w:hAnsi="Times New Roman" w:cs="Times New Roman"/>
              </w:rPr>
              <w:t xml:space="preserve">High implementation costs </w:t>
            </w:r>
          </w:p>
        </w:tc>
        <w:tc>
          <w:tcPr>
            <w:tcW w:w="0" w:type="auto"/>
            <w:hideMark/>
          </w:tcPr>
          <w:p w14:paraId="6CEEB099" w14:textId="77777777" w:rsidR="00A4332D" w:rsidRPr="00C27631" w:rsidRDefault="00A4332D" w:rsidP="00A22E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186 </w:t>
            </w:r>
          </w:p>
        </w:tc>
        <w:tc>
          <w:tcPr>
            <w:tcW w:w="0" w:type="auto"/>
            <w:hideMark/>
          </w:tcPr>
          <w:p w14:paraId="1BF9C150" w14:textId="77777777" w:rsidR="00A4332D" w:rsidRPr="00C27631" w:rsidRDefault="00A4332D" w:rsidP="00A22E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48.4 </w:t>
            </w:r>
          </w:p>
        </w:tc>
      </w:tr>
      <w:tr w:rsidR="00A4332D" w:rsidRPr="00C27631" w14:paraId="19044AE2" w14:textId="77777777" w:rsidTr="007543CE">
        <w:trPr>
          <w:trHeight w:val="262"/>
        </w:trPr>
        <w:tc>
          <w:tcPr>
            <w:cnfStyle w:val="001000000000" w:firstRow="0" w:lastRow="0" w:firstColumn="1" w:lastColumn="0" w:oddVBand="0" w:evenVBand="0" w:oddHBand="0" w:evenHBand="0" w:firstRowFirstColumn="0" w:firstRowLastColumn="0" w:lastRowFirstColumn="0" w:lastRowLastColumn="0"/>
            <w:tcW w:w="0" w:type="auto"/>
            <w:hideMark/>
          </w:tcPr>
          <w:p w14:paraId="7B35C61B" w14:textId="77777777" w:rsidR="00A4332D" w:rsidRPr="00C27631" w:rsidRDefault="00A4332D" w:rsidP="00A22E38">
            <w:pPr>
              <w:spacing w:line="276" w:lineRule="auto"/>
              <w:jc w:val="both"/>
              <w:rPr>
                <w:rFonts w:ascii="Times New Roman" w:hAnsi="Times New Roman" w:cs="Times New Roman"/>
              </w:rPr>
            </w:pPr>
            <w:r w:rsidRPr="00C27631">
              <w:rPr>
                <w:rFonts w:ascii="Times New Roman" w:hAnsi="Times New Roman" w:cs="Times New Roman"/>
              </w:rPr>
              <w:t xml:space="preserve">Lack of skilled personnel </w:t>
            </w:r>
          </w:p>
        </w:tc>
        <w:tc>
          <w:tcPr>
            <w:tcW w:w="0" w:type="auto"/>
            <w:hideMark/>
          </w:tcPr>
          <w:p w14:paraId="58FDF55D" w14:textId="77777777" w:rsidR="00A4332D" w:rsidRPr="00C27631" w:rsidRDefault="00A4332D" w:rsidP="00A22E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169 </w:t>
            </w:r>
          </w:p>
        </w:tc>
        <w:tc>
          <w:tcPr>
            <w:tcW w:w="0" w:type="auto"/>
            <w:hideMark/>
          </w:tcPr>
          <w:p w14:paraId="21BADEDB" w14:textId="77777777" w:rsidR="00A4332D" w:rsidRPr="00C27631" w:rsidRDefault="00A4332D" w:rsidP="00A22E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44.0 </w:t>
            </w:r>
          </w:p>
        </w:tc>
      </w:tr>
      <w:tr w:rsidR="00A4332D" w:rsidRPr="00C27631" w14:paraId="78B19BDE" w14:textId="77777777" w:rsidTr="007543CE">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0" w:type="auto"/>
            <w:hideMark/>
          </w:tcPr>
          <w:p w14:paraId="54B972FA" w14:textId="77777777" w:rsidR="00A4332D" w:rsidRPr="00C27631" w:rsidRDefault="00A4332D" w:rsidP="00A22E38">
            <w:pPr>
              <w:spacing w:line="276" w:lineRule="auto"/>
              <w:jc w:val="both"/>
              <w:rPr>
                <w:rFonts w:ascii="Times New Roman" w:hAnsi="Times New Roman" w:cs="Times New Roman"/>
              </w:rPr>
            </w:pPr>
            <w:r w:rsidRPr="00C27631">
              <w:rPr>
                <w:rFonts w:ascii="Times New Roman" w:hAnsi="Times New Roman" w:cs="Times New Roman"/>
              </w:rPr>
              <w:t xml:space="preserve">Regulatory challenges </w:t>
            </w:r>
          </w:p>
        </w:tc>
        <w:tc>
          <w:tcPr>
            <w:tcW w:w="0" w:type="auto"/>
            <w:hideMark/>
          </w:tcPr>
          <w:p w14:paraId="697CC778" w14:textId="77777777" w:rsidR="00A4332D" w:rsidRPr="00C27631" w:rsidRDefault="00A4332D" w:rsidP="00A22E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146 </w:t>
            </w:r>
          </w:p>
        </w:tc>
        <w:tc>
          <w:tcPr>
            <w:tcW w:w="0" w:type="auto"/>
            <w:hideMark/>
          </w:tcPr>
          <w:p w14:paraId="72FD40F3" w14:textId="77777777" w:rsidR="00A4332D" w:rsidRPr="00C27631" w:rsidRDefault="00A4332D" w:rsidP="00A22E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38.0 </w:t>
            </w:r>
          </w:p>
        </w:tc>
      </w:tr>
      <w:tr w:rsidR="00A4332D" w:rsidRPr="00C27631" w14:paraId="1B9A570E" w14:textId="77777777" w:rsidTr="007543CE">
        <w:trPr>
          <w:trHeight w:val="262"/>
        </w:trPr>
        <w:tc>
          <w:tcPr>
            <w:cnfStyle w:val="001000000000" w:firstRow="0" w:lastRow="0" w:firstColumn="1" w:lastColumn="0" w:oddVBand="0" w:evenVBand="0" w:oddHBand="0" w:evenHBand="0" w:firstRowFirstColumn="0" w:firstRowLastColumn="0" w:lastRowFirstColumn="0" w:lastRowLastColumn="0"/>
            <w:tcW w:w="0" w:type="auto"/>
            <w:hideMark/>
          </w:tcPr>
          <w:p w14:paraId="50B57B93" w14:textId="77777777" w:rsidR="00A4332D" w:rsidRPr="00C27631" w:rsidRDefault="00A4332D" w:rsidP="00A22E38">
            <w:pPr>
              <w:spacing w:line="276" w:lineRule="auto"/>
              <w:jc w:val="both"/>
              <w:rPr>
                <w:rFonts w:ascii="Times New Roman" w:hAnsi="Times New Roman" w:cs="Times New Roman"/>
              </w:rPr>
            </w:pPr>
            <w:r w:rsidRPr="00C27631">
              <w:rPr>
                <w:rFonts w:ascii="Times New Roman" w:hAnsi="Times New Roman" w:cs="Times New Roman"/>
              </w:rPr>
              <w:t xml:space="preserve">Resistance to change </w:t>
            </w:r>
          </w:p>
        </w:tc>
        <w:tc>
          <w:tcPr>
            <w:tcW w:w="0" w:type="auto"/>
            <w:hideMark/>
          </w:tcPr>
          <w:p w14:paraId="5D528DD8" w14:textId="77777777" w:rsidR="00A4332D" w:rsidRPr="00C27631" w:rsidRDefault="00A4332D" w:rsidP="00A22E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127 </w:t>
            </w:r>
          </w:p>
        </w:tc>
        <w:tc>
          <w:tcPr>
            <w:tcW w:w="0" w:type="auto"/>
            <w:hideMark/>
          </w:tcPr>
          <w:p w14:paraId="43187055" w14:textId="77777777" w:rsidR="00A4332D" w:rsidRPr="00C27631" w:rsidRDefault="00A4332D" w:rsidP="00A22E38">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33.1 </w:t>
            </w:r>
          </w:p>
        </w:tc>
      </w:tr>
      <w:tr w:rsidR="00A4332D" w:rsidRPr="00C27631" w14:paraId="53B3795B" w14:textId="77777777" w:rsidTr="007543CE">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0" w:type="auto"/>
            <w:hideMark/>
          </w:tcPr>
          <w:p w14:paraId="0B0A7653" w14:textId="77777777" w:rsidR="00A4332D" w:rsidRPr="00C27631" w:rsidRDefault="00A4332D" w:rsidP="00A22E38">
            <w:pPr>
              <w:spacing w:line="276" w:lineRule="auto"/>
              <w:jc w:val="both"/>
              <w:rPr>
                <w:rFonts w:ascii="Times New Roman" w:hAnsi="Times New Roman" w:cs="Times New Roman"/>
              </w:rPr>
            </w:pPr>
            <w:r w:rsidRPr="00C27631">
              <w:rPr>
                <w:rFonts w:ascii="Times New Roman" w:hAnsi="Times New Roman" w:cs="Times New Roman"/>
              </w:rPr>
              <w:t xml:space="preserve">Security concerns </w:t>
            </w:r>
          </w:p>
        </w:tc>
        <w:tc>
          <w:tcPr>
            <w:tcW w:w="0" w:type="auto"/>
            <w:hideMark/>
          </w:tcPr>
          <w:p w14:paraId="2B6A1782" w14:textId="77777777" w:rsidR="00A4332D" w:rsidRPr="00C27631" w:rsidRDefault="00A4332D" w:rsidP="00A22E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95 </w:t>
            </w:r>
          </w:p>
        </w:tc>
        <w:tc>
          <w:tcPr>
            <w:tcW w:w="0" w:type="auto"/>
            <w:hideMark/>
          </w:tcPr>
          <w:p w14:paraId="2014A966" w14:textId="77777777" w:rsidR="00A4332D" w:rsidRPr="00C27631" w:rsidRDefault="00A4332D" w:rsidP="00A22E38">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7631">
              <w:rPr>
                <w:rFonts w:ascii="Times New Roman" w:hAnsi="Times New Roman" w:cs="Times New Roman"/>
              </w:rPr>
              <w:t xml:space="preserve">24.7 </w:t>
            </w:r>
          </w:p>
        </w:tc>
      </w:tr>
    </w:tbl>
    <w:p w14:paraId="274386F4" w14:textId="77777777" w:rsidR="00A4332D" w:rsidRPr="00C27631" w:rsidRDefault="00A4332D" w:rsidP="00386EE7">
      <w:pPr>
        <w:pStyle w:val="Heading3"/>
      </w:pPr>
      <w:bookmarkStart w:id="5" w:name="_Toc219510756"/>
      <w:r w:rsidRPr="00C27631">
        <w:t>Source: Primary Survey, October, 2024</w:t>
      </w:r>
      <w:bookmarkEnd w:id="5"/>
    </w:p>
    <w:p w14:paraId="5B59C089" w14:textId="7EFD4A52" w:rsidR="00A4332D" w:rsidRPr="00C27631" w:rsidRDefault="00A4332D" w:rsidP="00386EE7">
      <w:pPr>
        <w:pStyle w:val="Heading3"/>
      </w:pPr>
      <w:bookmarkStart w:id="6" w:name="_Toc219510770"/>
      <w:r w:rsidRPr="00C27631">
        <w:t>4.</w:t>
      </w:r>
      <w:r w:rsidR="00986DD5" w:rsidRPr="00C27631">
        <w:t>4</w:t>
      </w:r>
      <w:r w:rsidRPr="00C27631">
        <w:t xml:space="preserve"> Risks and Challenges</w:t>
      </w:r>
      <w:bookmarkEnd w:id="6"/>
    </w:p>
    <w:p w14:paraId="1D3C1F83" w14:textId="77777777" w:rsidR="00A4332D" w:rsidRPr="00C27631" w:rsidRDefault="00A4332D" w:rsidP="00C27631">
      <w:pPr>
        <w:spacing w:line="276" w:lineRule="auto"/>
        <w:jc w:val="both"/>
        <w:rPr>
          <w:rFonts w:ascii="Times New Roman" w:hAnsi="Times New Roman" w:cs="Times New Roman"/>
        </w:rPr>
      </w:pPr>
      <w:r w:rsidRPr="00C27631">
        <w:rPr>
          <w:rFonts w:ascii="Times New Roman" w:hAnsi="Times New Roman" w:cs="Times New Roman"/>
        </w:rPr>
        <w:t>Data security was the leading risk (202, 52.6%), followed by technology integration (134, 34.9%) and compliance (110, 28.6%). Dependence on third parties was cited by 94 companies (24.5%).</w:t>
      </w:r>
    </w:p>
    <w:p w14:paraId="2691B2F7" w14:textId="77777777" w:rsidR="00A4332D" w:rsidRPr="00C27631" w:rsidRDefault="00A4332D" w:rsidP="00A4332D">
      <w:pPr>
        <w:jc w:val="both"/>
        <w:rPr>
          <w:rFonts w:ascii="Times New Roman" w:hAnsi="Times New Roman" w:cs="Times New Roman"/>
          <w:sz w:val="24"/>
          <w:szCs w:val="24"/>
        </w:rPr>
      </w:pPr>
      <w:r w:rsidRPr="00C27631">
        <w:rPr>
          <w:rFonts w:ascii="Times New Roman" w:hAnsi="Times New Roman" w:cs="Times New Roman"/>
          <w:noProof/>
          <w:sz w:val="24"/>
          <w:szCs w:val="24"/>
        </w:rPr>
        <w:drawing>
          <wp:inline distT="0" distB="0" distL="0" distR="0" wp14:anchorId="31D656A6" wp14:editId="06C6E795">
            <wp:extent cx="6027089" cy="2361538"/>
            <wp:effectExtent l="0" t="0" r="12065" b="1270"/>
            <wp:docPr id="6" name="Chart 6">
              <a:extLst xmlns:a="http://schemas.openxmlformats.org/drawingml/2006/main">
                <a:ext uri="{FF2B5EF4-FFF2-40B4-BE49-F238E27FC236}">
                  <a16:creationId xmlns:a16="http://schemas.microsoft.com/office/drawing/2014/main" id="{5EE4CD55-1024-4052-9519-E876DD09A1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E8B876C" w14:textId="77777777" w:rsidR="00A4332D" w:rsidRPr="00C27631" w:rsidRDefault="00A4332D" w:rsidP="00A4332D">
      <w:pPr>
        <w:pStyle w:val="Heading4"/>
        <w:jc w:val="both"/>
        <w:rPr>
          <w:rFonts w:ascii="Times New Roman" w:hAnsi="Times New Roman" w:cs="Times New Roman"/>
          <w:color w:val="auto"/>
          <w:sz w:val="24"/>
          <w:szCs w:val="24"/>
        </w:rPr>
      </w:pPr>
      <w:r w:rsidRPr="00C27631">
        <w:rPr>
          <w:rFonts w:ascii="Times New Roman" w:hAnsi="Times New Roman" w:cs="Times New Roman"/>
          <w:color w:val="auto"/>
          <w:sz w:val="24"/>
          <w:szCs w:val="24"/>
        </w:rPr>
        <w:lastRenderedPageBreak/>
        <w:t>Figure 4.5:  Identified Risks</w:t>
      </w:r>
    </w:p>
    <w:p w14:paraId="09D6FDF9" w14:textId="77777777" w:rsidR="00A4332D" w:rsidRPr="00C27631" w:rsidRDefault="00A4332D" w:rsidP="00386EE7">
      <w:pPr>
        <w:pStyle w:val="Heading3"/>
      </w:pPr>
      <w:bookmarkStart w:id="7" w:name="_Toc219510771"/>
      <w:r w:rsidRPr="00C27631">
        <w:t>Source: Primary Survey, October, 2024</w:t>
      </w:r>
      <w:bookmarkEnd w:id="7"/>
    </w:p>
    <w:p w14:paraId="1F8E510C" w14:textId="200F91B5" w:rsidR="00A4332D" w:rsidRPr="00C27631" w:rsidRDefault="00A4332D" w:rsidP="00A4332D">
      <w:pPr>
        <w:pStyle w:val="Heading2"/>
        <w:rPr>
          <w:szCs w:val="24"/>
        </w:rPr>
      </w:pPr>
      <w:bookmarkStart w:id="8" w:name="_Toc219510772"/>
      <w:r w:rsidRPr="00C27631">
        <w:t>4.</w:t>
      </w:r>
      <w:r w:rsidR="00986DD5" w:rsidRPr="00C27631">
        <w:t>5</w:t>
      </w:r>
      <w:r w:rsidRPr="00C27631">
        <w:t xml:space="preserve"> Risk Management Strategies</w:t>
      </w:r>
      <w:bookmarkEnd w:id="8"/>
      <w:r w:rsidRPr="00C27631">
        <w:rPr>
          <w:szCs w:val="24"/>
        </w:rPr>
        <w:t xml:space="preserve"> </w:t>
      </w:r>
    </w:p>
    <w:p w14:paraId="31C80C28" w14:textId="77777777" w:rsidR="00A4332D" w:rsidRPr="00C27631" w:rsidRDefault="00A4332D" w:rsidP="00A4332D">
      <w:pPr>
        <w:spacing w:line="360" w:lineRule="auto"/>
        <w:jc w:val="both"/>
        <w:rPr>
          <w:rFonts w:ascii="Times New Roman" w:hAnsi="Times New Roman" w:cs="Times New Roman"/>
          <w:sz w:val="24"/>
          <w:szCs w:val="24"/>
        </w:rPr>
      </w:pPr>
      <w:r w:rsidRPr="00C27631">
        <w:rPr>
          <w:rFonts w:ascii="Times New Roman" w:hAnsi="Times New Roman" w:cs="Times New Roman"/>
          <w:sz w:val="24"/>
          <w:szCs w:val="24"/>
        </w:rPr>
        <w:t>Robust security measures were most commonly used (181, 47.1%), followed by regular compliance checks (129, 33.6%), technology integration investments (112, 29.2%), and vendor diversification (88, 22.9%).</w:t>
      </w:r>
    </w:p>
    <w:p w14:paraId="6287295B" w14:textId="77777777" w:rsidR="00A4332D" w:rsidRPr="00C27631" w:rsidRDefault="00A4332D" w:rsidP="00A4332D">
      <w:pPr>
        <w:pStyle w:val="Heading4"/>
        <w:rPr>
          <w:rFonts w:ascii="Times New Roman" w:hAnsi="Times New Roman" w:cs="Times New Roman"/>
        </w:rPr>
      </w:pPr>
      <w:r w:rsidRPr="00C27631">
        <w:rPr>
          <w:rFonts w:ascii="Times New Roman" w:hAnsi="Times New Roman" w:cs="Times New Roman"/>
          <w:noProof/>
        </w:rPr>
        <w:drawing>
          <wp:inline distT="0" distB="0" distL="0" distR="0" wp14:anchorId="17AEF831" wp14:editId="2E741C59">
            <wp:extent cx="5972175" cy="2819400"/>
            <wp:effectExtent l="0" t="0" r="9525" b="0"/>
            <wp:docPr id="4" name="Chart 4">
              <a:extLst xmlns:a="http://schemas.openxmlformats.org/drawingml/2006/main">
                <a:ext uri="{FF2B5EF4-FFF2-40B4-BE49-F238E27FC236}">
                  <a16:creationId xmlns:a16="http://schemas.microsoft.com/office/drawing/2014/main" id="{801081BD-58D8-4171-B03F-4C9F4F9C73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64A6531" w14:textId="77777777" w:rsidR="00A4332D" w:rsidRPr="00C27631" w:rsidRDefault="00A4332D" w:rsidP="00A4332D">
      <w:pPr>
        <w:rPr>
          <w:rFonts w:ascii="Times New Roman" w:eastAsiaTheme="majorEastAsia" w:hAnsi="Times New Roman" w:cs="Times New Roman"/>
        </w:rPr>
      </w:pPr>
      <w:r w:rsidRPr="00C27631">
        <w:rPr>
          <w:rFonts w:ascii="Times New Roman" w:hAnsi="Times New Roman" w:cs="Times New Roman"/>
        </w:rPr>
        <w:t>Figure 4.6: Risk Management Strategies</w:t>
      </w:r>
      <w:r w:rsidRPr="00C27631">
        <w:rPr>
          <w:rFonts w:ascii="Times New Roman" w:eastAsiaTheme="majorEastAsia" w:hAnsi="Times New Roman" w:cs="Times New Roman"/>
        </w:rPr>
        <w:t xml:space="preserve"> </w:t>
      </w:r>
    </w:p>
    <w:p w14:paraId="1F19008A" w14:textId="77777777" w:rsidR="00A4332D" w:rsidRPr="00C27631" w:rsidRDefault="00A4332D" w:rsidP="00A4332D">
      <w:pPr>
        <w:rPr>
          <w:rFonts w:ascii="Times New Roman" w:hAnsi="Times New Roman" w:cs="Times New Roman"/>
        </w:rPr>
      </w:pPr>
      <w:bookmarkStart w:id="9" w:name="_Toc219510773"/>
      <w:r w:rsidRPr="00C27631">
        <w:rPr>
          <w:rFonts w:ascii="Times New Roman" w:hAnsi="Times New Roman" w:cs="Times New Roman"/>
        </w:rPr>
        <w:t>Source: Primary Survey, October, 2024</w:t>
      </w:r>
      <w:bookmarkEnd w:id="9"/>
    </w:p>
    <w:p w14:paraId="4BD25DC1" w14:textId="3E69A379" w:rsidR="00A4332D" w:rsidRPr="00C27631" w:rsidRDefault="00A4332D" w:rsidP="00386EE7">
      <w:pPr>
        <w:pStyle w:val="Heading3"/>
      </w:pPr>
      <w:bookmarkStart w:id="10" w:name="_Toc219510774"/>
      <w:r w:rsidRPr="00C27631">
        <w:t>4.</w:t>
      </w:r>
      <w:r w:rsidR="00986DD5" w:rsidRPr="00C27631">
        <w:t>5</w:t>
      </w:r>
      <w:r w:rsidRPr="00C27631">
        <w:t>.1 Strategies by Company Size</w:t>
      </w:r>
      <w:bookmarkEnd w:id="10"/>
    </w:p>
    <w:p w14:paraId="60639D7D" w14:textId="77777777" w:rsidR="00A4332D" w:rsidRPr="00C27631" w:rsidRDefault="00A4332D" w:rsidP="00290D60">
      <w:pPr>
        <w:spacing w:line="276" w:lineRule="auto"/>
        <w:jc w:val="both"/>
        <w:rPr>
          <w:rFonts w:ascii="Times New Roman" w:hAnsi="Times New Roman" w:cs="Times New Roman"/>
        </w:rPr>
      </w:pPr>
      <w:r w:rsidRPr="00C27631">
        <w:rPr>
          <w:rFonts w:ascii="Times New Roman" w:hAnsi="Times New Roman" w:cs="Times New Roman"/>
        </w:rPr>
        <w:t>Table 12 provides a breakdown of strategy preferences by company size. Small firms prioritized improved infrastructure (31), incremental adoption (33), and collaboration (35), reflecting their foundational needs. Medium and large firms leaned more towards collaboration with FinTech (55 and 53), regulatory engagement (48 and 52), and training (28 and 29). These differences highlight the varying capacities and strategic priorities across the sector, with larger firms able to focus more on leveraging external relationships and regulatory influence, while smaller firms must address basic technological and human capital gaps.</w:t>
      </w:r>
    </w:p>
    <w:p w14:paraId="689D9F39" w14:textId="77777777" w:rsidR="00A4332D" w:rsidRPr="00C27631" w:rsidRDefault="00A4332D" w:rsidP="00A4332D">
      <w:pPr>
        <w:pStyle w:val="NoSpacing"/>
        <w:rPr>
          <w:rFonts w:ascii="Times New Roman" w:hAnsi="Times New Roman" w:cs="Times New Roman"/>
          <w:b/>
          <w:bCs/>
        </w:rPr>
      </w:pPr>
      <w:r w:rsidRPr="00C27631">
        <w:rPr>
          <w:rFonts w:ascii="Times New Roman" w:hAnsi="Times New Roman" w:cs="Times New Roman"/>
          <w:b/>
          <w:bCs/>
        </w:rPr>
        <w:t>Table 4.11: Strategies by Company Size</w:t>
      </w:r>
    </w:p>
    <w:tbl>
      <w:tblPr>
        <w:tblW w:w="9550" w:type="dxa"/>
        <w:tblBorders>
          <w:top w:val="single" w:sz="4" w:space="0" w:color="auto"/>
          <w:bottom w:val="single" w:sz="4" w:space="0" w:color="auto"/>
        </w:tblBorders>
        <w:tblLook w:val="04A0" w:firstRow="1" w:lastRow="0" w:firstColumn="1" w:lastColumn="0" w:noHBand="0" w:noVBand="1"/>
      </w:tblPr>
      <w:tblGrid>
        <w:gridCol w:w="1393"/>
        <w:gridCol w:w="1854"/>
        <w:gridCol w:w="1552"/>
        <w:gridCol w:w="1647"/>
        <w:gridCol w:w="1266"/>
        <w:gridCol w:w="1838"/>
      </w:tblGrid>
      <w:tr w:rsidR="00A4332D" w:rsidRPr="00C27631" w14:paraId="3703DEFB" w14:textId="77777777" w:rsidTr="00A22E38">
        <w:trPr>
          <w:trHeight w:val="308"/>
        </w:trPr>
        <w:tc>
          <w:tcPr>
            <w:tcW w:w="1393" w:type="dxa"/>
            <w:shd w:val="clear" w:color="auto" w:fill="auto"/>
            <w:noWrap/>
            <w:vAlign w:val="bottom"/>
            <w:hideMark/>
          </w:tcPr>
          <w:p w14:paraId="01F22D3F"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 xml:space="preserve">Company Size </w:t>
            </w:r>
          </w:p>
        </w:tc>
        <w:tc>
          <w:tcPr>
            <w:tcW w:w="1854" w:type="dxa"/>
            <w:shd w:val="clear" w:color="auto" w:fill="auto"/>
            <w:noWrap/>
            <w:vAlign w:val="bottom"/>
            <w:hideMark/>
          </w:tcPr>
          <w:p w14:paraId="42BE6DB4"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 xml:space="preserve">Collaboration </w:t>
            </w:r>
          </w:p>
        </w:tc>
        <w:tc>
          <w:tcPr>
            <w:tcW w:w="1552" w:type="dxa"/>
            <w:shd w:val="clear" w:color="auto" w:fill="auto"/>
            <w:noWrap/>
            <w:vAlign w:val="bottom"/>
            <w:hideMark/>
          </w:tcPr>
          <w:p w14:paraId="1E83657E"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 xml:space="preserve">Regulatory </w:t>
            </w:r>
          </w:p>
        </w:tc>
        <w:tc>
          <w:tcPr>
            <w:tcW w:w="1647" w:type="dxa"/>
            <w:shd w:val="clear" w:color="auto" w:fill="auto"/>
            <w:noWrap/>
            <w:vAlign w:val="bottom"/>
            <w:hideMark/>
          </w:tcPr>
          <w:p w14:paraId="31D947C0"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 xml:space="preserve">Incremental </w:t>
            </w:r>
          </w:p>
        </w:tc>
        <w:tc>
          <w:tcPr>
            <w:tcW w:w="1266" w:type="dxa"/>
            <w:shd w:val="clear" w:color="auto" w:fill="auto"/>
            <w:noWrap/>
            <w:vAlign w:val="bottom"/>
            <w:hideMark/>
          </w:tcPr>
          <w:p w14:paraId="77A25455"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 xml:space="preserve">Training </w:t>
            </w:r>
          </w:p>
        </w:tc>
        <w:tc>
          <w:tcPr>
            <w:tcW w:w="1838" w:type="dxa"/>
            <w:shd w:val="clear" w:color="auto" w:fill="auto"/>
            <w:noWrap/>
            <w:vAlign w:val="bottom"/>
            <w:hideMark/>
          </w:tcPr>
          <w:p w14:paraId="298A3AF0"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 xml:space="preserve">Infrastructure </w:t>
            </w:r>
          </w:p>
        </w:tc>
      </w:tr>
      <w:tr w:rsidR="00A4332D" w:rsidRPr="00C27631" w14:paraId="5D827C35" w14:textId="77777777" w:rsidTr="00A22E38">
        <w:trPr>
          <w:trHeight w:val="308"/>
        </w:trPr>
        <w:tc>
          <w:tcPr>
            <w:tcW w:w="1393" w:type="dxa"/>
            <w:shd w:val="clear" w:color="auto" w:fill="auto"/>
            <w:noWrap/>
            <w:vAlign w:val="bottom"/>
            <w:hideMark/>
          </w:tcPr>
          <w:p w14:paraId="2A8E1C33"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Small</w:t>
            </w:r>
          </w:p>
        </w:tc>
        <w:tc>
          <w:tcPr>
            <w:tcW w:w="1854" w:type="dxa"/>
            <w:shd w:val="clear" w:color="auto" w:fill="auto"/>
            <w:noWrap/>
            <w:vAlign w:val="bottom"/>
            <w:hideMark/>
          </w:tcPr>
          <w:p w14:paraId="28DCA247"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35</w:t>
            </w:r>
          </w:p>
        </w:tc>
        <w:tc>
          <w:tcPr>
            <w:tcW w:w="1552" w:type="dxa"/>
            <w:shd w:val="clear" w:color="auto" w:fill="auto"/>
            <w:noWrap/>
            <w:vAlign w:val="bottom"/>
            <w:hideMark/>
          </w:tcPr>
          <w:p w14:paraId="334A37CA"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21</w:t>
            </w:r>
          </w:p>
        </w:tc>
        <w:tc>
          <w:tcPr>
            <w:tcW w:w="1647" w:type="dxa"/>
            <w:shd w:val="clear" w:color="auto" w:fill="auto"/>
            <w:noWrap/>
            <w:vAlign w:val="bottom"/>
            <w:hideMark/>
          </w:tcPr>
          <w:p w14:paraId="414B0A7D"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33</w:t>
            </w:r>
          </w:p>
        </w:tc>
        <w:tc>
          <w:tcPr>
            <w:tcW w:w="1266" w:type="dxa"/>
            <w:shd w:val="clear" w:color="auto" w:fill="auto"/>
            <w:noWrap/>
            <w:vAlign w:val="bottom"/>
            <w:hideMark/>
          </w:tcPr>
          <w:p w14:paraId="76DE2989"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27</w:t>
            </w:r>
          </w:p>
        </w:tc>
        <w:tc>
          <w:tcPr>
            <w:tcW w:w="1838" w:type="dxa"/>
            <w:shd w:val="clear" w:color="auto" w:fill="auto"/>
            <w:noWrap/>
            <w:vAlign w:val="bottom"/>
            <w:hideMark/>
          </w:tcPr>
          <w:p w14:paraId="43EC5B97"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31</w:t>
            </w:r>
          </w:p>
        </w:tc>
      </w:tr>
      <w:tr w:rsidR="00A4332D" w:rsidRPr="00C27631" w14:paraId="68BEA837" w14:textId="77777777" w:rsidTr="00A22E38">
        <w:trPr>
          <w:trHeight w:val="308"/>
        </w:trPr>
        <w:tc>
          <w:tcPr>
            <w:tcW w:w="1393" w:type="dxa"/>
            <w:shd w:val="clear" w:color="auto" w:fill="auto"/>
            <w:noWrap/>
            <w:vAlign w:val="bottom"/>
            <w:hideMark/>
          </w:tcPr>
          <w:p w14:paraId="71E3DA9D"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Medium</w:t>
            </w:r>
          </w:p>
        </w:tc>
        <w:tc>
          <w:tcPr>
            <w:tcW w:w="1854" w:type="dxa"/>
            <w:shd w:val="clear" w:color="auto" w:fill="auto"/>
            <w:noWrap/>
            <w:vAlign w:val="bottom"/>
            <w:hideMark/>
          </w:tcPr>
          <w:p w14:paraId="4D469F50"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55</w:t>
            </w:r>
          </w:p>
        </w:tc>
        <w:tc>
          <w:tcPr>
            <w:tcW w:w="1552" w:type="dxa"/>
            <w:shd w:val="clear" w:color="auto" w:fill="auto"/>
            <w:noWrap/>
            <w:vAlign w:val="bottom"/>
            <w:hideMark/>
          </w:tcPr>
          <w:p w14:paraId="295A97A8"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48</w:t>
            </w:r>
          </w:p>
        </w:tc>
        <w:tc>
          <w:tcPr>
            <w:tcW w:w="1647" w:type="dxa"/>
            <w:shd w:val="clear" w:color="auto" w:fill="auto"/>
            <w:noWrap/>
            <w:vAlign w:val="bottom"/>
            <w:hideMark/>
          </w:tcPr>
          <w:p w14:paraId="1378C879"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34</w:t>
            </w:r>
          </w:p>
        </w:tc>
        <w:tc>
          <w:tcPr>
            <w:tcW w:w="1266" w:type="dxa"/>
            <w:shd w:val="clear" w:color="auto" w:fill="auto"/>
            <w:noWrap/>
            <w:vAlign w:val="bottom"/>
            <w:hideMark/>
          </w:tcPr>
          <w:p w14:paraId="1BAF8587"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28</w:t>
            </w:r>
          </w:p>
        </w:tc>
        <w:tc>
          <w:tcPr>
            <w:tcW w:w="1838" w:type="dxa"/>
            <w:shd w:val="clear" w:color="auto" w:fill="auto"/>
            <w:noWrap/>
            <w:vAlign w:val="bottom"/>
            <w:hideMark/>
          </w:tcPr>
          <w:p w14:paraId="37A24F08"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16</w:t>
            </w:r>
          </w:p>
        </w:tc>
      </w:tr>
      <w:tr w:rsidR="00A4332D" w:rsidRPr="00C27631" w14:paraId="3DF4F241" w14:textId="77777777" w:rsidTr="00A22E38">
        <w:trPr>
          <w:trHeight w:val="308"/>
        </w:trPr>
        <w:tc>
          <w:tcPr>
            <w:tcW w:w="1393" w:type="dxa"/>
            <w:shd w:val="clear" w:color="auto" w:fill="auto"/>
            <w:noWrap/>
            <w:vAlign w:val="bottom"/>
            <w:hideMark/>
          </w:tcPr>
          <w:p w14:paraId="75483CAA"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lastRenderedPageBreak/>
              <w:t>Large</w:t>
            </w:r>
          </w:p>
        </w:tc>
        <w:tc>
          <w:tcPr>
            <w:tcW w:w="1854" w:type="dxa"/>
            <w:shd w:val="clear" w:color="auto" w:fill="auto"/>
            <w:noWrap/>
            <w:vAlign w:val="bottom"/>
            <w:hideMark/>
          </w:tcPr>
          <w:p w14:paraId="6F4C3B2B"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53</w:t>
            </w:r>
          </w:p>
        </w:tc>
        <w:tc>
          <w:tcPr>
            <w:tcW w:w="1552" w:type="dxa"/>
            <w:shd w:val="clear" w:color="auto" w:fill="auto"/>
            <w:noWrap/>
            <w:vAlign w:val="bottom"/>
            <w:hideMark/>
          </w:tcPr>
          <w:p w14:paraId="5A86D2BC"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52</w:t>
            </w:r>
          </w:p>
        </w:tc>
        <w:tc>
          <w:tcPr>
            <w:tcW w:w="1647" w:type="dxa"/>
            <w:shd w:val="clear" w:color="auto" w:fill="auto"/>
            <w:noWrap/>
            <w:vAlign w:val="bottom"/>
            <w:hideMark/>
          </w:tcPr>
          <w:p w14:paraId="014F68B7"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30</w:t>
            </w:r>
          </w:p>
        </w:tc>
        <w:tc>
          <w:tcPr>
            <w:tcW w:w="1266" w:type="dxa"/>
            <w:shd w:val="clear" w:color="auto" w:fill="auto"/>
            <w:noWrap/>
            <w:vAlign w:val="bottom"/>
            <w:hideMark/>
          </w:tcPr>
          <w:p w14:paraId="5E70F5F7"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29</w:t>
            </w:r>
          </w:p>
        </w:tc>
        <w:tc>
          <w:tcPr>
            <w:tcW w:w="1838" w:type="dxa"/>
            <w:shd w:val="clear" w:color="auto" w:fill="auto"/>
            <w:noWrap/>
            <w:vAlign w:val="bottom"/>
            <w:hideMark/>
          </w:tcPr>
          <w:p w14:paraId="2E98FB7F" w14:textId="77777777" w:rsidR="00A4332D" w:rsidRPr="00C27631" w:rsidRDefault="00A4332D" w:rsidP="00A22E38">
            <w:pPr>
              <w:spacing w:after="0" w:line="360" w:lineRule="auto"/>
              <w:jc w:val="both"/>
              <w:rPr>
                <w:rFonts w:ascii="Times New Roman" w:eastAsia="Times New Roman" w:hAnsi="Times New Roman" w:cs="Times New Roman"/>
                <w:color w:val="000000"/>
              </w:rPr>
            </w:pPr>
            <w:r w:rsidRPr="00C27631">
              <w:rPr>
                <w:rFonts w:ascii="Times New Roman" w:eastAsia="Times New Roman" w:hAnsi="Times New Roman" w:cs="Times New Roman"/>
                <w:color w:val="000000"/>
              </w:rPr>
              <w:t>17</w:t>
            </w:r>
          </w:p>
        </w:tc>
      </w:tr>
    </w:tbl>
    <w:p w14:paraId="78FE8D83" w14:textId="77777777" w:rsidR="00A4332D" w:rsidRPr="00C27631" w:rsidRDefault="00A4332D" w:rsidP="00386EE7">
      <w:pPr>
        <w:pStyle w:val="Heading3"/>
      </w:pPr>
      <w:bookmarkStart w:id="11" w:name="_Toc219510775"/>
      <w:r w:rsidRPr="00C27631">
        <w:t>Source: Primary Survey, October, 2024</w:t>
      </w:r>
      <w:bookmarkEnd w:id="11"/>
    </w:p>
    <w:p w14:paraId="5887DBFD" w14:textId="77777777" w:rsidR="00A4332D" w:rsidRPr="00C27631" w:rsidRDefault="00A4332D" w:rsidP="00290D60">
      <w:pPr>
        <w:spacing w:line="276" w:lineRule="auto"/>
        <w:jc w:val="both"/>
        <w:rPr>
          <w:rFonts w:ascii="Times New Roman" w:hAnsi="Times New Roman" w:cs="Times New Roman"/>
        </w:rPr>
      </w:pPr>
      <w:r w:rsidRPr="00C27631">
        <w:rPr>
          <w:rFonts w:ascii="Times New Roman" w:hAnsi="Times New Roman" w:cs="Times New Roman"/>
        </w:rPr>
        <w:t>The tables above highlight that FinTech adoption is moderate to high, but varies by company size and focus. Adoption is positively correlated with operational efficiency and customer experience, especially where resources support integration. Regulatory, infrastructural, and financial challenges persist, particularly for smaller firms. Strategies such as collaboration, regulatory engagement, and capacity building are widely endorsed, but their application varies according to company size and resource availability.</w:t>
      </w:r>
    </w:p>
    <w:p w14:paraId="6F0F6D6C" w14:textId="2866FFC2" w:rsidR="00A4332D" w:rsidRPr="00C27631" w:rsidRDefault="00A4332D" w:rsidP="00A4332D">
      <w:pPr>
        <w:pStyle w:val="Heading2"/>
      </w:pPr>
      <w:bookmarkStart w:id="12" w:name="_Toc219510776"/>
      <w:r w:rsidRPr="00C27631">
        <w:t>4.</w:t>
      </w:r>
      <w:r w:rsidR="00986DD5" w:rsidRPr="00C27631">
        <w:t>6</w:t>
      </w:r>
      <w:r w:rsidRPr="00C27631">
        <w:t xml:space="preserve"> Qualitative Results</w:t>
      </w:r>
      <w:bookmarkEnd w:id="12"/>
    </w:p>
    <w:p w14:paraId="3DE5B362" w14:textId="77777777" w:rsidR="00A4332D" w:rsidRPr="00C27631" w:rsidRDefault="00A4332D" w:rsidP="00290D60">
      <w:pPr>
        <w:spacing w:before="100" w:beforeAutospacing="1" w:after="100" w:afterAutospacing="1" w:line="276" w:lineRule="auto"/>
        <w:jc w:val="both"/>
        <w:rPr>
          <w:rFonts w:ascii="Times New Roman" w:eastAsia="Times New Roman" w:hAnsi="Times New Roman" w:cs="Times New Roman"/>
          <w:b/>
          <w:bCs/>
        </w:rPr>
      </w:pPr>
      <w:r w:rsidRPr="00C27631">
        <w:rPr>
          <w:rFonts w:ascii="Times New Roman" w:eastAsia="Times New Roman" w:hAnsi="Times New Roman" w:cs="Times New Roman"/>
          <w:b/>
          <w:bCs/>
        </w:rPr>
        <w:t>Can you describe your company’s experience with adopting FinTech solutions?</w:t>
      </w:r>
    </w:p>
    <w:p w14:paraId="301F86DA" w14:textId="77777777" w:rsidR="00A4332D" w:rsidRPr="00C27631" w:rsidRDefault="00A4332D" w:rsidP="00290D60">
      <w:pPr>
        <w:spacing w:before="100" w:beforeAutospacing="1" w:after="100" w:afterAutospacing="1" w:line="276" w:lineRule="auto"/>
        <w:ind w:left="720"/>
        <w:jc w:val="both"/>
        <w:rPr>
          <w:rFonts w:ascii="Times New Roman" w:eastAsia="Times New Roman" w:hAnsi="Times New Roman" w:cs="Times New Roman"/>
        </w:rPr>
      </w:pPr>
      <w:r w:rsidRPr="00C27631">
        <w:rPr>
          <w:rFonts w:ascii="Times New Roman" w:eastAsia="Times New Roman" w:hAnsi="Times New Roman" w:cs="Times New Roman"/>
        </w:rPr>
        <w:t>Chief Operations Officer</w:t>
      </w:r>
      <w:r w:rsidRPr="00C27631">
        <w:rPr>
          <w:rFonts w:ascii="Times New Roman" w:eastAsia="Times New Roman" w:hAnsi="Times New Roman" w:cs="Times New Roman"/>
          <w:i/>
          <w:iCs/>
        </w:rPr>
        <w:t>:</w:t>
      </w:r>
      <w:r w:rsidRPr="00C27631">
        <w:rPr>
          <w:rFonts w:ascii="Times New Roman" w:eastAsia="Times New Roman" w:hAnsi="Times New Roman" w:cs="Times New Roman"/>
        </w:rPr>
        <w:t xml:space="preserve"> “</w:t>
      </w:r>
      <w:r w:rsidRPr="00C27631">
        <w:rPr>
          <w:rFonts w:ascii="Times New Roman" w:eastAsia="Times New Roman" w:hAnsi="Times New Roman" w:cs="Times New Roman"/>
          <w:i/>
          <w:iCs/>
        </w:rPr>
        <w:t>Our FinTech adoption process began with integrating digital payment options, which was initially challenging, but over time, it has streamlined our operations significantly and enabled us to serve clients more efficiently, especially those in remote areas who previously had limited access to our services.”</w:t>
      </w:r>
    </w:p>
    <w:p w14:paraId="44852147" w14:textId="77777777" w:rsidR="00A4332D" w:rsidRPr="00C27631" w:rsidRDefault="00A4332D" w:rsidP="00290D60">
      <w:pPr>
        <w:spacing w:before="100" w:beforeAutospacing="1" w:after="100" w:afterAutospacing="1" w:line="276" w:lineRule="auto"/>
        <w:ind w:left="720"/>
        <w:jc w:val="both"/>
        <w:rPr>
          <w:rFonts w:ascii="Times New Roman" w:eastAsia="Times New Roman" w:hAnsi="Times New Roman" w:cs="Times New Roman"/>
        </w:rPr>
      </w:pPr>
      <w:r w:rsidRPr="00C27631">
        <w:rPr>
          <w:rFonts w:ascii="Times New Roman" w:eastAsia="Times New Roman" w:hAnsi="Times New Roman" w:cs="Times New Roman"/>
        </w:rPr>
        <w:t>IT Manager</w:t>
      </w:r>
      <w:r w:rsidRPr="00C27631">
        <w:rPr>
          <w:rFonts w:ascii="Times New Roman" w:eastAsia="Times New Roman" w:hAnsi="Times New Roman" w:cs="Times New Roman"/>
          <w:i/>
          <w:iCs/>
        </w:rPr>
        <w:t>:</w:t>
      </w:r>
      <w:r w:rsidRPr="00C27631">
        <w:rPr>
          <w:rFonts w:ascii="Times New Roman" w:eastAsia="Times New Roman" w:hAnsi="Times New Roman" w:cs="Times New Roman"/>
        </w:rPr>
        <w:t xml:space="preserve"> “</w:t>
      </w:r>
      <w:r w:rsidRPr="00C27631">
        <w:rPr>
          <w:rFonts w:ascii="Times New Roman" w:eastAsia="Times New Roman" w:hAnsi="Times New Roman" w:cs="Times New Roman"/>
          <w:i/>
          <w:iCs/>
        </w:rPr>
        <w:t>The journey has been gradual. We started small, piloting mobile apps for customer engagement. While there were setbacks at first, continuous learning and feedback from clients helped us refine our approach and increase the adoption of digital solutions across our business units.”</w:t>
      </w:r>
    </w:p>
    <w:p w14:paraId="425A7097" w14:textId="77777777" w:rsidR="00A4332D" w:rsidRPr="00C27631" w:rsidRDefault="00A4332D" w:rsidP="00290D60">
      <w:pPr>
        <w:spacing w:before="100" w:beforeAutospacing="1" w:after="100" w:afterAutospacing="1" w:line="276" w:lineRule="auto"/>
        <w:ind w:left="720"/>
        <w:jc w:val="both"/>
        <w:rPr>
          <w:rFonts w:ascii="Times New Roman" w:eastAsia="Times New Roman" w:hAnsi="Times New Roman" w:cs="Times New Roman"/>
        </w:rPr>
      </w:pPr>
      <w:r w:rsidRPr="00C27631">
        <w:rPr>
          <w:rFonts w:ascii="Times New Roman" w:eastAsia="Times New Roman" w:hAnsi="Times New Roman" w:cs="Times New Roman"/>
        </w:rPr>
        <w:t>Claims Supervisor</w:t>
      </w:r>
      <w:r w:rsidRPr="00C27631">
        <w:rPr>
          <w:rFonts w:ascii="Times New Roman" w:eastAsia="Times New Roman" w:hAnsi="Times New Roman" w:cs="Times New Roman"/>
          <w:i/>
          <w:iCs/>
        </w:rPr>
        <w:t>:</w:t>
      </w:r>
      <w:r w:rsidRPr="00C27631">
        <w:rPr>
          <w:rFonts w:ascii="Times New Roman" w:eastAsia="Times New Roman" w:hAnsi="Times New Roman" w:cs="Times New Roman"/>
        </w:rPr>
        <w:t xml:space="preserve"> “</w:t>
      </w:r>
      <w:r w:rsidRPr="00C27631">
        <w:rPr>
          <w:rFonts w:ascii="Times New Roman" w:eastAsia="Times New Roman" w:hAnsi="Times New Roman" w:cs="Times New Roman"/>
          <w:i/>
          <w:iCs/>
        </w:rPr>
        <w:t>Adopting FinTech was a strategic move for us. We faced some resistance internally, but once staff saw the improvements in claims processing speed and accuracy, support grew. Today, FinTech forms the backbone of our customer service and claims management systems.”</w:t>
      </w:r>
    </w:p>
    <w:p w14:paraId="229E3BDB" w14:textId="77777777" w:rsidR="00A4332D" w:rsidRPr="00C27631" w:rsidRDefault="00A4332D" w:rsidP="00290D60">
      <w:pPr>
        <w:spacing w:before="100" w:beforeAutospacing="1" w:after="100" w:afterAutospacing="1" w:line="276" w:lineRule="auto"/>
        <w:jc w:val="both"/>
        <w:rPr>
          <w:rFonts w:ascii="Times New Roman" w:eastAsia="Times New Roman" w:hAnsi="Times New Roman" w:cs="Times New Roman"/>
          <w:b/>
          <w:bCs/>
        </w:rPr>
      </w:pPr>
      <w:r w:rsidRPr="00C27631">
        <w:rPr>
          <w:rFonts w:ascii="Times New Roman" w:eastAsia="Times New Roman" w:hAnsi="Times New Roman" w:cs="Times New Roman"/>
          <w:b/>
          <w:bCs/>
        </w:rPr>
        <w:t>What motivated your organization to pursue FinTech integration within its operations?</w:t>
      </w:r>
    </w:p>
    <w:p w14:paraId="2B6B02B9" w14:textId="77777777" w:rsidR="00A4332D" w:rsidRPr="00C27631" w:rsidRDefault="00A4332D" w:rsidP="00290D60">
      <w:pPr>
        <w:spacing w:before="100" w:beforeAutospacing="1" w:after="100" w:afterAutospacing="1" w:line="276" w:lineRule="auto"/>
        <w:ind w:left="720"/>
        <w:jc w:val="both"/>
        <w:rPr>
          <w:rFonts w:ascii="Times New Roman" w:eastAsia="Times New Roman" w:hAnsi="Times New Roman" w:cs="Times New Roman"/>
        </w:rPr>
      </w:pPr>
      <w:r w:rsidRPr="00C27631">
        <w:rPr>
          <w:rFonts w:ascii="Times New Roman" w:eastAsia="Times New Roman" w:hAnsi="Times New Roman" w:cs="Times New Roman"/>
        </w:rPr>
        <w:t>Marketing Manager: “</w:t>
      </w:r>
      <w:r w:rsidRPr="00C27631">
        <w:rPr>
          <w:rFonts w:ascii="Times New Roman" w:eastAsia="Times New Roman" w:hAnsi="Times New Roman" w:cs="Times New Roman"/>
          <w:i/>
          <w:iCs/>
        </w:rPr>
        <w:t>The motivation came from observing market trends and competitor behavior. Seeing other companies successfully implement FinTech solutions inspired us to follow suit so we could expand our reach and attract younger, tech-savvy clients who prefer digital interactions.”</w:t>
      </w:r>
    </w:p>
    <w:p w14:paraId="43543598" w14:textId="77777777" w:rsidR="00A4332D" w:rsidRPr="00C27631" w:rsidRDefault="00A4332D" w:rsidP="00290D60">
      <w:pPr>
        <w:spacing w:before="100" w:beforeAutospacing="1" w:after="100" w:afterAutospacing="1" w:line="276" w:lineRule="auto"/>
        <w:jc w:val="both"/>
        <w:rPr>
          <w:rFonts w:ascii="Times New Roman" w:eastAsia="Times New Roman" w:hAnsi="Times New Roman" w:cs="Times New Roman"/>
          <w:b/>
          <w:bCs/>
        </w:rPr>
      </w:pPr>
      <w:r w:rsidRPr="00C27631">
        <w:rPr>
          <w:rFonts w:ascii="Times New Roman" w:eastAsia="Times New Roman" w:hAnsi="Times New Roman" w:cs="Times New Roman"/>
          <w:b/>
          <w:bCs/>
        </w:rPr>
        <w:t>Which FinTech tools or platforms have had the most significant impact on your business processes?</w:t>
      </w:r>
    </w:p>
    <w:p w14:paraId="1098DF83" w14:textId="77777777" w:rsidR="00A4332D" w:rsidRPr="00C27631" w:rsidRDefault="00A4332D" w:rsidP="00290D60">
      <w:pPr>
        <w:spacing w:before="100" w:beforeAutospacing="1" w:after="100" w:afterAutospacing="1" w:line="276" w:lineRule="auto"/>
        <w:ind w:left="720"/>
        <w:jc w:val="both"/>
        <w:rPr>
          <w:rFonts w:ascii="Times New Roman" w:eastAsia="Times New Roman" w:hAnsi="Times New Roman" w:cs="Times New Roman"/>
        </w:rPr>
      </w:pPr>
      <w:r w:rsidRPr="00C27631">
        <w:rPr>
          <w:rFonts w:ascii="Times New Roman" w:eastAsia="Times New Roman" w:hAnsi="Times New Roman" w:cs="Times New Roman"/>
        </w:rPr>
        <w:t>Claims Manager: “</w:t>
      </w:r>
      <w:r w:rsidRPr="00C27631">
        <w:rPr>
          <w:rFonts w:ascii="Times New Roman" w:eastAsia="Times New Roman" w:hAnsi="Times New Roman" w:cs="Times New Roman"/>
          <w:i/>
          <w:iCs/>
        </w:rPr>
        <w:t>The introduction of automated claims processing systems has reduced manual errors and improved turnaround times. Claims that used to take days are now settled in hours, leading to increased customer trust and freeing up staff for more complex tasks.”</w:t>
      </w:r>
    </w:p>
    <w:p w14:paraId="001C4B67" w14:textId="77777777" w:rsidR="00A4332D" w:rsidRPr="00C27631" w:rsidRDefault="00A4332D" w:rsidP="00290D60">
      <w:pPr>
        <w:spacing w:before="100" w:beforeAutospacing="1" w:after="100" w:afterAutospacing="1" w:line="276" w:lineRule="auto"/>
        <w:jc w:val="both"/>
        <w:rPr>
          <w:rFonts w:ascii="Times New Roman" w:eastAsia="Times New Roman" w:hAnsi="Times New Roman" w:cs="Times New Roman"/>
          <w:b/>
          <w:bCs/>
        </w:rPr>
      </w:pPr>
      <w:r w:rsidRPr="00C27631">
        <w:rPr>
          <w:rFonts w:ascii="Times New Roman" w:eastAsia="Times New Roman" w:hAnsi="Times New Roman" w:cs="Times New Roman"/>
          <w:b/>
          <w:bCs/>
        </w:rPr>
        <w:t>What challenges did your company encounter during the process of FinTech adoption?</w:t>
      </w:r>
    </w:p>
    <w:p w14:paraId="58855E12" w14:textId="77777777" w:rsidR="00A4332D" w:rsidRPr="00C27631" w:rsidRDefault="00A4332D" w:rsidP="00290D60">
      <w:pPr>
        <w:spacing w:before="100" w:beforeAutospacing="1" w:after="100" w:afterAutospacing="1" w:line="276" w:lineRule="auto"/>
        <w:ind w:left="720"/>
        <w:jc w:val="both"/>
        <w:rPr>
          <w:rFonts w:ascii="Times New Roman" w:eastAsia="Times New Roman" w:hAnsi="Times New Roman" w:cs="Times New Roman"/>
        </w:rPr>
      </w:pPr>
      <w:r w:rsidRPr="00C27631">
        <w:rPr>
          <w:rFonts w:ascii="Times New Roman" w:eastAsia="Times New Roman" w:hAnsi="Times New Roman" w:cs="Times New Roman"/>
        </w:rPr>
        <w:t>Human Resources Manager: “</w:t>
      </w:r>
      <w:r w:rsidRPr="00C27631">
        <w:rPr>
          <w:rFonts w:ascii="Times New Roman" w:eastAsia="Times New Roman" w:hAnsi="Times New Roman" w:cs="Times New Roman"/>
          <w:i/>
          <w:iCs/>
        </w:rPr>
        <w:t xml:space="preserve">Initially, we faced significant resistance from employees who were unfamiliar with new technologies. Training and change management required time, and there was </w:t>
      </w:r>
      <w:r w:rsidRPr="00C27631">
        <w:rPr>
          <w:rFonts w:ascii="Times New Roman" w:eastAsia="Times New Roman" w:hAnsi="Times New Roman" w:cs="Times New Roman"/>
          <w:i/>
          <w:iCs/>
        </w:rPr>
        <w:lastRenderedPageBreak/>
        <w:t>a learning curve before everyone became comfortable with the digital tools we wanted to implement.”</w:t>
      </w:r>
    </w:p>
    <w:p w14:paraId="0F76C677" w14:textId="77777777" w:rsidR="00A4332D" w:rsidRPr="00C27631" w:rsidRDefault="00A4332D" w:rsidP="00290D60">
      <w:pPr>
        <w:spacing w:before="100" w:beforeAutospacing="1" w:after="100" w:afterAutospacing="1" w:line="276" w:lineRule="auto"/>
        <w:ind w:left="720"/>
        <w:jc w:val="both"/>
        <w:rPr>
          <w:rFonts w:ascii="Times New Roman" w:eastAsia="Times New Roman" w:hAnsi="Times New Roman" w:cs="Times New Roman"/>
        </w:rPr>
      </w:pPr>
      <w:r w:rsidRPr="00C27631">
        <w:rPr>
          <w:rFonts w:ascii="Times New Roman" w:eastAsia="Times New Roman" w:hAnsi="Times New Roman" w:cs="Times New Roman"/>
        </w:rPr>
        <w:t>Chief Financial Officer: “</w:t>
      </w:r>
      <w:r w:rsidRPr="00C27631">
        <w:rPr>
          <w:rFonts w:ascii="Times New Roman" w:eastAsia="Times New Roman" w:hAnsi="Times New Roman" w:cs="Times New Roman"/>
          <w:i/>
          <w:iCs/>
        </w:rPr>
        <w:t>High implementation costs were a major concern. Securing the budget for new systems was difficult, and we had to demonstrate clear returns on investment before management could fully commit to further digital transformation initiatives.”</w:t>
      </w:r>
    </w:p>
    <w:p w14:paraId="5AA870A3" w14:textId="77777777" w:rsidR="00A4332D" w:rsidRPr="00C27631" w:rsidRDefault="00A4332D" w:rsidP="00290D60">
      <w:pPr>
        <w:spacing w:before="100" w:beforeAutospacing="1" w:after="100" w:afterAutospacing="1" w:line="276" w:lineRule="auto"/>
        <w:jc w:val="both"/>
        <w:rPr>
          <w:rFonts w:ascii="Times New Roman" w:eastAsia="Times New Roman" w:hAnsi="Times New Roman" w:cs="Times New Roman"/>
          <w:b/>
          <w:bCs/>
        </w:rPr>
      </w:pPr>
      <w:r w:rsidRPr="00C27631">
        <w:rPr>
          <w:rFonts w:ascii="Times New Roman" w:eastAsia="Times New Roman" w:hAnsi="Times New Roman" w:cs="Times New Roman"/>
          <w:b/>
          <w:bCs/>
        </w:rPr>
        <w:t>How has your company managed risks associated with FinTech, such as data security and regulatory compliance?</w:t>
      </w:r>
    </w:p>
    <w:p w14:paraId="0AF5F9E8" w14:textId="77777777" w:rsidR="00A4332D" w:rsidRPr="00C27631" w:rsidRDefault="00A4332D" w:rsidP="00290D60">
      <w:pPr>
        <w:spacing w:before="100" w:beforeAutospacing="1" w:after="100" w:afterAutospacing="1" w:line="276" w:lineRule="auto"/>
        <w:ind w:left="1440"/>
        <w:jc w:val="both"/>
        <w:rPr>
          <w:rFonts w:ascii="Times New Roman" w:eastAsia="Times New Roman" w:hAnsi="Times New Roman" w:cs="Times New Roman"/>
        </w:rPr>
      </w:pPr>
      <w:r w:rsidRPr="00C27631">
        <w:rPr>
          <w:rFonts w:ascii="Times New Roman" w:eastAsia="Times New Roman" w:hAnsi="Times New Roman" w:cs="Times New Roman"/>
        </w:rPr>
        <w:t>Chief Information Security Officer</w:t>
      </w:r>
      <w:r w:rsidRPr="00C27631">
        <w:rPr>
          <w:rFonts w:ascii="Times New Roman" w:eastAsia="Times New Roman" w:hAnsi="Times New Roman" w:cs="Times New Roman"/>
          <w:i/>
          <w:iCs/>
        </w:rPr>
        <w:t>:</w:t>
      </w:r>
      <w:r w:rsidRPr="00C27631">
        <w:rPr>
          <w:rFonts w:ascii="Times New Roman" w:eastAsia="Times New Roman" w:hAnsi="Times New Roman" w:cs="Times New Roman"/>
        </w:rPr>
        <w:t xml:space="preserve"> “</w:t>
      </w:r>
      <w:r w:rsidRPr="00C27631">
        <w:rPr>
          <w:rFonts w:ascii="Times New Roman" w:eastAsia="Times New Roman" w:hAnsi="Times New Roman" w:cs="Times New Roman"/>
          <w:i/>
          <w:iCs/>
        </w:rPr>
        <w:t>We invested heavily in robust cybersecurity measures and conduct regular audits to ensure compliance with local regulations. Staff receive ongoing training on data protection, which has helped us maintain customer trust and avoid breaches that could damage our reputation.”</w:t>
      </w:r>
    </w:p>
    <w:p w14:paraId="1980E0D9" w14:textId="77777777" w:rsidR="00A4332D" w:rsidRPr="00C27631" w:rsidRDefault="00A4332D" w:rsidP="00290D60">
      <w:pPr>
        <w:spacing w:before="100" w:beforeAutospacing="1" w:after="100" w:afterAutospacing="1" w:line="276" w:lineRule="auto"/>
        <w:ind w:left="1440"/>
        <w:jc w:val="both"/>
        <w:rPr>
          <w:rFonts w:ascii="Times New Roman" w:eastAsia="Times New Roman" w:hAnsi="Times New Roman" w:cs="Times New Roman"/>
        </w:rPr>
      </w:pPr>
      <w:r w:rsidRPr="00C27631">
        <w:rPr>
          <w:rFonts w:ascii="Times New Roman" w:eastAsia="Times New Roman" w:hAnsi="Times New Roman" w:cs="Times New Roman"/>
        </w:rPr>
        <w:t>Compliance Manager: “</w:t>
      </w:r>
      <w:r w:rsidRPr="00C27631">
        <w:rPr>
          <w:rFonts w:ascii="Times New Roman" w:eastAsia="Times New Roman" w:hAnsi="Times New Roman" w:cs="Times New Roman"/>
          <w:i/>
          <w:iCs/>
        </w:rPr>
        <w:t>Collaborating closely with regulatory authorities allowed us to better understand compliance requirements and adapt our systems accordingly. We also work with third-party experts to stay updated on emerging threats and keep our technology infrastructure secure.”</w:t>
      </w:r>
    </w:p>
    <w:p w14:paraId="003E94B7" w14:textId="77777777" w:rsidR="00A4332D" w:rsidRPr="00C27631" w:rsidRDefault="00A4332D" w:rsidP="00290D60">
      <w:pPr>
        <w:spacing w:before="100" w:beforeAutospacing="1" w:after="100" w:afterAutospacing="1" w:line="276" w:lineRule="auto"/>
        <w:ind w:left="1440"/>
        <w:jc w:val="both"/>
        <w:rPr>
          <w:rFonts w:ascii="Times New Roman" w:eastAsia="Times New Roman" w:hAnsi="Times New Roman" w:cs="Times New Roman"/>
          <w:i/>
          <w:iCs/>
        </w:rPr>
      </w:pPr>
      <w:r w:rsidRPr="00C27631">
        <w:rPr>
          <w:rFonts w:ascii="Times New Roman" w:eastAsia="Times New Roman" w:hAnsi="Times New Roman" w:cs="Times New Roman"/>
        </w:rPr>
        <w:t>Procurement Manager</w:t>
      </w:r>
      <w:r w:rsidRPr="00C27631">
        <w:rPr>
          <w:rFonts w:ascii="Times New Roman" w:eastAsia="Times New Roman" w:hAnsi="Times New Roman" w:cs="Times New Roman"/>
          <w:i/>
          <w:iCs/>
        </w:rPr>
        <w:t>:</w:t>
      </w:r>
      <w:r w:rsidRPr="00C27631">
        <w:rPr>
          <w:rFonts w:ascii="Times New Roman" w:eastAsia="Times New Roman" w:hAnsi="Times New Roman" w:cs="Times New Roman"/>
        </w:rPr>
        <w:t xml:space="preserve"> “</w:t>
      </w:r>
      <w:r w:rsidRPr="00C27631">
        <w:rPr>
          <w:rFonts w:ascii="Times New Roman" w:eastAsia="Times New Roman" w:hAnsi="Times New Roman" w:cs="Times New Roman"/>
          <w:i/>
          <w:iCs/>
        </w:rPr>
        <w:t>To mitigate risks, we have diversified our technology vendors to avoid overreliance on a single provider, and we regularly update our security protocols to address new vulnerabilities. This proactive approach has helped us manage both operational and reputational risks.”</w:t>
      </w:r>
    </w:p>
    <w:p w14:paraId="33C44388" w14:textId="77777777" w:rsidR="00A4332D" w:rsidRPr="00C27631" w:rsidRDefault="00A4332D" w:rsidP="00290D60">
      <w:pPr>
        <w:spacing w:before="100" w:beforeAutospacing="1" w:after="100" w:afterAutospacing="1" w:line="276" w:lineRule="auto"/>
        <w:jc w:val="both"/>
        <w:rPr>
          <w:rFonts w:ascii="Times New Roman" w:eastAsia="Times New Roman" w:hAnsi="Times New Roman" w:cs="Times New Roman"/>
          <w:b/>
          <w:bCs/>
        </w:rPr>
      </w:pPr>
      <w:r w:rsidRPr="00C27631">
        <w:rPr>
          <w:rFonts w:ascii="Times New Roman" w:eastAsia="Times New Roman" w:hAnsi="Times New Roman" w:cs="Times New Roman"/>
          <w:b/>
          <w:bCs/>
        </w:rPr>
        <w:t>How do you view the role of regulatory bodies in supporting or hindering FinTech adoption in the insurance sector?</w:t>
      </w:r>
    </w:p>
    <w:p w14:paraId="0B5F87AF" w14:textId="77777777" w:rsidR="00A4332D" w:rsidRPr="00C27631" w:rsidRDefault="00A4332D" w:rsidP="00290D60">
      <w:pPr>
        <w:spacing w:before="100" w:beforeAutospacing="1" w:after="100" w:afterAutospacing="1" w:line="276" w:lineRule="auto"/>
        <w:ind w:left="720"/>
        <w:jc w:val="both"/>
        <w:rPr>
          <w:rFonts w:ascii="Times New Roman" w:eastAsia="Times New Roman" w:hAnsi="Times New Roman" w:cs="Times New Roman"/>
        </w:rPr>
      </w:pPr>
      <w:r w:rsidRPr="00C27631">
        <w:rPr>
          <w:rFonts w:ascii="Times New Roman" w:eastAsia="Times New Roman" w:hAnsi="Times New Roman" w:cs="Times New Roman"/>
        </w:rPr>
        <w:t>Regulatory Affairs Specialist</w:t>
      </w:r>
      <w:r w:rsidRPr="00C27631">
        <w:rPr>
          <w:rFonts w:ascii="Times New Roman" w:eastAsia="Times New Roman" w:hAnsi="Times New Roman" w:cs="Times New Roman"/>
          <w:i/>
          <w:iCs/>
        </w:rPr>
        <w:t>:</w:t>
      </w:r>
      <w:r w:rsidRPr="00C27631">
        <w:rPr>
          <w:rFonts w:ascii="Times New Roman" w:eastAsia="Times New Roman" w:hAnsi="Times New Roman" w:cs="Times New Roman"/>
        </w:rPr>
        <w:t xml:space="preserve"> “</w:t>
      </w:r>
      <w:r w:rsidRPr="00C27631">
        <w:rPr>
          <w:rFonts w:ascii="Times New Roman" w:eastAsia="Times New Roman" w:hAnsi="Times New Roman" w:cs="Times New Roman"/>
          <w:i/>
          <w:iCs/>
        </w:rPr>
        <w:t>Regulatory bodies have played a dual role: while they ensure industry stability and protect consumers, some of their requirements can slow down innovation. There’s a need for more flexible frameworks that encourage experimentation and collaboration with FinTech providers.”</w:t>
      </w:r>
    </w:p>
    <w:p w14:paraId="6AE4FECB" w14:textId="77777777" w:rsidR="00A4332D" w:rsidRPr="00C27631" w:rsidRDefault="00A4332D" w:rsidP="00290D60">
      <w:pPr>
        <w:spacing w:before="100" w:beforeAutospacing="1" w:after="100" w:afterAutospacing="1" w:line="276" w:lineRule="auto"/>
        <w:ind w:left="720"/>
        <w:jc w:val="both"/>
        <w:rPr>
          <w:rFonts w:ascii="Times New Roman" w:eastAsia="Times New Roman" w:hAnsi="Times New Roman" w:cs="Times New Roman"/>
        </w:rPr>
      </w:pPr>
      <w:r w:rsidRPr="00C27631">
        <w:rPr>
          <w:rFonts w:ascii="Times New Roman" w:eastAsia="Times New Roman" w:hAnsi="Times New Roman" w:cs="Times New Roman"/>
        </w:rPr>
        <w:t>Managing Director</w:t>
      </w:r>
      <w:r w:rsidRPr="00C27631">
        <w:rPr>
          <w:rFonts w:ascii="Times New Roman" w:eastAsia="Times New Roman" w:hAnsi="Times New Roman" w:cs="Times New Roman"/>
          <w:i/>
          <w:iCs/>
        </w:rPr>
        <w:t>:</w:t>
      </w:r>
      <w:r w:rsidRPr="00C27631">
        <w:rPr>
          <w:rFonts w:ascii="Times New Roman" w:eastAsia="Times New Roman" w:hAnsi="Times New Roman" w:cs="Times New Roman"/>
        </w:rPr>
        <w:t xml:space="preserve"> </w:t>
      </w:r>
      <w:r w:rsidRPr="00C27631">
        <w:rPr>
          <w:rFonts w:ascii="Times New Roman" w:eastAsia="Times New Roman" w:hAnsi="Times New Roman" w:cs="Times New Roman"/>
          <w:i/>
          <w:iCs/>
        </w:rPr>
        <w:t>“Engagement with regulators has improved over time. Their willingness to introduce regulatory sandboxes and consult with industry players has made it easier for us to test new solutions while ensuring compliance and protecting our clients’ interests.”</w:t>
      </w:r>
    </w:p>
    <w:p w14:paraId="6E0F90C1" w14:textId="01891A9D" w:rsidR="00A4332D" w:rsidRPr="00C27631" w:rsidRDefault="00A4332D" w:rsidP="00290D60">
      <w:pPr>
        <w:spacing w:before="100" w:beforeAutospacing="1" w:after="100" w:afterAutospacing="1" w:line="276" w:lineRule="auto"/>
        <w:ind w:left="720"/>
        <w:jc w:val="both"/>
        <w:rPr>
          <w:rFonts w:ascii="Times New Roman" w:eastAsia="Times New Roman" w:hAnsi="Times New Roman" w:cs="Times New Roman"/>
          <w:i/>
          <w:iCs/>
        </w:rPr>
      </w:pPr>
      <w:r w:rsidRPr="00C27631">
        <w:rPr>
          <w:rFonts w:ascii="Times New Roman" w:eastAsia="Times New Roman" w:hAnsi="Times New Roman" w:cs="Times New Roman"/>
        </w:rPr>
        <w:t>Legal Advisor</w:t>
      </w:r>
      <w:r w:rsidRPr="00C27631">
        <w:rPr>
          <w:rFonts w:ascii="Times New Roman" w:eastAsia="Times New Roman" w:hAnsi="Times New Roman" w:cs="Times New Roman"/>
          <w:i/>
          <w:iCs/>
        </w:rPr>
        <w:t>:</w:t>
      </w:r>
      <w:r w:rsidRPr="00C27631">
        <w:rPr>
          <w:rFonts w:ascii="Times New Roman" w:eastAsia="Times New Roman" w:hAnsi="Times New Roman" w:cs="Times New Roman"/>
        </w:rPr>
        <w:t xml:space="preserve"> “</w:t>
      </w:r>
      <w:r w:rsidRPr="00C27631">
        <w:rPr>
          <w:rFonts w:ascii="Times New Roman" w:eastAsia="Times New Roman" w:hAnsi="Times New Roman" w:cs="Times New Roman"/>
          <w:i/>
          <w:iCs/>
        </w:rPr>
        <w:t>At times, regulatory ambiguity has created uncertainty, making it difficult to plan long-term investments in FinTech. Clearer guidelines and more open communication channels would greatly enhance our ability to adopt new technologies confidently and efficiently.”</w:t>
      </w:r>
    </w:p>
    <w:p w14:paraId="0E2115AD" w14:textId="7A23C811" w:rsidR="00986DD5" w:rsidRPr="00C27631" w:rsidRDefault="00986DD5" w:rsidP="00C27631">
      <w:pPr>
        <w:pStyle w:val="Heading1"/>
        <w:rPr>
          <w:rStyle w:val="Heading1Char"/>
        </w:rPr>
      </w:pPr>
      <w:bookmarkStart w:id="13" w:name="_Toc219510779"/>
      <w:r w:rsidRPr="00C27631">
        <w:lastRenderedPageBreak/>
        <w:t>5.Discussion</w:t>
      </w:r>
    </w:p>
    <w:p w14:paraId="5AAFD4EE" w14:textId="0C902B04" w:rsidR="00E06E9E" w:rsidRPr="00E06E9E" w:rsidRDefault="00E06E9E" w:rsidP="00290D60">
      <w:pPr>
        <w:spacing w:before="100" w:beforeAutospacing="1" w:after="100" w:afterAutospacing="1" w:line="276" w:lineRule="auto"/>
        <w:jc w:val="both"/>
        <w:rPr>
          <w:rFonts w:ascii="Times New Roman" w:eastAsia="Times New Roman" w:hAnsi="Times New Roman" w:cs="Times New Roman"/>
        </w:rPr>
      </w:pPr>
      <w:bookmarkStart w:id="14" w:name="_Toc219510785"/>
      <w:bookmarkStart w:id="15" w:name="_Toc75272"/>
      <w:bookmarkEnd w:id="13"/>
      <w:r w:rsidRPr="00E06E9E">
        <w:rPr>
          <w:rFonts w:ascii="Times New Roman" w:eastAsia="Times New Roman" w:hAnsi="Times New Roman" w:cs="Times New Roman"/>
        </w:rPr>
        <w:t xml:space="preserve">This chapter </w:t>
      </w:r>
      <w:r w:rsidRPr="00C27631">
        <w:rPr>
          <w:rFonts w:ascii="Times New Roman" w:eastAsia="Times New Roman" w:hAnsi="Times New Roman" w:cs="Times New Roman"/>
        </w:rPr>
        <w:t xml:space="preserve">discussed </w:t>
      </w:r>
      <w:r w:rsidRPr="00E06E9E">
        <w:rPr>
          <w:rFonts w:ascii="Times New Roman" w:eastAsia="Times New Roman" w:hAnsi="Times New Roman" w:cs="Times New Roman"/>
        </w:rPr>
        <w:t xml:space="preserve">the key findings regarding FinTech adoption in Zambia’s insurance sector, focusing on the extent of digital integration, its </w:t>
      </w:r>
      <w:r w:rsidRPr="00C27631">
        <w:rPr>
          <w:rFonts w:ascii="Times New Roman" w:eastAsia="Times New Roman" w:hAnsi="Times New Roman" w:cs="Times New Roman"/>
        </w:rPr>
        <w:t>risks</w:t>
      </w:r>
      <w:r w:rsidRPr="00E06E9E">
        <w:rPr>
          <w:rFonts w:ascii="Times New Roman" w:eastAsia="Times New Roman" w:hAnsi="Times New Roman" w:cs="Times New Roman"/>
        </w:rPr>
        <w:t>, the persistent challenges encountered and strategic recommendations for further progress.</w:t>
      </w:r>
      <w:r w:rsidRPr="00C27631">
        <w:rPr>
          <w:rFonts w:ascii="Times New Roman" w:eastAsia="Times New Roman" w:hAnsi="Times New Roman" w:cs="Times New Roman"/>
        </w:rPr>
        <w:t xml:space="preserve"> </w:t>
      </w:r>
      <w:r w:rsidRPr="00E06E9E">
        <w:rPr>
          <w:rFonts w:ascii="Times New Roman" w:eastAsia="Times New Roman" w:hAnsi="Times New Roman" w:cs="Times New Roman"/>
        </w:rPr>
        <w:t>The results revealed that FinTech adoption across Zambia’s insurance industry is both widespread and nuanced. A significant majority of firms reported moderate (41.7%) or extensive (26%) levels of adoption, while only a minority indicated no (8.6%) or limited (23.7%) digital uptake. This pattern signals that digital transformation is now a strategic priority for many insurers, echoing global trends in emerging markets where FinTech is harnessed to drive competitiveness and expand outreach to underserved communities (Gomber et al., 2018; Chowa et al., 2020). Firms with a corporate or mixed client base were more likely to have progressed with FinTech integration, likely due to greater resources and higher customer demand. In contrast, companies primarily serving individual clients reported more varied and generally lower adoption, reflecting differences in resource capacity, market orientation, and technological readiness</w:t>
      </w:r>
      <w:r w:rsidRPr="00C27631">
        <w:rPr>
          <w:rFonts w:ascii="Times New Roman" w:eastAsia="Times New Roman" w:hAnsi="Times New Roman" w:cs="Times New Roman"/>
        </w:rPr>
        <w:t xml:space="preserve"> </w:t>
      </w:r>
      <w:r w:rsidRPr="00E06E9E">
        <w:rPr>
          <w:rFonts w:ascii="Times New Roman" w:eastAsia="Times New Roman" w:hAnsi="Times New Roman" w:cs="Times New Roman"/>
        </w:rPr>
        <w:t>a dynamic supported by the resource-based view (Barney, 1991).</w:t>
      </w:r>
    </w:p>
    <w:p w14:paraId="2688A3F3" w14:textId="56CE7FF6" w:rsidR="00E06E9E" w:rsidRPr="00E06E9E" w:rsidRDefault="00E06E9E" w:rsidP="00290D60">
      <w:pPr>
        <w:spacing w:before="100" w:beforeAutospacing="1" w:after="100" w:afterAutospacing="1" w:line="276" w:lineRule="auto"/>
        <w:jc w:val="both"/>
        <w:rPr>
          <w:rFonts w:ascii="Times New Roman" w:eastAsia="Times New Roman" w:hAnsi="Times New Roman" w:cs="Times New Roman"/>
        </w:rPr>
      </w:pPr>
      <w:r w:rsidRPr="00E06E9E">
        <w:rPr>
          <w:rFonts w:ascii="Times New Roman" w:eastAsia="Times New Roman" w:hAnsi="Times New Roman" w:cs="Times New Roman"/>
        </w:rPr>
        <w:t>The types of FinTech solutions implemented further illustrate the industry’s digital evolution. Digital payment platforms (63%) and mobile customer service applications (56.3%) are the most prevalent, followed by automated claims processing and data analytics. More advanced technologies such as blockchain and AI remain at an early stage, mirroring global insurance trends where customer-facing and process automation solutions typically lead initial adoption waves (Philippon, 2016; PwC, 2023). The determinants of adoption in Zambia</w:t>
      </w:r>
      <w:r w:rsidR="00290D60" w:rsidRPr="00C27631">
        <w:rPr>
          <w:rFonts w:ascii="Times New Roman" w:eastAsia="Times New Roman" w:hAnsi="Times New Roman" w:cs="Times New Roman"/>
        </w:rPr>
        <w:t xml:space="preserve"> </w:t>
      </w:r>
      <w:r w:rsidRPr="00E06E9E">
        <w:rPr>
          <w:rFonts w:ascii="Times New Roman" w:eastAsia="Times New Roman" w:hAnsi="Times New Roman" w:cs="Times New Roman"/>
        </w:rPr>
        <w:t>cost, technological readiness, regulatory factors, and customer expectations</w:t>
      </w:r>
      <w:r w:rsidR="00290D60" w:rsidRPr="00C27631">
        <w:rPr>
          <w:rFonts w:ascii="Times New Roman" w:eastAsia="Times New Roman" w:hAnsi="Times New Roman" w:cs="Times New Roman"/>
        </w:rPr>
        <w:t xml:space="preserve"> </w:t>
      </w:r>
      <w:r w:rsidRPr="00E06E9E">
        <w:rPr>
          <w:rFonts w:ascii="Times New Roman" w:eastAsia="Times New Roman" w:hAnsi="Times New Roman" w:cs="Times New Roman"/>
        </w:rPr>
        <w:t>align with Rogers’ (2003) Diffusion of Innovations theory, stressing the roles of relative advantage, compatibility, and complexity in shaping organizational change.</w:t>
      </w:r>
    </w:p>
    <w:p w14:paraId="75CAA7EC" w14:textId="2355B629" w:rsidR="00E06E9E" w:rsidRPr="00E06E9E" w:rsidRDefault="00E06E9E" w:rsidP="00290D60">
      <w:pPr>
        <w:spacing w:before="100" w:beforeAutospacing="1" w:after="100" w:afterAutospacing="1" w:line="276" w:lineRule="auto"/>
        <w:jc w:val="both"/>
        <w:rPr>
          <w:rFonts w:ascii="Times New Roman" w:eastAsia="Times New Roman" w:hAnsi="Times New Roman" w:cs="Times New Roman"/>
        </w:rPr>
      </w:pPr>
      <w:r w:rsidRPr="00E06E9E">
        <w:rPr>
          <w:rFonts w:ascii="Times New Roman" w:eastAsia="Times New Roman" w:hAnsi="Times New Roman" w:cs="Times New Roman"/>
        </w:rPr>
        <w:t>Despite these advancements, the sector faces notable barriers. Regulatory ambiguity was the most frequently cited risk (51.7%), followed by challenges related to infrastructure (41.4%), high implementation costs (48.4%), and shortages of skilled personnel (44.0%). Concerns about data security and cyber threats were also prominent (52.6%), highlighting the importance of robust digital safeguards (World Bank, 2022; Accenture, 2020). Smaller insurers were particularly affected by these challenges, consistent with the observation that firms with fewer resources face greater adoption hurdles (Rogers, 2003; KPMG, 2019).</w:t>
      </w:r>
      <w:r w:rsidRPr="00C27631">
        <w:rPr>
          <w:rFonts w:ascii="Times New Roman" w:eastAsia="Times New Roman" w:hAnsi="Times New Roman" w:cs="Times New Roman"/>
        </w:rPr>
        <w:t xml:space="preserve"> Therefore, t</w:t>
      </w:r>
      <w:r w:rsidRPr="00E06E9E">
        <w:rPr>
          <w:rFonts w:ascii="Times New Roman" w:eastAsia="Times New Roman" w:hAnsi="Times New Roman" w:cs="Times New Roman"/>
        </w:rPr>
        <w:t>o address these issues, respondents recommended fostering collaboration with FinTech startups, proactive regulatory engagement, incremental and phased implementation for smaller firms, and increased investment in digital infrastructure. Policy suggestions included simplifying regulations, offering targeted incentives for technology investment, and strengthening cybersecurity frameworks, in line with international best practices (Gomber et al., 2018; McKinsey &amp; Company, 2022).</w:t>
      </w:r>
      <w:r w:rsidRPr="00C27631">
        <w:rPr>
          <w:rFonts w:ascii="Times New Roman" w:eastAsia="Times New Roman" w:hAnsi="Times New Roman" w:cs="Times New Roman"/>
        </w:rPr>
        <w:t xml:space="preserve"> All in all, it was established that</w:t>
      </w:r>
      <w:r w:rsidRPr="00E06E9E">
        <w:rPr>
          <w:rFonts w:ascii="Times New Roman" w:eastAsia="Times New Roman" w:hAnsi="Times New Roman" w:cs="Times New Roman"/>
        </w:rPr>
        <w:t>, while FinTech adoption has driven notable improvements in operational efficiency and customer experience within Zambia’s insurance industry, persistent regulatory, infrastructural, and human capital challenges remain. Overcoming these will require coordinated action among industry stakeholders, government, and technology partners, with an emphasis on collaboration, regulatory clarity, capacity building, and infrastructure investment</w:t>
      </w:r>
      <w:r w:rsidRPr="00C27631">
        <w:rPr>
          <w:rFonts w:ascii="Times New Roman" w:eastAsia="Times New Roman" w:hAnsi="Times New Roman" w:cs="Times New Roman"/>
        </w:rPr>
        <w:t xml:space="preserve"> </w:t>
      </w:r>
      <w:r w:rsidRPr="00E06E9E">
        <w:rPr>
          <w:rFonts w:ascii="Times New Roman" w:eastAsia="Times New Roman" w:hAnsi="Times New Roman" w:cs="Times New Roman"/>
        </w:rPr>
        <w:t>providing a clear roadmap for accelerating digital transformation in Zambia’s insurance sector and similar emerging markets.</w:t>
      </w:r>
    </w:p>
    <w:p w14:paraId="1072A2DC" w14:textId="6956104F" w:rsidR="007543CE" w:rsidRPr="00C27631" w:rsidRDefault="007543CE" w:rsidP="00C27631">
      <w:pPr>
        <w:pStyle w:val="Heading1"/>
      </w:pPr>
      <w:r w:rsidRPr="00C27631">
        <w:lastRenderedPageBreak/>
        <w:t>6. Conclusion</w:t>
      </w:r>
      <w:bookmarkEnd w:id="14"/>
      <w:r w:rsidRPr="00C27631">
        <w:t xml:space="preserve"> </w:t>
      </w:r>
      <w:bookmarkEnd w:id="15"/>
    </w:p>
    <w:p w14:paraId="29AFB6B0" w14:textId="301279BA" w:rsidR="00102506" w:rsidRPr="00C27631" w:rsidRDefault="00102506" w:rsidP="00E06E9E">
      <w:pPr>
        <w:pStyle w:val="muitypography-root"/>
        <w:spacing w:line="276" w:lineRule="auto"/>
        <w:jc w:val="both"/>
        <w:rPr>
          <w:sz w:val="22"/>
          <w:szCs w:val="22"/>
        </w:rPr>
      </w:pPr>
      <w:r w:rsidRPr="00C27631">
        <w:rPr>
          <w:sz w:val="22"/>
          <w:szCs w:val="22"/>
        </w:rPr>
        <w:t>This study examined the adoption of FinTech within Zambia’s insurance industry, with a particular emphasis on its impact on operational efficiency, customer experience, and the specific challenges encountered by firms. The findings revealed that FinTech integration has notably enhanced both operational processes and customer service, especially in claims management, data handling, and client interactions. However, significant obstacles remain, including regulatory complexities, inadequate technological infrastructure, high implementation costs, and a lack of skilled professionals</w:t>
      </w:r>
      <w:r w:rsidR="00E06E9E" w:rsidRPr="00C27631">
        <w:rPr>
          <w:sz w:val="22"/>
          <w:szCs w:val="22"/>
        </w:rPr>
        <w:t xml:space="preserve"> </w:t>
      </w:r>
      <w:r w:rsidRPr="00C27631">
        <w:rPr>
          <w:sz w:val="22"/>
          <w:szCs w:val="22"/>
        </w:rPr>
        <w:t>challenges that are particularly pronounced among smaller insurers. To address these issues and facilitate broader FinTech adoption, the study recommends fostering partnerships with FinTech startups, engaging constructively with regulatory bodies, adopting incremental implementation strategies, investing in digital infrastructure, and prioritizing capacity building. From a policy standpoint, the research underscores the importance of streamlined and supportive regulatory frameworks, targeted incentives for technological advancement, and robust cybersecurity initiatives. These recommendations provide a practical guide for both insurers and policymakers seeking to accelerate digital transformation and enhance the competitive edge of Zambia’s insurance sector. The study also highlights the need for context-specific strategies and sets the stage for future research on FinTech adoption dynamics in emerging markets.</w:t>
      </w:r>
    </w:p>
    <w:p w14:paraId="50E7D042" w14:textId="7A984452" w:rsidR="00986DD5" w:rsidRPr="00C27631" w:rsidRDefault="00986DD5" w:rsidP="00C27631">
      <w:pPr>
        <w:pStyle w:val="Heading1"/>
      </w:pPr>
      <w:r w:rsidRPr="00C27631">
        <w:t xml:space="preserve">7. </w:t>
      </w:r>
      <w:r w:rsidR="006F4CEA" w:rsidRPr="00C27631">
        <w:t>Recommendations</w:t>
      </w:r>
    </w:p>
    <w:p w14:paraId="682D49FE" w14:textId="77777777" w:rsidR="00986DD5" w:rsidRPr="00C27631" w:rsidRDefault="00986DD5" w:rsidP="00E06E9E">
      <w:pPr>
        <w:spacing w:before="100" w:beforeAutospacing="1" w:after="100" w:afterAutospacing="1" w:line="276" w:lineRule="auto"/>
        <w:jc w:val="both"/>
        <w:rPr>
          <w:rFonts w:ascii="Times New Roman" w:eastAsia="Times New Roman" w:hAnsi="Times New Roman" w:cs="Times New Roman"/>
        </w:rPr>
      </w:pPr>
      <w:r w:rsidRPr="00C27631">
        <w:rPr>
          <w:rFonts w:ascii="Times New Roman" w:eastAsia="Times New Roman" w:hAnsi="Times New Roman" w:cs="Times New Roman"/>
        </w:rPr>
        <w:t>Therefore, to enhance FinTech adoption in Zambia’s insurance industry, it is recommended that insurance companies actively pursue partnerships with FinTech firms through joint ventures, incubator programs, and collaborative projects to leverage technological expertise and innovation. Regulatory bodies should work closely with industry stakeholders to establish clear, supportive regulations and consider creating regulatory sandboxes that allow for the safe testing of new technologies. Investment in technological infrastructure including improved internet connectivity, enhanced cybersecurity, and upgraded IT systems is essential, with collaboration between insurers and telecommunications providers to bridge the digital divide, especially in rural areas. Smaller insurance firms are advised to implement FinTech gradually and to invest in training and capacity-building programs to ensure effective integration. Finally, raising awareness and providing education about FinTech benefits to both consumers and insurance professionals is vital to demystify digital solutions and encourage broader adoption across the sector.</w:t>
      </w:r>
    </w:p>
    <w:p w14:paraId="2C7C8332" w14:textId="0FFC8D97" w:rsidR="00986DD5" w:rsidRPr="00C27631" w:rsidRDefault="00986DD5" w:rsidP="00E06E9E">
      <w:pPr>
        <w:spacing w:line="276" w:lineRule="auto"/>
        <w:jc w:val="both"/>
        <w:rPr>
          <w:rFonts w:ascii="Times New Roman" w:hAnsi="Times New Roman" w:cs="Times New Roman"/>
          <w:b/>
          <w:bCs/>
        </w:rPr>
      </w:pPr>
      <w:r w:rsidRPr="00C27631">
        <w:rPr>
          <w:rFonts w:ascii="Times New Roman" w:hAnsi="Times New Roman" w:cs="Times New Roman"/>
          <w:b/>
          <w:bCs/>
        </w:rPr>
        <w:t xml:space="preserve">8. </w:t>
      </w:r>
      <w:r w:rsidR="00C27631" w:rsidRPr="00C27631">
        <w:rPr>
          <w:rStyle w:val="Heading1Char"/>
          <w:rFonts w:eastAsiaTheme="minorHAnsi"/>
        </w:rPr>
        <w:t xml:space="preserve">Recommendations </w:t>
      </w:r>
      <w:r w:rsidR="00C27631">
        <w:rPr>
          <w:rStyle w:val="Heading1Char"/>
          <w:rFonts w:eastAsiaTheme="minorHAnsi"/>
        </w:rPr>
        <w:t>f</w:t>
      </w:r>
      <w:r w:rsidR="00C27631" w:rsidRPr="00C27631">
        <w:rPr>
          <w:rStyle w:val="Heading1Char"/>
          <w:rFonts w:eastAsiaTheme="minorHAnsi"/>
        </w:rPr>
        <w:t>or Further Studies</w:t>
      </w:r>
    </w:p>
    <w:p w14:paraId="3FC1DA8C" w14:textId="77777777" w:rsidR="00986DD5" w:rsidRPr="00C27631" w:rsidRDefault="00986DD5" w:rsidP="00E06E9E">
      <w:pPr>
        <w:spacing w:before="100" w:beforeAutospacing="1" w:after="100" w:afterAutospacing="1" w:line="276" w:lineRule="auto"/>
        <w:jc w:val="both"/>
        <w:rPr>
          <w:rFonts w:ascii="Times New Roman" w:eastAsia="Times New Roman" w:hAnsi="Times New Roman" w:cs="Times New Roman"/>
        </w:rPr>
      </w:pPr>
      <w:r w:rsidRPr="00C27631">
        <w:rPr>
          <w:rFonts w:ascii="Times New Roman" w:eastAsia="Times New Roman" w:hAnsi="Times New Roman" w:cs="Times New Roman"/>
        </w:rPr>
        <w:t>Future research should consider longitudinal studies to track how FinTech adoption evolves over time and its long-term effects on operational efficiency and customer experience, helping to identify industry trends and patterns. Comparative studies between Zambia and other developing countries are recommended to highlight best practices in FinTech adoption and regulation, offering valuable lessons for policy and strategy development. Further investigation into the impact of emerging technologies such as artificial intelligence, machine learning, and blockchain on the insurance sector is essential for understanding their potential role in digital transformation. Additionally, research focused on consumer perceptions and attitudes towards FinTech solutions would provide important insights into the factors driving adoption, enabling insurers to better tailor their products and improve customer experience.</w:t>
      </w:r>
    </w:p>
    <w:p w14:paraId="50350582" w14:textId="77777777" w:rsidR="00986DD5" w:rsidRPr="00C27631" w:rsidRDefault="00986DD5" w:rsidP="00E06E9E">
      <w:pPr>
        <w:spacing w:line="276" w:lineRule="auto"/>
        <w:jc w:val="both"/>
        <w:rPr>
          <w:rFonts w:ascii="Times New Roman" w:hAnsi="Times New Roman" w:cs="Times New Roman"/>
        </w:rPr>
      </w:pPr>
      <w:r w:rsidRPr="00C27631">
        <w:rPr>
          <w:rFonts w:ascii="Times New Roman" w:hAnsi="Times New Roman" w:cs="Times New Roman"/>
          <w:b/>
          <w:bCs/>
        </w:rPr>
        <w:lastRenderedPageBreak/>
        <w:t>Author Contributions</w:t>
      </w:r>
      <w:r w:rsidRPr="00C27631">
        <w:rPr>
          <w:rFonts w:ascii="Times New Roman" w:hAnsi="Times New Roman" w:cs="Times New Roman"/>
        </w:rPr>
        <w:t xml:space="preserve">: Conceptualization, methodology writing review and editing and analysis (Y.N). The author has decided to publish this version of the review article, Editing the article (Dr. M. C) </w:t>
      </w:r>
    </w:p>
    <w:p w14:paraId="1D212744" w14:textId="77777777" w:rsidR="00986DD5" w:rsidRPr="00C27631" w:rsidRDefault="00986DD5" w:rsidP="00E06E9E">
      <w:pPr>
        <w:spacing w:line="276" w:lineRule="auto"/>
        <w:jc w:val="both"/>
        <w:rPr>
          <w:rFonts w:ascii="Times New Roman" w:hAnsi="Times New Roman" w:cs="Times New Roman"/>
        </w:rPr>
      </w:pPr>
      <w:r w:rsidRPr="00C27631">
        <w:rPr>
          <w:rFonts w:ascii="Times New Roman" w:hAnsi="Times New Roman" w:cs="Times New Roman"/>
          <w:b/>
          <w:bCs/>
        </w:rPr>
        <w:t>Funding</w:t>
      </w:r>
      <w:r w:rsidRPr="00C27631">
        <w:rPr>
          <w:rFonts w:ascii="Times New Roman" w:hAnsi="Times New Roman" w:cs="Times New Roman"/>
        </w:rPr>
        <w:t>: Funding for this research was not provided. The authors have no other relevant affiliations or financial involvement with any organization or entity with a financial interest in or financial conflict with the subject matter or materials discussed in the manuscript apart from those disclosed. No writing assistance was utilized in the production of this manuscript.</w:t>
      </w:r>
    </w:p>
    <w:p w14:paraId="1BEC29C8" w14:textId="77777777" w:rsidR="00986DD5" w:rsidRPr="00C27631" w:rsidRDefault="00986DD5" w:rsidP="00E06E9E">
      <w:pPr>
        <w:spacing w:line="276" w:lineRule="auto"/>
        <w:jc w:val="both"/>
        <w:rPr>
          <w:rFonts w:ascii="Times New Roman" w:hAnsi="Times New Roman" w:cs="Times New Roman"/>
        </w:rPr>
      </w:pPr>
      <w:r w:rsidRPr="00C27631">
        <w:rPr>
          <w:rFonts w:ascii="Times New Roman" w:hAnsi="Times New Roman" w:cs="Times New Roman"/>
          <w:b/>
          <w:bCs/>
        </w:rPr>
        <w:t>Institutional Review Board Statement</w:t>
      </w:r>
      <w:r w:rsidRPr="00C27631">
        <w:rPr>
          <w:rFonts w:ascii="Times New Roman" w:hAnsi="Times New Roman" w:cs="Times New Roman"/>
        </w:rPr>
        <w:t>: This study was approved by the University of Zambia Humanities and Social Sciences Ethics Committee.</w:t>
      </w:r>
    </w:p>
    <w:p w14:paraId="4E0B9B79" w14:textId="77777777" w:rsidR="00986DD5" w:rsidRPr="00C27631" w:rsidRDefault="00986DD5" w:rsidP="00E06E9E">
      <w:pPr>
        <w:spacing w:line="276" w:lineRule="auto"/>
        <w:jc w:val="both"/>
        <w:rPr>
          <w:rFonts w:ascii="Times New Roman" w:hAnsi="Times New Roman" w:cs="Times New Roman"/>
        </w:rPr>
      </w:pPr>
      <w:r w:rsidRPr="00C27631">
        <w:rPr>
          <w:rFonts w:ascii="Times New Roman" w:hAnsi="Times New Roman" w:cs="Times New Roman"/>
          <w:b/>
          <w:bCs/>
        </w:rPr>
        <w:t>Informed Consent Statement</w:t>
      </w:r>
      <w:r w:rsidRPr="00C27631">
        <w:rPr>
          <w:rFonts w:ascii="Times New Roman" w:hAnsi="Times New Roman" w:cs="Times New Roman"/>
        </w:rPr>
        <w:t>: Not applicable.</w:t>
      </w:r>
    </w:p>
    <w:p w14:paraId="2E58452E" w14:textId="77777777" w:rsidR="00986DD5" w:rsidRPr="00C27631" w:rsidRDefault="00986DD5" w:rsidP="00E06E9E">
      <w:pPr>
        <w:spacing w:line="276" w:lineRule="auto"/>
        <w:jc w:val="both"/>
        <w:rPr>
          <w:rFonts w:ascii="Times New Roman" w:hAnsi="Times New Roman" w:cs="Times New Roman"/>
        </w:rPr>
      </w:pPr>
      <w:r w:rsidRPr="00C27631">
        <w:rPr>
          <w:rFonts w:ascii="Times New Roman" w:hAnsi="Times New Roman" w:cs="Times New Roman"/>
          <w:b/>
          <w:bCs/>
        </w:rPr>
        <w:t>Data Availability Statement:</w:t>
      </w:r>
      <w:r w:rsidRPr="00C27631">
        <w:rPr>
          <w:rFonts w:ascii="Times New Roman" w:hAnsi="Times New Roman" w:cs="Times New Roman"/>
        </w:rPr>
        <w:t xml:space="preserve"> The datasets used during the current study are available from the corresponding author on rational request.</w:t>
      </w:r>
    </w:p>
    <w:p w14:paraId="0B62AF7C" w14:textId="77777777" w:rsidR="00986DD5" w:rsidRPr="00C27631" w:rsidRDefault="00986DD5" w:rsidP="00E06E9E">
      <w:pPr>
        <w:spacing w:before="100" w:beforeAutospacing="1" w:after="100" w:afterAutospacing="1" w:line="276" w:lineRule="auto"/>
        <w:jc w:val="both"/>
        <w:rPr>
          <w:rFonts w:ascii="Times New Roman" w:eastAsia="Times New Roman" w:hAnsi="Times New Roman" w:cs="Times New Roman"/>
        </w:rPr>
      </w:pPr>
      <w:r w:rsidRPr="00C27631">
        <w:rPr>
          <w:rFonts w:ascii="Times New Roman" w:eastAsia="Times New Roman" w:hAnsi="Times New Roman" w:cs="Times New Roman"/>
          <w:b/>
          <w:bCs/>
        </w:rPr>
        <w:t>Acknowledgements</w:t>
      </w:r>
      <w:r w:rsidRPr="00C27631">
        <w:rPr>
          <w:rFonts w:ascii="Times New Roman" w:eastAsia="Times New Roman" w:hAnsi="Times New Roman" w:cs="Times New Roman"/>
        </w:rPr>
        <w:t xml:space="preserve">: </w:t>
      </w:r>
      <w:bookmarkStart w:id="16" w:name="_Hlk198381131"/>
      <w:r w:rsidRPr="00C27631">
        <w:rPr>
          <w:rFonts w:ascii="Times New Roman" w:eastAsia="Times New Roman" w:hAnsi="Times New Roman" w:cs="Times New Roman"/>
        </w:rPr>
        <w:t xml:space="preserve">Firstly, I would like to give all the glory to God for making it possible for me to undertake my studies. </w:t>
      </w:r>
      <w:bookmarkEnd w:id="16"/>
      <w:r w:rsidRPr="00C27631">
        <w:rPr>
          <w:rFonts w:ascii="Times New Roman" w:eastAsia="Times New Roman" w:hAnsi="Times New Roman" w:cs="Times New Roman"/>
        </w:rPr>
        <w:t xml:space="preserve"> Secondly, I extend my sincere gratitude to my family my parents for their steadfast and unwavering support. I also acknowledge the invaluable mentorship and contributions of Dr. Martin Chasha and Mr. Raphael Mukosha, whose guidance enriched this journey immensely.</w:t>
      </w:r>
    </w:p>
    <w:p w14:paraId="63F2DD3E" w14:textId="77777777" w:rsidR="00986DD5" w:rsidRPr="00C27631" w:rsidRDefault="00986DD5" w:rsidP="00E06E9E">
      <w:pPr>
        <w:spacing w:line="276" w:lineRule="auto"/>
        <w:jc w:val="both"/>
        <w:rPr>
          <w:rFonts w:ascii="Times New Roman" w:hAnsi="Times New Roman" w:cs="Times New Roman"/>
        </w:rPr>
      </w:pPr>
      <w:r w:rsidRPr="00C27631">
        <w:rPr>
          <w:rFonts w:ascii="Times New Roman" w:hAnsi="Times New Roman" w:cs="Times New Roman"/>
          <w:b/>
          <w:bCs/>
        </w:rPr>
        <w:t>Conflicts of Interest</w:t>
      </w:r>
      <w:r w:rsidRPr="00C27631">
        <w:rPr>
          <w:rFonts w:ascii="Times New Roman" w:hAnsi="Times New Roman" w:cs="Times New Roman"/>
        </w:rPr>
        <w:t>: The authors declare no conflict of interest.</w:t>
      </w:r>
    </w:p>
    <w:p w14:paraId="771E9260" w14:textId="77777777" w:rsidR="00986DD5" w:rsidRPr="00C27631" w:rsidRDefault="00986DD5" w:rsidP="00986DD5">
      <w:pPr>
        <w:spacing w:line="276" w:lineRule="auto"/>
        <w:jc w:val="both"/>
        <w:rPr>
          <w:rFonts w:ascii="Times New Roman" w:hAnsi="Times New Roman" w:cs="Times New Roman"/>
        </w:rPr>
      </w:pPr>
    </w:p>
    <w:p w14:paraId="6AE25A91" w14:textId="3765570B" w:rsidR="00986DD5" w:rsidRPr="00C27631" w:rsidRDefault="00986DD5" w:rsidP="00986DD5">
      <w:pPr>
        <w:spacing w:line="276" w:lineRule="auto"/>
        <w:jc w:val="both"/>
        <w:rPr>
          <w:rFonts w:ascii="Times New Roman" w:hAnsi="Times New Roman" w:cs="Times New Roman"/>
        </w:rPr>
      </w:pPr>
    </w:p>
    <w:p w14:paraId="45C90136" w14:textId="4B4041A5" w:rsidR="00C27631" w:rsidRPr="00C27631" w:rsidRDefault="00C27631" w:rsidP="00986DD5">
      <w:pPr>
        <w:spacing w:line="276" w:lineRule="auto"/>
        <w:jc w:val="both"/>
        <w:rPr>
          <w:rFonts w:ascii="Times New Roman" w:hAnsi="Times New Roman" w:cs="Times New Roman"/>
        </w:rPr>
      </w:pPr>
    </w:p>
    <w:p w14:paraId="7B23264A" w14:textId="031B52DD" w:rsidR="00C27631" w:rsidRPr="00C27631" w:rsidRDefault="00C27631" w:rsidP="00986DD5">
      <w:pPr>
        <w:spacing w:line="276" w:lineRule="auto"/>
        <w:jc w:val="both"/>
        <w:rPr>
          <w:rFonts w:ascii="Times New Roman" w:hAnsi="Times New Roman" w:cs="Times New Roman"/>
        </w:rPr>
      </w:pPr>
    </w:p>
    <w:p w14:paraId="4A46A640" w14:textId="4A25F318" w:rsidR="00C27631" w:rsidRPr="00C27631" w:rsidRDefault="00C27631" w:rsidP="00986DD5">
      <w:pPr>
        <w:spacing w:line="276" w:lineRule="auto"/>
        <w:jc w:val="both"/>
        <w:rPr>
          <w:rFonts w:ascii="Times New Roman" w:hAnsi="Times New Roman" w:cs="Times New Roman"/>
        </w:rPr>
      </w:pPr>
    </w:p>
    <w:p w14:paraId="2CEBB1FE" w14:textId="3780EEEA" w:rsidR="00C27631" w:rsidRPr="00C27631" w:rsidRDefault="00C27631" w:rsidP="00986DD5">
      <w:pPr>
        <w:spacing w:line="276" w:lineRule="auto"/>
        <w:jc w:val="both"/>
        <w:rPr>
          <w:rFonts w:ascii="Times New Roman" w:hAnsi="Times New Roman" w:cs="Times New Roman"/>
        </w:rPr>
      </w:pPr>
    </w:p>
    <w:p w14:paraId="685A5D2C" w14:textId="58DA4DE7" w:rsidR="00C27631" w:rsidRPr="00C27631" w:rsidRDefault="00C27631" w:rsidP="00986DD5">
      <w:pPr>
        <w:spacing w:line="276" w:lineRule="auto"/>
        <w:jc w:val="both"/>
        <w:rPr>
          <w:rFonts w:ascii="Times New Roman" w:hAnsi="Times New Roman" w:cs="Times New Roman"/>
        </w:rPr>
      </w:pPr>
    </w:p>
    <w:p w14:paraId="49EB75C7" w14:textId="1CBCFCFA" w:rsidR="00C27631" w:rsidRPr="00C27631" w:rsidRDefault="00C27631" w:rsidP="00986DD5">
      <w:pPr>
        <w:spacing w:line="276" w:lineRule="auto"/>
        <w:jc w:val="both"/>
        <w:rPr>
          <w:rFonts w:ascii="Times New Roman" w:hAnsi="Times New Roman" w:cs="Times New Roman"/>
        </w:rPr>
      </w:pPr>
    </w:p>
    <w:p w14:paraId="1941C8E2" w14:textId="2D72DD5F" w:rsidR="00C27631" w:rsidRPr="00C27631" w:rsidRDefault="00C27631" w:rsidP="00986DD5">
      <w:pPr>
        <w:spacing w:line="276" w:lineRule="auto"/>
        <w:jc w:val="both"/>
        <w:rPr>
          <w:rFonts w:ascii="Times New Roman" w:hAnsi="Times New Roman" w:cs="Times New Roman"/>
        </w:rPr>
      </w:pPr>
    </w:p>
    <w:p w14:paraId="2AA35A42" w14:textId="5BFD98D3" w:rsidR="00C27631" w:rsidRPr="00C27631" w:rsidRDefault="00C27631" w:rsidP="00986DD5">
      <w:pPr>
        <w:spacing w:line="276" w:lineRule="auto"/>
        <w:jc w:val="both"/>
        <w:rPr>
          <w:rFonts w:ascii="Times New Roman" w:hAnsi="Times New Roman" w:cs="Times New Roman"/>
        </w:rPr>
      </w:pPr>
    </w:p>
    <w:p w14:paraId="2ADCAF25" w14:textId="3ADB7A7D" w:rsidR="00C27631" w:rsidRPr="00C27631" w:rsidRDefault="00C27631" w:rsidP="00986DD5">
      <w:pPr>
        <w:spacing w:line="276" w:lineRule="auto"/>
        <w:jc w:val="both"/>
        <w:rPr>
          <w:rFonts w:ascii="Times New Roman" w:hAnsi="Times New Roman" w:cs="Times New Roman"/>
        </w:rPr>
      </w:pPr>
    </w:p>
    <w:p w14:paraId="10F6D2CC" w14:textId="2508387F" w:rsidR="00C27631" w:rsidRPr="00C27631" w:rsidRDefault="00C27631" w:rsidP="00986DD5">
      <w:pPr>
        <w:spacing w:line="276" w:lineRule="auto"/>
        <w:jc w:val="both"/>
        <w:rPr>
          <w:rFonts w:ascii="Times New Roman" w:hAnsi="Times New Roman" w:cs="Times New Roman"/>
        </w:rPr>
      </w:pPr>
    </w:p>
    <w:p w14:paraId="476C2E36" w14:textId="43D67DA6" w:rsidR="00C27631" w:rsidRPr="00C27631" w:rsidRDefault="00C27631" w:rsidP="00986DD5">
      <w:pPr>
        <w:spacing w:line="276" w:lineRule="auto"/>
        <w:jc w:val="both"/>
        <w:rPr>
          <w:rFonts w:ascii="Times New Roman" w:hAnsi="Times New Roman" w:cs="Times New Roman"/>
        </w:rPr>
      </w:pPr>
    </w:p>
    <w:p w14:paraId="169F24DF" w14:textId="1A1807FD" w:rsidR="00C27631" w:rsidRPr="00C27631" w:rsidRDefault="00C27631" w:rsidP="00986DD5">
      <w:pPr>
        <w:spacing w:line="276" w:lineRule="auto"/>
        <w:jc w:val="both"/>
        <w:rPr>
          <w:rFonts w:ascii="Times New Roman" w:hAnsi="Times New Roman" w:cs="Times New Roman"/>
        </w:rPr>
      </w:pPr>
    </w:p>
    <w:p w14:paraId="26F73C78" w14:textId="120B53F4" w:rsidR="00C27631" w:rsidRPr="00C27631" w:rsidRDefault="00C27631" w:rsidP="00986DD5">
      <w:pPr>
        <w:spacing w:line="276" w:lineRule="auto"/>
        <w:jc w:val="both"/>
        <w:rPr>
          <w:rFonts w:ascii="Times New Roman" w:hAnsi="Times New Roman" w:cs="Times New Roman"/>
        </w:rPr>
      </w:pPr>
    </w:p>
    <w:p w14:paraId="57A07348" w14:textId="7936E949" w:rsidR="00C27631" w:rsidRPr="00C27631" w:rsidRDefault="00C27631" w:rsidP="00986DD5">
      <w:pPr>
        <w:spacing w:line="276" w:lineRule="auto"/>
        <w:jc w:val="both"/>
        <w:rPr>
          <w:rFonts w:ascii="Times New Roman" w:hAnsi="Times New Roman" w:cs="Times New Roman"/>
        </w:rPr>
      </w:pPr>
    </w:p>
    <w:p w14:paraId="4AA08769" w14:textId="5DD3D97C" w:rsidR="00C27631" w:rsidRPr="00C27631" w:rsidRDefault="00C27631" w:rsidP="00986DD5">
      <w:pPr>
        <w:spacing w:line="276" w:lineRule="auto"/>
        <w:jc w:val="both"/>
        <w:rPr>
          <w:rFonts w:ascii="Times New Roman" w:hAnsi="Times New Roman" w:cs="Times New Roman"/>
        </w:rPr>
      </w:pPr>
    </w:p>
    <w:p w14:paraId="234B4A42" w14:textId="77777777" w:rsidR="00C27631" w:rsidRPr="00C27631" w:rsidRDefault="00C27631" w:rsidP="00986DD5">
      <w:pPr>
        <w:spacing w:line="276" w:lineRule="auto"/>
        <w:jc w:val="both"/>
        <w:rPr>
          <w:rFonts w:ascii="Times New Roman" w:hAnsi="Times New Roman" w:cs="Times New Roman"/>
        </w:rPr>
      </w:pPr>
    </w:p>
    <w:p w14:paraId="12A905C7" w14:textId="77777777" w:rsidR="00986DD5" w:rsidRPr="00C27631" w:rsidRDefault="00986DD5" w:rsidP="00986DD5">
      <w:pPr>
        <w:pStyle w:val="Heading1"/>
        <w:rPr>
          <w:rFonts w:cs="Times New Roman"/>
        </w:rPr>
      </w:pPr>
      <w:bookmarkStart w:id="17" w:name="_Toc203476729"/>
      <w:r w:rsidRPr="00C27631">
        <w:rPr>
          <w:rFonts w:cs="Times New Roman"/>
        </w:rPr>
        <w:t>REFERENCES</w:t>
      </w:r>
      <w:bookmarkEnd w:id="17"/>
    </w:p>
    <w:p w14:paraId="794F62E7"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Accenture (2023) Managing Cybersecurity Risks in the Digital Insurance Landscape. Accenture Security Insights.</w:t>
      </w:r>
    </w:p>
    <w:p w14:paraId="75924049"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African Insurance Organization (2022) Partnerships in African Insurance: Collaborating with FinTechs for Innovation. AIO Report.</w:t>
      </w:r>
    </w:p>
    <w:p w14:paraId="06B920D7"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Al-Jabri, I.M. &amp; Sohail, M.S. (2012) ‘Mobile banking adoption: Application of diffusion of innovation theory’, Journal of Electronic Commerce Research, 13(4), pp. 379–391.</w:t>
      </w:r>
    </w:p>
    <w:p w14:paraId="072D9660"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Arner, D.W., Barberis, J.N. &amp; Buckley, R.P. (2016) ‘The Evolution of FinTech: A New Post-Crisis Paradigm?’, Georgetown Journal of International Law, 47(4), pp. 1271-1319.</w:t>
      </w:r>
    </w:p>
    <w:p w14:paraId="7AEE922D"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Baker, T. (2023) ‘The Digital Shift in Insurance: Understanding Consumer Preferences’, Journal of Insurance Technology, 8(4), pp. 65-78.</w:t>
      </w:r>
    </w:p>
    <w:p w14:paraId="2D6AB61E"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Bank of Zambia (2023) FinTech Regulatory Sandbox Framework. Lusaka: Bank of Zambia.</w:t>
      </w:r>
    </w:p>
    <w:p w14:paraId="71D97AC8"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Bank of Zambia (2023) FinTech and Regulation: Challenges for the Insurance Sector. BoZ Policy Brief.</w:t>
      </w:r>
    </w:p>
    <w:p w14:paraId="3F483B59"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Bank of Zambia (2023) Regulatory Sandboxes: A New Approach to Testing Financial Innovations. BoZ FinTech Brief.</w:t>
      </w:r>
    </w:p>
    <w:p w14:paraId="5119A65D"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Barney, J. (1991) ‘Firm resources and sustained competitive advantage’, Journal of Management, 17(1), pp. 99-120.</w:t>
      </w:r>
    </w:p>
    <w:p w14:paraId="6010203D"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Bharadwaj, A., El Sawy, O.A., Pavlou, P.A. &amp; Venkatraman, N. (2013) ‘Digital business strategy: Toward a next generation of insights’, MIS Quarterly, 37(2), pp. 471-482.</w:t>
      </w:r>
    </w:p>
    <w:p w14:paraId="65B1B7EC"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Biener, C., Eling, M. &amp; Wirfs, J.H. (2015) ‘InsurTech: Drivers and Challenges for Digital Insurance’, The Geneva Papers on Risk and Insurance – Issues and Practice, 44, pp. 1-24.</w:t>
      </w:r>
    </w:p>
    <w:p w14:paraId="6DE9CAEC"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Braun, V. &amp; Clarke, V. (2006) ‘Using thematic analysis in psychology’, Qualitative Research in Psychology, 3(2), pp. 77-101.</w:t>
      </w:r>
    </w:p>
    <w:p w14:paraId="3D1AB90B"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Bryman, A. (2016) Social Research Methods (5th ed.). Oxford: Oxford University Press.</w:t>
      </w:r>
    </w:p>
    <w:p w14:paraId="4539B7D5"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Capgemini (2023) World InsurTech Report 2023. Capgemini.</w:t>
      </w:r>
    </w:p>
    <w:p w14:paraId="524E423D"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CGAP (2023) Engaging Regulators for FinTech Success in Emerging Markets. Consultative Group to Assist the Poor Report.</w:t>
      </w:r>
    </w:p>
    <w:p w14:paraId="1F501287"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Chowa, G.A.N., Ansong, D., Masa, R.D., Osei-Akoto, I., Despard, M. &amp; Sherraden, M. (2020) ‘Emerging Markets and the Adoption of Financial Technology in Africa’, International Journal of Financial Studies, 8(3), pp. 45-59.</w:t>
      </w:r>
    </w:p>
    <w:p w14:paraId="5DE37BE4"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lastRenderedPageBreak/>
        <w:t>Creswell, J.W. (2014) Research Design: Qualitative, Quantitative, and Mixed Methods Approaches (4th ed.). Thousand Oaks, CA: SAGE Publications.</w:t>
      </w:r>
    </w:p>
    <w:p w14:paraId="7B14B22A"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Creswell, J.W. &amp; Plano Clark, V.L. (2017) Designing and Conducting Mixed Methods Research (3rd ed.). Thousand Oaks, CA: SAGE Publications.</w:t>
      </w:r>
    </w:p>
    <w:p w14:paraId="6403FB61"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Davis, F.D. (1989) ‘Perceived usefulness, perceived ease of use, and user acceptance of information technology’, MIS Quarterly, 13(3), pp. 319–340.</w:t>
      </w:r>
    </w:p>
    <w:p w14:paraId="07CF977A"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Deloitte (2021) The Future of Insurance: Driving Innovation through Digital Technologies. Deloitte Insights.</w:t>
      </w:r>
    </w:p>
    <w:p w14:paraId="41F2D1A0"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Deloitte (2022) The Changing Face of Insurance: How Digital Trends Are Shaping the Industry. Deloitte Insights.</w:t>
      </w:r>
    </w:p>
    <w:p w14:paraId="1B60CAB5"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Deloitte (2022) 2022 Insurance Industry Outlook: Accelerating Transformation. Deloitte Insights.</w:t>
      </w:r>
    </w:p>
    <w:p w14:paraId="6B4D4496"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Demirgüç-Kunt, A., Klapper, L., Singer, D., Ansar, S. &amp; Hess, J. (2022) The Global Findex Database 2021: Financial Inclusion, Digital Payments, and Resilience in the Age of COVID-19. Washington, DC: World Bank.</w:t>
      </w:r>
    </w:p>
    <w:p w14:paraId="0E4D2F99"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Eling, M. &amp; Lehmann, M. (2018) ‘The Impact of Digitalization on the Insurance Value Chain and the Insurability of Risks’, The Geneva Papers on Risk and Insurance – Issues and Practice, 43(3), pp. 359-396.</w:t>
      </w:r>
    </w:p>
    <w:p w14:paraId="4227B2DC"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Financial Conduct Authority (2023) Regulatory Compliance Challenges in the Age of FinTech. London: FCA.</w:t>
      </w:r>
    </w:p>
    <w:p w14:paraId="08057732"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Financial Stability Board (2019) Regulatory Sandboxes: Innovative Regulation in a Digital World. FSB Report.</w:t>
      </w:r>
    </w:p>
    <w:p w14:paraId="54BA6166"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Gao, S.S. &amp; Gurd, B. (2019) ‘Regulatory sandboxes: A means to foster innovation in the financial sector?’, Accounting &amp; Finance, 59(2), pp. 1465-1485.</w:t>
      </w:r>
    </w:p>
    <w:p w14:paraId="0D3774A7"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Gartner (2023) Mitigating Technological Dependence Risks in Digital Insurance. Gartner Industry Insights.</w:t>
      </w:r>
    </w:p>
    <w:p w14:paraId="2382E20B"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Gomber, P., Kauffman, R.J., Parker, C. &amp; Weber, B.W. (2018) ‘On the Fintech Revolution: Interpreting the Forces of Innovation, Disruption, and Transformation in Financial Services’, Journal of Management Information Systems, 35(1), pp. 220-265.</w:t>
      </w:r>
    </w:p>
    <w:p w14:paraId="6F267C63"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Guest, G., Bunce, A. &amp; Johnson, L. (2006) ‘How many interviews are enough?’, Field Methods, 18(1), pp. 59-82.</w:t>
      </w:r>
    </w:p>
    <w:p w14:paraId="327ECB3E"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Harper, D. (2017) History of Insurance: From Babylon to Lloyd’s of London. Abingdon: Routledge.</w:t>
      </w:r>
    </w:p>
    <w:p w14:paraId="4547C4F1"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International Finance Corporation (2023) Customer Education and FinTech Adoption in Developing Markets. IFC FinTech Series.</w:t>
      </w:r>
    </w:p>
    <w:p w14:paraId="6D5B2CF6"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International Finance Corporation (2023) The Role of Digital Infrastructure in Insurance FinTech Adoption. IFC Technology Report.</w:t>
      </w:r>
    </w:p>
    <w:p w14:paraId="5DD8CA48"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Kanyembo, N., et al. (2020) ‘Fintech Adoption in Zambia’s Insurance Sector’, African Journal of Information Systems, 12(3).</w:t>
      </w:r>
    </w:p>
    <w:p w14:paraId="60D5222B"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lastRenderedPageBreak/>
        <w:t>KPMG (2019) Regulatory Challenges and Opportunities in FinTech. KPMG Financial Services Analysis.</w:t>
      </w:r>
    </w:p>
    <w:p w14:paraId="6B8CA8AE"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KPMG (2019) Africa Insurance Outlook. KPMG.</w:t>
      </w:r>
    </w:p>
    <w:p w14:paraId="0E300BFB"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KPMG (2023) Responding to InsurTech Competition: Strategies for Traditional Insurers. KPMG Global Insurance Report.</w:t>
      </w:r>
    </w:p>
    <w:p w14:paraId="64485DE5"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Maghanga, M., et al. (2021) ‘Fintech Adoption in Kenya’s Insurance Industry’, African Review of Economics and Finance, 13(1).</w:t>
      </w:r>
    </w:p>
    <w:p w14:paraId="4746FF7F"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McKinsey &amp; Company (2022) Technology Risks in Insurance: Navigating System Failures and Vendor Dependencies. McKinsey Insights.</w:t>
      </w:r>
    </w:p>
    <w:p w14:paraId="09C474CB"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McKinsey &amp; Company (2022) Digital and AI Adoption in Insurance. McKinsey Insights.</w:t>
      </w:r>
    </w:p>
    <w:p w14:paraId="50C1586D"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Moonga, M. &amp; Katongo, T. (2019) ‘Mobile Insurance Adoption in Zambia’, Zambia Social Science Journal, 7(2).</w:t>
      </w:r>
    </w:p>
    <w:p w14:paraId="246A2EC8"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Mothobi, O. &amp; Grzybowski, L. (2017) ‘Infrastructure deficiencies and adoption of mobile money in sub-Saharan Africa’, Information Economics and Policy, 40, pp. 71-79.</w:t>
      </w:r>
    </w:p>
    <w:p w14:paraId="189178B0"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Mutanga, P., et al. (2019) ‘The Effect of FinTech Adoption on Financial Inclusion in Zambia’, African Journal of Finance and Management, 28(2), pp. 88-102.</w:t>
      </w:r>
    </w:p>
    <w:p w14:paraId="1FCFBD19"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Outreville, J.F. (2013) ‘The Relationship Between Insurance and Economic Development: 85 Empirical Papers for a Review of the Literature’, Risk Management and Insurance Review, 16(1), pp. 71-122.</w:t>
      </w:r>
    </w:p>
    <w:p w14:paraId="7F9634A8"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Patton, M.Q. (2015) Qualitative Research &amp; Evaluation Methods (4th ed.). Thousand Oaks, CA: SAGE Publications.</w:t>
      </w:r>
    </w:p>
    <w:p w14:paraId="406F034C"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Pensions and Insurance Authority (PIA) (2023) Regulatory Encouragement for Digital Insurance Solutions. Lusaka: PIA.</w:t>
      </w:r>
    </w:p>
    <w:p w14:paraId="7DDE5498"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Philippon, T. (2016) ‘The FinTech Opportunity’, NBER Working Paper No. 22476.</w:t>
      </w:r>
    </w:p>
    <w:p w14:paraId="55605131"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PwC (2020) Blockchain in Insurance: How the Industry is Benefiting from Distributed Ledger Technology. PwC Technology Report.</w:t>
      </w:r>
    </w:p>
    <w:p w14:paraId="6B1795F2"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PwC (2022) Africa Insurance Industry Report 2022. PricewaterhouseCoopers.</w:t>
      </w:r>
    </w:p>
    <w:p w14:paraId="02E05A41"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PwC (2023) Automation and Digitalization in Insurance: Pathways to Cost Reduction. PwC Global Insurance Survey.</w:t>
      </w:r>
    </w:p>
    <w:p w14:paraId="73F33478"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PwC (2023) The Effect of FinTech on Insurance Market Competition. PwC FinTech Series.</w:t>
      </w:r>
    </w:p>
    <w:p w14:paraId="5430DD06"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Saunders, M., Lewis, P. &amp; Thornhill, A. (2019) Research Methods for Business Students (8th ed.). Harlow: Pearson Education.</w:t>
      </w:r>
    </w:p>
    <w:p w14:paraId="719C22A4"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Schenck, M. (2021) ‘InsurTech: A Catalyst for Disruption in Insurance’, Journal of Insurance Regulation, 40(5), pp. 1-29.</w:t>
      </w:r>
    </w:p>
    <w:p w14:paraId="0DE9EA43"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Schmidt, A. &amp; Drews, P. (2017) ‘Digitalization of the Insurance Industry: A Review and Research Agenda’, Proceedings of the 25th European Conference on Information Systems (ECIS).</w:t>
      </w:r>
    </w:p>
    <w:p w14:paraId="61CCC968"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lastRenderedPageBreak/>
        <w:t>Sia, S.K., Soh, C. &amp; Weill, P. (2016) ‘How DBS Bank Pursued a Digital Business Strategy’, MIS Quarterly Executive, 15(2), pp. 105–121.</w:t>
      </w:r>
    </w:p>
    <w:p w14:paraId="0857760C"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Standaert, W., Muylle, S. &amp; Basu, A. (2021) ‘Business value of cloud adoption: A systematics review and meta-analysis’, Journal of the Association for Information Systems, 22(6), pp. 1460-1492.</w:t>
      </w:r>
    </w:p>
    <w:p w14:paraId="1E5866FB"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Sun, S., Chang, Y. &amp; Lee, P. (2021) ‘A Review of Artificial Intelligence Applications in Insurance’, Computers &amp; Industrial Engineering, 153, 107084.</w:t>
      </w:r>
    </w:p>
    <w:p w14:paraId="40735CA3"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Techzim (2023) Cost Implications of FinTech in Insurance: Challenges for Developing Markets. Techzim Analysis.</w:t>
      </w:r>
    </w:p>
    <w:p w14:paraId="24B5AE8F"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Venkatesh, V. &amp; Bala, H. (2008) ‘Technology Acceptance Model 3 and a Research Agenda on Interventions’, Decision Sciences, 39(2), pp. 273–315.</w:t>
      </w:r>
    </w:p>
    <w:p w14:paraId="68F67984"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Vives, X. (2017) ‘The Impact of Fintech on Banking’, European Economy, 2, pp. 97-105.</w:t>
      </w:r>
    </w:p>
    <w:p w14:paraId="52A0A76D"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Wade, M. &amp; Hulland, J. (2004) ‘The resource-based view and information systems research: Review, extension, and suggestions for future research’, MIS Quarterly, 28(1), pp. 107–142.</w:t>
      </w:r>
    </w:p>
    <w:p w14:paraId="7843DEB4"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Wernerfelt, B. (1984) ‘A resource-based view of the firm’, Strategic Management Journal, 5(2), pp. 171–180.</w:t>
      </w:r>
    </w:p>
    <w:p w14:paraId="5EC3A4FC"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World Bank (2022) Zambia’s National Financial Inclusion Strategy: Progress and Challenges. Washington, DC: World Bank Group.</w:t>
      </w:r>
    </w:p>
    <w:p w14:paraId="129D52A8"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World Bank (2023) Building Trust in Digital Insurance: Strategies for Customer Engagement. World Bank Digital Finance Report.</w:t>
      </w:r>
    </w:p>
    <w:p w14:paraId="3878BB37"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World Economic Forum (2018) The Role of Financial Services in Society: Understanding the Effect of Technology on Insurance. World Economic Forum White Paper.</w:t>
      </w:r>
    </w:p>
    <w:p w14:paraId="0AB31210" w14:textId="77777777" w:rsidR="00986DD5" w:rsidRPr="00C27631" w:rsidRDefault="00986DD5" w:rsidP="00986DD5">
      <w:pPr>
        <w:spacing w:line="276" w:lineRule="auto"/>
        <w:jc w:val="both"/>
        <w:rPr>
          <w:rFonts w:ascii="Times New Roman" w:eastAsia="Times New Roman" w:hAnsi="Times New Roman" w:cs="Times New Roman"/>
          <w:lang w:val="en-GB" w:eastAsia="en-GB"/>
        </w:rPr>
      </w:pPr>
      <w:r w:rsidRPr="00C27631">
        <w:rPr>
          <w:rFonts w:ascii="Times New Roman" w:eastAsia="Times New Roman" w:hAnsi="Times New Roman" w:cs="Times New Roman"/>
          <w:lang w:val="en-GB" w:eastAsia="en-GB"/>
        </w:rPr>
        <w:t>Zambia Information and Communications Technology Authority (2022) Annual Report 2022.</w:t>
      </w:r>
    </w:p>
    <w:p w14:paraId="12C8A491" w14:textId="77777777" w:rsidR="00986DD5" w:rsidRPr="00C27631" w:rsidRDefault="00986DD5" w:rsidP="00986DD5">
      <w:pPr>
        <w:spacing w:line="276" w:lineRule="auto"/>
        <w:jc w:val="both"/>
        <w:rPr>
          <w:rFonts w:ascii="Times New Roman" w:hAnsi="Times New Roman" w:cs="Times New Roman"/>
        </w:rPr>
      </w:pPr>
      <w:r w:rsidRPr="00C27631">
        <w:rPr>
          <w:rFonts w:ascii="Times New Roman" w:eastAsia="Times New Roman" w:hAnsi="Times New Roman" w:cs="Times New Roman"/>
          <w:lang w:val="en-GB" w:eastAsia="en-GB"/>
        </w:rPr>
        <w:t>Zetzsche, D.A., Buckley, R.P., Arner, D.W. &amp; Barberis, J.N. (2017) ‘Regulating a Revolution: From Regulatory Sandboxes to Smart Regulation’, Fordham Journal of Corporate &amp; Financial Law, 23, pp. 31-103.</w:t>
      </w:r>
    </w:p>
    <w:p w14:paraId="3C3ED114" w14:textId="77777777" w:rsidR="00986DD5" w:rsidRPr="00C27631" w:rsidRDefault="00986DD5" w:rsidP="00986DD5">
      <w:pPr>
        <w:spacing w:line="360" w:lineRule="auto"/>
        <w:jc w:val="both"/>
        <w:rPr>
          <w:rFonts w:ascii="Times New Roman" w:eastAsia="Times New Roman" w:hAnsi="Times New Roman" w:cs="Times New Roman"/>
          <w:sz w:val="24"/>
          <w:szCs w:val="24"/>
        </w:rPr>
      </w:pPr>
    </w:p>
    <w:p w14:paraId="7C5AFD52" w14:textId="77777777" w:rsidR="00AA3234" w:rsidRPr="00C27631" w:rsidRDefault="00AA3234" w:rsidP="00A95358">
      <w:pPr>
        <w:spacing w:line="276" w:lineRule="auto"/>
        <w:jc w:val="both"/>
        <w:rPr>
          <w:rFonts w:ascii="Times New Roman" w:hAnsi="Times New Roman" w:cs="Times New Roman"/>
        </w:rPr>
      </w:pPr>
    </w:p>
    <w:p w14:paraId="1081784A" w14:textId="77777777" w:rsidR="00C8347C" w:rsidRPr="00C27631" w:rsidRDefault="00C8347C" w:rsidP="00C8347C">
      <w:pPr>
        <w:pStyle w:val="muitypography-root"/>
      </w:pPr>
    </w:p>
    <w:p w14:paraId="4E2E80BE" w14:textId="77777777" w:rsidR="00C8347C" w:rsidRPr="00C27631" w:rsidRDefault="00C8347C" w:rsidP="00B10648">
      <w:pPr>
        <w:spacing w:line="276" w:lineRule="auto"/>
        <w:jc w:val="both"/>
        <w:rPr>
          <w:rFonts w:ascii="Times New Roman" w:hAnsi="Times New Roman" w:cs="Times New Roman"/>
        </w:rPr>
      </w:pPr>
    </w:p>
    <w:p w14:paraId="3F889DA9" w14:textId="77777777" w:rsidR="00B10648" w:rsidRPr="00B10648" w:rsidRDefault="00B10648" w:rsidP="00B10648">
      <w:pPr>
        <w:spacing w:before="100" w:beforeAutospacing="1" w:after="100" w:afterAutospacing="1" w:line="240" w:lineRule="auto"/>
        <w:rPr>
          <w:rFonts w:ascii="Times New Roman" w:eastAsia="Times New Roman" w:hAnsi="Times New Roman" w:cs="Times New Roman"/>
          <w:sz w:val="24"/>
          <w:szCs w:val="24"/>
        </w:rPr>
      </w:pPr>
    </w:p>
    <w:p w14:paraId="56CDC975" w14:textId="34F467E3" w:rsidR="00C26CCA" w:rsidRPr="00C27631" w:rsidRDefault="00C26CCA" w:rsidP="004556FA">
      <w:pPr>
        <w:rPr>
          <w:rFonts w:ascii="Times New Roman" w:hAnsi="Times New Roman" w:cs="Times New Roman"/>
        </w:rPr>
      </w:pPr>
    </w:p>
    <w:sectPr w:rsidR="00C26CCA" w:rsidRPr="00C276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528"/>
    <w:multiLevelType w:val="hybridMultilevel"/>
    <w:tmpl w:val="5270F9C8"/>
    <w:lvl w:ilvl="0" w:tplc="0409000F">
      <w:start w:val="1"/>
      <w:numFmt w:val="decimal"/>
      <w:lvlText w:val="%1."/>
      <w:lvlJc w:val="left"/>
      <w:pPr>
        <w:ind w:left="720" w:hanging="360"/>
      </w:pPr>
      <w:rPr>
        <w:rFonts w:hint="default"/>
        <w:color w:val="70AD47" w:themeColor="accent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AF0FE1"/>
    <w:multiLevelType w:val="hybridMultilevel"/>
    <w:tmpl w:val="9AF2B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30738"/>
    <w:multiLevelType w:val="hybridMultilevel"/>
    <w:tmpl w:val="24D46212"/>
    <w:lvl w:ilvl="0" w:tplc="E3746ED8">
      <w:start w:val="1"/>
      <w:numFmt w:val="decimal"/>
      <w:lvlText w:val="%1."/>
      <w:lvlJc w:val="left"/>
      <w:pPr>
        <w:ind w:left="720" w:hanging="360"/>
      </w:pPr>
      <w:rPr>
        <w:rFonts w:hint="default"/>
        <w:color w:val="70AD47" w:themeColor="accent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1A2C43"/>
    <w:multiLevelType w:val="hybridMultilevel"/>
    <w:tmpl w:val="632C0192"/>
    <w:lvl w:ilvl="0" w:tplc="FDD0B336">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E453D"/>
    <w:multiLevelType w:val="hybridMultilevel"/>
    <w:tmpl w:val="132CF934"/>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7D6704F"/>
    <w:multiLevelType w:val="multilevel"/>
    <w:tmpl w:val="BEB6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84430D"/>
    <w:multiLevelType w:val="hybridMultilevel"/>
    <w:tmpl w:val="346EE7A0"/>
    <w:lvl w:ilvl="0" w:tplc="0409000F">
      <w:start w:val="1"/>
      <w:numFmt w:val="decimal"/>
      <w:lvlText w:val="%1."/>
      <w:lvlJc w:val="left"/>
      <w:pPr>
        <w:ind w:left="72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FA"/>
    <w:rsid w:val="00085C37"/>
    <w:rsid w:val="0009336A"/>
    <w:rsid w:val="00102506"/>
    <w:rsid w:val="00195E2B"/>
    <w:rsid w:val="001E6C62"/>
    <w:rsid w:val="00290D60"/>
    <w:rsid w:val="00386EE7"/>
    <w:rsid w:val="003B7E9A"/>
    <w:rsid w:val="00416C1E"/>
    <w:rsid w:val="0045264B"/>
    <w:rsid w:val="004556FA"/>
    <w:rsid w:val="0066321A"/>
    <w:rsid w:val="00670141"/>
    <w:rsid w:val="006777E2"/>
    <w:rsid w:val="006F4CEA"/>
    <w:rsid w:val="007543CE"/>
    <w:rsid w:val="00772D67"/>
    <w:rsid w:val="0078433D"/>
    <w:rsid w:val="007B137E"/>
    <w:rsid w:val="007C45B2"/>
    <w:rsid w:val="00897605"/>
    <w:rsid w:val="0090372F"/>
    <w:rsid w:val="00915E8E"/>
    <w:rsid w:val="00972830"/>
    <w:rsid w:val="00986DD5"/>
    <w:rsid w:val="00A02C41"/>
    <w:rsid w:val="00A10058"/>
    <w:rsid w:val="00A4332D"/>
    <w:rsid w:val="00A95358"/>
    <w:rsid w:val="00AA3234"/>
    <w:rsid w:val="00AC17CC"/>
    <w:rsid w:val="00AD7291"/>
    <w:rsid w:val="00B029F8"/>
    <w:rsid w:val="00B10648"/>
    <w:rsid w:val="00B71743"/>
    <w:rsid w:val="00BD43E4"/>
    <w:rsid w:val="00C26CCA"/>
    <w:rsid w:val="00C27631"/>
    <w:rsid w:val="00C8347C"/>
    <w:rsid w:val="00DF0F71"/>
    <w:rsid w:val="00E06E9E"/>
    <w:rsid w:val="00E84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9635"/>
  <w15:chartTrackingRefBased/>
  <w15:docId w15:val="{8FFA577D-0FE7-4E91-8530-81C90490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86EE7"/>
    <w:pPr>
      <w:keepNext/>
      <w:keepLines/>
      <w:spacing w:before="240" w:after="0" w:line="276" w:lineRule="auto"/>
      <w:jc w:val="both"/>
      <w:outlineLvl w:val="0"/>
    </w:pPr>
    <w:rPr>
      <w:rFonts w:ascii="Times New Roman" w:eastAsia="Times New Roman" w:hAnsi="Times New Roman" w:cstheme="majorBidi"/>
      <w:b/>
      <w:sz w:val="28"/>
    </w:rPr>
  </w:style>
  <w:style w:type="paragraph" w:styleId="Heading2">
    <w:name w:val="heading 2"/>
    <w:basedOn w:val="Normal"/>
    <w:next w:val="Normal"/>
    <w:link w:val="Heading2Char"/>
    <w:autoRedefine/>
    <w:uiPriority w:val="9"/>
    <w:unhideWhenUsed/>
    <w:qFormat/>
    <w:rsid w:val="00386EE7"/>
    <w:pPr>
      <w:keepNext/>
      <w:keepLines/>
      <w:spacing w:before="80" w:after="0" w:line="276" w:lineRule="auto"/>
      <w:ind w:left="60"/>
      <w:jc w:val="both"/>
      <w:outlineLvl w:val="1"/>
    </w:pPr>
    <w:rPr>
      <w:rFonts w:ascii="Times New Roman" w:eastAsiaTheme="majorEastAsia" w:hAnsi="Times New Roman" w:cs="Times New Roman"/>
      <w:b/>
      <w:bCs/>
    </w:rPr>
  </w:style>
  <w:style w:type="paragraph" w:styleId="Heading3">
    <w:name w:val="heading 3"/>
    <w:basedOn w:val="Normal"/>
    <w:link w:val="Heading3Char"/>
    <w:autoRedefine/>
    <w:uiPriority w:val="9"/>
    <w:qFormat/>
    <w:rsid w:val="00386EE7"/>
    <w:pPr>
      <w:spacing w:before="100" w:beforeAutospacing="1" w:after="100" w:afterAutospacing="1" w:line="276" w:lineRule="auto"/>
      <w:jc w:val="both"/>
      <w:outlineLvl w:val="2"/>
    </w:pPr>
    <w:rPr>
      <w:rFonts w:ascii="Times New Roman" w:eastAsia="Times New Roman" w:hAnsi="Times New Roman" w:cs="Times New Roman"/>
      <w:b/>
      <w:bCs/>
      <w:sz w:val="24"/>
      <w:szCs w:val="28"/>
    </w:rPr>
  </w:style>
  <w:style w:type="paragraph" w:styleId="Heading4">
    <w:name w:val="heading 4"/>
    <w:basedOn w:val="Normal"/>
    <w:next w:val="Normal"/>
    <w:link w:val="Heading4Char"/>
    <w:uiPriority w:val="9"/>
    <w:unhideWhenUsed/>
    <w:qFormat/>
    <w:rsid w:val="00A4332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EE7"/>
    <w:rPr>
      <w:rFonts w:ascii="Times New Roman" w:eastAsia="Times New Roman" w:hAnsi="Times New Roman" w:cstheme="majorBidi"/>
      <w:b/>
      <w:sz w:val="28"/>
    </w:rPr>
  </w:style>
  <w:style w:type="character" w:customStyle="1" w:styleId="Heading2Char">
    <w:name w:val="Heading 2 Char"/>
    <w:basedOn w:val="DefaultParagraphFont"/>
    <w:link w:val="Heading2"/>
    <w:uiPriority w:val="9"/>
    <w:qFormat/>
    <w:rsid w:val="00386EE7"/>
    <w:rPr>
      <w:rFonts w:ascii="Times New Roman" w:eastAsiaTheme="majorEastAsia" w:hAnsi="Times New Roman" w:cs="Times New Roman"/>
      <w:b/>
      <w:bCs/>
    </w:rPr>
  </w:style>
  <w:style w:type="character" w:customStyle="1" w:styleId="Heading3Char">
    <w:name w:val="Heading 3 Char"/>
    <w:basedOn w:val="DefaultParagraphFont"/>
    <w:link w:val="Heading3"/>
    <w:uiPriority w:val="9"/>
    <w:rsid w:val="00386EE7"/>
    <w:rPr>
      <w:rFonts w:ascii="Times New Roman" w:eastAsia="Times New Roman" w:hAnsi="Times New Roman" w:cs="Times New Roman"/>
      <w:b/>
      <w:bCs/>
      <w:sz w:val="24"/>
      <w:szCs w:val="28"/>
    </w:rPr>
  </w:style>
  <w:style w:type="paragraph" w:customStyle="1" w:styleId="Default">
    <w:name w:val="Default"/>
    <w:rsid w:val="004556FA"/>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Strong">
    <w:name w:val="Strong"/>
    <w:basedOn w:val="DefaultParagraphFont"/>
    <w:uiPriority w:val="22"/>
    <w:qFormat/>
    <w:rsid w:val="00897605"/>
    <w:rPr>
      <w:b/>
      <w:bCs/>
    </w:rPr>
  </w:style>
  <w:style w:type="paragraph" w:styleId="ListParagraph">
    <w:name w:val="List Paragraph"/>
    <w:basedOn w:val="Normal"/>
    <w:uiPriority w:val="34"/>
    <w:qFormat/>
    <w:rsid w:val="00897605"/>
    <w:pPr>
      <w:ind w:left="720"/>
      <w:contextualSpacing/>
    </w:pPr>
  </w:style>
  <w:style w:type="paragraph" w:customStyle="1" w:styleId="muitypography-root">
    <w:name w:val="muitypography-root"/>
    <w:basedOn w:val="Normal"/>
    <w:rsid w:val="00B1064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95358"/>
    <w:pPr>
      <w:spacing w:after="0" w:line="240" w:lineRule="auto"/>
    </w:pPr>
  </w:style>
  <w:style w:type="character" w:styleId="Emphasis">
    <w:name w:val="Emphasis"/>
    <w:basedOn w:val="DefaultParagraphFont"/>
    <w:uiPriority w:val="20"/>
    <w:qFormat/>
    <w:rsid w:val="00AA3234"/>
    <w:rPr>
      <w:i/>
      <w:iCs/>
    </w:rPr>
  </w:style>
  <w:style w:type="table" w:styleId="PlainTable4">
    <w:name w:val="Plain Table 4"/>
    <w:basedOn w:val="TableNormal"/>
    <w:uiPriority w:val="44"/>
    <w:rsid w:val="00AA32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A4332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4332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7623">
      <w:bodyDiv w:val="1"/>
      <w:marLeft w:val="0"/>
      <w:marRight w:val="0"/>
      <w:marTop w:val="0"/>
      <w:marBottom w:val="0"/>
      <w:divBdr>
        <w:top w:val="none" w:sz="0" w:space="0" w:color="auto"/>
        <w:left w:val="none" w:sz="0" w:space="0" w:color="auto"/>
        <w:bottom w:val="none" w:sz="0" w:space="0" w:color="auto"/>
        <w:right w:val="none" w:sz="0" w:space="0" w:color="auto"/>
      </w:divBdr>
      <w:divsChild>
        <w:div w:id="1498882350">
          <w:marLeft w:val="0"/>
          <w:marRight w:val="0"/>
          <w:marTop w:val="0"/>
          <w:marBottom w:val="0"/>
          <w:divBdr>
            <w:top w:val="none" w:sz="0" w:space="0" w:color="auto"/>
            <w:left w:val="none" w:sz="0" w:space="0" w:color="auto"/>
            <w:bottom w:val="none" w:sz="0" w:space="0" w:color="auto"/>
            <w:right w:val="none" w:sz="0" w:space="0" w:color="auto"/>
          </w:divBdr>
        </w:div>
      </w:divsChild>
    </w:div>
    <w:div w:id="103506482">
      <w:bodyDiv w:val="1"/>
      <w:marLeft w:val="0"/>
      <w:marRight w:val="0"/>
      <w:marTop w:val="0"/>
      <w:marBottom w:val="0"/>
      <w:divBdr>
        <w:top w:val="none" w:sz="0" w:space="0" w:color="auto"/>
        <w:left w:val="none" w:sz="0" w:space="0" w:color="auto"/>
        <w:bottom w:val="none" w:sz="0" w:space="0" w:color="auto"/>
        <w:right w:val="none" w:sz="0" w:space="0" w:color="auto"/>
      </w:divBdr>
      <w:divsChild>
        <w:div w:id="1492451905">
          <w:marLeft w:val="0"/>
          <w:marRight w:val="0"/>
          <w:marTop w:val="0"/>
          <w:marBottom w:val="0"/>
          <w:divBdr>
            <w:top w:val="none" w:sz="0" w:space="0" w:color="auto"/>
            <w:left w:val="none" w:sz="0" w:space="0" w:color="auto"/>
            <w:bottom w:val="none" w:sz="0" w:space="0" w:color="auto"/>
            <w:right w:val="none" w:sz="0" w:space="0" w:color="auto"/>
          </w:divBdr>
        </w:div>
      </w:divsChild>
    </w:div>
    <w:div w:id="281688329">
      <w:bodyDiv w:val="1"/>
      <w:marLeft w:val="0"/>
      <w:marRight w:val="0"/>
      <w:marTop w:val="0"/>
      <w:marBottom w:val="0"/>
      <w:divBdr>
        <w:top w:val="none" w:sz="0" w:space="0" w:color="auto"/>
        <w:left w:val="none" w:sz="0" w:space="0" w:color="auto"/>
        <w:bottom w:val="none" w:sz="0" w:space="0" w:color="auto"/>
        <w:right w:val="none" w:sz="0" w:space="0" w:color="auto"/>
      </w:divBdr>
    </w:div>
    <w:div w:id="476187260">
      <w:bodyDiv w:val="1"/>
      <w:marLeft w:val="0"/>
      <w:marRight w:val="0"/>
      <w:marTop w:val="0"/>
      <w:marBottom w:val="0"/>
      <w:divBdr>
        <w:top w:val="none" w:sz="0" w:space="0" w:color="auto"/>
        <w:left w:val="none" w:sz="0" w:space="0" w:color="auto"/>
        <w:bottom w:val="none" w:sz="0" w:space="0" w:color="auto"/>
        <w:right w:val="none" w:sz="0" w:space="0" w:color="auto"/>
      </w:divBdr>
      <w:divsChild>
        <w:div w:id="2126729743">
          <w:marLeft w:val="0"/>
          <w:marRight w:val="0"/>
          <w:marTop w:val="0"/>
          <w:marBottom w:val="0"/>
          <w:divBdr>
            <w:top w:val="none" w:sz="0" w:space="0" w:color="auto"/>
            <w:left w:val="none" w:sz="0" w:space="0" w:color="auto"/>
            <w:bottom w:val="none" w:sz="0" w:space="0" w:color="auto"/>
            <w:right w:val="none" w:sz="0" w:space="0" w:color="auto"/>
          </w:divBdr>
        </w:div>
      </w:divsChild>
    </w:div>
    <w:div w:id="580258106">
      <w:bodyDiv w:val="1"/>
      <w:marLeft w:val="0"/>
      <w:marRight w:val="0"/>
      <w:marTop w:val="0"/>
      <w:marBottom w:val="0"/>
      <w:divBdr>
        <w:top w:val="none" w:sz="0" w:space="0" w:color="auto"/>
        <w:left w:val="none" w:sz="0" w:space="0" w:color="auto"/>
        <w:bottom w:val="none" w:sz="0" w:space="0" w:color="auto"/>
        <w:right w:val="none" w:sz="0" w:space="0" w:color="auto"/>
      </w:divBdr>
    </w:div>
    <w:div w:id="830759230">
      <w:bodyDiv w:val="1"/>
      <w:marLeft w:val="0"/>
      <w:marRight w:val="0"/>
      <w:marTop w:val="0"/>
      <w:marBottom w:val="0"/>
      <w:divBdr>
        <w:top w:val="none" w:sz="0" w:space="0" w:color="auto"/>
        <w:left w:val="none" w:sz="0" w:space="0" w:color="auto"/>
        <w:bottom w:val="none" w:sz="0" w:space="0" w:color="auto"/>
        <w:right w:val="none" w:sz="0" w:space="0" w:color="auto"/>
      </w:divBdr>
      <w:divsChild>
        <w:div w:id="1922063801">
          <w:marLeft w:val="0"/>
          <w:marRight w:val="0"/>
          <w:marTop w:val="0"/>
          <w:marBottom w:val="0"/>
          <w:divBdr>
            <w:top w:val="none" w:sz="0" w:space="0" w:color="auto"/>
            <w:left w:val="none" w:sz="0" w:space="0" w:color="auto"/>
            <w:bottom w:val="none" w:sz="0" w:space="0" w:color="auto"/>
            <w:right w:val="none" w:sz="0" w:space="0" w:color="auto"/>
          </w:divBdr>
        </w:div>
      </w:divsChild>
    </w:div>
    <w:div w:id="1489900825">
      <w:bodyDiv w:val="1"/>
      <w:marLeft w:val="0"/>
      <w:marRight w:val="0"/>
      <w:marTop w:val="0"/>
      <w:marBottom w:val="0"/>
      <w:divBdr>
        <w:top w:val="none" w:sz="0" w:space="0" w:color="auto"/>
        <w:left w:val="none" w:sz="0" w:space="0" w:color="auto"/>
        <w:bottom w:val="none" w:sz="0" w:space="0" w:color="auto"/>
        <w:right w:val="none" w:sz="0" w:space="0" w:color="auto"/>
      </w:divBdr>
      <w:divsChild>
        <w:div w:id="169367984">
          <w:marLeft w:val="0"/>
          <w:marRight w:val="0"/>
          <w:marTop w:val="0"/>
          <w:marBottom w:val="0"/>
          <w:divBdr>
            <w:top w:val="none" w:sz="0" w:space="0" w:color="auto"/>
            <w:left w:val="none" w:sz="0" w:space="0" w:color="auto"/>
            <w:bottom w:val="none" w:sz="0" w:space="0" w:color="auto"/>
            <w:right w:val="none" w:sz="0" w:space="0" w:color="auto"/>
          </w:divBdr>
        </w:div>
      </w:divsChild>
    </w:div>
    <w:div w:id="1564877311">
      <w:bodyDiv w:val="1"/>
      <w:marLeft w:val="0"/>
      <w:marRight w:val="0"/>
      <w:marTop w:val="0"/>
      <w:marBottom w:val="0"/>
      <w:divBdr>
        <w:top w:val="none" w:sz="0" w:space="0" w:color="auto"/>
        <w:left w:val="none" w:sz="0" w:space="0" w:color="auto"/>
        <w:bottom w:val="none" w:sz="0" w:space="0" w:color="auto"/>
        <w:right w:val="none" w:sz="0" w:space="0" w:color="auto"/>
      </w:divBdr>
    </w:div>
    <w:div w:id="1744909172">
      <w:bodyDiv w:val="1"/>
      <w:marLeft w:val="0"/>
      <w:marRight w:val="0"/>
      <w:marTop w:val="0"/>
      <w:marBottom w:val="0"/>
      <w:divBdr>
        <w:top w:val="none" w:sz="0" w:space="0" w:color="auto"/>
        <w:left w:val="none" w:sz="0" w:space="0" w:color="auto"/>
        <w:bottom w:val="none" w:sz="0" w:space="0" w:color="auto"/>
        <w:right w:val="none" w:sz="0" w:space="0" w:color="auto"/>
      </w:divBdr>
      <w:divsChild>
        <w:div w:id="857429841">
          <w:marLeft w:val="0"/>
          <w:marRight w:val="0"/>
          <w:marTop w:val="0"/>
          <w:marBottom w:val="0"/>
          <w:divBdr>
            <w:top w:val="none" w:sz="0" w:space="0" w:color="auto"/>
            <w:left w:val="none" w:sz="0" w:space="0" w:color="auto"/>
            <w:bottom w:val="none" w:sz="0" w:space="0" w:color="auto"/>
            <w:right w:val="none" w:sz="0" w:space="0" w:color="auto"/>
          </w:divBdr>
        </w:div>
      </w:divsChild>
    </w:div>
    <w:div w:id="1788423015">
      <w:bodyDiv w:val="1"/>
      <w:marLeft w:val="0"/>
      <w:marRight w:val="0"/>
      <w:marTop w:val="0"/>
      <w:marBottom w:val="0"/>
      <w:divBdr>
        <w:top w:val="none" w:sz="0" w:space="0" w:color="auto"/>
        <w:left w:val="none" w:sz="0" w:space="0" w:color="auto"/>
        <w:bottom w:val="none" w:sz="0" w:space="0" w:color="auto"/>
        <w:right w:val="none" w:sz="0" w:space="0" w:color="auto"/>
      </w:divBdr>
      <w:divsChild>
        <w:div w:id="1606228116">
          <w:marLeft w:val="0"/>
          <w:marRight w:val="0"/>
          <w:marTop w:val="0"/>
          <w:marBottom w:val="0"/>
          <w:divBdr>
            <w:top w:val="none" w:sz="0" w:space="0" w:color="auto"/>
            <w:left w:val="none" w:sz="0" w:space="0" w:color="auto"/>
            <w:bottom w:val="none" w:sz="0" w:space="0" w:color="auto"/>
            <w:right w:val="none" w:sz="0" w:space="0" w:color="auto"/>
          </w:divBdr>
        </w:div>
      </w:divsChild>
    </w:div>
    <w:div w:id="1816948106">
      <w:bodyDiv w:val="1"/>
      <w:marLeft w:val="0"/>
      <w:marRight w:val="0"/>
      <w:marTop w:val="0"/>
      <w:marBottom w:val="0"/>
      <w:divBdr>
        <w:top w:val="none" w:sz="0" w:space="0" w:color="auto"/>
        <w:left w:val="none" w:sz="0" w:space="0" w:color="auto"/>
        <w:bottom w:val="none" w:sz="0" w:space="0" w:color="auto"/>
        <w:right w:val="none" w:sz="0" w:space="0" w:color="auto"/>
      </w:divBdr>
      <w:divsChild>
        <w:div w:id="225846681">
          <w:marLeft w:val="0"/>
          <w:marRight w:val="0"/>
          <w:marTop w:val="0"/>
          <w:marBottom w:val="0"/>
          <w:divBdr>
            <w:top w:val="none" w:sz="0" w:space="0" w:color="auto"/>
            <w:left w:val="none" w:sz="0" w:space="0" w:color="auto"/>
            <w:bottom w:val="none" w:sz="0" w:space="0" w:color="auto"/>
            <w:right w:val="none" w:sz="0" w:space="0" w:color="auto"/>
          </w:divBdr>
        </w:div>
      </w:divsChild>
    </w:div>
    <w:div w:id="192756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Sheet1!$D$2</c:f>
              <c:strCache>
                <c:ptCount val="1"/>
                <c:pt idx="0">
                  <c:v>Percentage (%) </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Sheet1!$C$3:$C$7</c:f>
              <c:strCache>
                <c:ptCount val="5"/>
                <c:pt idx="0">
                  <c:v>Life Insurance</c:v>
                </c:pt>
                <c:pt idx="1">
                  <c:v>Health Insurance</c:v>
                </c:pt>
                <c:pt idx="2">
                  <c:v>Auto Insurance</c:v>
                </c:pt>
                <c:pt idx="3">
                  <c:v>Property Insurance</c:v>
                </c:pt>
                <c:pt idx="4">
                  <c:v>Other (Specify)</c:v>
                </c:pt>
              </c:strCache>
            </c:strRef>
          </c:cat>
          <c:val>
            <c:numRef>
              <c:f>Sheet1!$D$3:$D$7</c:f>
              <c:numCache>
                <c:formatCode>General</c:formatCode>
                <c:ptCount val="5"/>
                <c:pt idx="0">
                  <c:v>54.7</c:v>
                </c:pt>
                <c:pt idx="1">
                  <c:v>50</c:v>
                </c:pt>
                <c:pt idx="2">
                  <c:v>37.799999999999997</c:v>
                </c:pt>
                <c:pt idx="3">
                  <c:v>32.299999999999997</c:v>
                </c:pt>
                <c:pt idx="4">
                  <c:v>13.5</c:v>
                </c:pt>
              </c:numCache>
            </c:numRef>
          </c:val>
          <c:extLst>
            <c:ext xmlns:c16="http://schemas.microsoft.com/office/drawing/2014/chart" uri="{C3380CC4-5D6E-409C-BE32-E72D297353CC}">
              <c16:uniqueId val="{00000000-3F90-4C65-8CCB-D63358B203BE}"/>
            </c:ext>
          </c:extLst>
        </c:ser>
        <c:dLbls>
          <c:showLegendKey val="0"/>
          <c:showVal val="1"/>
          <c:showCatName val="0"/>
          <c:showSerName val="0"/>
          <c:showPercent val="0"/>
          <c:showBubbleSize val="0"/>
        </c:dLbls>
        <c:gapWidth val="150"/>
        <c:shape val="box"/>
        <c:axId val="1228756192"/>
        <c:axId val="1228756608"/>
        <c:axId val="0"/>
      </c:bar3DChart>
      <c:catAx>
        <c:axId val="12287561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756608"/>
        <c:crosses val="autoZero"/>
        <c:auto val="1"/>
        <c:lblAlgn val="ctr"/>
        <c:lblOffset val="100"/>
        <c:noMultiLvlLbl val="0"/>
      </c:catAx>
      <c:valAx>
        <c:axId val="1228756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756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Sheet1!$AT$2</c:f>
              <c:strCache>
                <c:ptCount val="1"/>
                <c:pt idx="0">
                  <c:v>Percentage (%) </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Sheet1!$AS$3:$AS$6</c:f>
              <c:strCache>
                <c:ptCount val="4"/>
                <c:pt idx="0">
                  <c:v>Data security issues</c:v>
                </c:pt>
                <c:pt idx="1">
                  <c:v>Technology integration</c:v>
                </c:pt>
                <c:pt idx="2">
                  <c:v>Compliance with regulations</c:v>
                </c:pt>
                <c:pt idx="3">
                  <c:v>Dependence on third parties</c:v>
                </c:pt>
              </c:strCache>
            </c:strRef>
          </c:cat>
          <c:val>
            <c:numRef>
              <c:f>Sheet1!$AT$3:$AT$6</c:f>
              <c:numCache>
                <c:formatCode>General</c:formatCode>
                <c:ptCount val="4"/>
                <c:pt idx="0">
                  <c:v>52.6</c:v>
                </c:pt>
                <c:pt idx="1">
                  <c:v>34.9</c:v>
                </c:pt>
                <c:pt idx="2">
                  <c:v>28.6</c:v>
                </c:pt>
                <c:pt idx="3">
                  <c:v>24.5</c:v>
                </c:pt>
              </c:numCache>
            </c:numRef>
          </c:val>
          <c:extLst>
            <c:ext xmlns:c16="http://schemas.microsoft.com/office/drawing/2014/chart" uri="{C3380CC4-5D6E-409C-BE32-E72D297353CC}">
              <c16:uniqueId val="{00000000-95F9-4895-AB68-4225B1F8A24E}"/>
            </c:ext>
          </c:extLst>
        </c:ser>
        <c:dLbls>
          <c:dLblPos val="inEnd"/>
          <c:showLegendKey val="0"/>
          <c:showVal val="1"/>
          <c:showCatName val="0"/>
          <c:showSerName val="0"/>
          <c:showPercent val="0"/>
          <c:showBubbleSize val="0"/>
        </c:dLbls>
        <c:gapWidth val="65"/>
        <c:axId val="1228749536"/>
        <c:axId val="1228749952"/>
      </c:barChart>
      <c:catAx>
        <c:axId val="122874953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228749952"/>
        <c:crosses val="autoZero"/>
        <c:auto val="1"/>
        <c:lblAlgn val="ctr"/>
        <c:lblOffset val="100"/>
        <c:noMultiLvlLbl val="0"/>
      </c:catAx>
      <c:valAx>
        <c:axId val="122874995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2287495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Sheet1!$Y$3:$Y$6</c:f>
              <c:strCache>
                <c:ptCount val="4"/>
                <c:pt idx="0">
                  <c:v>Robust security measures</c:v>
                </c:pt>
                <c:pt idx="1">
                  <c:v>Regular compliance checks</c:v>
                </c:pt>
                <c:pt idx="2">
                  <c:v>Investing in integration</c:v>
                </c:pt>
                <c:pt idx="3">
                  <c:v>Diversifying vendors</c:v>
                </c:pt>
              </c:strCache>
            </c:strRef>
          </c:cat>
          <c:val>
            <c:numRef>
              <c:f>Sheet1!$Z$3:$Z$6</c:f>
              <c:numCache>
                <c:formatCode>General</c:formatCode>
                <c:ptCount val="4"/>
                <c:pt idx="0">
                  <c:v>47.1</c:v>
                </c:pt>
                <c:pt idx="1">
                  <c:v>33.6</c:v>
                </c:pt>
                <c:pt idx="2">
                  <c:v>29.2</c:v>
                </c:pt>
                <c:pt idx="3">
                  <c:v>22.9</c:v>
                </c:pt>
              </c:numCache>
            </c:numRef>
          </c:val>
          <c:extLst>
            <c:ext xmlns:c16="http://schemas.microsoft.com/office/drawing/2014/chart" uri="{C3380CC4-5D6E-409C-BE32-E72D297353CC}">
              <c16:uniqueId val="{00000000-D70A-4442-8394-2A408C85C8BE}"/>
            </c:ext>
          </c:extLst>
        </c:ser>
        <c:dLbls>
          <c:dLblPos val="inEnd"/>
          <c:showLegendKey val="0"/>
          <c:showVal val="1"/>
          <c:showCatName val="0"/>
          <c:showSerName val="0"/>
          <c:showPercent val="0"/>
          <c:showBubbleSize val="0"/>
        </c:dLbls>
        <c:gapWidth val="41"/>
        <c:axId val="1240528848"/>
        <c:axId val="1240529264"/>
      </c:barChart>
      <c:catAx>
        <c:axId val="12405288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1240529264"/>
        <c:crosses val="autoZero"/>
        <c:auto val="1"/>
        <c:lblAlgn val="ctr"/>
        <c:lblOffset val="100"/>
        <c:noMultiLvlLbl val="0"/>
      </c:catAx>
      <c:valAx>
        <c:axId val="1240529264"/>
        <c:scaling>
          <c:orientation val="minMax"/>
        </c:scaling>
        <c:delete val="1"/>
        <c:axPos val="l"/>
        <c:numFmt formatCode="General" sourceLinked="1"/>
        <c:majorTickMark val="none"/>
        <c:minorTickMark val="none"/>
        <c:tickLblPos val="nextTo"/>
        <c:crossAx val="12405288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22</Pages>
  <Words>8557</Words>
  <Characters>48780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Mukosha</dc:creator>
  <cp:keywords/>
  <dc:description/>
  <cp:lastModifiedBy>Raphael Mukosha</cp:lastModifiedBy>
  <cp:revision>2</cp:revision>
  <dcterms:created xsi:type="dcterms:W3CDTF">2026-02-20T09:40:00Z</dcterms:created>
  <dcterms:modified xsi:type="dcterms:W3CDTF">2026-02-22T03:15:00Z</dcterms:modified>
</cp:coreProperties>
</file>