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239" w:rsidRPr="00B11768" w:rsidRDefault="00E97239" w:rsidP="008009E8">
      <w:pPr>
        <w:widowControl w:val="0"/>
        <w:tabs>
          <w:tab w:val="left" w:pos="270"/>
          <w:tab w:val="left" w:pos="5175"/>
        </w:tabs>
        <w:autoSpaceDE w:val="0"/>
        <w:autoSpaceDN w:val="0"/>
        <w:adjustRightInd w:val="0"/>
        <w:spacing w:after="0" w:line="240" w:lineRule="auto"/>
        <w:jc w:val="center"/>
        <w:rPr>
          <w:rFonts w:ascii="Times New Roman" w:hAnsi="Times New Roman"/>
          <w:b/>
        </w:rPr>
      </w:pPr>
      <w:r w:rsidRPr="00B11768">
        <w:rPr>
          <w:rFonts w:ascii="Times New Roman" w:hAnsi="Times New Roman"/>
          <w:b/>
        </w:rPr>
        <w:t xml:space="preserve">A STUDY ON THE PERFORMANCE EVALUATION OF SPECIAL ECONOMIC ZONE UNITS ON THE BASIS OF </w:t>
      </w:r>
      <w:r w:rsidR="00F10CBB" w:rsidRPr="00B11768">
        <w:rPr>
          <w:rFonts w:ascii="Times New Roman" w:hAnsi="Times New Roman"/>
          <w:b/>
        </w:rPr>
        <w:t xml:space="preserve">INFRASTRUCTURE DEVELOPMENT IN </w:t>
      </w:r>
      <w:r w:rsidRPr="00B11768">
        <w:rPr>
          <w:rFonts w:ascii="Times New Roman" w:hAnsi="Times New Roman"/>
          <w:b/>
        </w:rPr>
        <w:t>KERALA</w:t>
      </w:r>
    </w:p>
    <w:p w:rsidR="00E97239" w:rsidRDefault="00E97239" w:rsidP="00E97239">
      <w:pPr>
        <w:widowControl w:val="0"/>
        <w:tabs>
          <w:tab w:val="left" w:pos="5175"/>
        </w:tabs>
        <w:autoSpaceDE w:val="0"/>
        <w:autoSpaceDN w:val="0"/>
        <w:adjustRightInd w:val="0"/>
        <w:spacing w:after="0" w:line="240" w:lineRule="auto"/>
        <w:jc w:val="right"/>
        <w:rPr>
          <w:rFonts w:ascii="Times New Roman" w:hAnsi="Times New Roman"/>
          <w:b/>
          <w:sz w:val="24"/>
          <w:szCs w:val="24"/>
        </w:rPr>
      </w:pPr>
    </w:p>
    <w:p w:rsidR="00E97239" w:rsidRDefault="00E97239" w:rsidP="00E97239">
      <w:pPr>
        <w:widowControl w:val="0"/>
        <w:tabs>
          <w:tab w:val="left" w:pos="5175"/>
        </w:tabs>
        <w:autoSpaceDE w:val="0"/>
        <w:autoSpaceDN w:val="0"/>
        <w:adjustRightInd w:val="0"/>
        <w:spacing w:after="0" w:line="240" w:lineRule="auto"/>
        <w:jc w:val="right"/>
        <w:rPr>
          <w:rFonts w:ascii="Times New Roman"/>
          <w:b/>
          <w:i/>
          <w:sz w:val="24"/>
          <w:szCs w:val="24"/>
        </w:rPr>
      </w:pPr>
      <w:r>
        <w:rPr>
          <w:rFonts w:ascii="Times New Roman" w:hAnsi="Times New Roman"/>
          <w:b/>
          <w:i/>
          <w:sz w:val="24"/>
          <w:szCs w:val="24"/>
        </w:rPr>
        <w:t/>
      </w:r>
    </w:p>
    <w:p w:rsidR="00E97239" w:rsidRDefault="001309A9" w:rsidP="00E97239">
      <w:pPr>
        <w:widowControl w:val="0"/>
        <w:tabs>
          <w:tab w:val="left" w:pos="6160"/>
        </w:tabs>
        <w:autoSpaceDE w:val="0"/>
        <w:autoSpaceDN w:val="0"/>
        <w:adjustRightInd w:val="0"/>
        <w:spacing w:line="240" w:lineRule="auto"/>
        <w:rPr>
          <w:rFonts w:ascii="Times New Roman"/>
          <w:b/>
          <w:sz w:val="24"/>
          <w:szCs w:val="24"/>
        </w:rPr>
      </w:pPr>
      <w:r>
        <w:rPr>
          <w:rFonts w:ascii="Times New Roman" w:hAnsi="Times New Roman"/>
          <w:b/>
          <w:sz w:val="24"/>
          <w:szCs w:val="24"/>
        </w:rPr>
        <w:t>Abstract</w:t>
      </w:r>
      <w:r w:rsidR="00E97239">
        <w:rPr>
          <w:rFonts w:ascii="Times New Roman" w:hAnsi="Times New Roman"/>
          <w:b/>
          <w:sz w:val="24"/>
          <w:szCs w:val="24"/>
        </w:rPr>
        <w:tab/>
      </w:r>
    </w:p>
    <w:p w:rsidR="002B6088" w:rsidRPr="002B6088" w:rsidRDefault="00E97239" w:rsidP="00670969">
      <w:pPr>
        <w:pStyle w:val="Default"/>
        <w:spacing w:line="360" w:lineRule="auto"/>
        <w:jc w:val="both"/>
      </w:pPr>
      <w:r w:rsidRPr="002B6088">
        <w:t xml:space="preserve">A Special Economic Zone is a </w:t>
      </w:r>
      <w:r w:rsidR="00670969">
        <w:t>trade capacity development tool</w:t>
      </w:r>
      <w:r w:rsidRPr="002B6088">
        <w:t xml:space="preserve"> with the goal to promote rapid economic growth by using tax and business incentives to attract foreign investment and technology. Special Economic Zone (SEZ) is a geographical region that has economic laws that are more liberal than a country's typical economic laws. SEZs attract i</w:t>
      </w:r>
      <w:r w:rsidR="002B6088">
        <w:t xml:space="preserve">nvestment and foreign exchange, </w:t>
      </w:r>
      <w:r w:rsidRPr="002B6088">
        <w:t xml:space="preserve">spur employment and boost the development of improved technologies and infrastructure. In India, Special Economic Zones are being established in an attempt to deal with infrastructural deficiencies, procedural complexities, bureaucratic hassles and barriers raised by monetary, trade, fiscal, taxation, tariff and labour policies. Special Economic Zones/Export Processing Zones are being established as industrial enclaves for expediting the process of industrialization. </w:t>
      </w:r>
    </w:p>
    <w:p w:rsidR="002B6088" w:rsidRPr="00670969" w:rsidRDefault="00E97239" w:rsidP="00670969">
      <w:pPr>
        <w:widowControl w:val="0"/>
        <w:autoSpaceDE w:val="0"/>
        <w:autoSpaceDN w:val="0"/>
        <w:adjustRightInd w:val="0"/>
        <w:spacing w:line="240" w:lineRule="auto"/>
        <w:jc w:val="both"/>
        <w:rPr>
          <w:rFonts w:ascii="Times New Roman"/>
          <w:sz w:val="24"/>
          <w:szCs w:val="24"/>
        </w:rPr>
      </w:pPr>
      <w:r w:rsidRPr="002B6088">
        <w:rPr>
          <w:rFonts w:ascii="Times New Roman" w:hAnsi="Times New Roman"/>
          <w:sz w:val="24"/>
          <w:szCs w:val="24"/>
        </w:rPr>
        <w:t>Key words: Special Economic Zone, Formal Approval, In-Principle Approvals</w:t>
      </w:r>
      <w:r w:rsidR="002B6088">
        <w:rPr>
          <w:rFonts w:ascii="Times New Roman"/>
          <w:sz w:val="24"/>
          <w:szCs w:val="24"/>
        </w:rPr>
        <w:t>, Export Processing zones, Foreign Investments.</w:t>
      </w:r>
    </w:p>
    <w:p w:rsidR="00E97239" w:rsidRDefault="001309A9" w:rsidP="00E97239">
      <w:pPr>
        <w:widowControl w:val="0"/>
        <w:autoSpaceDE w:val="0"/>
        <w:autoSpaceDN w:val="0"/>
        <w:adjustRightInd w:val="0"/>
        <w:spacing w:line="240" w:lineRule="auto"/>
        <w:rPr>
          <w:rFonts w:ascii="Times New Roman" w:hAnsi="Times New Roman"/>
          <w:b/>
          <w:sz w:val="24"/>
          <w:szCs w:val="24"/>
        </w:rPr>
      </w:pPr>
      <w:r>
        <w:rPr>
          <w:rFonts w:ascii="Times New Roman" w:hAnsi="Times New Roman"/>
          <w:b/>
          <w:sz w:val="24"/>
          <w:szCs w:val="24"/>
        </w:rPr>
        <w:t>Introduction</w:t>
      </w:r>
    </w:p>
    <w:p w:rsidR="00E97239" w:rsidRDefault="00E97239" w:rsidP="00E97239">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 Special Economic Zone (SEZ)</w:t>
      </w:r>
      <w:r w:rsidR="0092600F">
        <w:rPr>
          <w:rFonts w:ascii="Times New Roman" w:hAnsi="Times New Roman"/>
          <w:sz w:val="24"/>
          <w:szCs w:val="24"/>
        </w:rPr>
        <w:t xml:space="preserve"> </w:t>
      </w:r>
      <w:r>
        <w:rPr>
          <w:rFonts w:ascii="Times New Roman" w:hAnsi="Times New Roman"/>
          <w:sz w:val="24"/>
          <w:szCs w:val="24"/>
        </w:rPr>
        <w:t>is a specified delineated and duty free geographical region that has different economic laws from those of the country in which it is situated.  In some countries, such a region is even treated as a deemed foreign territory.  A SEZ is a trade capacity development tool, with the goal to promote rapid economic growth by using tax and business incentives to attract foreign investment and technology.  By offering privileged terms, SEZs attract investment and foreign exchange, spur employment and boost the development of improved technologies and infrastructure.  The word “Special” in SEZ mainly means special economic systems and policies.  Special Economic Zone means an area that has been specified as an enclave that is duty free and is treated as a foreign territory for various purposes such as tariffs, trade operations, and duties.  India is one of the first countries in Asia to recognize the effectiveness of the Export Processing Zone (EPZ)model in promoting exports. Asia’s first EPZ was set up in Kandla in 1965.The concept of EPZ was later complemented by schemes like Export Oriented Units (EOU) which was introduced by the Ministry of Commerce in 1980 vide resolution dated 31st December 1980.</w:t>
      </w:r>
    </w:p>
    <w:p w:rsidR="008033AE" w:rsidRPr="008033AE" w:rsidRDefault="008033AE" w:rsidP="008033AE">
      <w:pPr>
        <w:autoSpaceDE w:val="0"/>
        <w:autoSpaceDN w:val="0"/>
        <w:adjustRightInd w:val="0"/>
        <w:spacing w:after="0" w:line="240" w:lineRule="auto"/>
        <w:jc w:val="both"/>
        <w:rPr>
          <w:rFonts w:ascii="Times New Roman"/>
          <w:b/>
          <w:i/>
        </w:rPr>
      </w:pPr>
      <w:r>
        <w:rPr>
          <w:rFonts w:ascii="Times New Roman" w:hAnsi="Times New Roman"/>
          <w:b/>
          <w:i/>
        </w:rPr>
        <w:t>*Associate Professor, PG Dept. of Commerce, Govt. Arts College, Trivandrum, Kerala.</w:t>
      </w:r>
    </w:p>
    <w:tbl>
      <w:tblPr>
        <w:tblW w:w="0" w:type="auto"/>
        <w:tblInd w:w="258" w:type="dxa"/>
        <w:tblBorders>
          <w:top w:val="single" w:sz="4" w:space="0" w:color="auto"/>
        </w:tblBorders>
        <w:tblLook w:val="0000"/>
      </w:tblPr>
      <w:tblGrid>
        <w:gridCol w:w="8984"/>
      </w:tblGrid>
      <w:tr w:rsidR="00E97239" w:rsidTr="005B3582">
        <w:trPr>
          <w:trHeight w:val="100"/>
        </w:trPr>
        <w:tc>
          <w:tcPr>
            <w:tcW w:w="9585" w:type="dxa"/>
            <w:tcBorders>
              <w:top w:val="single" w:sz="4" w:space="0" w:color="auto"/>
              <w:left w:val="nil"/>
              <w:bottom w:val="nil"/>
              <w:right w:val="nil"/>
            </w:tcBorders>
          </w:tcPr>
          <w:p w:rsidR="00E97239" w:rsidRDefault="00E97239" w:rsidP="005B3582">
            <w:pPr>
              <w:autoSpaceDE w:val="0"/>
              <w:autoSpaceDN w:val="0"/>
              <w:adjustRightInd w:val="0"/>
              <w:spacing w:after="0" w:line="240" w:lineRule="auto"/>
              <w:jc w:val="both"/>
              <w:rPr>
                <w:rFonts w:ascii="Times New Roman"/>
                <w:b/>
                <w:i/>
              </w:rPr>
            </w:pPr>
          </w:p>
        </w:tc>
      </w:tr>
    </w:tbl>
    <w:p w:rsidR="00294880" w:rsidRDefault="00294880" w:rsidP="001309A9">
      <w:pPr>
        <w:spacing w:after="0" w:line="360" w:lineRule="auto"/>
        <w:jc w:val="both"/>
        <w:rPr>
          <w:rFonts w:ascii="Times New Roman" w:eastAsiaTheme="minorHAnsi" w:hAnsi="Times New Roman"/>
          <w:b/>
          <w:color w:val="000000" w:themeColor="text1"/>
          <w:sz w:val="24"/>
          <w:szCs w:val="24"/>
          <w:lang w:eastAsia="en-IN"/>
        </w:rPr>
      </w:pPr>
    </w:p>
    <w:p w:rsidR="00294880" w:rsidRDefault="00294880" w:rsidP="001309A9">
      <w:pPr>
        <w:spacing w:after="0" w:line="360" w:lineRule="auto"/>
        <w:jc w:val="both"/>
        <w:rPr>
          <w:rFonts w:ascii="Times New Roman" w:eastAsiaTheme="minorHAnsi" w:hAnsi="Times New Roman"/>
          <w:b/>
          <w:color w:val="000000" w:themeColor="text1"/>
          <w:sz w:val="24"/>
          <w:szCs w:val="24"/>
          <w:lang w:eastAsia="en-IN"/>
        </w:rPr>
      </w:pPr>
    </w:p>
    <w:p w:rsidR="001309A9" w:rsidRPr="001309A9" w:rsidRDefault="001309A9" w:rsidP="001309A9">
      <w:pPr>
        <w:spacing w:after="0" w:line="360" w:lineRule="auto"/>
        <w:jc w:val="both"/>
        <w:rPr>
          <w:rFonts w:ascii="Times New Roman" w:eastAsiaTheme="minorHAnsi" w:hAnsi="Times New Roman"/>
          <w:b/>
          <w:color w:val="000000" w:themeColor="text1"/>
          <w:sz w:val="24"/>
          <w:szCs w:val="24"/>
          <w:lang w:eastAsia="en-IN"/>
        </w:rPr>
      </w:pPr>
      <w:r w:rsidRPr="001309A9">
        <w:rPr>
          <w:rFonts w:ascii="Times New Roman" w:eastAsiaTheme="minorHAnsi" w:hAnsi="Times New Roman"/>
          <w:b/>
          <w:color w:val="000000" w:themeColor="text1"/>
          <w:sz w:val="24"/>
          <w:szCs w:val="24"/>
          <w:lang w:eastAsia="en-IN"/>
        </w:rPr>
        <w:lastRenderedPageBreak/>
        <w:t>Statement of the Problem</w:t>
      </w:r>
    </w:p>
    <w:p w:rsidR="00E97239" w:rsidRPr="00BB3239" w:rsidRDefault="001309A9" w:rsidP="00BB3239">
      <w:pPr>
        <w:spacing w:line="360" w:lineRule="auto"/>
        <w:jc w:val="both"/>
        <w:rPr>
          <w:rFonts w:ascii="Times New Roman" w:eastAsiaTheme="minorHAnsi" w:hAnsi="Times New Roman"/>
          <w:sz w:val="24"/>
          <w:szCs w:val="24"/>
        </w:rPr>
      </w:pPr>
      <w:r w:rsidRPr="001309A9">
        <w:rPr>
          <w:rFonts w:ascii="Times New Roman" w:eastAsiaTheme="minorHAnsi" w:hAnsi="Times New Roman"/>
          <w:sz w:val="24"/>
          <w:szCs w:val="24"/>
        </w:rPr>
        <w:t>Different states have different SEZ stories to tell, while some State has done exceedingly well, but others are not up to expectation. Govt. of Kerala SEZ Policy (2008) have been planned to suit the interests of the Indian state in particular. Kerala is located in the South Western section of the country, with the strategic district of Cochin very near the international maritime highway. From the Govt. of Kerala SEZ Policy it is denoted that the state can use this zone for the production of goods and services for export-oriented activities. The Govt. of Kerala SEZ Policy is so framed to speed up the Kerala economy along with its infrastructure to make the production of the state more export oriented for the world market. The state is offering various kinds of incentives, concessions and exemptions to the business units operating in the special economic zones. No serious research was conducted on the performance evaluation of special economic zone units in the state of Kerala. It</w:t>
      </w:r>
      <w:r>
        <w:rPr>
          <w:rFonts w:ascii="Times New Roman" w:eastAsiaTheme="minorHAnsi" w:hAnsi="Times New Roman"/>
          <w:sz w:val="24"/>
          <w:szCs w:val="24"/>
        </w:rPr>
        <w:t xml:space="preserve"> has been made</w:t>
      </w:r>
      <w:r w:rsidRPr="001309A9">
        <w:rPr>
          <w:rFonts w:ascii="Times New Roman" w:eastAsiaTheme="minorHAnsi" w:hAnsi="Times New Roman"/>
          <w:sz w:val="24"/>
          <w:szCs w:val="24"/>
        </w:rPr>
        <w:t xml:space="preserve"> an attempt to study on the performance evaluation of special economic zo</w:t>
      </w:r>
      <w:r w:rsidR="00BB3239">
        <w:rPr>
          <w:rFonts w:ascii="Times New Roman" w:eastAsiaTheme="minorHAnsi" w:hAnsi="Times New Roman"/>
          <w:sz w:val="24"/>
          <w:szCs w:val="24"/>
        </w:rPr>
        <w:t>ne units in the state of Kerala in terms of Capital Investments.</w:t>
      </w:r>
    </w:p>
    <w:p w:rsidR="00E97239" w:rsidRDefault="00BB3239" w:rsidP="00E97239">
      <w:pPr>
        <w:autoSpaceDE w:val="0"/>
        <w:autoSpaceDN w:val="0"/>
        <w:adjustRightInd w:val="0"/>
        <w:spacing w:after="0" w:line="360" w:lineRule="auto"/>
        <w:jc w:val="both"/>
        <w:rPr>
          <w:rFonts w:ascii="Times New Roman"/>
          <w:color w:val="000000"/>
          <w:sz w:val="24"/>
          <w:szCs w:val="24"/>
        </w:rPr>
      </w:pPr>
      <w:r>
        <w:rPr>
          <w:rFonts w:ascii="Times New Roman" w:hAnsi="Times New Roman"/>
          <w:b/>
          <w:sz w:val="24"/>
          <w:szCs w:val="24"/>
        </w:rPr>
        <w:t>Review of Literature</w:t>
      </w:r>
    </w:p>
    <w:p w:rsidR="00294880" w:rsidRDefault="00E97239" w:rsidP="00294880">
      <w:pPr>
        <w:autoSpaceDE w:val="0"/>
        <w:autoSpaceDN w:val="0"/>
        <w:adjustRightInd w:val="0"/>
        <w:spacing w:after="0" w:line="360" w:lineRule="auto"/>
        <w:jc w:val="both"/>
        <w:rPr>
          <w:rFonts w:ascii="Times New Roman" w:hAnsi="Times New Roman"/>
          <w:color w:val="000000"/>
          <w:sz w:val="24"/>
          <w:szCs w:val="24"/>
          <w:lang w:val="en-IN"/>
        </w:rPr>
      </w:pPr>
      <w:r>
        <w:rPr>
          <w:rFonts w:ascii="Times New Roman" w:hAnsi="Times New Roman"/>
          <w:color w:val="000000"/>
          <w:sz w:val="24"/>
          <w:szCs w:val="24"/>
        </w:rPr>
        <w:t>NSSO, (2003), in a report on  ‘Some Aspects of Operational Land Holdings in India, stated that  in India’s largely agriculture based economy, questions of access to and control over land remain critical to, rural poverty and well-being. Recent estimates show that the nation’s land-holding pattern continues to be sharply skewed with 95.65 per cent of the farmers, within the small and the marginal categories owning approximately 62 per cent of the operated land areas; while medium and large farmers, who constitute a mere 3.5 per cent of the total farmers, own 37.72 per cent of the total area. Banerjee-Guha, Swapna (2008), in an article on ‘Space Relations of Capital and Significance of New Economic Enclaves: SEZs in India’ pointed out that the pattern of concentration in urban areas is consistent with the hypothesis that SEZs are driven by motivations of acquiring real estate or, as some have noted, by a logic of “accumulation by dis-possession”. These consequences reinforce the concerns that have already been expressed regarding other negative consequences of SEZs, primarily on land acquisition. They strengthen the suspicion that while the costs of SEZs are quite real, the benefits of SEZs are not substantial.</w:t>
      </w:r>
    </w:p>
    <w:p w:rsidR="00CA0EA4" w:rsidRPr="00CA0EA4" w:rsidRDefault="00CA0EA4" w:rsidP="00CA0EA4">
      <w:pPr>
        <w:spacing w:line="360" w:lineRule="auto"/>
        <w:jc w:val="both"/>
        <w:rPr>
          <w:rFonts w:ascii="Times New Roman" w:eastAsiaTheme="minorHAnsi" w:hAnsi="Times New Roman"/>
          <w:b/>
          <w:sz w:val="24"/>
          <w:szCs w:val="24"/>
        </w:rPr>
      </w:pPr>
      <w:r w:rsidRPr="00CA0EA4">
        <w:rPr>
          <w:rFonts w:ascii="Times New Roman" w:eastAsiaTheme="minorHAnsi" w:hAnsi="Times New Roman"/>
          <w:b/>
          <w:color w:val="000000" w:themeColor="text1"/>
          <w:sz w:val="24"/>
          <w:szCs w:val="24"/>
        </w:rPr>
        <w:t>Scope of the Study</w:t>
      </w:r>
    </w:p>
    <w:p w:rsidR="00CA0EA4" w:rsidRPr="009C7C87" w:rsidRDefault="00CA0EA4" w:rsidP="009C7C87">
      <w:pPr>
        <w:spacing w:line="360" w:lineRule="auto"/>
        <w:jc w:val="both"/>
        <w:rPr>
          <w:rFonts w:ascii="Times New Roman" w:eastAsiaTheme="minorHAnsi" w:hAnsi="Times New Roman"/>
          <w:b/>
          <w:color w:val="000000" w:themeColor="text1"/>
          <w:sz w:val="24"/>
          <w:szCs w:val="24"/>
        </w:rPr>
      </w:pPr>
      <w:r w:rsidRPr="00CA0EA4">
        <w:rPr>
          <w:rFonts w:ascii="Times New Roman" w:eastAsiaTheme="minorHAnsi" w:hAnsi="Times New Roman"/>
          <w:color w:val="000000" w:themeColor="text1"/>
          <w:sz w:val="24"/>
          <w:szCs w:val="24"/>
        </w:rPr>
        <w:t xml:space="preserve">The present study is mainly concentrated on Special Economic Zone which is operated by the Central Government in the state of Kerala to evaluate the performance Special Economic Zone. It considers the development of SEZs in the States. </w:t>
      </w:r>
      <w:r w:rsidR="009C7C87">
        <w:rPr>
          <w:rFonts w:ascii="Times New Roman" w:eastAsiaTheme="minorHAnsi" w:hAnsi="Times New Roman"/>
          <w:color w:val="000000" w:themeColor="text1"/>
          <w:sz w:val="24"/>
          <w:szCs w:val="24"/>
        </w:rPr>
        <w:t xml:space="preserve">As this study </w:t>
      </w:r>
      <w:r w:rsidRPr="00CA0EA4">
        <w:rPr>
          <w:rFonts w:ascii="Times New Roman" w:eastAsiaTheme="minorHAnsi" w:hAnsi="Times New Roman"/>
          <w:color w:val="000000" w:themeColor="text1"/>
          <w:sz w:val="24"/>
          <w:szCs w:val="24"/>
        </w:rPr>
        <w:t xml:space="preserve"> examines the major </w:t>
      </w:r>
      <w:r w:rsidRPr="00CA0EA4">
        <w:rPr>
          <w:rFonts w:ascii="Times New Roman" w:eastAsiaTheme="minorHAnsi" w:hAnsi="Times New Roman"/>
          <w:color w:val="000000" w:themeColor="text1"/>
          <w:sz w:val="24"/>
          <w:szCs w:val="24"/>
        </w:rPr>
        <w:lastRenderedPageBreak/>
        <w:t>Capital Investments</w:t>
      </w:r>
      <w:r w:rsidR="009C7C87">
        <w:rPr>
          <w:rFonts w:ascii="Times New Roman" w:eastAsiaTheme="minorHAnsi" w:hAnsi="Times New Roman"/>
          <w:color w:val="000000" w:themeColor="text1"/>
          <w:sz w:val="24"/>
          <w:szCs w:val="24"/>
        </w:rPr>
        <w:t xml:space="preserve"> in Special Economic Zones in Kerala especially Trivandrum, Kochi/</w:t>
      </w:r>
      <w:r w:rsidR="00981E8A">
        <w:rPr>
          <w:rFonts w:ascii="Times New Roman" w:eastAsiaTheme="minorHAnsi" w:hAnsi="Times New Roman"/>
          <w:color w:val="000000" w:themeColor="text1"/>
          <w:sz w:val="24"/>
          <w:szCs w:val="24"/>
        </w:rPr>
        <w:t>Ernakulum</w:t>
      </w:r>
      <w:r w:rsidR="009C7C87">
        <w:rPr>
          <w:rFonts w:ascii="Times New Roman" w:eastAsiaTheme="minorHAnsi" w:hAnsi="Times New Roman"/>
          <w:color w:val="000000" w:themeColor="text1"/>
          <w:sz w:val="24"/>
          <w:szCs w:val="24"/>
        </w:rPr>
        <w:t xml:space="preserve"> and Kozhikode</w:t>
      </w:r>
      <w:r w:rsidRPr="00CA0EA4">
        <w:rPr>
          <w:rFonts w:ascii="Times New Roman" w:eastAsiaTheme="minorHAnsi" w:hAnsi="Times New Roman"/>
          <w:color w:val="000000" w:themeColor="text1"/>
          <w:sz w:val="24"/>
          <w:szCs w:val="24"/>
        </w:rPr>
        <w:t>..</w:t>
      </w:r>
      <w:r w:rsidR="00E66FB9" w:rsidRPr="00CA0EA4">
        <w:rPr>
          <w:rFonts w:ascii="Times New Roman" w:eastAsiaTheme="minorHAnsi" w:hAnsi="Times New Roman"/>
          <w:b/>
          <w:color w:val="000000" w:themeColor="text1"/>
          <w:sz w:val="24"/>
          <w:szCs w:val="24"/>
        </w:rPr>
        <w:fldChar w:fldCharType="begin"/>
      </w:r>
      <w:r w:rsidRPr="00CA0EA4">
        <w:rPr>
          <w:rFonts w:ascii="Times New Roman" w:eastAsiaTheme="minorHAnsi" w:hAnsi="Times New Roman"/>
          <w:b/>
          <w:color w:val="000000" w:themeColor="text1"/>
          <w:sz w:val="24"/>
          <w:szCs w:val="24"/>
        </w:rPr>
        <w:instrText>tc "The present study is mainly concentrated in Kerala. The basic concept of Special Economic Zone (SEZ) were sown in the mid sixties. The basic model of the present day Indian Special Economic Zone was structured with the establishment of the first Export processing zone at Kandla in the year 1965.  The present day Special Economic Zone  policies of India are well complimented by the ‘The Special Economic Zones Act, 2005’ and SEZ Rules 2006. SEZ in Kerala facing a number of challenges than the otherstates. As this study concentrates on the problems and prospects of Special Economic Zone in KERALA."</w:instrText>
      </w:r>
      <w:r w:rsidR="00E66FB9" w:rsidRPr="00CA0EA4">
        <w:rPr>
          <w:rFonts w:ascii="Times New Roman" w:eastAsiaTheme="minorHAnsi" w:hAnsi="Times New Roman"/>
          <w:b/>
          <w:color w:val="000000" w:themeColor="text1"/>
          <w:sz w:val="24"/>
          <w:szCs w:val="24"/>
        </w:rPr>
        <w:fldChar w:fldCharType="end"/>
      </w:r>
    </w:p>
    <w:p w:rsidR="00E97239" w:rsidRDefault="005470F2" w:rsidP="00E97239">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Objectives o</w:t>
      </w:r>
      <w:r w:rsidR="00796998">
        <w:rPr>
          <w:rFonts w:ascii="Times New Roman" w:hAnsi="Times New Roman"/>
          <w:b/>
          <w:sz w:val="24"/>
          <w:szCs w:val="24"/>
        </w:rPr>
        <w:t>f t</w:t>
      </w:r>
      <w:r>
        <w:rPr>
          <w:rFonts w:ascii="Times New Roman" w:hAnsi="Times New Roman"/>
          <w:b/>
          <w:sz w:val="24"/>
          <w:szCs w:val="24"/>
        </w:rPr>
        <w:t>he Study</w:t>
      </w:r>
    </w:p>
    <w:p w:rsidR="00294880" w:rsidRPr="009C7C87" w:rsidRDefault="005470F2" w:rsidP="0092600F">
      <w:pPr>
        <w:spacing w:line="360" w:lineRule="auto"/>
        <w:ind w:left="720"/>
        <w:jc w:val="both"/>
        <w:rPr>
          <w:rFonts w:ascii="Times New Roman" w:hAnsi="Times New Roman"/>
          <w:color w:val="000000" w:themeColor="text1"/>
        </w:rPr>
      </w:pPr>
      <w:r>
        <w:rPr>
          <w:rFonts w:ascii="Times New Roman" w:hAnsi="Times New Roman"/>
          <w:color w:val="000000" w:themeColor="text1"/>
          <w:sz w:val="24"/>
          <w:szCs w:val="24"/>
        </w:rPr>
        <w:t>1</w:t>
      </w:r>
      <w:r w:rsidRPr="00FC19E5">
        <w:rPr>
          <w:rFonts w:ascii="Times New Roman" w:hAnsi="Times New Roman"/>
          <w:color w:val="000000" w:themeColor="text1"/>
          <w:sz w:val="24"/>
          <w:szCs w:val="24"/>
        </w:rPr>
        <w:t xml:space="preserve">. </w:t>
      </w:r>
      <w:r w:rsidR="0092600F">
        <w:rPr>
          <w:rFonts w:ascii="Times New Roman" w:hAnsi="Times New Roman"/>
          <w:color w:val="000000" w:themeColor="text1"/>
        </w:rPr>
        <w:t>To examine the development of Infrastructure</w:t>
      </w:r>
      <w:r w:rsidRPr="00BF189C">
        <w:rPr>
          <w:rFonts w:ascii="Times New Roman" w:hAnsi="Times New Roman"/>
          <w:color w:val="000000" w:themeColor="text1"/>
        </w:rPr>
        <w:t xml:space="preserve"> in the Special Economic zone Units in the State of Kerala.</w:t>
      </w:r>
    </w:p>
    <w:p w:rsidR="005470F2" w:rsidRPr="000D46F5" w:rsidRDefault="005470F2" w:rsidP="005470F2">
      <w:pPr>
        <w:pStyle w:val="ListParagraph"/>
        <w:tabs>
          <w:tab w:val="left" w:pos="567"/>
        </w:tabs>
        <w:spacing w:before="200" w:after="80" w:line="360" w:lineRule="auto"/>
        <w:ind w:left="0"/>
        <w:jc w:val="both"/>
        <w:rPr>
          <w:rFonts w:ascii="Times New Roman" w:hAnsi="Times New Roman"/>
          <w:b/>
          <w:color w:val="000000" w:themeColor="text1"/>
          <w:sz w:val="24"/>
          <w:szCs w:val="24"/>
          <w:lang w:eastAsia="en-IN"/>
        </w:rPr>
      </w:pPr>
      <w:r>
        <w:rPr>
          <w:rFonts w:ascii="Times New Roman" w:hAnsi="Times New Roman"/>
          <w:b/>
          <w:color w:val="000000" w:themeColor="text1"/>
          <w:sz w:val="24"/>
          <w:szCs w:val="24"/>
          <w:lang w:eastAsia="en-IN"/>
        </w:rPr>
        <w:t>Hypotheses of t</w:t>
      </w:r>
      <w:r w:rsidRPr="000D46F5">
        <w:rPr>
          <w:rFonts w:ascii="Times New Roman" w:hAnsi="Times New Roman"/>
          <w:b/>
          <w:color w:val="000000" w:themeColor="text1"/>
          <w:sz w:val="24"/>
          <w:szCs w:val="24"/>
          <w:lang w:eastAsia="en-IN"/>
        </w:rPr>
        <w:t>he Study</w:t>
      </w:r>
    </w:p>
    <w:p w:rsidR="005470F2" w:rsidRPr="008C0A35" w:rsidRDefault="008009E8" w:rsidP="005470F2">
      <w:pPr>
        <w:pStyle w:val="ListParagraph"/>
        <w:numPr>
          <w:ilvl w:val="0"/>
          <w:numId w:val="1"/>
        </w:numPr>
        <w:spacing w:after="120" w:line="360" w:lineRule="auto"/>
        <w:contextualSpacing w:val="0"/>
        <w:jc w:val="both"/>
        <w:rPr>
          <w:rFonts w:ascii="Times New Roman" w:hAnsi="Times New Roman"/>
          <w:sz w:val="24"/>
          <w:szCs w:val="24"/>
        </w:rPr>
      </w:pPr>
      <w:r>
        <w:rPr>
          <w:rFonts w:ascii="Times New Roman" w:hAnsi="Times New Roman"/>
          <w:sz w:val="24"/>
          <w:szCs w:val="24"/>
        </w:rPr>
        <w:t>Ho</w:t>
      </w:r>
      <w:r w:rsidR="005470F2" w:rsidRPr="008C0A35">
        <w:rPr>
          <w:rFonts w:ascii="Times New Roman" w:hAnsi="Times New Roman"/>
          <w:sz w:val="24"/>
          <w:szCs w:val="24"/>
        </w:rPr>
        <w:t>: There exists no significant correlation between the indepen</w:t>
      </w:r>
      <w:r w:rsidR="00981E8A">
        <w:rPr>
          <w:rFonts w:ascii="Times New Roman" w:hAnsi="Times New Roman"/>
          <w:sz w:val="24"/>
          <w:szCs w:val="24"/>
        </w:rPr>
        <w:t xml:space="preserve">dent variable </w:t>
      </w:r>
      <w:r w:rsidR="0092600F">
        <w:rPr>
          <w:rFonts w:ascii="Times New Roman" w:hAnsi="Times New Roman"/>
          <w:sz w:val="24"/>
          <w:szCs w:val="24"/>
        </w:rPr>
        <w:t xml:space="preserve">infrastructure </w:t>
      </w:r>
      <w:r w:rsidR="0092600F" w:rsidRPr="008C0A35">
        <w:rPr>
          <w:rFonts w:ascii="Times New Roman" w:hAnsi="Times New Roman"/>
          <w:sz w:val="24"/>
          <w:szCs w:val="24"/>
        </w:rPr>
        <w:t>and</w:t>
      </w:r>
      <w:r w:rsidR="005470F2" w:rsidRPr="008C0A35">
        <w:rPr>
          <w:rFonts w:ascii="Times New Roman" w:hAnsi="Times New Roman"/>
          <w:sz w:val="24"/>
          <w:szCs w:val="24"/>
        </w:rPr>
        <w:t xml:space="preserve"> the dependent variable</w:t>
      </w:r>
      <w:r w:rsidR="0092600F">
        <w:rPr>
          <w:rFonts w:ascii="Times New Roman" w:hAnsi="Times New Roman"/>
          <w:sz w:val="24"/>
          <w:szCs w:val="24"/>
        </w:rPr>
        <w:t xml:space="preserve"> Performance of SEZ units.</w:t>
      </w:r>
    </w:p>
    <w:p w:rsidR="005470F2" w:rsidRPr="000D46F5" w:rsidRDefault="005470F2" w:rsidP="005470F2">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Population of t</w:t>
      </w:r>
      <w:r w:rsidRPr="000D46F5">
        <w:rPr>
          <w:rFonts w:ascii="Times New Roman" w:hAnsi="Times New Roman"/>
          <w:b/>
          <w:color w:val="000000" w:themeColor="text1"/>
          <w:sz w:val="24"/>
          <w:szCs w:val="24"/>
        </w:rPr>
        <w:t>he Study</w:t>
      </w:r>
    </w:p>
    <w:p w:rsidR="00294880" w:rsidRPr="00294880" w:rsidRDefault="005470F2" w:rsidP="00294880">
      <w:pPr>
        <w:spacing w:after="0" w:line="360" w:lineRule="auto"/>
        <w:jc w:val="both"/>
        <w:rPr>
          <w:rFonts w:ascii="Times New Roman" w:hAnsi="Times New Roman"/>
          <w:color w:val="000000" w:themeColor="text1"/>
          <w:sz w:val="24"/>
          <w:szCs w:val="24"/>
        </w:rPr>
      </w:pPr>
      <w:r w:rsidRPr="000D46F5">
        <w:rPr>
          <w:rFonts w:ascii="Times New Roman" w:hAnsi="Times New Roman"/>
          <w:color w:val="000000" w:themeColor="text1"/>
          <w:sz w:val="24"/>
          <w:szCs w:val="24"/>
        </w:rPr>
        <w:t xml:space="preserve">Currently, there are about </w:t>
      </w:r>
      <w:r w:rsidRPr="000D46F5">
        <w:rPr>
          <w:rFonts w:ascii="Times New Roman" w:hAnsi="Times New Roman"/>
          <w:bCs/>
          <w:color w:val="000000" w:themeColor="text1"/>
          <w:sz w:val="24"/>
          <w:szCs w:val="24"/>
        </w:rPr>
        <w:t>204</w:t>
      </w:r>
      <w:r w:rsidRPr="000D46F5">
        <w:rPr>
          <w:rFonts w:ascii="Times New Roman" w:hAnsi="Times New Roman"/>
          <w:color w:val="000000" w:themeColor="text1"/>
          <w:sz w:val="24"/>
          <w:szCs w:val="24"/>
        </w:rPr>
        <w:t xml:space="preserve"> Operational Special</w:t>
      </w:r>
      <w:r>
        <w:rPr>
          <w:rFonts w:ascii="Times New Roman" w:hAnsi="Times New Roman"/>
          <w:color w:val="000000" w:themeColor="text1"/>
          <w:sz w:val="24"/>
          <w:szCs w:val="24"/>
        </w:rPr>
        <w:t xml:space="preserve"> Economic Zones (as on March</w:t>
      </w:r>
      <w:r w:rsidR="009A1E54">
        <w:rPr>
          <w:rFonts w:ascii="Times New Roman" w:hAnsi="Times New Roman"/>
          <w:color w:val="000000" w:themeColor="text1"/>
          <w:sz w:val="24"/>
          <w:szCs w:val="24"/>
        </w:rPr>
        <w:t xml:space="preserve"> 2023</w:t>
      </w:r>
      <w:r w:rsidRPr="000D46F5">
        <w:rPr>
          <w:rFonts w:ascii="Times New Roman" w:hAnsi="Times New Roman"/>
          <w:color w:val="000000" w:themeColor="text1"/>
          <w:sz w:val="24"/>
          <w:szCs w:val="24"/>
        </w:rPr>
        <w:t xml:space="preserve">) operating throughout </w:t>
      </w:r>
      <w:hyperlink r:id="rId7" w:tooltip="India" w:history="1">
        <w:r w:rsidRPr="008033AE">
          <w:rPr>
            <w:rStyle w:val="Hyperlink"/>
            <w:rFonts w:ascii="Times New Roman" w:hAnsi="Times New Roman"/>
            <w:color w:val="000000" w:themeColor="text1"/>
            <w:sz w:val="24"/>
            <w:szCs w:val="24"/>
          </w:rPr>
          <w:t>India</w:t>
        </w:r>
      </w:hyperlink>
      <w:r w:rsidRPr="000D46F5">
        <w:rPr>
          <w:rFonts w:ascii="Times New Roman" w:hAnsi="Times New Roman"/>
          <w:color w:val="000000" w:themeColor="text1"/>
          <w:sz w:val="24"/>
          <w:szCs w:val="24"/>
        </w:rPr>
        <w:t>. In Kerala there are Sixteen (16) Operational Special Economic Zones (SEZs) and 300 Special Economic Zone Units have been operated in the State of Kerala and total of 21,778 employees are wo</w:t>
      </w:r>
      <w:r w:rsidR="00294880">
        <w:rPr>
          <w:rFonts w:ascii="Times New Roman" w:hAnsi="Times New Roman"/>
          <w:color w:val="000000" w:themeColor="text1"/>
          <w:sz w:val="24"/>
          <w:szCs w:val="24"/>
        </w:rPr>
        <w:t>rking in these Zones.</w:t>
      </w:r>
    </w:p>
    <w:p w:rsidR="005470F2" w:rsidRPr="00294880" w:rsidRDefault="005470F2" w:rsidP="00294880">
      <w:pPr>
        <w:tabs>
          <w:tab w:val="left" w:pos="1519"/>
        </w:tabs>
        <w:rPr>
          <w:rFonts w:ascii="Times New Roman" w:eastAsia="Times New Roman" w:hAnsi="Times New Roman"/>
          <w:color w:val="000000" w:themeColor="text1"/>
          <w:spacing w:val="15"/>
          <w:sz w:val="24"/>
          <w:szCs w:val="24"/>
        </w:rPr>
      </w:pPr>
      <w:r w:rsidRPr="00294880">
        <w:rPr>
          <w:rFonts w:ascii="Times New Roman" w:hAnsi="Times New Roman"/>
          <w:b/>
          <w:color w:val="000000" w:themeColor="text1"/>
          <w:sz w:val="24"/>
          <w:szCs w:val="24"/>
        </w:rPr>
        <w:t>Samples of the Study</w:t>
      </w:r>
      <w:r w:rsidR="00E66FB9" w:rsidRPr="00294880">
        <w:rPr>
          <w:rFonts w:ascii="Times New Roman" w:eastAsia="Times New Roman" w:hAnsi="Times New Roman"/>
          <w:color w:val="000000" w:themeColor="text1"/>
          <w:spacing w:val="15"/>
          <w:sz w:val="24"/>
          <w:szCs w:val="24"/>
        </w:rPr>
        <w:fldChar w:fldCharType="begin"/>
      </w:r>
      <w:r w:rsidRPr="00294880">
        <w:rPr>
          <w:rFonts w:ascii="Times New Roman" w:eastAsia="Times New Roman" w:hAnsi="Times New Roman"/>
          <w:color w:val="000000" w:themeColor="text1"/>
          <w:spacing w:val="15"/>
          <w:sz w:val="24"/>
          <w:szCs w:val="24"/>
        </w:rPr>
        <w:instrText>tc "II. Sampling"</w:instrText>
      </w:r>
      <w:r w:rsidR="00E66FB9" w:rsidRPr="00294880">
        <w:rPr>
          <w:rFonts w:ascii="Times New Roman" w:eastAsia="Times New Roman" w:hAnsi="Times New Roman"/>
          <w:color w:val="000000" w:themeColor="text1"/>
          <w:spacing w:val="15"/>
          <w:sz w:val="24"/>
          <w:szCs w:val="24"/>
        </w:rPr>
        <w:fldChar w:fldCharType="end"/>
      </w:r>
    </w:p>
    <w:p w:rsidR="00B8744D" w:rsidRPr="00533A18" w:rsidRDefault="005470F2" w:rsidP="00533A18">
      <w:pPr>
        <w:pStyle w:val="Matter"/>
        <w:spacing w:after="120" w:line="360" w:lineRule="auto"/>
        <w:ind w:firstLine="0"/>
        <w:rPr>
          <w:color w:val="000000" w:themeColor="text1"/>
          <w:sz w:val="24"/>
          <w:szCs w:val="24"/>
        </w:rPr>
      </w:pPr>
      <w:r w:rsidRPr="000D46F5">
        <w:rPr>
          <w:color w:val="000000" w:themeColor="text1"/>
          <w:sz w:val="24"/>
          <w:szCs w:val="24"/>
        </w:rPr>
        <w:t>Area sampling method has been used for selecting the four areas from the State of Kerala namely Trivandrum from the south side of the State, from the middle side of the State Ernakulum and Kochi were selected and Kozhikode was selected from the north side of the State. Stratified Random Sampling method has been used for the selection of employees from these Special Economic Zone Units for the study.</w:t>
      </w:r>
    </w:p>
    <w:p w:rsidR="005470F2" w:rsidRPr="00AE3DAD" w:rsidRDefault="00BB3239" w:rsidP="005470F2">
      <w:pPr>
        <w:tabs>
          <w:tab w:val="left" w:pos="1410"/>
        </w:tabs>
        <w:spacing w:after="0"/>
        <w:jc w:val="center"/>
        <w:rPr>
          <w:rFonts w:ascii="Times New Roman" w:hAnsi="Times New Roman"/>
          <w:b/>
          <w:i/>
          <w:color w:val="000000" w:themeColor="text1"/>
          <w:sz w:val="24"/>
          <w:szCs w:val="24"/>
        </w:rPr>
      </w:pPr>
      <w:r>
        <w:rPr>
          <w:rFonts w:ascii="Times New Roman" w:hAnsi="Times New Roman"/>
          <w:b/>
          <w:i/>
          <w:color w:val="000000" w:themeColor="text1"/>
          <w:sz w:val="24"/>
          <w:szCs w:val="24"/>
        </w:rPr>
        <w:t>Table: 1</w:t>
      </w:r>
    </w:p>
    <w:p w:rsidR="005470F2" w:rsidRPr="00AE3DAD" w:rsidRDefault="005470F2" w:rsidP="005470F2">
      <w:pPr>
        <w:tabs>
          <w:tab w:val="left" w:pos="1410"/>
        </w:tabs>
        <w:spacing w:after="0"/>
        <w:jc w:val="center"/>
        <w:rPr>
          <w:rFonts w:ascii="Times New Roman" w:hAnsi="Times New Roman"/>
          <w:b/>
          <w:i/>
          <w:color w:val="000000" w:themeColor="text1"/>
          <w:sz w:val="24"/>
          <w:szCs w:val="24"/>
        </w:rPr>
      </w:pPr>
      <w:r w:rsidRPr="00AE3DAD">
        <w:rPr>
          <w:rFonts w:ascii="Times New Roman" w:hAnsi="Times New Roman"/>
          <w:b/>
          <w:i/>
          <w:color w:val="000000" w:themeColor="text1"/>
          <w:sz w:val="24"/>
          <w:szCs w:val="24"/>
        </w:rPr>
        <w:t xml:space="preserve">Sample of the Special Economic Zones in the State of Kerala                                                                                               </w:t>
      </w:r>
    </w:p>
    <w:tbl>
      <w:tblPr>
        <w:tblW w:w="9320" w:type="dxa"/>
        <w:jc w:val="center"/>
        <w:tblInd w:w="39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990"/>
        <w:gridCol w:w="1276"/>
        <w:gridCol w:w="1701"/>
        <w:gridCol w:w="1984"/>
        <w:gridCol w:w="2369"/>
      </w:tblGrid>
      <w:tr w:rsidR="00BB3239" w:rsidRPr="000D46F5" w:rsidTr="00981E8A">
        <w:trPr>
          <w:cantSplit/>
          <w:trHeight w:val="503"/>
          <w:jc w:val="center"/>
        </w:trPr>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239" w:rsidRPr="004F2E67" w:rsidRDefault="00BB3239" w:rsidP="005B3582">
            <w:pPr>
              <w:tabs>
                <w:tab w:val="left" w:pos="1410"/>
              </w:tabs>
              <w:autoSpaceDE w:val="0"/>
              <w:autoSpaceDN w:val="0"/>
              <w:adjustRightInd w:val="0"/>
              <w:spacing w:after="0" w:line="240" w:lineRule="auto"/>
              <w:jc w:val="center"/>
              <w:rPr>
                <w:rFonts w:ascii="Times New Roman" w:hAnsi="Times New Roman"/>
                <w:color w:val="000000" w:themeColor="text1"/>
                <w:sz w:val="24"/>
                <w:szCs w:val="24"/>
              </w:rPr>
            </w:pPr>
            <w:r w:rsidRPr="004F2E67">
              <w:rPr>
                <w:rFonts w:ascii="Times New Roman" w:hAnsi="Times New Roman"/>
                <w:color w:val="000000" w:themeColor="text1"/>
                <w:sz w:val="24"/>
                <w:szCs w:val="24"/>
              </w:rPr>
              <w:t>Location/</w:t>
            </w:r>
          </w:p>
          <w:p w:rsidR="00BB3239" w:rsidRPr="004F2E67" w:rsidRDefault="00BB3239" w:rsidP="005B3582">
            <w:pPr>
              <w:tabs>
                <w:tab w:val="left" w:pos="1410"/>
              </w:tabs>
              <w:autoSpaceDE w:val="0"/>
              <w:autoSpaceDN w:val="0"/>
              <w:adjustRightInd w:val="0"/>
              <w:spacing w:after="0" w:line="240" w:lineRule="auto"/>
              <w:jc w:val="center"/>
              <w:rPr>
                <w:rFonts w:ascii="Times New Roman" w:hAnsi="Times New Roman"/>
                <w:color w:val="000000" w:themeColor="text1"/>
                <w:sz w:val="24"/>
                <w:szCs w:val="24"/>
              </w:rPr>
            </w:pPr>
            <w:r w:rsidRPr="004F2E67">
              <w:rPr>
                <w:rFonts w:ascii="Times New Roman" w:hAnsi="Times New Roman"/>
                <w:color w:val="000000" w:themeColor="text1"/>
                <w:sz w:val="24"/>
                <w:szCs w:val="24"/>
              </w:rPr>
              <w:t>Jurisdiction</w:t>
            </w:r>
          </w:p>
        </w:tc>
        <w:tc>
          <w:tcPr>
            <w:tcW w:w="1276" w:type="dxa"/>
            <w:tcBorders>
              <w:top w:val="single" w:sz="4" w:space="0" w:color="000000" w:themeColor="text1"/>
              <w:left w:val="single" w:sz="4" w:space="0" w:color="auto"/>
              <w:bottom w:val="single" w:sz="4" w:space="0" w:color="000000" w:themeColor="text1"/>
              <w:right w:val="single" w:sz="4" w:space="0" w:color="auto"/>
            </w:tcBorders>
          </w:tcPr>
          <w:p w:rsidR="00BB3239" w:rsidRPr="004F2E67" w:rsidRDefault="00BB3239" w:rsidP="005B3582">
            <w:pPr>
              <w:tabs>
                <w:tab w:val="left" w:pos="1410"/>
              </w:tabs>
              <w:autoSpaceDE w:val="0"/>
              <w:autoSpaceDN w:val="0"/>
              <w:adjustRightInd w:val="0"/>
              <w:spacing w:after="0" w:line="240" w:lineRule="auto"/>
              <w:jc w:val="center"/>
              <w:rPr>
                <w:rFonts w:ascii="Times New Roman" w:hAnsi="Times New Roman"/>
                <w:color w:val="000000" w:themeColor="text1"/>
                <w:sz w:val="24"/>
                <w:szCs w:val="24"/>
              </w:rPr>
            </w:pPr>
            <w:r w:rsidRPr="004F2E67">
              <w:rPr>
                <w:rFonts w:ascii="Times New Roman" w:hAnsi="Times New Roman"/>
                <w:color w:val="000000" w:themeColor="text1"/>
                <w:sz w:val="24"/>
                <w:szCs w:val="24"/>
              </w:rPr>
              <w:t>Total Units</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BB3239" w:rsidRPr="004F2E67" w:rsidRDefault="00BB3239" w:rsidP="005B3582">
            <w:pPr>
              <w:tabs>
                <w:tab w:val="left" w:pos="1410"/>
              </w:tabs>
              <w:autoSpaceDE w:val="0"/>
              <w:autoSpaceDN w:val="0"/>
              <w:adjustRightInd w:val="0"/>
              <w:spacing w:after="0" w:line="240" w:lineRule="auto"/>
              <w:jc w:val="center"/>
              <w:rPr>
                <w:rFonts w:ascii="Times New Roman" w:hAnsi="Times New Roman"/>
                <w:color w:val="000000" w:themeColor="text1"/>
                <w:sz w:val="24"/>
                <w:szCs w:val="24"/>
              </w:rPr>
            </w:pPr>
            <w:r w:rsidRPr="004F2E67">
              <w:rPr>
                <w:rFonts w:ascii="Times New Roman" w:hAnsi="Times New Roman"/>
                <w:color w:val="000000" w:themeColor="text1"/>
                <w:sz w:val="24"/>
                <w:szCs w:val="24"/>
              </w:rPr>
              <w:t>Sample Size  For Units</w:t>
            </w:r>
          </w:p>
        </w:tc>
        <w:tc>
          <w:tcPr>
            <w:tcW w:w="1984" w:type="dxa"/>
            <w:tcBorders>
              <w:top w:val="single" w:sz="4" w:space="0" w:color="000000" w:themeColor="text1"/>
              <w:left w:val="single" w:sz="4" w:space="0" w:color="auto"/>
              <w:bottom w:val="single" w:sz="4" w:space="0" w:color="000000" w:themeColor="text1"/>
              <w:right w:val="single" w:sz="4" w:space="0" w:color="auto"/>
            </w:tcBorders>
          </w:tcPr>
          <w:p w:rsidR="00BB3239" w:rsidRPr="004F2E67" w:rsidRDefault="00BB3239" w:rsidP="005B3582">
            <w:pPr>
              <w:jc w:val="center"/>
              <w:rPr>
                <w:rFonts w:ascii="Times New Roman" w:hAnsi="Times New Roman"/>
                <w:sz w:val="24"/>
                <w:szCs w:val="24"/>
              </w:rPr>
            </w:pPr>
            <w:r w:rsidRPr="004F2E67">
              <w:rPr>
                <w:rFonts w:ascii="Times New Roman" w:hAnsi="Times New Roman"/>
                <w:sz w:val="24"/>
                <w:szCs w:val="24"/>
              </w:rPr>
              <w:t>Total Employees</w:t>
            </w:r>
          </w:p>
        </w:tc>
        <w:tc>
          <w:tcPr>
            <w:tcW w:w="2369" w:type="dxa"/>
            <w:tcBorders>
              <w:top w:val="single" w:sz="4" w:space="0" w:color="000000" w:themeColor="text1"/>
              <w:left w:val="single" w:sz="4" w:space="0" w:color="auto"/>
              <w:bottom w:val="single" w:sz="4" w:space="0" w:color="000000" w:themeColor="text1"/>
              <w:right w:val="single" w:sz="4" w:space="0" w:color="auto"/>
            </w:tcBorders>
          </w:tcPr>
          <w:p w:rsidR="00BB3239" w:rsidRPr="004F2E67" w:rsidRDefault="00BB3239" w:rsidP="005B3582">
            <w:pPr>
              <w:tabs>
                <w:tab w:val="left" w:pos="1410"/>
              </w:tabs>
              <w:autoSpaceDE w:val="0"/>
              <w:autoSpaceDN w:val="0"/>
              <w:adjustRightInd w:val="0"/>
              <w:spacing w:after="0" w:line="240" w:lineRule="auto"/>
              <w:jc w:val="center"/>
              <w:rPr>
                <w:rFonts w:ascii="Times New Roman" w:hAnsi="Times New Roman"/>
                <w:color w:val="000000" w:themeColor="text1"/>
                <w:sz w:val="24"/>
                <w:szCs w:val="24"/>
              </w:rPr>
            </w:pPr>
            <w:r w:rsidRPr="004F2E67">
              <w:rPr>
                <w:rFonts w:ascii="Times New Roman" w:hAnsi="Times New Roman"/>
                <w:color w:val="000000" w:themeColor="text1"/>
                <w:sz w:val="24"/>
                <w:szCs w:val="24"/>
              </w:rPr>
              <w:t>Sample Size For Employees</w:t>
            </w:r>
          </w:p>
        </w:tc>
      </w:tr>
      <w:tr w:rsidR="00BB3239" w:rsidRPr="000D46F5" w:rsidTr="00981E8A">
        <w:trPr>
          <w:trHeight w:val="332"/>
          <w:jc w:val="center"/>
        </w:trPr>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3239" w:rsidRPr="004F2E67" w:rsidRDefault="00BB3239" w:rsidP="005B3582">
            <w:pPr>
              <w:tabs>
                <w:tab w:val="left" w:pos="1410"/>
              </w:tabs>
              <w:autoSpaceDE w:val="0"/>
              <w:autoSpaceDN w:val="0"/>
              <w:adjustRightInd w:val="0"/>
              <w:spacing w:after="0" w:line="240" w:lineRule="auto"/>
              <w:rPr>
                <w:rFonts w:ascii="Times New Roman" w:hAnsi="Times New Roman"/>
                <w:color w:val="000000" w:themeColor="text1"/>
                <w:sz w:val="24"/>
                <w:szCs w:val="24"/>
              </w:rPr>
            </w:pPr>
            <w:r w:rsidRPr="004F2E67">
              <w:rPr>
                <w:rFonts w:ascii="Times New Roman" w:hAnsi="Times New Roman"/>
                <w:color w:val="000000" w:themeColor="text1"/>
                <w:sz w:val="24"/>
                <w:szCs w:val="24"/>
              </w:rPr>
              <w:t>Trivandrum</w:t>
            </w:r>
          </w:p>
        </w:tc>
        <w:tc>
          <w:tcPr>
            <w:tcW w:w="1276" w:type="dxa"/>
            <w:tcBorders>
              <w:top w:val="single" w:sz="4" w:space="0" w:color="000000" w:themeColor="text1"/>
              <w:left w:val="single" w:sz="4" w:space="0" w:color="auto"/>
              <w:bottom w:val="single" w:sz="4" w:space="0" w:color="000000" w:themeColor="text1"/>
              <w:right w:val="single" w:sz="4" w:space="0" w:color="auto"/>
            </w:tcBorders>
          </w:tcPr>
          <w:p w:rsidR="00BB3239" w:rsidRPr="004F2E67" w:rsidRDefault="00BB3239" w:rsidP="005B3582">
            <w:pPr>
              <w:tabs>
                <w:tab w:val="left" w:pos="1410"/>
              </w:tabs>
              <w:autoSpaceDE w:val="0"/>
              <w:autoSpaceDN w:val="0"/>
              <w:adjustRightInd w:val="0"/>
              <w:spacing w:after="0" w:line="240" w:lineRule="auto"/>
              <w:jc w:val="center"/>
              <w:rPr>
                <w:rFonts w:ascii="Times New Roman" w:hAnsi="Times New Roman"/>
                <w:color w:val="000000" w:themeColor="text1"/>
                <w:sz w:val="24"/>
                <w:szCs w:val="24"/>
              </w:rPr>
            </w:pPr>
            <w:r w:rsidRPr="004F2E67">
              <w:rPr>
                <w:rFonts w:ascii="Times New Roman" w:hAnsi="Times New Roman"/>
                <w:color w:val="000000" w:themeColor="text1"/>
                <w:sz w:val="24"/>
                <w:szCs w:val="24"/>
              </w:rPr>
              <w:t>55</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BB3239" w:rsidRPr="004F2E67" w:rsidRDefault="004C13B4" w:rsidP="005B3582">
            <w:pPr>
              <w:tabs>
                <w:tab w:val="left" w:pos="1410"/>
              </w:tabs>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r w:rsidR="00BB3239">
              <w:rPr>
                <w:rFonts w:ascii="Times New Roman" w:hAnsi="Times New Roman"/>
                <w:color w:val="000000" w:themeColor="text1"/>
                <w:sz w:val="24"/>
                <w:szCs w:val="24"/>
              </w:rPr>
              <w:t xml:space="preserve"> (10</w:t>
            </w:r>
            <w:r w:rsidR="00BB3239" w:rsidRPr="004F2E67">
              <w:rPr>
                <w:rFonts w:ascii="Times New Roman" w:hAnsi="Times New Roman"/>
                <w:color w:val="000000" w:themeColor="text1"/>
                <w:sz w:val="24"/>
                <w:szCs w:val="24"/>
              </w:rPr>
              <w:t>%)</w:t>
            </w:r>
          </w:p>
        </w:tc>
        <w:tc>
          <w:tcPr>
            <w:tcW w:w="1984" w:type="dxa"/>
            <w:tcBorders>
              <w:top w:val="single" w:sz="4" w:space="0" w:color="000000" w:themeColor="text1"/>
              <w:left w:val="single" w:sz="4" w:space="0" w:color="auto"/>
              <w:bottom w:val="single" w:sz="4" w:space="0" w:color="000000" w:themeColor="text1"/>
              <w:right w:val="single" w:sz="4" w:space="0" w:color="auto"/>
            </w:tcBorders>
          </w:tcPr>
          <w:p w:rsidR="00BB3239" w:rsidRPr="004F2E67" w:rsidRDefault="00BB3239" w:rsidP="005B3582">
            <w:pPr>
              <w:tabs>
                <w:tab w:val="left" w:pos="1410"/>
              </w:tabs>
              <w:autoSpaceDE w:val="0"/>
              <w:autoSpaceDN w:val="0"/>
              <w:adjustRightInd w:val="0"/>
              <w:spacing w:after="0" w:line="240" w:lineRule="auto"/>
              <w:jc w:val="center"/>
              <w:rPr>
                <w:rFonts w:ascii="Times New Roman" w:hAnsi="Times New Roman"/>
                <w:color w:val="000000" w:themeColor="text1"/>
                <w:sz w:val="24"/>
                <w:szCs w:val="24"/>
              </w:rPr>
            </w:pPr>
            <w:r w:rsidRPr="004F2E67">
              <w:rPr>
                <w:rFonts w:ascii="Times New Roman" w:hAnsi="Times New Roman"/>
                <w:color w:val="000000" w:themeColor="text1"/>
                <w:sz w:val="24"/>
                <w:szCs w:val="24"/>
              </w:rPr>
              <w:t>6,085</w:t>
            </w:r>
          </w:p>
        </w:tc>
        <w:tc>
          <w:tcPr>
            <w:tcW w:w="2369" w:type="dxa"/>
            <w:tcBorders>
              <w:top w:val="single" w:sz="4" w:space="0" w:color="000000" w:themeColor="text1"/>
              <w:left w:val="single" w:sz="4" w:space="0" w:color="auto"/>
              <w:bottom w:val="single" w:sz="4" w:space="0" w:color="000000" w:themeColor="text1"/>
              <w:right w:val="single" w:sz="4" w:space="0" w:color="auto"/>
            </w:tcBorders>
          </w:tcPr>
          <w:p w:rsidR="00BB3239" w:rsidRPr="004F2E67" w:rsidRDefault="00BB3239" w:rsidP="005B3582">
            <w:pPr>
              <w:tabs>
                <w:tab w:val="left" w:pos="1410"/>
              </w:tabs>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60 (1</w:t>
            </w:r>
            <w:r w:rsidRPr="004F2E67">
              <w:rPr>
                <w:rFonts w:ascii="Times New Roman" w:hAnsi="Times New Roman"/>
                <w:color w:val="000000" w:themeColor="text1"/>
                <w:sz w:val="24"/>
                <w:szCs w:val="24"/>
              </w:rPr>
              <w:t>%)</w:t>
            </w:r>
          </w:p>
        </w:tc>
      </w:tr>
      <w:tr w:rsidR="00BB3239" w:rsidRPr="000D46F5" w:rsidTr="00981E8A">
        <w:trPr>
          <w:trHeight w:val="323"/>
          <w:jc w:val="center"/>
        </w:trPr>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3239" w:rsidRPr="004F2E67" w:rsidRDefault="00BB3239" w:rsidP="005B3582">
            <w:pPr>
              <w:tabs>
                <w:tab w:val="left" w:pos="1410"/>
              </w:tabs>
              <w:autoSpaceDE w:val="0"/>
              <w:autoSpaceDN w:val="0"/>
              <w:adjustRightInd w:val="0"/>
              <w:spacing w:after="0" w:line="240" w:lineRule="auto"/>
              <w:rPr>
                <w:rFonts w:ascii="Times New Roman" w:hAnsi="Times New Roman"/>
                <w:color w:val="000000" w:themeColor="text1"/>
                <w:sz w:val="24"/>
                <w:szCs w:val="24"/>
              </w:rPr>
            </w:pPr>
            <w:r w:rsidRPr="004F2E67">
              <w:rPr>
                <w:rFonts w:ascii="Times New Roman" w:hAnsi="Times New Roman"/>
                <w:color w:val="000000" w:themeColor="text1"/>
                <w:sz w:val="24"/>
                <w:szCs w:val="24"/>
              </w:rPr>
              <w:t>Kochi</w:t>
            </w:r>
            <w:r>
              <w:rPr>
                <w:rFonts w:ascii="Times New Roman" w:hAnsi="Times New Roman"/>
                <w:color w:val="000000" w:themeColor="text1"/>
                <w:sz w:val="24"/>
                <w:szCs w:val="24"/>
              </w:rPr>
              <w:t>/Ernakulam</w:t>
            </w:r>
          </w:p>
        </w:tc>
        <w:tc>
          <w:tcPr>
            <w:tcW w:w="1276" w:type="dxa"/>
            <w:tcBorders>
              <w:top w:val="single" w:sz="4" w:space="0" w:color="000000" w:themeColor="text1"/>
              <w:left w:val="single" w:sz="4" w:space="0" w:color="auto"/>
              <w:bottom w:val="single" w:sz="4" w:space="0" w:color="000000" w:themeColor="text1"/>
              <w:right w:val="single" w:sz="4" w:space="0" w:color="auto"/>
            </w:tcBorders>
          </w:tcPr>
          <w:p w:rsidR="00BB3239" w:rsidRPr="004F2E67" w:rsidRDefault="00BB3239" w:rsidP="005B3582">
            <w:pPr>
              <w:jc w:val="center"/>
              <w:rPr>
                <w:rFonts w:ascii="Times New Roman" w:hAnsi="Times New Roman"/>
                <w:color w:val="000000" w:themeColor="text1"/>
                <w:sz w:val="24"/>
                <w:szCs w:val="24"/>
              </w:rPr>
            </w:pPr>
            <w:r>
              <w:rPr>
                <w:rFonts w:ascii="Times New Roman" w:hAnsi="Times New Roman"/>
                <w:color w:val="000000" w:themeColor="text1"/>
                <w:sz w:val="24"/>
                <w:szCs w:val="24"/>
              </w:rPr>
              <w:t>216</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BB3239" w:rsidRPr="004F2E67" w:rsidRDefault="00BB3239" w:rsidP="005B3582">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004C13B4">
              <w:rPr>
                <w:rFonts w:ascii="Times New Roman" w:hAnsi="Times New Roman"/>
                <w:color w:val="000000" w:themeColor="text1"/>
                <w:sz w:val="24"/>
                <w:szCs w:val="24"/>
              </w:rPr>
              <w:t>1</w:t>
            </w:r>
            <w:r>
              <w:rPr>
                <w:rFonts w:ascii="Times New Roman" w:hAnsi="Times New Roman"/>
                <w:color w:val="000000" w:themeColor="text1"/>
                <w:sz w:val="24"/>
                <w:szCs w:val="24"/>
              </w:rPr>
              <w:t xml:space="preserve"> (10</w:t>
            </w:r>
            <w:r w:rsidRPr="004F2E67">
              <w:rPr>
                <w:rFonts w:ascii="Times New Roman" w:hAnsi="Times New Roman"/>
                <w:color w:val="000000" w:themeColor="text1"/>
                <w:sz w:val="24"/>
                <w:szCs w:val="24"/>
              </w:rPr>
              <w:t>%)</w:t>
            </w:r>
          </w:p>
        </w:tc>
        <w:tc>
          <w:tcPr>
            <w:tcW w:w="1984" w:type="dxa"/>
            <w:tcBorders>
              <w:top w:val="single" w:sz="4" w:space="0" w:color="000000" w:themeColor="text1"/>
              <w:left w:val="single" w:sz="4" w:space="0" w:color="auto"/>
              <w:bottom w:val="single" w:sz="4" w:space="0" w:color="000000" w:themeColor="text1"/>
              <w:right w:val="single" w:sz="4" w:space="0" w:color="auto"/>
            </w:tcBorders>
          </w:tcPr>
          <w:p w:rsidR="00BB3239" w:rsidRPr="004F2E67" w:rsidRDefault="00BB3239" w:rsidP="005B3582">
            <w:pPr>
              <w:jc w:val="center"/>
              <w:rPr>
                <w:rFonts w:ascii="Times New Roman" w:hAnsi="Times New Roman"/>
                <w:color w:val="000000" w:themeColor="text1"/>
                <w:sz w:val="24"/>
                <w:szCs w:val="24"/>
              </w:rPr>
            </w:pPr>
            <w:r>
              <w:rPr>
                <w:rFonts w:ascii="Times New Roman" w:hAnsi="Times New Roman"/>
                <w:color w:val="000000" w:themeColor="text1"/>
                <w:sz w:val="24"/>
                <w:szCs w:val="24"/>
              </w:rPr>
              <w:t>15,497</w:t>
            </w:r>
          </w:p>
        </w:tc>
        <w:tc>
          <w:tcPr>
            <w:tcW w:w="2369" w:type="dxa"/>
            <w:tcBorders>
              <w:top w:val="single" w:sz="4" w:space="0" w:color="000000" w:themeColor="text1"/>
              <w:left w:val="single" w:sz="4" w:space="0" w:color="auto"/>
              <w:bottom w:val="single" w:sz="4" w:space="0" w:color="000000" w:themeColor="text1"/>
              <w:right w:val="single" w:sz="4" w:space="0" w:color="auto"/>
            </w:tcBorders>
          </w:tcPr>
          <w:p w:rsidR="00BB3239" w:rsidRPr="004F2E67" w:rsidRDefault="004C13B4" w:rsidP="005B3582">
            <w:pPr>
              <w:jc w:val="center"/>
              <w:rPr>
                <w:rFonts w:ascii="Times New Roman" w:hAnsi="Times New Roman"/>
                <w:color w:val="000000" w:themeColor="text1"/>
                <w:sz w:val="24"/>
                <w:szCs w:val="24"/>
              </w:rPr>
            </w:pPr>
            <w:r>
              <w:rPr>
                <w:rFonts w:ascii="Times New Roman" w:hAnsi="Times New Roman"/>
                <w:color w:val="000000" w:themeColor="text1"/>
                <w:sz w:val="24"/>
                <w:szCs w:val="24"/>
              </w:rPr>
              <w:t>155</w:t>
            </w:r>
            <w:r w:rsidR="00BB3239">
              <w:rPr>
                <w:rFonts w:ascii="Times New Roman" w:hAnsi="Times New Roman"/>
                <w:color w:val="000000" w:themeColor="text1"/>
                <w:sz w:val="24"/>
                <w:szCs w:val="24"/>
              </w:rPr>
              <w:t xml:space="preserve"> (1</w:t>
            </w:r>
            <w:r w:rsidR="00BB3239" w:rsidRPr="004F2E67">
              <w:rPr>
                <w:rFonts w:ascii="Times New Roman" w:hAnsi="Times New Roman"/>
                <w:color w:val="000000" w:themeColor="text1"/>
                <w:sz w:val="24"/>
                <w:szCs w:val="24"/>
              </w:rPr>
              <w:t>%)</w:t>
            </w:r>
          </w:p>
        </w:tc>
      </w:tr>
      <w:tr w:rsidR="00BB3239" w:rsidRPr="000D46F5" w:rsidTr="00981E8A">
        <w:trPr>
          <w:trHeight w:val="242"/>
          <w:jc w:val="center"/>
        </w:trPr>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3239" w:rsidRPr="004F2E67" w:rsidRDefault="00BB3239" w:rsidP="005B3582">
            <w:pPr>
              <w:rPr>
                <w:rFonts w:ascii="Times New Roman" w:hAnsi="Times New Roman"/>
                <w:color w:val="000000" w:themeColor="text1"/>
                <w:sz w:val="24"/>
                <w:szCs w:val="24"/>
              </w:rPr>
            </w:pPr>
            <w:r w:rsidRPr="004F2E67">
              <w:rPr>
                <w:rFonts w:ascii="Times New Roman" w:hAnsi="Times New Roman"/>
                <w:color w:val="000000" w:themeColor="text1"/>
                <w:sz w:val="24"/>
                <w:szCs w:val="24"/>
              </w:rPr>
              <w:t>Kozhikode</w:t>
            </w:r>
          </w:p>
        </w:tc>
        <w:tc>
          <w:tcPr>
            <w:tcW w:w="1276" w:type="dxa"/>
            <w:tcBorders>
              <w:top w:val="single" w:sz="4" w:space="0" w:color="000000" w:themeColor="text1"/>
              <w:left w:val="single" w:sz="4" w:space="0" w:color="auto"/>
              <w:bottom w:val="single" w:sz="4" w:space="0" w:color="000000" w:themeColor="text1"/>
              <w:right w:val="single" w:sz="4" w:space="0" w:color="auto"/>
            </w:tcBorders>
          </w:tcPr>
          <w:p w:rsidR="00BB3239" w:rsidRPr="004F2E67" w:rsidRDefault="00BB3239" w:rsidP="005B3582">
            <w:pPr>
              <w:jc w:val="center"/>
              <w:rPr>
                <w:rFonts w:ascii="Times New Roman" w:hAnsi="Times New Roman"/>
                <w:color w:val="000000" w:themeColor="text1"/>
                <w:sz w:val="24"/>
                <w:szCs w:val="24"/>
              </w:rPr>
            </w:pPr>
            <w:r w:rsidRPr="004F2E67">
              <w:rPr>
                <w:rFonts w:ascii="Times New Roman" w:hAnsi="Times New Roman"/>
                <w:color w:val="000000" w:themeColor="text1"/>
                <w:sz w:val="24"/>
                <w:szCs w:val="24"/>
              </w:rPr>
              <w:t>6</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BB3239" w:rsidRPr="004F2E67" w:rsidRDefault="00BB3239" w:rsidP="005B3582">
            <w:pPr>
              <w:jc w:val="center"/>
              <w:rPr>
                <w:rFonts w:ascii="Times New Roman" w:hAnsi="Times New Roman"/>
                <w:color w:val="000000" w:themeColor="text1"/>
                <w:sz w:val="24"/>
                <w:szCs w:val="24"/>
              </w:rPr>
            </w:pPr>
            <w:r>
              <w:rPr>
                <w:rFonts w:ascii="Times New Roman" w:hAnsi="Times New Roman"/>
                <w:color w:val="000000" w:themeColor="text1"/>
                <w:sz w:val="24"/>
                <w:szCs w:val="24"/>
              </w:rPr>
              <w:t>1 (10</w:t>
            </w:r>
            <w:r w:rsidRPr="004F2E67">
              <w:rPr>
                <w:rFonts w:ascii="Times New Roman" w:hAnsi="Times New Roman"/>
                <w:color w:val="000000" w:themeColor="text1"/>
                <w:sz w:val="24"/>
                <w:szCs w:val="24"/>
              </w:rPr>
              <w:t>%)</w:t>
            </w:r>
          </w:p>
        </w:tc>
        <w:tc>
          <w:tcPr>
            <w:tcW w:w="1984" w:type="dxa"/>
            <w:tcBorders>
              <w:top w:val="single" w:sz="4" w:space="0" w:color="000000" w:themeColor="text1"/>
              <w:left w:val="single" w:sz="4" w:space="0" w:color="auto"/>
              <w:bottom w:val="single" w:sz="4" w:space="0" w:color="000000" w:themeColor="text1"/>
              <w:right w:val="single" w:sz="4" w:space="0" w:color="auto"/>
            </w:tcBorders>
          </w:tcPr>
          <w:p w:rsidR="00BB3239" w:rsidRPr="004F2E67" w:rsidRDefault="00BB3239" w:rsidP="005B3582">
            <w:pPr>
              <w:jc w:val="center"/>
              <w:rPr>
                <w:rFonts w:ascii="Times New Roman" w:hAnsi="Times New Roman"/>
                <w:color w:val="000000" w:themeColor="text1"/>
                <w:sz w:val="24"/>
                <w:szCs w:val="24"/>
              </w:rPr>
            </w:pPr>
            <w:r w:rsidRPr="004F2E67">
              <w:rPr>
                <w:rFonts w:ascii="Times New Roman" w:hAnsi="Times New Roman"/>
                <w:color w:val="000000" w:themeColor="text1"/>
                <w:sz w:val="24"/>
                <w:szCs w:val="24"/>
              </w:rPr>
              <w:t>75</w:t>
            </w:r>
          </w:p>
        </w:tc>
        <w:tc>
          <w:tcPr>
            <w:tcW w:w="2369" w:type="dxa"/>
            <w:tcBorders>
              <w:top w:val="single" w:sz="4" w:space="0" w:color="000000" w:themeColor="text1"/>
              <w:left w:val="single" w:sz="4" w:space="0" w:color="auto"/>
              <w:bottom w:val="single" w:sz="4" w:space="0" w:color="000000" w:themeColor="text1"/>
              <w:right w:val="single" w:sz="4" w:space="0" w:color="auto"/>
            </w:tcBorders>
          </w:tcPr>
          <w:p w:rsidR="00BB3239" w:rsidRPr="004F2E67" w:rsidRDefault="00BB3239" w:rsidP="005B3582">
            <w:pPr>
              <w:jc w:val="center"/>
              <w:rPr>
                <w:rFonts w:ascii="Times New Roman" w:hAnsi="Times New Roman"/>
                <w:color w:val="000000" w:themeColor="text1"/>
                <w:sz w:val="24"/>
                <w:szCs w:val="24"/>
              </w:rPr>
            </w:pPr>
            <w:r>
              <w:rPr>
                <w:rFonts w:ascii="Times New Roman" w:hAnsi="Times New Roman"/>
                <w:color w:val="000000" w:themeColor="text1"/>
                <w:sz w:val="24"/>
                <w:szCs w:val="24"/>
              </w:rPr>
              <w:t>1 (1</w:t>
            </w:r>
            <w:r w:rsidRPr="004F2E67">
              <w:rPr>
                <w:rFonts w:ascii="Times New Roman" w:hAnsi="Times New Roman"/>
                <w:color w:val="000000" w:themeColor="text1"/>
                <w:sz w:val="24"/>
                <w:szCs w:val="24"/>
              </w:rPr>
              <w:t>%)</w:t>
            </w:r>
          </w:p>
        </w:tc>
      </w:tr>
      <w:tr w:rsidR="00BB3239" w:rsidRPr="000D46F5" w:rsidTr="00981E8A">
        <w:trPr>
          <w:trHeight w:val="242"/>
          <w:jc w:val="center"/>
        </w:trPr>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239" w:rsidRPr="004F2E67" w:rsidRDefault="00BB3239" w:rsidP="005B3582">
            <w:pPr>
              <w:rPr>
                <w:rFonts w:ascii="Times New Roman" w:hAnsi="Times New Roman"/>
                <w:color w:val="000000" w:themeColor="text1"/>
                <w:sz w:val="24"/>
                <w:szCs w:val="24"/>
              </w:rPr>
            </w:pPr>
            <w:r>
              <w:rPr>
                <w:rFonts w:ascii="Times New Roman" w:hAnsi="Times New Roman"/>
                <w:color w:val="000000" w:themeColor="text1"/>
                <w:sz w:val="24"/>
                <w:szCs w:val="24"/>
              </w:rPr>
              <w:t>Total</w:t>
            </w:r>
          </w:p>
        </w:tc>
        <w:tc>
          <w:tcPr>
            <w:tcW w:w="1276" w:type="dxa"/>
            <w:tcBorders>
              <w:top w:val="single" w:sz="4" w:space="0" w:color="000000" w:themeColor="text1"/>
              <w:left w:val="single" w:sz="4" w:space="0" w:color="auto"/>
              <w:bottom w:val="single" w:sz="4" w:space="0" w:color="000000" w:themeColor="text1"/>
              <w:right w:val="single" w:sz="4" w:space="0" w:color="auto"/>
            </w:tcBorders>
          </w:tcPr>
          <w:p w:rsidR="00BB3239" w:rsidRPr="004F2E67" w:rsidRDefault="00BB3239" w:rsidP="005B3582">
            <w:pPr>
              <w:jc w:val="center"/>
              <w:rPr>
                <w:rFonts w:ascii="Times New Roman" w:hAnsi="Times New Roman"/>
                <w:color w:val="000000" w:themeColor="text1"/>
                <w:sz w:val="24"/>
                <w:szCs w:val="24"/>
              </w:rPr>
            </w:pPr>
            <w:r>
              <w:rPr>
                <w:rFonts w:ascii="Times New Roman" w:hAnsi="Times New Roman"/>
                <w:color w:val="000000" w:themeColor="text1"/>
                <w:sz w:val="24"/>
                <w:szCs w:val="24"/>
              </w:rPr>
              <w:t>277</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BB3239" w:rsidRDefault="00BB3239" w:rsidP="005B3582">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004C13B4">
              <w:rPr>
                <w:rFonts w:ascii="Times New Roman" w:hAnsi="Times New Roman"/>
                <w:color w:val="000000" w:themeColor="text1"/>
                <w:sz w:val="24"/>
                <w:szCs w:val="24"/>
              </w:rPr>
              <w:t>7</w:t>
            </w:r>
            <w:r>
              <w:rPr>
                <w:rFonts w:ascii="Times New Roman" w:hAnsi="Times New Roman"/>
                <w:color w:val="000000" w:themeColor="text1"/>
                <w:sz w:val="24"/>
                <w:szCs w:val="24"/>
              </w:rPr>
              <w:t>(10%)</w:t>
            </w:r>
          </w:p>
        </w:tc>
        <w:tc>
          <w:tcPr>
            <w:tcW w:w="1984" w:type="dxa"/>
            <w:tcBorders>
              <w:top w:val="single" w:sz="4" w:space="0" w:color="000000" w:themeColor="text1"/>
              <w:left w:val="single" w:sz="4" w:space="0" w:color="auto"/>
              <w:bottom w:val="single" w:sz="4" w:space="0" w:color="000000" w:themeColor="text1"/>
              <w:right w:val="single" w:sz="4" w:space="0" w:color="auto"/>
            </w:tcBorders>
          </w:tcPr>
          <w:p w:rsidR="00BB3239" w:rsidRPr="004F2E67" w:rsidRDefault="00BB3239" w:rsidP="005B3582">
            <w:pPr>
              <w:jc w:val="center"/>
              <w:rPr>
                <w:rFonts w:ascii="Times New Roman" w:hAnsi="Times New Roman"/>
                <w:color w:val="000000" w:themeColor="text1"/>
                <w:sz w:val="24"/>
                <w:szCs w:val="24"/>
              </w:rPr>
            </w:pPr>
            <w:r>
              <w:rPr>
                <w:rFonts w:ascii="Times New Roman" w:hAnsi="Times New Roman"/>
                <w:color w:val="000000" w:themeColor="text1"/>
                <w:sz w:val="24"/>
                <w:szCs w:val="24"/>
              </w:rPr>
              <w:t>21,657</w:t>
            </w:r>
          </w:p>
        </w:tc>
        <w:tc>
          <w:tcPr>
            <w:tcW w:w="2369" w:type="dxa"/>
            <w:tcBorders>
              <w:top w:val="single" w:sz="4" w:space="0" w:color="000000" w:themeColor="text1"/>
              <w:left w:val="single" w:sz="4" w:space="0" w:color="auto"/>
              <w:bottom w:val="single" w:sz="4" w:space="0" w:color="000000" w:themeColor="text1"/>
              <w:right w:val="single" w:sz="4" w:space="0" w:color="auto"/>
            </w:tcBorders>
          </w:tcPr>
          <w:p w:rsidR="00BB3239" w:rsidRDefault="00BB3239" w:rsidP="005B3582">
            <w:pPr>
              <w:jc w:val="center"/>
              <w:rPr>
                <w:rFonts w:ascii="Times New Roman" w:hAnsi="Times New Roman"/>
                <w:color w:val="000000" w:themeColor="text1"/>
                <w:sz w:val="24"/>
                <w:szCs w:val="24"/>
              </w:rPr>
            </w:pPr>
            <w:r>
              <w:rPr>
                <w:rFonts w:ascii="Times New Roman" w:hAnsi="Times New Roman"/>
                <w:color w:val="000000" w:themeColor="text1"/>
                <w:sz w:val="24"/>
                <w:szCs w:val="24"/>
              </w:rPr>
              <w:t>216 (1%)</w:t>
            </w:r>
          </w:p>
        </w:tc>
      </w:tr>
    </w:tbl>
    <w:p w:rsidR="001D2E07" w:rsidRDefault="001D2E07" w:rsidP="004C13B4">
      <w:pPr>
        <w:spacing w:after="0" w:line="360" w:lineRule="auto"/>
        <w:jc w:val="both"/>
        <w:rPr>
          <w:rFonts w:ascii="Times New Roman" w:hAnsi="Times New Roman"/>
          <w:sz w:val="24"/>
          <w:szCs w:val="24"/>
        </w:rPr>
      </w:pPr>
    </w:p>
    <w:p w:rsidR="00B8744D" w:rsidRDefault="00B8744D" w:rsidP="00B8744D">
      <w:pPr>
        <w:spacing w:line="360" w:lineRule="auto"/>
        <w:rPr>
          <w:rFonts w:ascii="Times New Roman" w:hAnsi="Times New Roman"/>
          <w:b/>
          <w:sz w:val="24"/>
          <w:szCs w:val="24"/>
        </w:rPr>
      </w:pPr>
      <w:r>
        <w:rPr>
          <w:rFonts w:ascii="Times New Roman" w:hAnsi="Times New Roman"/>
          <w:b/>
          <w:sz w:val="24"/>
          <w:szCs w:val="24"/>
        </w:rPr>
        <w:t>Infrastructure</w:t>
      </w:r>
      <w:r w:rsidR="000D0394">
        <w:rPr>
          <w:rFonts w:ascii="Times New Roman" w:hAnsi="Times New Roman"/>
          <w:b/>
          <w:sz w:val="24"/>
          <w:szCs w:val="24"/>
        </w:rPr>
        <w:t xml:space="preserve"> Development</w:t>
      </w:r>
    </w:p>
    <w:p w:rsidR="00B8744D" w:rsidRDefault="00B8744D" w:rsidP="00B8744D">
      <w:pPr>
        <w:spacing w:line="360" w:lineRule="auto"/>
        <w:jc w:val="both"/>
        <w:rPr>
          <w:rFonts w:ascii="Times New Roman" w:hAnsi="Times New Roman"/>
          <w:sz w:val="24"/>
          <w:szCs w:val="24"/>
        </w:rPr>
      </w:pPr>
      <w:r>
        <w:rPr>
          <w:rFonts w:ascii="Times New Roman" w:hAnsi="Times New Roman"/>
          <w:sz w:val="24"/>
          <w:szCs w:val="24"/>
        </w:rPr>
        <w:t xml:space="preserve">The objective of SEZ is to invite entrepreneurs to commence business units to attract Investments from abroad to build infrastructure to the Special Economic Zones in India to </w:t>
      </w:r>
      <w:r>
        <w:rPr>
          <w:rFonts w:ascii="Times New Roman" w:hAnsi="Times New Roman"/>
          <w:sz w:val="24"/>
          <w:szCs w:val="24"/>
        </w:rPr>
        <w:lastRenderedPageBreak/>
        <w:t>enable them to attract foreign exchange to the Government. In the globalised era infrastructure plays a crucial role for determining the growth and development of the economy. Special Economic Zones and Infrastructure play a greater role in the overall growth of the Indian economy. There are several initiatives taken by the Government both central and state for benefiting infrastructural facility to those units which are provide  foreign capital to the nation and some of the measures of these include:</w:t>
      </w:r>
    </w:p>
    <w:p w:rsidR="00B8744D" w:rsidRPr="00B720F9" w:rsidRDefault="00B8744D" w:rsidP="00B8744D">
      <w:pPr>
        <w:pStyle w:val="ListParagraph"/>
        <w:widowControl w:val="0"/>
        <w:numPr>
          <w:ilvl w:val="0"/>
          <w:numId w:val="10"/>
        </w:numPr>
        <w:autoSpaceDE w:val="0"/>
        <w:autoSpaceDN w:val="0"/>
        <w:adjustRightInd w:val="0"/>
        <w:spacing w:before="240" w:after="100" w:line="360" w:lineRule="auto"/>
        <w:jc w:val="both"/>
        <w:rPr>
          <w:rFonts w:ascii="Times New Roman" w:hAnsi="Times New Roman"/>
          <w:sz w:val="24"/>
          <w:szCs w:val="24"/>
        </w:rPr>
      </w:pPr>
      <w:r w:rsidRPr="00B720F9">
        <w:rPr>
          <w:rFonts w:ascii="Times New Roman" w:hAnsi="Times New Roman"/>
          <w:sz w:val="24"/>
          <w:szCs w:val="24"/>
        </w:rPr>
        <w:t>Land acquisition has become the biggest obstacle to the successful implementation of the SEZ policy.</w:t>
      </w:r>
    </w:p>
    <w:p w:rsidR="00B8744D" w:rsidRDefault="00B8744D" w:rsidP="00B8744D">
      <w:pPr>
        <w:pStyle w:val="Default"/>
        <w:numPr>
          <w:ilvl w:val="0"/>
          <w:numId w:val="10"/>
        </w:numPr>
        <w:spacing w:line="360" w:lineRule="auto"/>
        <w:jc w:val="both"/>
        <w:rPr>
          <w:rFonts w:asciiTheme="minorBidi" w:hAnsiTheme="minorBidi" w:cstheme="minorBidi"/>
        </w:rPr>
      </w:pPr>
      <w:r>
        <w:t>Minimum Land requirement (area), Minimum Built up Area, Processing area and Non-Processing area etc. required for getting approval form Board of Approval (BOA) for starting SEZs.</w:t>
      </w:r>
    </w:p>
    <w:p w:rsidR="00B8744D" w:rsidRDefault="00B8744D" w:rsidP="00B8744D">
      <w:pPr>
        <w:pStyle w:val="Default"/>
        <w:numPr>
          <w:ilvl w:val="0"/>
          <w:numId w:val="10"/>
        </w:numPr>
        <w:spacing w:line="360" w:lineRule="auto"/>
        <w:jc w:val="both"/>
        <w:rPr>
          <w:rFonts w:asciiTheme="minorBidi" w:hAnsiTheme="minorBidi" w:cstheme="minorBidi"/>
        </w:rPr>
      </w:pPr>
      <w:r>
        <w:t>The SEZs have to go through different Approval systems like Formal approval, In-Principle approval and finally Notified SEZs.</w:t>
      </w:r>
    </w:p>
    <w:p w:rsidR="00B8744D" w:rsidRDefault="00B8744D" w:rsidP="00B8744D">
      <w:pPr>
        <w:pStyle w:val="Default"/>
        <w:numPr>
          <w:ilvl w:val="0"/>
          <w:numId w:val="10"/>
        </w:numPr>
        <w:spacing w:line="360" w:lineRule="auto"/>
        <w:jc w:val="both"/>
        <w:rPr>
          <w:rFonts w:asciiTheme="minorBidi" w:hAnsiTheme="minorBidi" w:cstheme="minorBidi"/>
        </w:rPr>
      </w:pPr>
      <w:r>
        <w:t>The Minimum Land requirements (Area of operation), Minimum Processing and Non-Processing area needed for both Special and other than special category States/Union Territories</w:t>
      </w:r>
    </w:p>
    <w:p w:rsidR="00B8744D" w:rsidRDefault="00B8744D" w:rsidP="00B8744D">
      <w:pPr>
        <w:pStyle w:val="NormalWeb"/>
        <w:numPr>
          <w:ilvl w:val="0"/>
          <w:numId w:val="10"/>
        </w:numPr>
        <w:spacing w:line="360" w:lineRule="auto"/>
        <w:jc w:val="both"/>
      </w:pPr>
      <w:r>
        <w:t xml:space="preserve">The processing area shall have specified entry and exit points and be fully secured by taking such measures approved by the Board. </w:t>
      </w:r>
    </w:p>
    <w:p w:rsidR="00B8744D" w:rsidRDefault="00B8744D" w:rsidP="00B8744D">
      <w:pPr>
        <w:pStyle w:val="NormalWeb"/>
        <w:numPr>
          <w:ilvl w:val="0"/>
          <w:numId w:val="10"/>
        </w:numPr>
        <w:spacing w:line="360" w:lineRule="auto"/>
        <w:jc w:val="both"/>
      </w:pPr>
      <w:r>
        <w:t xml:space="preserve">The non-processing area is the area which is intended to provide support facilities to the SEZ processing area activities. </w:t>
      </w:r>
    </w:p>
    <w:p w:rsidR="00B8744D" w:rsidRDefault="00B8744D" w:rsidP="00B8744D">
      <w:pPr>
        <w:pStyle w:val="Default"/>
        <w:numPr>
          <w:ilvl w:val="0"/>
          <w:numId w:val="10"/>
        </w:numPr>
        <w:spacing w:line="360" w:lineRule="auto"/>
        <w:jc w:val="both"/>
        <w:rPr>
          <w:rFonts w:asciiTheme="minorBidi" w:hAnsiTheme="minorBidi" w:cstheme="minorBidi"/>
        </w:rPr>
      </w:pPr>
      <w:r>
        <w:t>Processing Area and Non-Processing are different in case of Multi-Product/Service (one or more product/services) Units. 35 percentage of Processing and 65 percentage of Non-Processing area required for multi-product SEZs out of Minimum area requirements (200 Ha).</w:t>
      </w:r>
    </w:p>
    <w:p w:rsidR="00B8744D" w:rsidRDefault="00B8744D" w:rsidP="00B8744D">
      <w:pPr>
        <w:pStyle w:val="Default"/>
        <w:numPr>
          <w:ilvl w:val="0"/>
          <w:numId w:val="10"/>
        </w:numPr>
        <w:spacing w:line="360" w:lineRule="auto"/>
        <w:jc w:val="both"/>
        <w:rPr>
          <w:rFonts w:asciiTheme="minorBidi" w:hAnsiTheme="minorBidi" w:cstheme="minorBidi"/>
        </w:rPr>
      </w:pPr>
      <w:r>
        <w:t>All other type of SEZs there is no difference in processing and Non-Processing area ie.50 percentage for (Processing and Non-Processing area) all type of SEZ. Category-wise details of processing area and non-processing area of SEZs in special category states/Union Territories</w:t>
      </w:r>
    </w:p>
    <w:p w:rsidR="00B8744D" w:rsidRPr="00B720F9" w:rsidRDefault="00B8744D" w:rsidP="00B8744D">
      <w:pPr>
        <w:pStyle w:val="ListParagraph"/>
        <w:numPr>
          <w:ilvl w:val="0"/>
          <w:numId w:val="10"/>
        </w:numPr>
        <w:autoSpaceDE w:val="0"/>
        <w:autoSpaceDN w:val="0"/>
        <w:adjustRightInd w:val="0"/>
        <w:spacing w:after="0" w:line="360" w:lineRule="auto"/>
        <w:jc w:val="both"/>
        <w:rPr>
          <w:rFonts w:ascii="Times New Roman" w:hAnsi="Times New Roman"/>
          <w:sz w:val="24"/>
          <w:szCs w:val="24"/>
        </w:rPr>
      </w:pPr>
      <w:r w:rsidRPr="00B720F9">
        <w:rPr>
          <w:rFonts w:ascii="Times New Roman" w:hAnsi="Times New Roman"/>
          <w:sz w:val="24"/>
          <w:szCs w:val="24"/>
        </w:rPr>
        <w:t>The Special States/Union Territories including the erstwhile Union Territory of Goa and the Special category States of Assam, Meghalaya, Nagaland, Arunachal Pradesh, Mizoram, Manipur, Tripura, Himachal Pradesh, Uttaranchal, Sikkim, Jammu &amp; Kashmir.</w:t>
      </w:r>
    </w:p>
    <w:p w:rsidR="00B8744D" w:rsidRDefault="00B8744D" w:rsidP="00B8744D">
      <w:pPr>
        <w:pStyle w:val="Default"/>
        <w:numPr>
          <w:ilvl w:val="0"/>
          <w:numId w:val="10"/>
        </w:numPr>
        <w:spacing w:line="360" w:lineRule="auto"/>
        <w:jc w:val="both"/>
        <w:rPr>
          <w:rFonts w:asciiTheme="minorBidi" w:hAnsiTheme="minorBidi" w:cstheme="minorBidi"/>
        </w:rPr>
      </w:pPr>
      <w:r>
        <w:rPr>
          <w:bCs/>
        </w:rPr>
        <w:t>Formal Approval</w:t>
      </w:r>
      <w:r>
        <w:t xml:space="preserve"> - Given when land is available to set up the SEZ.</w:t>
      </w:r>
    </w:p>
    <w:p w:rsidR="00B8744D" w:rsidRDefault="00B8744D" w:rsidP="00B8744D">
      <w:pPr>
        <w:pStyle w:val="Default"/>
        <w:numPr>
          <w:ilvl w:val="0"/>
          <w:numId w:val="10"/>
        </w:numPr>
        <w:spacing w:line="360" w:lineRule="auto"/>
        <w:jc w:val="both"/>
        <w:rPr>
          <w:rFonts w:asciiTheme="minorBidi" w:hAnsiTheme="minorBidi" w:cstheme="minorBidi"/>
        </w:rPr>
      </w:pPr>
      <w:r>
        <w:lastRenderedPageBreak/>
        <w:t>In-Principle Approval- Given when the land has not yet been secured but all other criteria are fulfilled.</w:t>
      </w:r>
    </w:p>
    <w:p w:rsidR="00B8744D" w:rsidRPr="00533A18" w:rsidRDefault="00B8744D" w:rsidP="00B8744D">
      <w:pPr>
        <w:pStyle w:val="Default"/>
        <w:numPr>
          <w:ilvl w:val="0"/>
          <w:numId w:val="10"/>
        </w:numPr>
        <w:spacing w:line="360" w:lineRule="auto"/>
        <w:jc w:val="both"/>
        <w:rPr>
          <w:rFonts w:asciiTheme="minorBidi" w:hAnsiTheme="minorBidi" w:cstheme="minorBidi"/>
        </w:rPr>
      </w:pPr>
      <w:r>
        <w:t>Notified SEZ -Final stage after which physical development work begins.</w:t>
      </w:r>
    </w:p>
    <w:p w:rsidR="00B8744D" w:rsidRPr="004461A4" w:rsidRDefault="00B8744D" w:rsidP="00B8744D">
      <w:pPr>
        <w:spacing w:line="360" w:lineRule="auto"/>
        <w:rPr>
          <w:rFonts w:ascii="Times New Roman" w:hAnsi="Times New Roman"/>
          <w:b/>
          <w:sz w:val="24"/>
          <w:szCs w:val="24"/>
        </w:rPr>
      </w:pPr>
      <w:r w:rsidRPr="004461A4">
        <w:rPr>
          <w:rFonts w:ascii="Times New Roman" w:hAnsi="Times New Roman"/>
          <w:b/>
          <w:sz w:val="24"/>
          <w:szCs w:val="24"/>
        </w:rPr>
        <w:t>Infrastructure (Land Acquisition) - SEZ Central and State wise</w:t>
      </w:r>
    </w:p>
    <w:p w:rsidR="00B8744D" w:rsidRPr="004C40BA" w:rsidRDefault="00B8744D" w:rsidP="00B8744D">
      <w:pPr>
        <w:tabs>
          <w:tab w:val="left" w:pos="1410"/>
        </w:tabs>
        <w:spacing w:line="360" w:lineRule="auto"/>
        <w:jc w:val="both"/>
        <w:rPr>
          <w:rFonts w:ascii="Times New Roman" w:hAnsi="Times New Roman"/>
          <w:sz w:val="24"/>
          <w:szCs w:val="24"/>
        </w:rPr>
      </w:pPr>
      <w:r>
        <w:rPr>
          <w:rFonts w:ascii="Times New Roman" w:hAnsi="Times New Roman"/>
          <w:sz w:val="24"/>
          <w:szCs w:val="24"/>
        </w:rPr>
        <w:t xml:space="preserve">The trend of Infrastructure </w:t>
      </w:r>
      <w:r w:rsidRPr="00601FCC">
        <w:rPr>
          <w:rFonts w:ascii="Times New Roman" w:hAnsi="Times New Roman"/>
          <w:sz w:val="24"/>
          <w:szCs w:val="24"/>
        </w:rPr>
        <w:t>(Land Acquisition)</w:t>
      </w:r>
      <w:r w:rsidRPr="006B0431">
        <w:rPr>
          <w:rFonts w:ascii="Times New Roman" w:hAnsi="Times New Roman"/>
          <w:sz w:val="24"/>
          <w:szCs w:val="24"/>
        </w:rPr>
        <w:t xml:space="preserve"> of SEZ in India a</w:t>
      </w:r>
      <w:r>
        <w:rPr>
          <w:rFonts w:ascii="Times New Roman" w:hAnsi="Times New Roman"/>
          <w:sz w:val="24"/>
          <w:szCs w:val="24"/>
        </w:rPr>
        <w:t xml:space="preserve">nd Kerala for 10 years from </w:t>
      </w:r>
      <w:r w:rsidRPr="004C40BA">
        <w:rPr>
          <w:rFonts w:ascii="Times New Roman" w:hAnsi="Times New Roman"/>
          <w:sz w:val="24"/>
          <w:szCs w:val="24"/>
        </w:rPr>
        <w:t>2013-14 to 2022-23 are shown in Table 2</w:t>
      </w:r>
    </w:p>
    <w:p w:rsidR="00B8744D" w:rsidRPr="004C40BA" w:rsidRDefault="00B8744D" w:rsidP="00B8744D">
      <w:pPr>
        <w:tabs>
          <w:tab w:val="left" w:pos="1410"/>
        </w:tabs>
        <w:spacing w:after="0" w:line="360" w:lineRule="auto"/>
        <w:jc w:val="center"/>
        <w:rPr>
          <w:rFonts w:ascii="Times New Roman" w:hAnsi="Times New Roman"/>
          <w:b/>
          <w:sz w:val="24"/>
          <w:szCs w:val="24"/>
        </w:rPr>
      </w:pPr>
      <w:r w:rsidRPr="004C40BA">
        <w:rPr>
          <w:rFonts w:ascii="Times New Roman" w:hAnsi="Times New Roman"/>
          <w:b/>
          <w:sz w:val="24"/>
          <w:szCs w:val="24"/>
        </w:rPr>
        <w:t>Table 2</w:t>
      </w:r>
    </w:p>
    <w:p w:rsidR="00B8744D" w:rsidRPr="004C40BA" w:rsidRDefault="00B8744D" w:rsidP="00B8744D">
      <w:pPr>
        <w:tabs>
          <w:tab w:val="left" w:pos="1410"/>
        </w:tabs>
        <w:spacing w:after="0" w:line="360" w:lineRule="auto"/>
        <w:jc w:val="center"/>
        <w:rPr>
          <w:rFonts w:ascii="Times New Roman" w:hAnsi="Times New Roman"/>
          <w:i/>
          <w:sz w:val="24"/>
          <w:szCs w:val="24"/>
        </w:rPr>
      </w:pPr>
      <w:r w:rsidRPr="004C40BA">
        <w:rPr>
          <w:rFonts w:ascii="Times New Roman" w:hAnsi="Times New Roman"/>
          <w:sz w:val="24"/>
          <w:szCs w:val="24"/>
        </w:rPr>
        <w:t>Trend of Infrastructure (Land Acquisition)</w:t>
      </w:r>
      <w:r w:rsidRPr="004C40BA">
        <w:rPr>
          <w:rFonts w:ascii="Times New Roman" w:hAnsi="Times New Roman"/>
          <w:b/>
          <w:sz w:val="24"/>
          <w:szCs w:val="24"/>
        </w:rPr>
        <w:t xml:space="preserve"> </w:t>
      </w:r>
      <w:r w:rsidRPr="004C40BA">
        <w:rPr>
          <w:rFonts w:ascii="Times New Roman" w:hAnsi="Times New Roman"/>
          <w:sz w:val="24"/>
          <w:szCs w:val="24"/>
        </w:rPr>
        <w:t>SEZ in India and Kerala during 2013-</w:t>
      </w:r>
      <w:r w:rsidR="00FF56EE">
        <w:rPr>
          <w:rFonts w:ascii="Times New Roman" w:hAnsi="Times New Roman"/>
          <w:sz w:val="24"/>
          <w:szCs w:val="24"/>
        </w:rPr>
        <w:t>20</w:t>
      </w:r>
      <w:r w:rsidRPr="004C40BA">
        <w:rPr>
          <w:rFonts w:ascii="Times New Roman" w:hAnsi="Times New Roman"/>
          <w:sz w:val="24"/>
          <w:szCs w:val="24"/>
        </w:rPr>
        <w:t>14 to 2022-</w:t>
      </w:r>
      <w:r w:rsidR="00FF56EE">
        <w:rPr>
          <w:rFonts w:ascii="Times New Roman" w:hAnsi="Times New Roman"/>
          <w:sz w:val="24"/>
          <w:szCs w:val="24"/>
        </w:rPr>
        <w:t>20</w:t>
      </w:r>
      <w:r w:rsidRPr="004C40BA">
        <w:rPr>
          <w:rFonts w:ascii="Times New Roman" w:hAnsi="Times New Roman"/>
          <w:sz w:val="24"/>
          <w:szCs w:val="24"/>
        </w:rPr>
        <w:t xml:space="preserve">23                      </w:t>
      </w:r>
    </w:p>
    <w:tbl>
      <w:tblPr>
        <w:tblW w:w="5183" w:type="pct"/>
        <w:tblCellSpacing w:w="0" w:type="dxa"/>
        <w:shd w:val="clear" w:color="auto" w:fill="FFFFFF"/>
        <w:tblLayout w:type="fixed"/>
        <w:tblCellMar>
          <w:left w:w="0" w:type="dxa"/>
          <w:right w:w="0" w:type="dxa"/>
        </w:tblCellMar>
        <w:tblLook w:val="04A0"/>
      </w:tblPr>
      <w:tblGrid>
        <w:gridCol w:w="8522"/>
        <w:gridCol w:w="409"/>
        <w:gridCol w:w="55"/>
        <w:gridCol w:w="20"/>
        <w:gridCol w:w="350"/>
      </w:tblGrid>
      <w:tr w:rsidR="00B8744D" w:rsidRPr="00F46B67" w:rsidTr="00DE148A">
        <w:trPr>
          <w:tblCellSpacing w:w="0" w:type="dxa"/>
        </w:trPr>
        <w:tc>
          <w:tcPr>
            <w:tcW w:w="8931" w:type="dxa"/>
            <w:gridSpan w:val="2"/>
            <w:shd w:val="clear" w:color="auto" w:fill="FFFFFF"/>
            <w:vAlign w:val="center"/>
            <w:hideMark/>
          </w:tcPr>
          <w:tbl>
            <w:tblPr>
              <w:tblStyle w:val="TableGrid"/>
              <w:tblW w:w="9209" w:type="dxa"/>
              <w:tblLayout w:type="fixed"/>
              <w:tblLook w:val="04A0"/>
            </w:tblPr>
            <w:tblGrid>
              <w:gridCol w:w="1413"/>
              <w:gridCol w:w="1276"/>
              <w:gridCol w:w="1275"/>
              <w:gridCol w:w="1701"/>
              <w:gridCol w:w="1418"/>
              <w:gridCol w:w="2126"/>
            </w:tblGrid>
            <w:tr w:rsidR="00B8744D" w:rsidRPr="00F46B67" w:rsidTr="00B8744D">
              <w:trPr>
                <w:trHeight w:val="375"/>
              </w:trPr>
              <w:tc>
                <w:tcPr>
                  <w:tcW w:w="1413" w:type="dxa"/>
                  <w:vMerge w:val="restart"/>
                </w:tcPr>
                <w:p w:rsidR="00B8744D" w:rsidRPr="00F46B67" w:rsidRDefault="00B8744D" w:rsidP="005B3582">
                  <w:pPr>
                    <w:spacing w:beforeAutospacing="1" w:afterAutospacing="1"/>
                    <w:ind w:right="-27"/>
                    <w:jc w:val="both"/>
                    <w:rPr>
                      <w:rFonts w:ascii="Times New Roman" w:eastAsia="Times New Roman" w:hAnsi="Times New Roman"/>
                      <w:sz w:val="24"/>
                      <w:szCs w:val="24"/>
                      <w:lang w:eastAsia="en-IN"/>
                    </w:rPr>
                  </w:pPr>
                  <w:r w:rsidRPr="00F46B67">
                    <w:rPr>
                      <w:rFonts w:ascii="Times New Roman" w:eastAsia="Times New Roman" w:hAnsi="Times New Roman"/>
                      <w:sz w:val="24"/>
                      <w:szCs w:val="24"/>
                      <w:lang w:eastAsia="en-IN"/>
                    </w:rPr>
                    <w:t>years</w:t>
                  </w:r>
                </w:p>
              </w:tc>
              <w:tc>
                <w:tcPr>
                  <w:tcW w:w="2551" w:type="dxa"/>
                  <w:gridSpan w:val="2"/>
                  <w:tcBorders>
                    <w:bottom w:val="single" w:sz="4" w:space="0" w:color="auto"/>
                  </w:tcBorders>
                </w:tcPr>
                <w:p w:rsidR="00B8744D" w:rsidRPr="00F46B67"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India</w:t>
                  </w:r>
                </w:p>
              </w:tc>
              <w:tc>
                <w:tcPr>
                  <w:tcW w:w="3119" w:type="dxa"/>
                  <w:gridSpan w:val="2"/>
                  <w:tcBorders>
                    <w:bottom w:val="single" w:sz="4" w:space="0" w:color="auto"/>
                  </w:tcBorders>
                </w:tcPr>
                <w:p w:rsidR="00B8744D" w:rsidRPr="00F46B67"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Kerala</w:t>
                  </w:r>
                </w:p>
              </w:tc>
              <w:tc>
                <w:tcPr>
                  <w:tcW w:w="2126" w:type="dxa"/>
                  <w:vMerge w:val="restart"/>
                  <w:tcBorders>
                    <w:left w:val="single" w:sz="4" w:space="0" w:color="auto"/>
                  </w:tcBorders>
                </w:tcPr>
                <w:p w:rsidR="00B8744D" w:rsidRDefault="00B8744D" w:rsidP="005B3582">
                  <w:pPr>
                    <w:spacing w:beforeAutospacing="1" w:afterAutospacing="1"/>
                    <w:ind w:right="-27"/>
                    <w:jc w:val="center"/>
                    <w:rPr>
                      <w:rFonts w:ascii="Times New Roman" w:eastAsia="Times New Roman" w:hAnsi="Times New Roman"/>
                      <w:sz w:val="24"/>
                      <w:szCs w:val="24"/>
                      <w:lang w:eastAsia="en-IN"/>
                    </w:rPr>
                  </w:pPr>
                </w:p>
                <w:p w:rsidR="00B8744D"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S</w:t>
                  </w:r>
                  <w:r w:rsidRPr="00F46B67">
                    <w:rPr>
                      <w:rFonts w:ascii="Times New Roman" w:eastAsia="Times New Roman" w:hAnsi="Times New Roman"/>
                      <w:sz w:val="24"/>
                      <w:szCs w:val="24"/>
                      <w:lang w:eastAsia="en-IN"/>
                    </w:rPr>
                    <w:t xml:space="preserve">hare of kerala </w:t>
                  </w:r>
                  <w:r>
                    <w:rPr>
                      <w:rFonts w:ascii="Times New Roman" w:eastAsia="Times New Roman" w:hAnsi="Times New Roman"/>
                      <w:sz w:val="24"/>
                      <w:szCs w:val="24"/>
                      <w:lang w:eastAsia="en-IN"/>
                    </w:rPr>
                    <w:t>towards  I</w:t>
                  </w:r>
                  <w:r w:rsidRPr="00F46B67">
                    <w:rPr>
                      <w:rFonts w:ascii="Times New Roman" w:eastAsia="Times New Roman" w:hAnsi="Times New Roman"/>
                      <w:sz w:val="24"/>
                      <w:szCs w:val="24"/>
                      <w:lang w:eastAsia="en-IN"/>
                    </w:rPr>
                    <w:t>ndia</w:t>
                  </w:r>
                </w:p>
                <w:p w:rsidR="00B8744D" w:rsidRPr="00F46B67"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(percentage)</w:t>
                  </w:r>
                </w:p>
              </w:tc>
            </w:tr>
            <w:tr w:rsidR="00B8744D" w:rsidRPr="00F46B67" w:rsidTr="00B8744D">
              <w:trPr>
                <w:trHeight w:val="1118"/>
              </w:trPr>
              <w:tc>
                <w:tcPr>
                  <w:tcW w:w="1413" w:type="dxa"/>
                  <w:vMerge/>
                </w:tcPr>
                <w:p w:rsidR="00B8744D" w:rsidRPr="00F46B67" w:rsidRDefault="00B8744D" w:rsidP="005B3582">
                  <w:pPr>
                    <w:spacing w:beforeAutospacing="1" w:afterAutospacing="1"/>
                    <w:ind w:right="-27"/>
                    <w:jc w:val="both"/>
                    <w:rPr>
                      <w:rFonts w:ascii="Times New Roman" w:eastAsia="Times New Roman" w:hAnsi="Times New Roman"/>
                      <w:sz w:val="24"/>
                      <w:szCs w:val="24"/>
                      <w:lang w:eastAsia="en-IN"/>
                    </w:rPr>
                  </w:pPr>
                </w:p>
              </w:tc>
              <w:tc>
                <w:tcPr>
                  <w:tcW w:w="1276" w:type="dxa"/>
                  <w:tcBorders>
                    <w:top w:val="single" w:sz="4" w:space="0" w:color="auto"/>
                  </w:tcBorders>
                </w:tcPr>
                <w:p w:rsidR="00B8744D" w:rsidRDefault="00B8744D" w:rsidP="005B3582">
                  <w:pPr>
                    <w:spacing w:beforeAutospacing="1" w:afterAutospacing="1"/>
                    <w:ind w:right="-27"/>
                    <w:jc w:val="center"/>
                    <w:rPr>
                      <w:rFonts w:ascii="Times New Roman" w:hAnsi="Times New Roman"/>
                      <w:sz w:val="24"/>
                      <w:szCs w:val="24"/>
                    </w:rPr>
                  </w:pPr>
                  <w:r>
                    <w:rPr>
                      <w:rFonts w:ascii="Times New Roman" w:hAnsi="Times New Roman"/>
                      <w:sz w:val="24"/>
                      <w:szCs w:val="24"/>
                    </w:rPr>
                    <w:t xml:space="preserve">Infrastructure </w:t>
                  </w:r>
                  <w:r w:rsidRPr="00601FCC">
                    <w:rPr>
                      <w:rFonts w:ascii="Times New Roman" w:hAnsi="Times New Roman"/>
                      <w:sz w:val="24"/>
                      <w:szCs w:val="24"/>
                    </w:rPr>
                    <w:t>(Land Acquisition)</w:t>
                  </w:r>
                </w:p>
                <w:p w:rsidR="00B8744D" w:rsidRPr="00F6710F" w:rsidRDefault="00B8744D" w:rsidP="005B3582">
                  <w:pPr>
                    <w:spacing w:beforeAutospacing="1" w:afterAutospacing="1"/>
                    <w:ind w:right="-27"/>
                    <w:jc w:val="center"/>
                    <w:rPr>
                      <w:rFonts w:ascii="Times New Roman" w:eastAsia="Times New Roman" w:hAnsi="Times New Roman"/>
                      <w:sz w:val="24"/>
                      <w:szCs w:val="24"/>
                      <w:lang w:eastAsia="en-IN"/>
                    </w:rPr>
                  </w:pPr>
                  <w:r w:rsidRPr="00F6710F">
                    <w:rPr>
                      <w:rFonts w:ascii="Times New Roman" w:hAnsi="Times New Roman"/>
                      <w:color w:val="000000"/>
                      <w:sz w:val="20"/>
                      <w:szCs w:val="20"/>
                    </w:rPr>
                    <w:t>(Hectares)</w:t>
                  </w:r>
                </w:p>
              </w:tc>
              <w:tc>
                <w:tcPr>
                  <w:tcW w:w="1275" w:type="dxa"/>
                  <w:tcBorders>
                    <w:top w:val="single" w:sz="4" w:space="0" w:color="auto"/>
                  </w:tcBorders>
                </w:tcPr>
                <w:p w:rsidR="00B8744D" w:rsidRDefault="00B8744D" w:rsidP="005B3582">
                  <w:pPr>
                    <w:spacing w:beforeAutospacing="1" w:afterAutospacing="1"/>
                    <w:ind w:right="-27"/>
                    <w:jc w:val="center"/>
                    <w:rPr>
                      <w:rFonts w:ascii="Times New Roman" w:eastAsia="Times New Roman" w:hAnsi="Times New Roman"/>
                      <w:sz w:val="24"/>
                      <w:szCs w:val="24"/>
                      <w:lang w:eastAsia="en-IN"/>
                    </w:rPr>
                  </w:pPr>
                  <w:r w:rsidRPr="00F46B67">
                    <w:rPr>
                      <w:rFonts w:ascii="Times New Roman" w:eastAsia="Times New Roman" w:hAnsi="Times New Roman"/>
                      <w:sz w:val="24"/>
                      <w:szCs w:val="24"/>
                      <w:lang w:eastAsia="en-IN"/>
                    </w:rPr>
                    <w:t>Percentage change over years</w:t>
                  </w:r>
                </w:p>
                <w:p w:rsidR="00B8744D" w:rsidRDefault="00B8744D" w:rsidP="005B3582">
                  <w:pPr>
                    <w:spacing w:beforeAutospacing="1" w:afterAutospacing="1"/>
                    <w:ind w:right="-27"/>
                    <w:jc w:val="center"/>
                    <w:rPr>
                      <w:rFonts w:ascii="Times New Roman" w:eastAsia="Times New Roman" w:hAnsi="Times New Roman"/>
                      <w:sz w:val="24"/>
                      <w:szCs w:val="24"/>
                      <w:lang w:eastAsia="en-IN"/>
                    </w:rPr>
                  </w:pPr>
                  <w:r w:rsidRPr="00F46B67">
                    <w:rPr>
                      <w:rFonts w:ascii="Times New Roman" w:eastAsia="Times New Roman" w:hAnsi="Times New Roman"/>
                      <w:sz w:val="24"/>
                      <w:szCs w:val="24"/>
                      <w:lang w:eastAsia="en-IN"/>
                    </w:rPr>
                    <w:t xml:space="preserve"> (+/-)</w:t>
                  </w:r>
                </w:p>
              </w:tc>
              <w:tc>
                <w:tcPr>
                  <w:tcW w:w="1701" w:type="dxa"/>
                  <w:tcBorders>
                    <w:top w:val="single" w:sz="4" w:space="0" w:color="auto"/>
                    <w:right w:val="single" w:sz="4" w:space="0" w:color="auto"/>
                  </w:tcBorders>
                </w:tcPr>
                <w:p w:rsidR="00B8744D" w:rsidRDefault="00B8744D" w:rsidP="005B3582">
                  <w:pPr>
                    <w:spacing w:beforeAutospacing="1" w:afterAutospacing="1"/>
                    <w:ind w:right="-27"/>
                    <w:jc w:val="center"/>
                    <w:rPr>
                      <w:rFonts w:ascii="Times New Roman" w:hAnsi="Times New Roman"/>
                      <w:sz w:val="24"/>
                      <w:szCs w:val="24"/>
                    </w:rPr>
                  </w:pPr>
                  <w:r>
                    <w:rPr>
                      <w:rFonts w:ascii="Times New Roman" w:hAnsi="Times New Roman"/>
                      <w:sz w:val="24"/>
                      <w:szCs w:val="24"/>
                    </w:rPr>
                    <w:t xml:space="preserve">Infrastructure </w:t>
                  </w:r>
                  <w:r w:rsidRPr="00601FCC">
                    <w:rPr>
                      <w:rFonts w:ascii="Times New Roman" w:hAnsi="Times New Roman"/>
                      <w:sz w:val="24"/>
                      <w:szCs w:val="24"/>
                    </w:rPr>
                    <w:t>(Land Acquisition)</w:t>
                  </w:r>
                </w:p>
                <w:p w:rsidR="00B8744D" w:rsidRPr="00F6710F" w:rsidRDefault="00B8744D" w:rsidP="005B3582">
                  <w:pPr>
                    <w:spacing w:beforeAutospacing="1" w:afterAutospacing="1"/>
                    <w:ind w:right="-27"/>
                    <w:jc w:val="center"/>
                    <w:rPr>
                      <w:rFonts w:ascii="Times New Roman" w:eastAsia="Times New Roman" w:hAnsi="Times New Roman"/>
                      <w:sz w:val="24"/>
                      <w:szCs w:val="24"/>
                      <w:lang w:eastAsia="en-IN"/>
                    </w:rPr>
                  </w:pPr>
                  <w:r w:rsidRPr="00F6710F">
                    <w:rPr>
                      <w:rFonts w:ascii="Times New Roman" w:hAnsi="Times New Roman"/>
                      <w:color w:val="000000"/>
                      <w:sz w:val="20"/>
                      <w:szCs w:val="20"/>
                    </w:rPr>
                    <w:t>(Hectares)</w:t>
                  </w:r>
                </w:p>
              </w:tc>
              <w:tc>
                <w:tcPr>
                  <w:tcW w:w="1418" w:type="dxa"/>
                  <w:tcBorders>
                    <w:top w:val="single" w:sz="4" w:space="0" w:color="auto"/>
                    <w:left w:val="single" w:sz="4" w:space="0" w:color="auto"/>
                  </w:tcBorders>
                </w:tcPr>
                <w:p w:rsidR="00B8744D" w:rsidRDefault="00B8744D" w:rsidP="005B3582">
                  <w:pPr>
                    <w:spacing w:beforeAutospacing="1" w:afterAutospacing="1"/>
                    <w:ind w:right="-27"/>
                    <w:jc w:val="center"/>
                    <w:rPr>
                      <w:rFonts w:ascii="Times New Roman" w:eastAsia="Times New Roman" w:hAnsi="Times New Roman"/>
                      <w:sz w:val="24"/>
                      <w:szCs w:val="24"/>
                      <w:lang w:eastAsia="en-IN"/>
                    </w:rPr>
                  </w:pPr>
                  <w:r w:rsidRPr="00F46B67">
                    <w:rPr>
                      <w:rFonts w:ascii="Times New Roman" w:eastAsia="Times New Roman" w:hAnsi="Times New Roman"/>
                      <w:sz w:val="24"/>
                      <w:szCs w:val="24"/>
                      <w:lang w:eastAsia="en-IN"/>
                    </w:rPr>
                    <w:t>Percentage change over years</w:t>
                  </w:r>
                </w:p>
                <w:p w:rsidR="00B8744D" w:rsidRPr="00F46B67" w:rsidRDefault="00B8744D" w:rsidP="005B3582">
                  <w:pPr>
                    <w:spacing w:beforeAutospacing="1" w:afterAutospacing="1"/>
                    <w:ind w:right="-27"/>
                    <w:jc w:val="center"/>
                    <w:rPr>
                      <w:rFonts w:ascii="Times New Roman" w:eastAsia="Times New Roman" w:hAnsi="Times New Roman"/>
                      <w:sz w:val="24"/>
                      <w:szCs w:val="24"/>
                      <w:lang w:eastAsia="en-IN"/>
                    </w:rPr>
                  </w:pPr>
                  <w:r w:rsidRPr="00F46B67">
                    <w:rPr>
                      <w:rFonts w:ascii="Times New Roman" w:eastAsia="Times New Roman" w:hAnsi="Times New Roman"/>
                      <w:sz w:val="24"/>
                      <w:szCs w:val="24"/>
                      <w:lang w:eastAsia="en-IN"/>
                    </w:rPr>
                    <w:t xml:space="preserve"> (+/-)</w:t>
                  </w:r>
                </w:p>
              </w:tc>
              <w:tc>
                <w:tcPr>
                  <w:tcW w:w="2126" w:type="dxa"/>
                  <w:vMerge/>
                  <w:tcBorders>
                    <w:left w:val="single" w:sz="4" w:space="0" w:color="auto"/>
                  </w:tcBorders>
                </w:tcPr>
                <w:p w:rsidR="00B8744D" w:rsidRPr="00F46B67" w:rsidRDefault="00B8744D" w:rsidP="005B3582">
                  <w:pPr>
                    <w:spacing w:beforeAutospacing="1" w:afterAutospacing="1"/>
                    <w:ind w:right="-27"/>
                    <w:jc w:val="center"/>
                    <w:rPr>
                      <w:rFonts w:ascii="Times New Roman" w:eastAsia="Times New Roman" w:hAnsi="Times New Roman"/>
                      <w:sz w:val="24"/>
                      <w:szCs w:val="24"/>
                      <w:lang w:eastAsia="en-IN"/>
                    </w:rPr>
                  </w:pPr>
                </w:p>
              </w:tc>
            </w:tr>
            <w:tr w:rsidR="00B8744D" w:rsidRPr="00F46B67" w:rsidTr="00B8744D">
              <w:trPr>
                <w:trHeight w:hRule="exact" w:val="510"/>
              </w:trPr>
              <w:tc>
                <w:tcPr>
                  <w:tcW w:w="1413" w:type="dxa"/>
                </w:tcPr>
                <w:p w:rsidR="00B8744D" w:rsidRPr="00F46B67" w:rsidRDefault="00B8744D" w:rsidP="005B3582">
                  <w:pPr>
                    <w:spacing w:beforeAutospacing="1" w:afterAutospacing="1"/>
                    <w:ind w:right="-27"/>
                    <w:rPr>
                      <w:rFonts w:ascii="Times New Roman" w:eastAsia="Times New Roman" w:hAnsi="Times New Roman"/>
                      <w:sz w:val="24"/>
                      <w:szCs w:val="24"/>
                      <w:lang w:eastAsia="en-IN"/>
                    </w:rPr>
                  </w:pPr>
                  <w:r>
                    <w:rPr>
                      <w:rFonts w:ascii="Times New Roman" w:eastAsia="Times New Roman" w:hAnsi="Times New Roman"/>
                      <w:sz w:val="24"/>
                      <w:szCs w:val="24"/>
                      <w:lang w:eastAsia="en-IN"/>
                    </w:rPr>
                    <w:t>2013-2014</w:t>
                  </w:r>
                </w:p>
              </w:tc>
              <w:tc>
                <w:tcPr>
                  <w:tcW w:w="1276" w:type="dxa"/>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23276.34</w:t>
                  </w:r>
                </w:p>
              </w:tc>
              <w:tc>
                <w:tcPr>
                  <w:tcW w:w="1275" w:type="dxa"/>
                </w:tcPr>
                <w:p w:rsidR="00B8744D" w:rsidRPr="009C224F" w:rsidRDefault="00B8744D" w:rsidP="005B3582">
                  <w:pPr>
                    <w:spacing w:beforeAutospacing="1" w:afterAutospacing="1"/>
                    <w:ind w:right="-27"/>
                    <w:jc w:val="center"/>
                    <w:rPr>
                      <w:rFonts w:ascii="Times New Roman" w:eastAsia="Times New Roman" w:hAnsi="Times New Roman"/>
                      <w:color w:val="000000" w:themeColor="text1"/>
                      <w:sz w:val="24"/>
                      <w:szCs w:val="24"/>
                      <w:lang w:eastAsia="en-IN"/>
                    </w:rPr>
                  </w:pPr>
                  <w:r>
                    <w:rPr>
                      <w:rFonts w:ascii="Times New Roman" w:eastAsia="Times New Roman" w:hAnsi="Times New Roman"/>
                      <w:color w:val="000000" w:themeColor="text1"/>
                      <w:sz w:val="24"/>
                      <w:szCs w:val="24"/>
                      <w:lang w:eastAsia="en-IN"/>
                    </w:rPr>
                    <w:t>0</w:t>
                  </w:r>
                </w:p>
              </w:tc>
              <w:tc>
                <w:tcPr>
                  <w:tcW w:w="1701" w:type="dxa"/>
                  <w:tcBorders>
                    <w:righ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42.41</w:t>
                  </w:r>
                </w:p>
              </w:tc>
              <w:tc>
                <w:tcPr>
                  <w:tcW w:w="1418" w:type="dxa"/>
                  <w:tcBorders>
                    <w:lef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0</w:t>
                  </w:r>
                </w:p>
              </w:tc>
              <w:tc>
                <w:tcPr>
                  <w:tcW w:w="2126" w:type="dxa"/>
                  <w:tcBorders>
                    <w:lef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0.18</w:t>
                  </w:r>
                </w:p>
              </w:tc>
            </w:tr>
            <w:tr w:rsidR="00B8744D" w:rsidRPr="00F46B67" w:rsidTr="00B8744D">
              <w:trPr>
                <w:trHeight w:hRule="exact" w:val="407"/>
              </w:trPr>
              <w:tc>
                <w:tcPr>
                  <w:tcW w:w="1413" w:type="dxa"/>
                </w:tcPr>
                <w:p w:rsidR="00B8744D" w:rsidRPr="00803472" w:rsidRDefault="00B8744D" w:rsidP="005B3582">
                  <w:pPr>
                    <w:rPr>
                      <w:rFonts w:ascii="Times New Roman" w:eastAsia="Times New Roman" w:hAnsi="Times New Roman"/>
                      <w:sz w:val="24"/>
                      <w:szCs w:val="24"/>
                    </w:rPr>
                  </w:pPr>
                  <w:r>
                    <w:rPr>
                      <w:rFonts w:ascii="Times New Roman" w:eastAsia="Times New Roman" w:hAnsi="Times New Roman"/>
                      <w:sz w:val="24"/>
                      <w:szCs w:val="24"/>
                      <w:lang w:eastAsia="en-IN"/>
                    </w:rPr>
                    <w:t xml:space="preserve"> 2014-</w:t>
                  </w:r>
                  <w:r w:rsidRPr="00803472">
                    <w:rPr>
                      <w:rFonts w:ascii="Times New Roman" w:eastAsia="Times New Roman" w:hAnsi="Times New Roman"/>
                      <w:sz w:val="24"/>
                      <w:szCs w:val="24"/>
                      <w:lang w:eastAsia="en-IN"/>
                    </w:rPr>
                    <w:t>201</w:t>
                  </w:r>
                  <w:r>
                    <w:rPr>
                      <w:rFonts w:ascii="Times New Roman" w:eastAsia="Times New Roman" w:hAnsi="Times New Roman"/>
                      <w:sz w:val="24"/>
                      <w:szCs w:val="24"/>
                      <w:lang w:eastAsia="en-IN"/>
                    </w:rPr>
                    <w:t>5</w:t>
                  </w:r>
                </w:p>
              </w:tc>
              <w:tc>
                <w:tcPr>
                  <w:tcW w:w="1276" w:type="dxa"/>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27854.56</w:t>
                  </w:r>
                </w:p>
              </w:tc>
              <w:tc>
                <w:tcPr>
                  <w:tcW w:w="1275" w:type="dxa"/>
                </w:tcPr>
                <w:p w:rsidR="00B8744D" w:rsidRPr="009C224F" w:rsidRDefault="00B8744D" w:rsidP="005B3582">
                  <w:pPr>
                    <w:spacing w:beforeAutospacing="1" w:afterAutospacing="1"/>
                    <w:ind w:right="-27"/>
                    <w:jc w:val="center"/>
                    <w:rPr>
                      <w:rFonts w:ascii="Times New Roman" w:eastAsia="Times New Roman" w:hAnsi="Times New Roman"/>
                      <w:color w:val="000000" w:themeColor="text1"/>
                      <w:sz w:val="24"/>
                      <w:szCs w:val="24"/>
                      <w:lang w:eastAsia="en-IN"/>
                    </w:rPr>
                  </w:pPr>
                  <w:r>
                    <w:rPr>
                      <w:rFonts w:ascii="Times New Roman" w:eastAsia="Times New Roman" w:hAnsi="Times New Roman"/>
                      <w:color w:val="000000" w:themeColor="text1"/>
                      <w:sz w:val="24"/>
                      <w:szCs w:val="24"/>
                      <w:lang w:eastAsia="en-IN"/>
                    </w:rPr>
                    <w:t>19.66</w:t>
                  </w:r>
                </w:p>
              </w:tc>
              <w:tc>
                <w:tcPr>
                  <w:tcW w:w="1701" w:type="dxa"/>
                  <w:tcBorders>
                    <w:right w:val="single" w:sz="4" w:space="0" w:color="auto"/>
                  </w:tcBorders>
                </w:tcPr>
                <w:p w:rsidR="00B8744D" w:rsidRDefault="00B8744D" w:rsidP="005B3582">
                  <w:pPr>
                    <w:jc w:val="center"/>
                  </w:pPr>
                  <w:r w:rsidRPr="00E443FC">
                    <w:rPr>
                      <w:rFonts w:ascii="Times New Roman" w:eastAsia="Times New Roman" w:hAnsi="Times New Roman"/>
                      <w:sz w:val="24"/>
                      <w:szCs w:val="24"/>
                      <w:lang w:eastAsia="en-IN"/>
                    </w:rPr>
                    <w:t>42.41</w:t>
                  </w:r>
                </w:p>
              </w:tc>
              <w:tc>
                <w:tcPr>
                  <w:tcW w:w="1418" w:type="dxa"/>
                  <w:tcBorders>
                    <w:left w:val="single" w:sz="4" w:space="0" w:color="auto"/>
                  </w:tcBorders>
                </w:tcPr>
                <w:p w:rsidR="00B8744D" w:rsidRPr="00ED59E9" w:rsidRDefault="00B8744D" w:rsidP="005B3582">
                  <w:pPr>
                    <w:tabs>
                      <w:tab w:val="left" w:pos="1260"/>
                    </w:tabs>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0</w:t>
                  </w:r>
                </w:p>
              </w:tc>
              <w:tc>
                <w:tcPr>
                  <w:tcW w:w="2126" w:type="dxa"/>
                  <w:tcBorders>
                    <w:lef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0.15</w:t>
                  </w:r>
                </w:p>
              </w:tc>
            </w:tr>
            <w:tr w:rsidR="00B8744D" w:rsidRPr="00F46B67" w:rsidTr="00B8744D">
              <w:trPr>
                <w:trHeight w:hRule="exact" w:val="510"/>
              </w:trPr>
              <w:tc>
                <w:tcPr>
                  <w:tcW w:w="1413" w:type="dxa"/>
                </w:tcPr>
                <w:p w:rsidR="00B8744D" w:rsidRPr="00B83B63" w:rsidRDefault="00B8744D" w:rsidP="005B3582">
                  <w:pPr>
                    <w:rPr>
                      <w:rFonts w:ascii="Times New Roman" w:eastAsia="Times New Roman" w:hAnsi="Times New Roman"/>
                      <w:sz w:val="24"/>
                      <w:szCs w:val="24"/>
                    </w:rPr>
                  </w:pPr>
                  <w:r w:rsidRPr="00B83B63">
                    <w:rPr>
                      <w:rFonts w:ascii="Times New Roman" w:eastAsia="Times New Roman" w:hAnsi="Times New Roman"/>
                      <w:sz w:val="24"/>
                      <w:szCs w:val="24"/>
                      <w:lang w:eastAsia="en-IN"/>
                    </w:rPr>
                    <w:t>201</w:t>
                  </w:r>
                  <w:r>
                    <w:rPr>
                      <w:rFonts w:ascii="Times New Roman" w:eastAsia="Times New Roman" w:hAnsi="Times New Roman"/>
                      <w:sz w:val="24"/>
                      <w:szCs w:val="24"/>
                      <w:lang w:eastAsia="en-IN"/>
                    </w:rPr>
                    <w:t>5-2016</w:t>
                  </w:r>
                </w:p>
              </w:tc>
              <w:tc>
                <w:tcPr>
                  <w:tcW w:w="1276" w:type="dxa"/>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32763.34</w:t>
                  </w:r>
                </w:p>
              </w:tc>
              <w:tc>
                <w:tcPr>
                  <w:tcW w:w="1275" w:type="dxa"/>
                </w:tcPr>
                <w:p w:rsidR="00B8744D" w:rsidRPr="009C224F" w:rsidRDefault="00B8744D" w:rsidP="005B3582">
                  <w:pPr>
                    <w:spacing w:beforeAutospacing="1" w:afterAutospacing="1"/>
                    <w:ind w:right="-27"/>
                    <w:jc w:val="center"/>
                    <w:rPr>
                      <w:rFonts w:ascii="Times New Roman" w:eastAsia="Times New Roman" w:hAnsi="Times New Roman"/>
                      <w:color w:val="000000" w:themeColor="text1"/>
                      <w:sz w:val="24"/>
                      <w:szCs w:val="24"/>
                      <w:lang w:eastAsia="en-IN"/>
                    </w:rPr>
                  </w:pPr>
                  <w:r>
                    <w:rPr>
                      <w:rFonts w:ascii="Times New Roman" w:eastAsia="Times New Roman" w:hAnsi="Times New Roman"/>
                      <w:color w:val="000000" w:themeColor="text1"/>
                      <w:sz w:val="24"/>
                      <w:szCs w:val="24"/>
                      <w:lang w:eastAsia="en-IN"/>
                    </w:rPr>
                    <w:t>40.75</w:t>
                  </w:r>
                </w:p>
              </w:tc>
              <w:tc>
                <w:tcPr>
                  <w:tcW w:w="1701" w:type="dxa"/>
                  <w:tcBorders>
                    <w:right w:val="single" w:sz="4" w:space="0" w:color="auto"/>
                  </w:tcBorders>
                </w:tcPr>
                <w:p w:rsidR="00B8744D" w:rsidRDefault="00B8744D" w:rsidP="005B3582">
                  <w:pPr>
                    <w:jc w:val="center"/>
                  </w:pPr>
                  <w:r w:rsidRPr="00E443FC">
                    <w:rPr>
                      <w:rFonts w:ascii="Times New Roman" w:eastAsia="Times New Roman" w:hAnsi="Times New Roman"/>
                      <w:sz w:val="24"/>
                      <w:szCs w:val="24"/>
                      <w:lang w:eastAsia="en-IN"/>
                    </w:rPr>
                    <w:t>42.41</w:t>
                  </w:r>
                </w:p>
              </w:tc>
              <w:tc>
                <w:tcPr>
                  <w:tcW w:w="1418" w:type="dxa"/>
                  <w:tcBorders>
                    <w:lef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0</w:t>
                  </w:r>
                </w:p>
              </w:tc>
              <w:tc>
                <w:tcPr>
                  <w:tcW w:w="2126" w:type="dxa"/>
                  <w:tcBorders>
                    <w:lef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0.12</w:t>
                  </w:r>
                </w:p>
              </w:tc>
            </w:tr>
            <w:tr w:rsidR="00B8744D" w:rsidRPr="00F46B67" w:rsidTr="00B8744D">
              <w:trPr>
                <w:trHeight w:hRule="exact" w:val="510"/>
              </w:trPr>
              <w:tc>
                <w:tcPr>
                  <w:tcW w:w="1413" w:type="dxa"/>
                </w:tcPr>
                <w:p w:rsidR="00B8744D" w:rsidRPr="00B83B63" w:rsidRDefault="00B8744D" w:rsidP="005B3582">
                  <w:pPr>
                    <w:rPr>
                      <w:rFonts w:ascii="Times New Roman" w:eastAsia="Times New Roman" w:hAnsi="Times New Roman"/>
                      <w:sz w:val="24"/>
                      <w:szCs w:val="24"/>
                    </w:rPr>
                  </w:pPr>
                  <w:r w:rsidRPr="00B83B63">
                    <w:rPr>
                      <w:rFonts w:ascii="Times New Roman" w:eastAsia="Times New Roman" w:hAnsi="Times New Roman"/>
                      <w:sz w:val="24"/>
                      <w:szCs w:val="24"/>
                      <w:lang w:eastAsia="en-IN"/>
                    </w:rPr>
                    <w:t>201</w:t>
                  </w:r>
                  <w:r>
                    <w:rPr>
                      <w:rFonts w:ascii="Times New Roman" w:eastAsia="Times New Roman" w:hAnsi="Times New Roman"/>
                      <w:sz w:val="24"/>
                      <w:szCs w:val="24"/>
                      <w:lang w:eastAsia="en-IN"/>
                    </w:rPr>
                    <w:t>6-2017</w:t>
                  </w:r>
                </w:p>
              </w:tc>
              <w:tc>
                <w:tcPr>
                  <w:tcW w:w="1276" w:type="dxa"/>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38134.58</w:t>
                  </w:r>
                </w:p>
              </w:tc>
              <w:tc>
                <w:tcPr>
                  <w:tcW w:w="1275" w:type="dxa"/>
                </w:tcPr>
                <w:p w:rsidR="00B8744D" w:rsidRPr="009C224F" w:rsidRDefault="00B8744D" w:rsidP="005B3582">
                  <w:pPr>
                    <w:spacing w:beforeAutospacing="1" w:afterAutospacing="1"/>
                    <w:ind w:right="-27"/>
                    <w:jc w:val="center"/>
                    <w:rPr>
                      <w:rFonts w:ascii="Times New Roman" w:eastAsia="Times New Roman" w:hAnsi="Times New Roman"/>
                      <w:color w:val="000000" w:themeColor="text1"/>
                      <w:sz w:val="24"/>
                      <w:szCs w:val="24"/>
                      <w:lang w:eastAsia="en-IN"/>
                    </w:rPr>
                  </w:pPr>
                  <w:r>
                    <w:rPr>
                      <w:rFonts w:ascii="Times New Roman" w:eastAsia="Times New Roman" w:hAnsi="Times New Roman"/>
                      <w:color w:val="000000" w:themeColor="text1"/>
                      <w:sz w:val="24"/>
                      <w:szCs w:val="24"/>
                      <w:lang w:eastAsia="en-IN"/>
                    </w:rPr>
                    <w:t>63.84</w:t>
                  </w:r>
                </w:p>
              </w:tc>
              <w:tc>
                <w:tcPr>
                  <w:tcW w:w="1701" w:type="dxa"/>
                  <w:tcBorders>
                    <w:right w:val="single" w:sz="4" w:space="0" w:color="auto"/>
                  </w:tcBorders>
                </w:tcPr>
                <w:p w:rsidR="00B8744D" w:rsidRDefault="00B8744D" w:rsidP="005B3582">
                  <w:pPr>
                    <w:jc w:val="center"/>
                  </w:pPr>
                  <w:r w:rsidRPr="00E443FC">
                    <w:rPr>
                      <w:rFonts w:ascii="Times New Roman" w:eastAsia="Times New Roman" w:hAnsi="Times New Roman"/>
                      <w:sz w:val="24"/>
                      <w:szCs w:val="24"/>
                      <w:lang w:eastAsia="en-IN"/>
                    </w:rPr>
                    <w:t>42.41</w:t>
                  </w:r>
                </w:p>
              </w:tc>
              <w:tc>
                <w:tcPr>
                  <w:tcW w:w="1418" w:type="dxa"/>
                  <w:tcBorders>
                    <w:lef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0</w:t>
                  </w:r>
                </w:p>
              </w:tc>
              <w:tc>
                <w:tcPr>
                  <w:tcW w:w="2126" w:type="dxa"/>
                  <w:tcBorders>
                    <w:lef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0.11</w:t>
                  </w:r>
                </w:p>
              </w:tc>
            </w:tr>
            <w:tr w:rsidR="00B8744D" w:rsidRPr="00F46B67" w:rsidTr="00B8744D">
              <w:trPr>
                <w:trHeight w:hRule="exact" w:val="510"/>
              </w:trPr>
              <w:tc>
                <w:tcPr>
                  <w:tcW w:w="1413" w:type="dxa"/>
                </w:tcPr>
                <w:p w:rsidR="00B8744D" w:rsidRPr="00B83B63" w:rsidRDefault="00B8744D" w:rsidP="005B3582">
                  <w:pPr>
                    <w:rPr>
                      <w:rFonts w:ascii="Times New Roman" w:eastAsia="Times New Roman" w:hAnsi="Times New Roman"/>
                      <w:sz w:val="24"/>
                      <w:szCs w:val="24"/>
                    </w:rPr>
                  </w:pPr>
                  <w:r w:rsidRPr="00B83B63">
                    <w:rPr>
                      <w:rFonts w:ascii="Times New Roman" w:eastAsia="Times New Roman" w:hAnsi="Times New Roman"/>
                      <w:sz w:val="24"/>
                      <w:szCs w:val="24"/>
                      <w:lang w:eastAsia="en-IN"/>
                    </w:rPr>
                    <w:t>201</w:t>
                  </w:r>
                  <w:r>
                    <w:rPr>
                      <w:rFonts w:ascii="Times New Roman" w:eastAsia="Times New Roman" w:hAnsi="Times New Roman"/>
                      <w:sz w:val="24"/>
                      <w:szCs w:val="24"/>
                      <w:lang w:eastAsia="en-IN"/>
                    </w:rPr>
                    <w:t>7-2018</w:t>
                  </w:r>
                </w:p>
              </w:tc>
              <w:tc>
                <w:tcPr>
                  <w:tcW w:w="1276" w:type="dxa"/>
                  <w:vAlign w:val="center"/>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45021.34</w:t>
                  </w:r>
                </w:p>
              </w:tc>
              <w:tc>
                <w:tcPr>
                  <w:tcW w:w="1275" w:type="dxa"/>
                  <w:vAlign w:val="center"/>
                </w:tcPr>
                <w:p w:rsidR="00B8744D" w:rsidRPr="009C224F" w:rsidRDefault="00B8744D" w:rsidP="005B3582">
                  <w:pPr>
                    <w:spacing w:beforeAutospacing="1" w:afterAutospacing="1"/>
                    <w:ind w:right="-27"/>
                    <w:jc w:val="center"/>
                    <w:rPr>
                      <w:rFonts w:ascii="Times New Roman" w:eastAsia="Times New Roman" w:hAnsi="Times New Roman"/>
                      <w:color w:val="000000" w:themeColor="text1"/>
                      <w:sz w:val="24"/>
                      <w:szCs w:val="24"/>
                      <w:lang w:eastAsia="en-IN"/>
                    </w:rPr>
                  </w:pPr>
                  <w:r>
                    <w:rPr>
                      <w:rFonts w:ascii="Times New Roman" w:eastAsia="Times New Roman" w:hAnsi="Times New Roman"/>
                      <w:color w:val="000000" w:themeColor="text1"/>
                      <w:sz w:val="24"/>
                      <w:szCs w:val="24"/>
                      <w:lang w:eastAsia="en-IN"/>
                    </w:rPr>
                    <w:t>93.42</w:t>
                  </w:r>
                </w:p>
              </w:tc>
              <w:tc>
                <w:tcPr>
                  <w:tcW w:w="1701" w:type="dxa"/>
                  <w:tcBorders>
                    <w:right w:val="single" w:sz="4" w:space="0" w:color="auto"/>
                  </w:tcBorders>
                </w:tcPr>
                <w:p w:rsidR="00B8744D" w:rsidRDefault="00B8744D" w:rsidP="005B3582">
                  <w:pPr>
                    <w:jc w:val="center"/>
                  </w:pPr>
                  <w:r w:rsidRPr="00E443FC">
                    <w:rPr>
                      <w:rFonts w:ascii="Times New Roman" w:eastAsia="Times New Roman" w:hAnsi="Times New Roman"/>
                      <w:sz w:val="24"/>
                      <w:szCs w:val="24"/>
                      <w:lang w:eastAsia="en-IN"/>
                    </w:rPr>
                    <w:t>42.41</w:t>
                  </w:r>
                </w:p>
              </w:tc>
              <w:tc>
                <w:tcPr>
                  <w:tcW w:w="1418" w:type="dxa"/>
                  <w:tcBorders>
                    <w:lef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0</w:t>
                  </w:r>
                </w:p>
              </w:tc>
              <w:tc>
                <w:tcPr>
                  <w:tcW w:w="2126" w:type="dxa"/>
                  <w:tcBorders>
                    <w:lef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0.09</w:t>
                  </w:r>
                </w:p>
              </w:tc>
            </w:tr>
            <w:tr w:rsidR="00B8744D" w:rsidRPr="00F46B67" w:rsidTr="00B8744D">
              <w:trPr>
                <w:trHeight w:hRule="exact" w:val="510"/>
              </w:trPr>
              <w:tc>
                <w:tcPr>
                  <w:tcW w:w="1413" w:type="dxa"/>
                </w:tcPr>
                <w:p w:rsidR="00B8744D" w:rsidRPr="00B83B63" w:rsidRDefault="00B8744D" w:rsidP="005B3582">
                  <w:pPr>
                    <w:rPr>
                      <w:rFonts w:ascii="Times New Roman" w:eastAsia="Times New Roman" w:hAnsi="Times New Roman"/>
                      <w:sz w:val="24"/>
                      <w:szCs w:val="24"/>
                    </w:rPr>
                  </w:pPr>
                  <w:r w:rsidRPr="00B83B63">
                    <w:rPr>
                      <w:rFonts w:ascii="Times New Roman" w:eastAsia="Times New Roman" w:hAnsi="Times New Roman"/>
                      <w:sz w:val="24"/>
                      <w:szCs w:val="24"/>
                      <w:lang w:eastAsia="en-IN"/>
                    </w:rPr>
                    <w:t>201</w:t>
                  </w:r>
                  <w:r>
                    <w:rPr>
                      <w:rFonts w:ascii="Times New Roman" w:eastAsia="Times New Roman" w:hAnsi="Times New Roman"/>
                      <w:sz w:val="24"/>
                      <w:szCs w:val="24"/>
                      <w:lang w:eastAsia="en-IN"/>
                    </w:rPr>
                    <w:t>8-2019</w:t>
                  </w:r>
                </w:p>
              </w:tc>
              <w:tc>
                <w:tcPr>
                  <w:tcW w:w="1276" w:type="dxa"/>
                  <w:vAlign w:val="center"/>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45786.78</w:t>
                  </w:r>
                </w:p>
              </w:tc>
              <w:tc>
                <w:tcPr>
                  <w:tcW w:w="1275" w:type="dxa"/>
                  <w:vAlign w:val="center"/>
                </w:tcPr>
                <w:p w:rsidR="00B8744D" w:rsidRPr="009C224F" w:rsidRDefault="00B8744D" w:rsidP="005B3582">
                  <w:pPr>
                    <w:spacing w:beforeAutospacing="1" w:afterAutospacing="1"/>
                    <w:ind w:right="-27"/>
                    <w:jc w:val="center"/>
                    <w:rPr>
                      <w:rFonts w:ascii="Times New Roman" w:eastAsia="Times New Roman" w:hAnsi="Times New Roman"/>
                      <w:color w:val="000000" w:themeColor="text1"/>
                      <w:sz w:val="24"/>
                      <w:szCs w:val="24"/>
                      <w:lang w:eastAsia="en-IN"/>
                    </w:rPr>
                  </w:pPr>
                  <w:r>
                    <w:rPr>
                      <w:rFonts w:ascii="Times New Roman" w:eastAsia="Times New Roman" w:hAnsi="Times New Roman"/>
                      <w:color w:val="000000" w:themeColor="text1"/>
                      <w:sz w:val="24"/>
                      <w:szCs w:val="24"/>
                      <w:lang w:eastAsia="en-IN"/>
                    </w:rPr>
                    <w:t>96.70</w:t>
                  </w:r>
                </w:p>
              </w:tc>
              <w:tc>
                <w:tcPr>
                  <w:tcW w:w="1701" w:type="dxa"/>
                  <w:tcBorders>
                    <w:righ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147.02</w:t>
                  </w:r>
                </w:p>
              </w:tc>
              <w:tc>
                <w:tcPr>
                  <w:tcW w:w="1418" w:type="dxa"/>
                  <w:tcBorders>
                    <w:lef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246.66</w:t>
                  </w:r>
                </w:p>
              </w:tc>
              <w:tc>
                <w:tcPr>
                  <w:tcW w:w="2126" w:type="dxa"/>
                  <w:tcBorders>
                    <w:lef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0.32</w:t>
                  </w:r>
                </w:p>
              </w:tc>
            </w:tr>
            <w:tr w:rsidR="00B8744D" w:rsidRPr="00F46B67" w:rsidTr="00B8744D">
              <w:trPr>
                <w:trHeight w:hRule="exact" w:val="510"/>
              </w:trPr>
              <w:tc>
                <w:tcPr>
                  <w:tcW w:w="1413" w:type="dxa"/>
                </w:tcPr>
                <w:p w:rsidR="00B8744D" w:rsidRPr="00B83B63" w:rsidRDefault="00B8744D" w:rsidP="005B3582">
                  <w:pPr>
                    <w:rPr>
                      <w:rFonts w:ascii="Times New Roman" w:eastAsia="Times New Roman" w:hAnsi="Times New Roman"/>
                      <w:sz w:val="24"/>
                      <w:szCs w:val="24"/>
                    </w:rPr>
                  </w:pPr>
                  <w:r w:rsidRPr="00B83B63">
                    <w:rPr>
                      <w:rFonts w:ascii="Times New Roman" w:eastAsia="Times New Roman" w:hAnsi="Times New Roman"/>
                      <w:sz w:val="24"/>
                      <w:szCs w:val="24"/>
                      <w:lang w:eastAsia="en-IN"/>
                    </w:rPr>
                    <w:t>201</w:t>
                  </w:r>
                  <w:r>
                    <w:rPr>
                      <w:rFonts w:ascii="Times New Roman" w:eastAsia="Times New Roman" w:hAnsi="Times New Roman"/>
                      <w:sz w:val="24"/>
                      <w:szCs w:val="24"/>
                      <w:lang w:eastAsia="en-IN"/>
                    </w:rPr>
                    <w:t>9-2020</w:t>
                  </w:r>
                </w:p>
              </w:tc>
              <w:tc>
                <w:tcPr>
                  <w:tcW w:w="1276" w:type="dxa"/>
                  <w:vAlign w:val="center"/>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45893.44</w:t>
                  </w:r>
                </w:p>
              </w:tc>
              <w:tc>
                <w:tcPr>
                  <w:tcW w:w="1275" w:type="dxa"/>
                  <w:vAlign w:val="center"/>
                </w:tcPr>
                <w:p w:rsidR="00B8744D" w:rsidRPr="009C224F" w:rsidRDefault="00B8744D" w:rsidP="005B3582">
                  <w:pPr>
                    <w:spacing w:beforeAutospacing="1" w:afterAutospacing="1"/>
                    <w:ind w:right="-27"/>
                    <w:jc w:val="center"/>
                    <w:rPr>
                      <w:rFonts w:ascii="Times New Roman" w:eastAsia="Times New Roman" w:hAnsi="Times New Roman"/>
                      <w:color w:val="000000" w:themeColor="text1"/>
                      <w:sz w:val="24"/>
                      <w:szCs w:val="24"/>
                      <w:lang w:eastAsia="en-IN"/>
                    </w:rPr>
                  </w:pPr>
                  <w:r>
                    <w:rPr>
                      <w:rFonts w:ascii="Times New Roman" w:eastAsia="Times New Roman" w:hAnsi="Times New Roman"/>
                      <w:color w:val="000000" w:themeColor="text1"/>
                      <w:sz w:val="24"/>
                      <w:szCs w:val="24"/>
                      <w:lang w:eastAsia="en-IN"/>
                    </w:rPr>
                    <w:t>97.16</w:t>
                  </w:r>
                </w:p>
              </w:tc>
              <w:tc>
                <w:tcPr>
                  <w:tcW w:w="1701" w:type="dxa"/>
                  <w:tcBorders>
                    <w:righ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184.15</w:t>
                  </w:r>
                </w:p>
              </w:tc>
              <w:tc>
                <w:tcPr>
                  <w:tcW w:w="1418" w:type="dxa"/>
                  <w:tcBorders>
                    <w:lef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335.01</w:t>
                  </w:r>
                </w:p>
              </w:tc>
              <w:tc>
                <w:tcPr>
                  <w:tcW w:w="2126" w:type="dxa"/>
                  <w:tcBorders>
                    <w:left w:val="single" w:sz="4" w:space="0" w:color="auto"/>
                    <w:bottom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0.40</w:t>
                  </w:r>
                </w:p>
              </w:tc>
            </w:tr>
            <w:tr w:rsidR="00B8744D" w:rsidRPr="00F46B67" w:rsidTr="00B8744D">
              <w:trPr>
                <w:trHeight w:hRule="exact" w:val="510"/>
              </w:trPr>
              <w:tc>
                <w:tcPr>
                  <w:tcW w:w="1413" w:type="dxa"/>
                </w:tcPr>
                <w:p w:rsidR="00B8744D" w:rsidRPr="00B83B63" w:rsidRDefault="00B8744D" w:rsidP="005B3582">
                  <w:pPr>
                    <w:rPr>
                      <w:rFonts w:ascii="Times New Roman" w:eastAsia="Times New Roman" w:hAnsi="Times New Roman"/>
                      <w:sz w:val="24"/>
                      <w:szCs w:val="24"/>
                    </w:rPr>
                  </w:pPr>
                  <w:r w:rsidRPr="00B83B63">
                    <w:rPr>
                      <w:rFonts w:ascii="Times New Roman" w:eastAsia="Times New Roman" w:hAnsi="Times New Roman"/>
                      <w:sz w:val="24"/>
                      <w:szCs w:val="24"/>
                      <w:lang w:eastAsia="en-IN"/>
                    </w:rPr>
                    <w:t>20</w:t>
                  </w:r>
                  <w:r>
                    <w:rPr>
                      <w:rFonts w:ascii="Times New Roman" w:eastAsia="Times New Roman" w:hAnsi="Times New Roman"/>
                      <w:sz w:val="24"/>
                      <w:szCs w:val="24"/>
                      <w:lang w:eastAsia="en-IN"/>
                    </w:rPr>
                    <w:t>20-2021</w:t>
                  </w:r>
                </w:p>
              </w:tc>
              <w:tc>
                <w:tcPr>
                  <w:tcW w:w="1276" w:type="dxa"/>
                  <w:vAlign w:val="center"/>
                </w:tcPr>
                <w:p w:rsidR="00B8744D" w:rsidRPr="00ED59E9" w:rsidRDefault="00B8744D" w:rsidP="005B3582">
                  <w:pPr>
                    <w:spacing w:beforeAutospacing="1" w:afterAutospacing="1"/>
                    <w:ind w:right="-27"/>
                    <w:rPr>
                      <w:rFonts w:ascii="Times New Roman" w:eastAsia="Times New Roman" w:hAnsi="Times New Roman"/>
                      <w:sz w:val="24"/>
                      <w:szCs w:val="24"/>
                      <w:lang w:eastAsia="en-IN"/>
                    </w:rPr>
                  </w:pPr>
                  <w:r>
                    <w:rPr>
                      <w:rFonts w:ascii="Times New Roman" w:hAnsi="Times New Roman"/>
                      <w:sz w:val="24"/>
                      <w:szCs w:val="24"/>
                    </w:rPr>
                    <w:t xml:space="preserve">    </w:t>
                  </w:r>
                  <w:r w:rsidRPr="00176A8B">
                    <w:rPr>
                      <w:rFonts w:ascii="Times New Roman" w:hAnsi="Times New Roman"/>
                      <w:sz w:val="24"/>
                      <w:szCs w:val="24"/>
                    </w:rPr>
                    <w:t>46085.55</w:t>
                  </w:r>
                </w:p>
              </w:tc>
              <w:tc>
                <w:tcPr>
                  <w:tcW w:w="1275" w:type="dxa"/>
                  <w:vAlign w:val="center"/>
                </w:tcPr>
                <w:p w:rsidR="00B8744D" w:rsidRPr="009C224F" w:rsidRDefault="00B8744D" w:rsidP="005B3582">
                  <w:pPr>
                    <w:spacing w:beforeAutospacing="1" w:afterAutospacing="1"/>
                    <w:ind w:right="-27"/>
                    <w:jc w:val="center"/>
                    <w:rPr>
                      <w:rFonts w:ascii="Times New Roman" w:eastAsia="Times New Roman" w:hAnsi="Times New Roman"/>
                      <w:color w:val="000000" w:themeColor="text1"/>
                      <w:sz w:val="24"/>
                      <w:szCs w:val="24"/>
                      <w:lang w:eastAsia="en-IN"/>
                    </w:rPr>
                  </w:pPr>
                  <w:r>
                    <w:rPr>
                      <w:rFonts w:ascii="Times New Roman" w:eastAsia="Times New Roman" w:hAnsi="Times New Roman"/>
                      <w:color w:val="000000" w:themeColor="text1"/>
                      <w:sz w:val="24"/>
                      <w:szCs w:val="24"/>
                      <w:lang w:eastAsia="en-IN"/>
                    </w:rPr>
                    <w:t>97.99</w:t>
                  </w:r>
                </w:p>
              </w:tc>
              <w:tc>
                <w:tcPr>
                  <w:tcW w:w="1701" w:type="dxa"/>
                  <w:tcBorders>
                    <w:righ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545.49</w:t>
                  </w:r>
                </w:p>
              </w:tc>
              <w:tc>
                <w:tcPr>
                  <w:tcW w:w="1418" w:type="dxa"/>
                  <w:tcBorders>
                    <w:lef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1186.22</w:t>
                  </w:r>
                </w:p>
              </w:tc>
              <w:tc>
                <w:tcPr>
                  <w:tcW w:w="2126" w:type="dxa"/>
                  <w:tcBorders>
                    <w:top w:val="single" w:sz="4" w:space="0" w:color="auto"/>
                    <w:lef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1.18</w:t>
                  </w:r>
                </w:p>
              </w:tc>
            </w:tr>
            <w:tr w:rsidR="00B8744D" w:rsidRPr="00F46B67" w:rsidTr="00B8744D">
              <w:trPr>
                <w:trHeight w:hRule="exact" w:val="510"/>
              </w:trPr>
              <w:tc>
                <w:tcPr>
                  <w:tcW w:w="1413" w:type="dxa"/>
                </w:tcPr>
                <w:p w:rsidR="00B8744D" w:rsidRPr="00B83B63" w:rsidRDefault="00B8744D" w:rsidP="005B3582">
                  <w:pPr>
                    <w:rPr>
                      <w:rFonts w:ascii="Times New Roman" w:eastAsia="Times New Roman" w:hAnsi="Times New Roman"/>
                      <w:sz w:val="24"/>
                      <w:szCs w:val="24"/>
                    </w:rPr>
                  </w:pPr>
                  <w:r w:rsidRPr="00B83B63">
                    <w:rPr>
                      <w:rFonts w:ascii="Times New Roman" w:eastAsia="Times New Roman" w:hAnsi="Times New Roman"/>
                      <w:sz w:val="24"/>
                      <w:szCs w:val="24"/>
                      <w:lang w:eastAsia="en-IN"/>
                    </w:rPr>
                    <w:t>20</w:t>
                  </w:r>
                  <w:r>
                    <w:rPr>
                      <w:rFonts w:ascii="Times New Roman" w:eastAsia="Times New Roman" w:hAnsi="Times New Roman"/>
                      <w:sz w:val="24"/>
                      <w:szCs w:val="24"/>
                      <w:lang w:eastAsia="en-IN"/>
                    </w:rPr>
                    <w:t>21-2022</w:t>
                  </w:r>
                </w:p>
              </w:tc>
              <w:tc>
                <w:tcPr>
                  <w:tcW w:w="1276" w:type="dxa"/>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hAnsi="Times New Roman"/>
                      <w:sz w:val="24"/>
                      <w:szCs w:val="24"/>
                    </w:rPr>
                    <w:t>46656</w:t>
                  </w:r>
                  <w:r w:rsidRPr="00176A8B">
                    <w:rPr>
                      <w:rFonts w:ascii="Times New Roman" w:hAnsi="Times New Roman"/>
                      <w:sz w:val="24"/>
                      <w:szCs w:val="24"/>
                    </w:rPr>
                    <w:t>.55</w:t>
                  </w:r>
                </w:p>
              </w:tc>
              <w:tc>
                <w:tcPr>
                  <w:tcW w:w="1275" w:type="dxa"/>
                </w:tcPr>
                <w:p w:rsidR="00B8744D" w:rsidRPr="009C224F" w:rsidRDefault="00B8744D" w:rsidP="005B3582">
                  <w:pPr>
                    <w:spacing w:beforeAutospacing="1" w:afterAutospacing="1"/>
                    <w:ind w:right="-27"/>
                    <w:jc w:val="center"/>
                    <w:rPr>
                      <w:rFonts w:ascii="Times New Roman" w:eastAsia="Times New Roman" w:hAnsi="Times New Roman"/>
                      <w:color w:val="000000" w:themeColor="text1"/>
                      <w:sz w:val="24"/>
                      <w:szCs w:val="24"/>
                      <w:lang w:eastAsia="en-IN"/>
                    </w:rPr>
                  </w:pPr>
                  <w:r>
                    <w:rPr>
                      <w:rFonts w:ascii="Times New Roman" w:eastAsia="Times New Roman" w:hAnsi="Times New Roman"/>
                      <w:color w:val="000000" w:themeColor="text1"/>
                      <w:sz w:val="24"/>
                      <w:szCs w:val="24"/>
                      <w:lang w:eastAsia="en-IN"/>
                    </w:rPr>
                    <w:t>100.44</w:t>
                  </w:r>
                </w:p>
              </w:tc>
              <w:tc>
                <w:tcPr>
                  <w:tcW w:w="1701" w:type="dxa"/>
                  <w:tcBorders>
                    <w:right w:val="single" w:sz="4" w:space="0" w:color="auto"/>
                  </w:tcBorders>
                </w:tcPr>
                <w:p w:rsidR="00B8744D" w:rsidRDefault="00B8744D" w:rsidP="005B3582">
                  <w:pPr>
                    <w:jc w:val="center"/>
                  </w:pPr>
                  <w:r w:rsidRPr="00AB7F9C">
                    <w:rPr>
                      <w:rFonts w:ascii="Times New Roman" w:eastAsia="Times New Roman" w:hAnsi="Times New Roman"/>
                      <w:sz w:val="24"/>
                      <w:szCs w:val="24"/>
                      <w:lang w:eastAsia="en-IN"/>
                    </w:rPr>
                    <w:t>545.49</w:t>
                  </w:r>
                </w:p>
              </w:tc>
              <w:tc>
                <w:tcPr>
                  <w:tcW w:w="1418" w:type="dxa"/>
                  <w:tcBorders>
                    <w:lef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1186.22</w:t>
                  </w:r>
                </w:p>
              </w:tc>
              <w:tc>
                <w:tcPr>
                  <w:tcW w:w="2126" w:type="dxa"/>
                  <w:tcBorders>
                    <w:lef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1.16</w:t>
                  </w:r>
                </w:p>
              </w:tc>
            </w:tr>
            <w:tr w:rsidR="00B8744D" w:rsidRPr="00F46B67" w:rsidTr="00B8744D">
              <w:trPr>
                <w:trHeight w:hRule="exact" w:val="510"/>
              </w:trPr>
              <w:tc>
                <w:tcPr>
                  <w:tcW w:w="1413" w:type="dxa"/>
                </w:tcPr>
                <w:p w:rsidR="00B8744D" w:rsidRPr="00B83B63" w:rsidRDefault="00B8744D" w:rsidP="005B3582">
                  <w:pPr>
                    <w:rPr>
                      <w:rFonts w:ascii="Times New Roman" w:eastAsia="Times New Roman" w:hAnsi="Times New Roman"/>
                      <w:sz w:val="24"/>
                      <w:szCs w:val="24"/>
                    </w:rPr>
                  </w:pPr>
                  <w:r w:rsidRPr="00B83B63">
                    <w:rPr>
                      <w:rFonts w:ascii="Times New Roman" w:eastAsia="Times New Roman" w:hAnsi="Times New Roman"/>
                      <w:sz w:val="24"/>
                      <w:szCs w:val="24"/>
                      <w:lang w:eastAsia="en-IN"/>
                    </w:rPr>
                    <w:t>20</w:t>
                  </w:r>
                  <w:r>
                    <w:rPr>
                      <w:rFonts w:ascii="Times New Roman" w:eastAsia="Times New Roman" w:hAnsi="Times New Roman"/>
                      <w:sz w:val="24"/>
                      <w:szCs w:val="24"/>
                      <w:lang w:eastAsia="en-IN"/>
                    </w:rPr>
                    <w:t>22-2023</w:t>
                  </w:r>
                </w:p>
              </w:tc>
              <w:tc>
                <w:tcPr>
                  <w:tcW w:w="1276" w:type="dxa"/>
                </w:tcPr>
                <w:p w:rsidR="00B8744D" w:rsidRPr="004723FA" w:rsidRDefault="00B8744D" w:rsidP="005B3582">
                  <w:pPr>
                    <w:spacing w:beforeAutospacing="1" w:afterAutospacing="1"/>
                    <w:ind w:right="-27"/>
                    <w:jc w:val="center"/>
                    <w:rPr>
                      <w:rFonts w:ascii="Times New Roman" w:eastAsia="Times New Roman" w:hAnsi="Times New Roman"/>
                      <w:sz w:val="24"/>
                      <w:szCs w:val="24"/>
                      <w:lang w:eastAsia="en-IN"/>
                    </w:rPr>
                  </w:pPr>
                  <w:r w:rsidRPr="004723FA">
                    <w:rPr>
                      <w:rFonts w:ascii="Times New Roman" w:hAnsi="Times New Roman"/>
                      <w:color w:val="000000"/>
                      <w:sz w:val="24"/>
                      <w:szCs w:val="24"/>
                    </w:rPr>
                    <w:t>47190.98</w:t>
                  </w:r>
                </w:p>
              </w:tc>
              <w:tc>
                <w:tcPr>
                  <w:tcW w:w="1275" w:type="dxa"/>
                </w:tcPr>
                <w:p w:rsidR="00B8744D" w:rsidRPr="009C224F" w:rsidRDefault="00B8744D" w:rsidP="005B3582">
                  <w:pPr>
                    <w:spacing w:beforeAutospacing="1" w:afterAutospacing="1"/>
                    <w:ind w:right="-27"/>
                    <w:jc w:val="center"/>
                    <w:rPr>
                      <w:rFonts w:ascii="Times New Roman" w:eastAsia="Times New Roman" w:hAnsi="Times New Roman"/>
                      <w:color w:val="000000" w:themeColor="text1"/>
                      <w:sz w:val="24"/>
                      <w:szCs w:val="24"/>
                      <w:lang w:eastAsia="en-IN"/>
                    </w:rPr>
                  </w:pPr>
                  <w:r>
                    <w:rPr>
                      <w:rFonts w:ascii="Times New Roman" w:eastAsia="Times New Roman" w:hAnsi="Times New Roman"/>
                      <w:color w:val="000000" w:themeColor="text1"/>
                      <w:sz w:val="24"/>
                      <w:szCs w:val="24"/>
                      <w:lang w:eastAsia="en-IN"/>
                    </w:rPr>
                    <w:t>102.74</w:t>
                  </w:r>
                </w:p>
              </w:tc>
              <w:tc>
                <w:tcPr>
                  <w:tcW w:w="1701" w:type="dxa"/>
                  <w:tcBorders>
                    <w:right w:val="single" w:sz="4" w:space="0" w:color="auto"/>
                  </w:tcBorders>
                </w:tcPr>
                <w:p w:rsidR="00B8744D" w:rsidRDefault="00B8744D" w:rsidP="005B3582">
                  <w:pPr>
                    <w:jc w:val="center"/>
                  </w:pPr>
                  <w:r w:rsidRPr="00AB7F9C">
                    <w:rPr>
                      <w:rFonts w:ascii="Times New Roman" w:eastAsia="Times New Roman" w:hAnsi="Times New Roman"/>
                      <w:sz w:val="24"/>
                      <w:szCs w:val="24"/>
                      <w:lang w:eastAsia="en-IN"/>
                    </w:rPr>
                    <w:t>545.49</w:t>
                  </w:r>
                </w:p>
              </w:tc>
              <w:tc>
                <w:tcPr>
                  <w:tcW w:w="1418" w:type="dxa"/>
                  <w:tcBorders>
                    <w:left w:val="single" w:sz="4" w:space="0" w:color="auto"/>
                  </w:tcBorders>
                </w:tcPr>
                <w:p w:rsidR="00B8744D" w:rsidRPr="00ED59E9" w:rsidRDefault="00B8744D" w:rsidP="005B3582">
                  <w:pPr>
                    <w:spacing w:beforeAutospacing="1" w:afterAutospacing="1"/>
                    <w:ind w:right="-27"/>
                    <w:rPr>
                      <w:rFonts w:ascii="Times New Roman" w:eastAsia="Times New Roman" w:hAnsi="Times New Roman"/>
                      <w:sz w:val="24"/>
                      <w:szCs w:val="24"/>
                      <w:lang w:eastAsia="en-IN"/>
                    </w:rPr>
                  </w:pPr>
                  <w:r>
                    <w:rPr>
                      <w:rFonts w:ascii="Times New Roman" w:eastAsia="Times New Roman" w:hAnsi="Times New Roman"/>
                      <w:sz w:val="24"/>
                      <w:szCs w:val="24"/>
                      <w:lang w:eastAsia="en-IN"/>
                    </w:rPr>
                    <w:t xml:space="preserve">     1186.22</w:t>
                  </w:r>
                </w:p>
              </w:tc>
              <w:tc>
                <w:tcPr>
                  <w:tcW w:w="2126" w:type="dxa"/>
                  <w:tcBorders>
                    <w:left w:val="single" w:sz="4" w:space="0" w:color="auto"/>
                  </w:tcBorders>
                </w:tcPr>
                <w:p w:rsidR="00B8744D" w:rsidRPr="00ED59E9" w:rsidRDefault="00B8744D" w:rsidP="005B3582">
                  <w:pPr>
                    <w:spacing w:beforeAutospacing="1" w:afterAutospacing="1"/>
                    <w:ind w:right="-27"/>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1.15</w:t>
                  </w:r>
                </w:p>
              </w:tc>
            </w:tr>
          </w:tbl>
          <w:p w:rsidR="00B8744D" w:rsidRPr="00F46B67" w:rsidRDefault="00B8744D" w:rsidP="005B3582">
            <w:pPr>
              <w:tabs>
                <w:tab w:val="left" w:pos="240"/>
              </w:tabs>
              <w:jc w:val="both"/>
              <w:rPr>
                <w:rFonts w:ascii="Times New Roman" w:hAnsi="Times New Roman"/>
                <w:i/>
                <w:sz w:val="24"/>
                <w:szCs w:val="24"/>
                <w:lang w:eastAsia="en-IN"/>
              </w:rPr>
            </w:pPr>
          </w:p>
        </w:tc>
        <w:tc>
          <w:tcPr>
            <w:tcW w:w="55" w:type="dxa"/>
            <w:tcBorders>
              <w:right w:val="single" w:sz="4" w:space="0" w:color="auto"/>
            </w:tcBorders>
            <w:shd w:val="clear" w:color="auto" w:fill="FFFFFF"/>
          </w:tcPr>
          <w:p w:rsidR="00B8744D" w:rsidRPr="00F46B67" w:rsidRDefault="00B8744D" w:rsidP="005B3582">
            <w:pPr>
              <w:spacing w:beforeAutospacing="1" w:afterAutospacing="1"/>
              <w:ind w:right="-27"/>
              <w:jc w:val="both"/>
              <w:rPr>
                <w:rFonts w:ascii="Times New Roman" w:eastAsia="Times New Roman" w:hAnsi="Times New Roman"/>
                <w:sz w:val="24"/>
                <w:szCs w:val="24"/>
                <w:lang w:eastAsia="en-IN"/>
              </w:rPr>
            </w:pPr>
          </w:p>
        </w:tc>
        <w:tc>
          <w:tcPr>
            <w:tcW w:w="20" w:type="dxa"/>
            <w:tcBorders>
              <w:tr2bl w:val="single" w:sz="4" w:space="0" w:color="auto"/>
            </w:tcBorders>
            <w:shd w:val="clear" w:color="auto" w:fill="FFFFFF"/>
          </w:tcPr>
          <w:p w:rsidR="00B8744D" w:rsidRPr="00F46B67" w:rsidRDefault="00B8744D" w:rsidP="005B3582">
            <w:pPr>
              <w:spacing w:beforeAutospacing="1" w:afterAutospacing="1"/>
              <w:ind w:right="-27"/>
              <w:jc w:val="both"/>
              <w:rPr>
                <w:rFonts w:ascii="Times New Roman" w:eastAsia="Times New Roman" w:hAnsi="Times New Roman"/>
                <w:sz w:val="24"/>
                <w:szCs w:val="24"/>
                <w:lang w:eastAsia="en-IN"/>
              </w:rPr>
            </w:pPr>
          </w:p>
        </w:tc>
        <w:tc>
          <w:tcPr>
            <w:tcW w:w="350" w:type="dxa"/>
            <w:shd w:val="clear" w:color="auto" w:fill="FFFFFF"/>
          </w:tcPr>
          <w:p w:rsidR="00B8744D" w:rsidRPr="00F46B67" w:rsidRDefault="00B8744D" w:rsidP="005B3582">
            <w:pPr>
              <w:spacing w:beforeAutospacing="1" w:afterAutospacing="1"/>
              <w:ind w:right="-27"/>
              <w:jc w:val="both"/>
              <w:rPr>
                <w:rFonts w:ascii="Times New Roman" w:eastAsia="Times New Roman" w:hAnsi="Times New Roman"/>
                <w:sz w:val="24"/>
                <w:szCs w:val="24"/>
                <w:lang w:eastAsia="en-IN"/>
              </w:rPr>
            </w:pPr>
          </w:p>
        </w:tc>
      </w:tr>
      <w:tr w:rsidR="00B8744D" w:rsidTr="00DE148A">
        <w:tblPrEx>
          <w:tblCellSpacing w:w="0" w:type="nil"/>
          <w:tblBorders>
            <w:top w:val="single" w:sz="4" w:space="0" w:color="auto"/>
          </w:tblBorders>
          <w:shd w:val="clear" w:color="auto" w:fill="auto"/>
          <w:tblCellMar>
            <w:left w:w="108" w:type="dxa"/>
            <w:right w:w="108" w:type="dxa"/>
          </w:tblCellMar>
          <w:tblLook w:val="0000"/>
        </w:tblPrEx>
        <w:trPr>
          <w:gridAfter w:val="4"/>
          <w:wAfter w:w="834" w:type="dxa"/>
          <w:trHeight w:val="80"/>
        </w:trPr>
        <w:tc>
          <w:tcPr>
            <w:tcW w:w="8522" w:type="dxa"/>
            <w:tcBorders>
              <w:top w:val="nil"/>
              <w:bottom w:val="nil"/>
            </w:tcBorders>
          </w:tcPr>
          <w:p w:rsidR="00B8744D" w:rsidRDefault="00B8744D" w:rsidP="005B3582">
            <w:pPr>
              <w:tabs>
                <w:tab w:val="left" w:pos="7468"/>
              </w:tabs>
              <w:spacing w:after="0" w:line="240" w:lineRule="auto"/>
              <w:rPr>
                <w:rFonts w:ascii="Times New Roman" w:hAnsi="Times New Roman"/>
                <w:sz w:val="24"/>
                <w:szCs w:val="24"/>
              </w:rPr>
            </w:pPr>
          </w:p>
        </w:tc>
      </w:tr>
    </w:tbl>
    <w:p w:rsidR="00B8744D" w:rsidRDefault="00B8744D" w:rsidP="00B8744D">
      <w:pPr>
        <w:tabs>
          <w:tab w:val="left" w:pos="240"/>
        </w:tabs>
        <w:jc w:val="both"/>
        <w:rPr>
          <w:rFonts w:ascii="Times New Roman" w:hAnsi="Times New Roman"/>
          <w:b/>
          <w:i/>
          <w:color w:val="000000" w:themeColor="text1"/>
          <w:sz w:val="24"/>
          <w:szCs w:val="24"/>
          <w:lang w:eastAsia="en-IN"/>
        </w:rPr>
      </w:pPr>
      <w:r w:rsidRPr="006A0A86">
        <w:rPr>
          <w:rFonts w:ascii="Times New Roman" w:hAnsi="Times New Roman"/>
          <w:b/>
          <w:i/>
          <w:color w:val="000000" w:themeColor="text1"/>
          <w:sz w:val="24"/>
          <w:szCs w:val="24"/>
          <w:lang w:eastAsia="en-IN"/>
        </w:rPr>
        <w:t>Source: Data compiled on the basis of annual reports/various issues of working papers of Development Commissioner of Cochin SEZ and Ministry of Commerce and Industry, Govt. of India.</w:t>
      </w:r>
    </w:p>
    <w:p w:rsidR="00B8744D" w:rsidRDefault="00B8744D" w:rsidP="00B8744D">
      <w:pPr>
        <w:tabs>
          <w:tab w:val="left" w:pos="240"/>
        </w:tabs>
        <w:spacing w:line="360" w:lineRule="auto"/>
        <w:jc w:val="both"/>
        <w:rPr>
          <w:rFonts w:ascii="Times New Roman" w:hAnsi="Times New Roman"/>
          <w:sz w:val="24"/>
          <w:szCs w:val="24"/>
          <w:lang w:eastAsia="en-IN"/>
        </w:rPr>
      </w:pPr>
    </w:p>
    <w:p w:rsidR="00B8744D" w:rsidRDefault="00B8744D" w:rsidP="00B8744D">
      <w:pPr>
        <w:spacing w:line="360" w:lineRule="auto"/>
        <w:jc w:val="both"/>
        <w:rPr>
          <w:rFonts w:ascii="Times New Roman" w:hAnsi="Times New Roman"/>
          <w:b/>
          <w:sz w:val="24"/>
          <w:szCs w:val="24"/>
        </w:rPr>
      </w:pPr>
    </w:p>
    <w:p w:rsidR="00B8744D" w:rsidRPr="00FF56EE" w:rsidRDefault="00FF56EE" w:rsidP="00FF56EE">
      <w:pPr>
        <w:spacing w:line="360" w:lineRule="auto"/>
        <w:jc w:val="both"/>
        <w:rPr>
          <w:rFonts w:ascii="Times New Roman" w:eastAsia="Times New Roman" w:hAnsi="Times New Roman"/>
          <w:b/>
          <w:sz w:val="24"/>
          <w:szCs w:val="24"/>
          <w:lang w:eastAsia="en-IN"/>
        </w:rPr>
      </w:pPr>
      <w:r>
        <w:rPr>
          <w:rFonts w:ascii="Times New Roman" w:hAnsi="Times New Roman"/>
          <w:b/>
          <w:sz w:val="24"/>
          <w:szCs w:val="24"/>
        </w:rPr>
        <w:lastRenderedPageBreak/>
        <w:t xml:space="preserve">The trend line on the </w:t>
      </w:r>
      <w:r w:rsidR="00533A18">
        <w:rPr>
          <w:rFonts w:ascii="Times New Roman" w:hAnsi="Times New Roman"/>
          <w:b/>
          <w:sz w:val="24"/>
          <w:szCs w:val="24"/>
        </w:rPr>
        <w:t>Infrastructure</w:t>
      </w:r>
      <w:r w:rsidR="00B8744D" w:rsidRPr="00AB3E4D">
        <w:rPr>
          <w:rFonts w:ascii="Times New Roman" w:hAnsi="Times New Roman"/>
          <w:b/>
          <w:sz w:val="24"/>
          <w:szCs w:val="24"/>
        </w:rPr>
        <w:t xml:space="preserve"> of Special Economic Zones in India and Kerala during the ten years from </w:t>
      </w:r>
      <w:r w:rsidR="00B8744D">
        <w:rPr>
          <w:rFonts w:ascii="Times New Roman" w:eastAsia="Times New Roman" w:hAnsi="Times New Roman"/>
          <w:b/>
          <w:sz w:val="24"/>
          <w:szCs w:val="24"/>
          <w:lang w:eastAsia="en-IN"/>
        </w:rPr>
        <w:t>2013-2014 to 2022-2023</w:t>
      </w:r>
      <w:r w:rsidR="00B8744D" w:rsidRPr="00AB3E4D">
        <w:rPr>
          <w:rFonts w:ascii="Times New Roman" w:eastAsia="Times New Roman" w:hAnsi="Times New Roman"/>
          <w:b/>
          <w:sz w:val="24"/>
          <w:szCs w:val="24"/>
          <w:lang w:eastAsia="en-IN"/>
        </w:rPr>
        <w:t xml:space="preserve"> is f</w:t>
      </w:r>
      <w:r w:rsidR="00B8744D">
        <w:rPr>
          <w:rFonts w:ascii="Times New Roman" w:eastAsia="Times New Roman" w:hAnsi="Times New Roman"/>
          <w:b/>
          <w:sz w:val="24"/>
          <w:szCs w:val="24"/>
          <w:lang w:eastAsia="en-IN"/>
        </w:rPr>
        <w:t>itted and is depicted in fig</w:t>
      </w:r>
      <w:r w:rsidR="00DE148A">
        <w:rPr>
          <w:rFonts w:ascii="Times New Roman" w:eastAsia="Times New Roman" w:hAnsi="Times New Roman"/>
          <w:b/>
          <w:sz w:val="24"/>
          <w:szCs w:val="24"/>
          <w:lang w:eastAsia="en-IN"/>
        </w:rPr>
        <w:t>:</w:t>
      </w:r>
      <w:r w:rsidR="00B8744D">
        <w:rPr>
          <w:rFonts w:ascii="Times New Roman" w:eastAsia="Times New Roman" w:hAnsi="Times New Roman"/>
          <w:b/>
          <w:sz w:val="24"/>
          <w:szCs w:val="24"/>
          <w:lang w:eastAsia="en-IN"/>
        </w:rPr>
        <w:t xml:space="preserve"> 1</w:t>
      </w:r>
    </w:p>
    <w:p w:rsidR="00B8744D" w:rsidRDefault="00B8744D" w:rsidP="00B8744D">
      <w:pPr>
        <w:spacing w:line="360" w:lineRule="auto"/>
        <w:rPr>
          <w:rFonts w:ascii="Times New Roman" w:hAnsi="Times New Roman"/>
          <w:sz w:val="24"/>
          <w:szCs w:val="24"/>
          <w:lang w:eastAsia="en-IN"/>
        </w:rPr>
      </w:pPr>
      <w:r w:rsidRPr="0016328B">
        <w:rPr>
          <w:rFonts w:ascii="Times New Roman" w:hAnsi="Times New Roman"/>
          <w:noProof/>
          <w:sz w:val="24"/>
          <w:szCs w:val="24"/>
          <w:lang w:val="en-IN" w:eastAsia="en-IN"/>
        </w:rPr>
        <w:drawing>
          <wp:inline distT="0" distB="0" distL="0" distR="0">
            <wp:extent cx="5705475" cy="2571750"/>
            <wp:effectExtent l="19050" t="0" r="9525" b="0"/>
            <wp:docPr id="2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8744D" w:rsidRPr="003E6D6A" w:rsidRDefault="00B8744D" w:rsidP="00B8744D">
      <w:pPr>
        <w:spacing w:after="0" w:line="240" w:lineRule="auto"/>
        <w:jc w:val="center"/>
        <w:rPr>
          <w:rFonts w:ascii="Times New Roman" w:eastAsia="Times New Roman" w:hAnsi="Times New Roman"/>
          <w:b/>
          <w:sz w:val="24"/>
          <w:szCs w:val="24"/>
          <w:lang w:eastAsia="en-IN"/>
        </w:rPr>
      </w:pPr>
      <w:r>
        <w:rPr>
          <w:rFonts w:ascii="Times New Roman" w:hAnsi="Times New Roman"/>
          <w:b/>
          <w:sz w:val="24"/>
          <w:szCs w:val="24"/>
        </w:rPr>
        <w:t>Figure</w:t>
      </w:r>
      <w:r w:rsidR="00DE148A">
        <w:rPr>
          <w:rFonts w:ascii="Times New Roman" w:hAnsi="Times New Roman"/>
          <w:b/>
          <w:sz w:val="24"/>
          <w:szCs w:val="24"/>
        </w:rPr>
        <w:t>:</w:t>
      </w:r>
      <w:r w:rsidR="00FF56EE">
        <w:rPr>
          <w:rFonts w:ascii="Times New Roman" w:hAnsi="Times New Roman"/>
          <w:b/>
          <w:sz w:val="24"/>
          <w:szCs w:val="24"/>
        </w:rPr>
        <w:t xml:space="preserve"> 1</w:t>
      </w:r>
    </w:p>
    <w:p w:rsidR="00B8744D" w:rsidRPr="005B3582" w:rsidRDefault="00B8744D" w:rsidP="005B3582">
      <w:pPr>
        <w:spacing w:after="0" w:line="240" w:lineRule="auto"/>
        <w:jc w:val="center"/>
        <w:rPr>
          <w:rFonts w:ascii="Times New Roman" w:eastAsia="Times New Roman" w:hAnsi="Times New Roman"/>
          <w:b/>
          <w:lang w:eastAsia="en-IN"/>
        </w:rPr>
      </w:pPr>
      <w:r w:rsidRPr="00AB3E4D">
        <w:rPr>
          <w:rFonts w:ascii="Times New Roman" w:eastAsia="Times New Roman" w:hAnsi="Times New Roman"/>
          <w:b/>
          <w:lang w:eastAsia="en-IN"/>
        </w:rPr>
        <w:t>The trend line of Special Economic zone Infrastructures in India and Kerala during the ten years</w:t>
      </w:r>
      <w:r w:rsidR="005B3582">
        <w:rPr>
          <w:rFonts w:ascii="Times New Roman" w:eastAsia="Times New Roman" w:hAnsi="Times New Roman"/>
          <w:b/>
          <w:lang w:eastAsia="en-IN"/>
        </w:rPr>
        <w:t xml:space="preserve"> </w:t>
      </w:r>
      <w:r w:rsidR="00FF56EE">
        <w:rPr>
          <w:rFonts w:ascii="Times New Roman" w:eastAsia="Times New Roman" w:hAnsi="Times New Roman"/>
          <w:b/>
          <w:sz w:val="24"/>
          <w:szCs w:val="24"/>
          <w:lang w:eastAsia="en-IN"/>
        </w:rPr>
        <w:t>20013-14 to 2022-23</w:t>
      </w:r>
      <w:r>
        <w:rPr>
          <w:rFonts w:ascii="Times New Roman" w:hAnsi="Times New Roman"/>
          <w:b/>
          <w:sz w:val="24"/>
          <w:szCs w:val="24"/>
        </w:rPr>
        <w:t xml:space="preserve">    </w:t>
      </w:r>
    </w:p>
    <w:p w:rsidR="00B8744D" w:rsidRPr="00165117" w:rsidRDefault="00DE148A" w:rsidP="00B8744D">
      <w:pPr>
        <w:spacing w:line="360" w:lineRule="auto"/>
        <w:jc w:val="both"/>
        <w:rPr>
          <w:rFonts w:ascii="Times New Roman" w:hAnsi="Times New Roman"/>
          <w:b/>
          <w:sz w:val="24"/>
          <w:szCs w:val="24"/>
        </w:rPr>
      </w:pPr>
      <w:r>
        <w:rPr>
          <w:rFonts w:ascii="Times New Roman" w:hAnsi="Times New Roman"/>
          <w:b/>
          <w:sz w:val="24"/>
          <w:szCs w:val="24"/>
        </w:rPr>
        <w:t>Source: Table</w:t>
      </w:r>
      <w:r w:rsidR="00BC4E38">
        <w:rPr>
          <w:rFonts w:ascii="Times New Roman" w:hAnsi="Times New Roman"/>
          <w:b/>
          <w:sz w:val="24"/>
          <w:szCs w:val="24"/>
        </w:rPr>
        <w:t>:</w:t>
      </w:r>
      <w:r>
        <w:rPr>
          <w:rFonts w:ascii="Times New Roman" w:hAnsi="Times New Roman"/>
          <w:b/>
          <w:sz w:val="24"/>
          <w:szCs w:val="24"/>
        </w:rPr>
        <w:t xml:space="preserve"> 2</w:t>
      </w:r>
    </w:p>
    <w:p w:rsidR="00B8744D" w:rsidRPr="006B0431" w:rsidRDefault="00B8744D" w:rsidP="00B8744D">
      <w:pPr>
        <w:spacing w:line="360" w:lineRule="auto"/>
        <w:jc w:val="both"/>
        <w:rPr>
          <w:rFonts w:ascii="Times New Roman" w:hAnsi="Times New Roman"/>
          <w:sz w:val="24"/>
          <w:szCs w:val="24"/>
        </w:rPr>
      </w:pPr>
      <w:r w:rsidRPr="006B0431">
        <w:rPr>
          <w:rFonts w:ascii="Times New Roman" w:hAnsi="Times New Roman"/>
          <w:sz w:val="24"/>
          <w:szCs w:val="24"/>
        </w:rPr>
        <w:t>The trend value is calculated for the comparison purpose. The first</w:t>
      </w:r>
      <w:r>
        <w:rPr>
          <w:rFonts w:ascii="Times New Roman" w:hAnsi="Times New Roman"/>
          <w:sz w:val="24"/>
          <w:szCs w:val="24"/>
        </w:rPr>
        <w:t xml:space="preserve"> line shows the trend of Infrastructure</w:t>
      </w:r>
      <w:r w:rsidRPr="006B0431">
        <w:rPr>
          <w:rFonts w:ascii="Times New Roman" w:hAnsi="Times New Roman"/>
          <w:sz w:val="24"/>
          <w:szCs w:val="24"/>
        </w:rPr>
        <w:t xml:space="preserve"> of Indian Special Economic Zones and the second line shows the straight line trend fit to th</w:t>
      </w:r>
      <w:r>
        <w:rPr>
          <w:rFonts w:ascii="Times New Roman" w:hAnsi="Times New Roman"/>
          <w:sz w:val="24"/>
          <w:szCs w:val="24"/>
        </w:rPr>
        <w:t>e data. The value of Y=2652.x+19980 and R squared value is 0.817</w:t>
      </w:r>
      <w:r w:rsidRPr="006B0431">
        <w:rPr>
          <w:rFonts w:ascii="Times New Roman" w:hAnsi="Times New Roman"/>
          <w:sz w:val="24"/>
          <w:szCs w:val="24"/>
        </w:rPr>
        <w:t>. R Squared</w:t>
      </w:r>
      <w:r>
        <w:rPr>
          <w:rFonts w:ascii="Times New Roman" w:hAnsi="Times New Roman"/>
          <w:sz w:val="24"/>
          <w:szCs w:val="24"/>
        </w:rPr>
        <w:t xml:space="preserve"> (R</w:t>
      </w:r>
      <w:r w:rsidRPr="00F952C5">
        <w:rPr>
          <w:rFonts w:ascii="Times New Roman" w:hAnsi="Times New Roman"/>
          <w:sz w:val="24"/>
          <w:szCs w:val="24"/>
          <w:vertAlign w:val="superscript"/>
        </w:rPr>
        <w:t>2</w:t>
      </w:r>
      <w:r>
        <w:rPr>
          <w:rFonts w:ascii="Times New Roman" w:hAnsi="Times New Roman"/>
          <w:sz w:val="24"/>
          <w:szCs w:val="24"/>
        </w:rPr>
        <w:t>)</w:t>
      </w:r>
      <w:r w:rsidRPr="006B0431">
        <w:rPr>
          <w:rFonts w:ascii="Times New Roman" w:hAnsi="Times New Roman"/>
          <w:sz w:val="24"/>
          <w:szCs w:val="24"/>
        </w:rPr>
        <w:t xml:space="preserve"> value shows the ratio of varianc</w:t>
      </w:r>
      <w:r>
        <w:rPr>
          <w:rFonts w:ascii="Times New Roman" w:hAnsi="Times New Roman"/>
          <w:sz w:val="24"/>
          <w:szCs w:val="24"/>
        </w:rPr>
        <w:t>e in the data (Infrastructure</w:t>
      </w:r>
      <w:r w:rsidR="00DE148A">
        <w:rPr>
          <w:rFonts w:ascii="Times New Roman" w:hAnsi="Times New Roman"/>
          <w:sz w:val="24"/>
          <w:szCs w:val="24"/>
        </w:rPr>
        <w:t xml:space="preserve">), as explained by the figure </w:t>
      </w:r>
      <w:r w:rsidRPr="006B0431">
        <w:rPr>
          <w:rFonts w:ascii="Times New Roman" w:hAnsi="Times New Roman"/>
          <w:sz w:val="24"/>
          <w:szCs w:val="24"/>
        </w:rPr>
        <w:t>1, to the total variance in the data. A high R squared value is more stable than low R squ</w:t>
      </w:r>
      <w:r>
        <w:rPr>
          <w:rFonts w:ascii="Times New Roman" w:hAnsi="Times New Roman"/>
          <w:sz w:val="24"/>
          <w:szCs w:val="24"/>
        </w:rPr>
        <w:t>ared value. It means that Infrastructures</w:t>
      </w:r>
      <w:r w:rsidRPr="006B0431">
        <w:rPr>
          <w:rFonts w:ascii="Times New Roman" w:hAnsi="Times New Roman"/>
          <w:sz w:val="24"/>
          <w:szCs w:val="24"/>
        </w:rPr>
        <w:t xml:space="preserve"> of India during the last ten years is very stable and it shows an increasing trend.</w:t>
      </w:r>
    </w:p>
    <w:p w:rsidR="00B8744D" w:rsidRDefault="00B8744D" w:rsidP="00B8744D">
      <w:pPr>
        <w:spacing w:line="360" w:lineRule="auto"/>
        <w:jc w:val="both"/>
        <w:rPr>
          <w:rFonts w:ascii="Times New Roman" w:hAnsi="Times New Roman"/>
          <w:sz w:val="24"/>
          <w:szCs w:val="24"/>
        </w:rPr>
      </w:pPr>
      <w:r w:rsidRPr="006B0431">
        <w:rPr>
          <w:rFonts w:ascii="Times New Roman" w:hAnsi="Times New Roman"/>
          <w:sz w:val="24"/>
          <w:szCs w:val="24"/>
        </w:rPr>
        <w:t xml:space="preserve">The trend value is calculated for the comparison purpose. The first line shows the trend of exports of Indian Special Economic Zones and the second line shows the straight line trend fit to the </w:t>
      </w:r>
      <w:r>
        <w:rPr>
          <w:rFonts w:ascii="Times New Roman" w:hAnsi="Times New Roman"/>
          <w:sz w:val="24"/>
          <w:szCs w:val="24"/>
        </w:rPr>
        <w:t>data. The value of Y=67.23x-286.3 and R squared value is 0.773</w:t>
      </w:r>
      <w:r w:rsidRPr="006B0431">
        <w:rPr>
          <w:rFonts w:ascii="Times New Roman" w:hAnsi="Times New Roman"/>
          <w:sz w:val="24"/>
          <w:szCs w:val="24"/>
        </w:rPr>
        <w:t>. R Squared</w:t>
      </w:r>
      <w:r>
        <w:rPr>
          <w:rFonts w:ascii="Times New Roman" w:hAnsi="Times New Roman"/>
          <w:sz w:val="24"/>
          <w:szCs w:val="24"/>
        </w:rPr>
        <w:t xml:space="preserve"> (R</w:t>
      </w:r>
      <w:r w:rsidRPr="00F952C5">
        <w:rPr>
          <w:rFonts w:ascii="Times New Roman" w:hAnsi="Times New Roman"/>
          <w:sz w:val="24"/>
          <w:szCs w:val="24"/>
          <w:vertAlign w:val="superscript"/>
        </w:rPr>
        <w:t>2</w:t>
      </w:r>
      <w:r>
        <w:rPr>
          <w:rFonts w:ascii="Times New Roman" w:hAnsi="Times New Roman"/>
          <w:sz w:val="24"/>
          <w:szCs w:val="24"/>
        </w:rPr>
        <w:t>)</w:t>
      </w:r>
      <w:r w:rsidRPr="006B0431">
        <w:rPr>
          <w:rFonts w:ascii="Times New Roman" w:hAnsi="Times New Roman"/>
          <w:sz w:val="24"/>
          <w:szCs w:val="24"/>
        </w:rPr>
        <w:t xml:space="preserve"> value shows the ratio of variance in the data (exports)</w:t>
      </w:r>
      <w:r w:rsidR="00DE148A">
        <w:rPr>
          <w:rFonts w:ascii="Times New Roman" w:hAnsi="Times New Roman"/>
          <w:sz w:val="24"/>
          <w:szCs w:val="24"/>
        </w:rPr>
        <w:t xml:space="preserve">, as explained by the figure </w:t>
      </w:r>
      <w:r>
        <w:rPr>
          <w:rFonts w:ascii="Times New Roman" w:hAnsi="Times New Roman"/>
          <w:sz w:val="24"/>
          <w:szCs w:val="24"/>
        </w:rPr>
        <w:t>1</w:t>
      </w:r>
      <w:r w:rsidRPr="006B0431">
        <w:rPr>
          <w:rFonts w:ascii="Times New Roman" w:hAnsi="Times New Roman"/>
          <w:sz w:val="24"/>
          <w:szCs w:val="24"/>
        </w:rPr>
        <w:t>, to the total variance in the data. A high R squared value is more stable than low R squared value. It means that export of Kerala during the last ten years is not stable and it shows a decreasing trend.</w:t>
      </w:r>
    </w:p>
    <w:p w:rsidR="00B8744D" w:rsidRPr="00A04F4D" w:rsidRDefault="00B8744D" w:rsidP="00B8744D">
      <w:pPr>
        <w:spacing w:line="360" w:lineRule="auto"/>
        <w:jc w:val="both"/>
        <w:rPr>
          <w:rFonts w:ascii="Times New Roman" w:eastAsia="Times New Roman" w:hAnsi="Times New Roman"/>
          <w:sz w:val="24"/>
          <w:szCs w:val="24"/>
          <w:lang w:eastAsia="en-IN"/>
        </w:rPr>
      </w:pPr>
      <w:r w:rsidRPr="009F6743">
        <w:rPr>
          <w:rFonts w:ascii="Times New Roman" w:hAnsi="Times New Roman"/>
          <w:sz w:val="24"/>
          <w:szCs w:val="24"/>
        </w:rPr>
        <w:t xml:space="preserve">The Export of </w:t>
      </w:r>
      <w:r>
        <w:rPr>
          <w:rFonts w:ascii="Times New Roman" w:hAnsi="Times New Roman"/>
          <w:sz w:val="24"/>
          <w:szCs w:val="24"/>
        </w:rPr>
        <w:t>Special Economic Zones in India</w:t>
      </w:r>
      <w:r w:rsidRPr="009F6743">
        <w:rPr>
          <w:rFonts w:ascii="Times New Roman" w:hAnsi="Times New Roman"/>
          <w:sz w:val="24"/>
          <w:szCs w:val="24"/>
        </w:rPr>
        <w:t xml:space="preserve"> for the last ten years has been taken for the trend analysis. A straight line trend can be fitted to the Export of Special Economic zones in </w:t>
      </w:r>
      <w:r w:rsidRPr="009F6743">
        <w:rPr>
          <w:rFonts w:ascii="Times New Roman" w:hAnsi="Times New Roman"/>
          <w:sz w:val="24"/>
          <w:szCs w:val="24"/>
        </w:rPr>
        <w:lastRenderedPageBreak/>
        <w:t xml:space="preserve">India are based on the principle of least squares. </w:t>
      </w:r>
      <w:r w:rsidRPr="009F6743">
        <w:rPr>
          <w:rFonts w:ascii="Times New Roman" w:eastAsia="Times New Roman" w:hAnsi="Times New Roman"/>
          <w:sz w:val="24"/>
          <w:szCs w:val="24"/>
          <w:lang w:eastAsia="en-IN"/>
        </w:rPr>
        <w:t>The trend line of Total Special</w:t>
      </w:r>
      <w:r>
        <w:rPr>
          <w:rFonts w:ascii="Times New Roman" w:eastAsia="Times New Roman" w:hAnsi="Times New Roman"/>
          <w:sz w:val="24"/>
          <w:szCs w:val="24"/>
          <w:lang w:eastAsia="en-IN"/>
        </w:rPr>
        <w:t xml:space="preserve"> Economic zone Exports in India </w:t>
      </w:r>
      <w:r w:rsidR="005C6D7D">
        <w:rPr>
          <w:rFonts w:ascii="Times New Roman" w:eastAsia="Times New Roman" w:hAnsi="Times New Roman"/>
          <w:sz w:val="24"/>
          <w:szCs w:val="24"/>
          <w:lang w:eastAsia="en-IN"/>
        </w:rPr>
        <w:t>for the last ten years (2013-2014 to 2022</w:t>
      </w:r>
      <w:r w:rsidRPr="009F6743">
        <w:rPr>
          <w:rFonts w:ascii="Times New Roman" w:eastAsia="Times New Roman" w:hAnsi="Times New Roman"/>
          <w:sz w:val="24"/>
          <w:szCs w:val="24"/>
          <w:lang w:eastAsia="en-IN"/>
        </w:rPr>
        <w:t>-2</w:t>
      </w:r>
      <w:r>
        <w:rPr>
          <w:rFonts w:ascii="Times New Roman" w:eastAsia="Times New Roman" w:hAnsi="Times New Roman"/>
          <w:sz w:val="24"/>
          <w:szCs w:val="24"/>
          <w:lang w:eastAsia="en-IN"/>
        </w:rPr>
        <w:t>0</w:t>
      </w:r>
      <w:r w:rsidR="005C6D7D">
        <w:rPr>
          <w:rFonts w:ascii="Times New Roman" w:eastAsia="Times New Roman" w:hAnsi="Times New Roman"/>
          <w:sz w:val="24"/>
          <w:szCs w:val="24"/>
          <w:lang w:eastAsia="en-IN"/>
        </w:rPr>
        <w:t>23</w:t>
      </w:r>
      <w:r w:rsidR="005B3582">
        <w:rPr>
          <w:rFonts w:ascii="Times New Roman" w:eastAsia="Times New Roman" w:hAnsi="Times New Roman"/>
          <w:sz w:val="24"/>
          <w:szCs w:val="24"/>
          <w:lang w:eastAsia="en-IN"/>
        </w:rPr>
        <w:t>) are given in the figure 2</w:t>
      </w:r>
    </w:p>
    <w:p w:rsidR="00B8744D" w:rsidRPr="00A04F4D" w:rsidRDefault="005B3582" w:rsidP="00B8744D">
      <w:pPr>
        <w:spacing w:line="360" w:lineRule="auto"/>
        <w:jc w:val="both"/>
        <w:rPr>
          <w:rFonts w:ascii="Times New Roman" w:eastAsia="Times New Roman" w:hAnsi="Times New Roman"/>
          <w:b/>
          <w:sz w:val="24"/>
          <w:szCs w:val="24"/>
          <w:lang w:eastAsia="en-IN"/>
        </w:rPr>
      </w:pPr>
      <w:r>
        <w:rPr>
          <w:rFonts w:ascii="Times New Roman" w:hAnsi="Times New Roman"/>
          <w:b/>
          <w:sz w:val="24"/>
          <w:szCs w:val="24"/>
        </w:rPr>
        <w:t>The trend line on the Infrastructure</w:t>
      </w:r>
      <w:r w:rsidR="00B8744D" w:rsidRPr="00AB3E4D">
        <w:rPr>
          <w:rFonts w:ascii="Times New Roman" w:hAnsi="Times New Roman"/>
          <w:b/>
          <w:sz w:val="24"/>
          <w:szCs w:val="24"/>
        </w:rPr>
        <w:t xml:space="preserve"> of Special Economic Zones in India during the ten years from </w:t>
      </w:r>
      <w:r>
        <w:rPr>
          <w:rFonts w:ascii="Times New Roman" w:eastAsia="Times New Roman" w:hAnsi="Times New Roman"/>
          <w:b/>
          <w:sz w:val="24"/>
          <w:szCs w:val="24"/>
          <w:lang w:eastAsia="en-IN"/>
        </w:rPr>
        <w:t>2013-2014</w:t>
      </w:r>
      <w:r w:rsidR="00B8744D" w:rsidRPr="00AB3E4D">
        <w:rPr>
          <w:rFonts w:ascii="Times New Roman" w:eastAsia="Times New Roman" w:hAnsi="Times New Roman"/>
          <w:b/>
          <w:sz w:val="24"/>
          <w:szCs w:val="24"/>
          <w:lang w:eastAsia="en-IN"/>
        </w:rPr>
        <w:t xml:space="preserve"> to </w:t>
      </w:r>
      <w:r>
        <w:rPr>
          <w:rFonts w:ascii="Times New Roman" w:eastAsia="Times New Roman" w:hAnsi="Times New Roman"/>
          <w:b/>
          <w:sz w:val="24"/>
          <w:szCs w:val="24"/>
          <w:lang w:eastAsia="en-IN"/>
        </w:rPr>
        <w:t>2022-2023</w:t>
      </w:r>
      <w:r w:rsidR="00B8744D" w:rsidRPr="00AB3E4D">
        <w:rPr>
          <w:rFonts w:ascii="Times New Roman" w:eastAsia="Times New Roman" w:hAnsi="Times New Roman"/>
          <w:b/>
          <w:sz w:val="24"/>
          <w:szCs w:val="24"/>
          <w:lang w:eastAsia="en-IN"/>
        </w:rPr>
        <w:t xml:space="preserve"> is f</w:t>
      </w:r>
      <w:r w:rsidR="00B8744D">
        <w:rPr>
          <w:rFonts w:ascii="Times New Roman" w:eastAsia="Times New Roman" w:hAnsi="Times New Roman"/>
          <w:b/>
          <w:sz w:val="24"/>
          <w:szCs w:val="24"/>
          <w:lang w:eastAsia="en-IN"/>
        </w:rPr>
        <w:t>i</w:t>
      </w:r>
      <w:r>
        <w:rPr>
          <w:rFonts w:ascii="Times New Roman" w:eastAsia="Times New Roman" w:hAnsi="Times New Roman"/>
          <w:b/>
          <w:sz w:val="24"/>
          <w:szCs w:val="24"/>
          <w:lang w:eastAsia="en-IN"/>
        </w:rPr>
        <w:t>tted and is depicted in fig</w:t>
      </w:r>
      <w:r w:rsidR="00DE148A">
        <w:rPr>
          <w:rFonts w:ascii="Times New Roman" w:eastAsia="Times New Roman" w:hAnsi="Times New Roman"/>
          <w:b/>
          <w:sz w:val="24"/>
          <w:szCs w:val="24"/>
          <w:lang w:eastAsia="en-IN"/>
        </w:rPr>
        <w:t>:</w:t>
      </w:r>
      <w:r>
        <w:rPr>
          <w:rFonts w:ascii="Times New Roman" w:eastAsia="Times New Roman" w:hAnsi="Times New Roman"/>
          <w:b/>
          <w:sz w:val="24"/>
          <w:szCs w:val="24"/>
          <w:lang w:eastAsia="en-IN"/>
        </w:rPr>
        <w:t xml:space="preserve"> 2</w:t>
      </w:r>
    </w:p>
    <w:p w:rsidR="00B8744D" w:rsidRPr="009F6743" w:rsidRDefault="00B8744D" w:rsidP="00B8744D">
      <w:pPr>
        <w:spacing w:line="480" w:lineRule="auto"/>
        <w:jc w:val="both"/>
        <w:rPr>
          <w:rFonts w:ascii="Times New Roman" w:hAnsi="Times New Roman"/>
          <w:sz w:val="24"/>
          <w:szCs w:val="24"/>
        </w:rPr>
      </w:pPr>
      <w:r w:rsidRPr="00737E7E">
        <w:rPr>
          <w:rFonts w:ascii="Times New Roman" w:hAnsi="Times New Roman"/>
          <w:noProof/>
          <w:sz w:val="24"/>
          <w:szCs w:val="24"/>
          <w:lang w:val="en-IN" w:eastAsia="en-IN"/>
        </w:rPr>
        <w:drawing>
          <wp:inline distT="0" distB="0" distL="0" distR="0">
            <wp:extent cx="5724525" cy="2857500"/>
            <wp:effectExtent l="19050" t="0" r="9525" b="0"/>
            <wp:docPr id="2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8744D" w:rsidRDefault="00DE148A" w:rsidP="00B8744D">
      <w:pPr>
        <w:spacing w:after="0" w:line="240" w:lineRule="auto"/>
        <w:jc w:val="center"/>
        <w:rPr>
          <w:rFonts w:ascii="Times New Roman" w:hAnsi="Times New Roman"/>
          <w:b/>
          <w:sz w:val="24"/>
          <w:szCs w:val="24"/>
        </w:rPr>
      </w:pPr>
      <w:r>
        <w:rPr>
          <w:rFonts w:ascii="Times New Roman" w:hAnsi="Times New Roman"/>
          <w:b/>
          <w:sz w:val="24"/>
          <w:szCs w:val="24"/>
        </w:rPr>
        <w:t xml:space="preserve">Figure: </w:t>
      </w:r>
      <w:r w:rsidR="005C6D7D">
        <w:rPr>
          <w:rFonts w:ascii="Times New Roman" w:hAnsi="Times New Roman"/>
          <w:b/>
          <w:sz w:val="24"/>
          <w:szCs w:val="24"/>
        </w:rPr>
        <w:t>2</w:t>
      </w:r>
    </w:p>
    <w:p w:rsidR="00B8744D" w:rsidRPr="009F6743" w:rsidRDefault="00B8744D" w:rsidP="00B8744D">
      <w:pPr>
        <w:spacing w:after="0" w:line="240" w:lineRule="auto"/>
        <w:jc w:val="center"/>
        <w:rPr>
          <w:rFonts w:ascii="Times New Roman" w:eastAsia="Times New Roman" w:hAnsi="Times New Roman"/>
          <w:b/>
          <w:sz w:val="24"/>
          <w:szCs w:val="24"/>
          <w:lang w:eastAsia="en-IN"/>
        </w:rPr>
      </w:pPr>
      <w:r w:rsidRPr="009F6743">
        <w:rPr>
          <w:rFonts w:ascii="Times New Roman" w:eastAsia="Times New Roman" w:hAnsi="Times New Roman"/>
          <w:b/>
          <w:sz w:val="24"/>
          <w:szCs w:val="24"/>
          <w:lang w:eastAsia="en-IN"/>
        </w:rPr>
        <w:t>The trend line of Tot</w:t>
      </w:r>
      <w:r>
        <w:rPr>
          <w:rFonts w:ascii="Times New Roman" w:eastAsia="Times New Roman" w:hAnsi="Times New Roman"/>
          <w:b/>
          <w:sz w:val="24"/>
          <w:szCs w:val="24"/>
          <w:lang w:eastAsia="en-IN"/>
        </w:rPr>
        <w:t xml:space="preserve">al Special Economic zone </w:t>
      </w:r>
      <w:r w:rsidRPr="00AB3E4D">
        <w:rPr>
          <w:rFonts w:ascii="Times New Roman" w:hAnsi="Times New Roman"/>
          <w:b/>
          <w:sz w:val="24"/>
          <w:szCs w:val="24"/>
        </w:rPr>
        <w:t>Infrastructures</w:t>
      </w:r>
      <w:r w:rsidRPr="009F6743">
        <w:rPr>
          <w:rFonts w:ascii="Times New Roman" w:eastAsia="Times New Roman" w:hAnsi="Times New Roman"/>
          <w:b/>
          <w:sz w:val="24"/>
          <w:szCs w:val="24"/>
          <w:lang w:eastAsia="en-IN"/>
        </w:rPr>
        <w:t xml:space="preserve"> in In</w:t>
      </w:r>
      <w:r w:rsidR="005B3582">
        <w:rPr>
          <w:rFonts w:ascii="Times New Roman" w:eastAsia="Times New Roman" w:hAnsi="Times New Roman"/>
          <w:b/>
          <w:sz w:val="24"/>
          <w:szCs w:val="24"/>
          <w:lang w:eastAsia="en-IN"/>
        </w:rPr>
        <w:t>dia for the last ten years (2013-2014 to 2022-2023</w:t>
      </w:r>
      <w:r w:rsidRPr="009F6743">
        <w:rPr>
          <w:rFonts w:ascii="Times New Roman" w:eastAsia="Times New Roman" w:hAnsi="Times New Roman"/>
          <w:b/>
          <w:sz w:val="24"/>
          <w:szCs w:val="24"/>
          <w:lang w:eastAsia="en-IN"/>
        </w:rPr>
        <w:t>)</w:t>
      </w:r>
    </w:p>
    <w:p w:rsidR="00B8744D" w:rsidRPr="009F6743" w:rsidRDefault="005B3582" w:rsidP="00B8744D">
      <w:pPr>
        <w:jc w:val="both"/>
        <w:rPr>
          <w:rFonts w:ascii="Times New Roman" w:eastAsia="Times New Roman" w:hAnsi="Times New Roman"/>
          <w:b/>
          <w:sz w:val="24"/>
          <w:szCs w:val="24"/>
          <w:lang w:eastAsia="en-IN"/>
        </w:rPr>
      </w:pPr>
      <w:r>
        <w:rPr>
          <w:rFonts w:ascii="Times New Roman" w:eastAsia="Times New Roman" w:hAnsi="Times New Roman"/>
          <w:b/>
          <w:sz w:val="24"/>
          <w:szCs w:val="24"/>
          <w:lang w:eastAsia="en-IN"/>
        </w:rPr>
        <w:t>Source: Prepared from Table 2</w:t>
      </w:r>
    </w:p>
    <w:p w:rsidR="00B8744D" w:rsidRPr="009F6743" w:rsidRDefault="00B8744D" w:rsidP="00B8744D">
      <w:pPr>
        <w:spacing w:line="360" w:lineRule="auto"/>
        <w:jc w:val="both"/>
        <w:rPr>
          <w:rFonts w:ascii="Times New Roman" w:hAnsi="Times New Roman"/>
          <w:sz w:val="24"/>
          <w:szCs w:val="24"/>
        </w:rPr>
      </w:pPr>
      <w:r w:rsidRPr="009F6743">
        <w:rPr>
          <w:rFonts w:ascii="Times New Roman" w:hAnsi="Times New Roman"/>
          <w:sz w:val="24"/>
          <w:szCs w:val="24"/>
        </w:rPr>
        <w:t>.The trend value is calculated for the comparison purpose. The first</w:t>
      </w:r>
      <w:r>
        <w:rPr>
          <w:rFonts w:ascii="Times New Roman" w:hAnsi="Times New Roman"/>
          <w:sz w:val="24"/>
          <w:szCs w:val="24"/>
        </w:rPr>
        <w:t xml:space="preserve"> line shows the trend of Infrastructure</w:t>
      </w:r>
      <w:r w:rsidRPr="009F6743">
        <w:rPr>
          <w:rFonts w:ascii="Times New Roman" w:hAnsi="Times New Roman"/>
          <w:sz w:val="24"/>
          <w:szCs w:val="24"/>
        </w:rPr>
        <w:t xml:space="preserve"> of Indian Special Economic Zones and the second line shows the straight line trend fit to the d</w:t>
      </w:r>
      <w:r>
        <w:rPr>
          <w:rFonts w:ascii="Times New Roman" w:hAnsi="Times New Roman"/>
          <w:sz w:val="24"/>
          <w:szCs w:val="24"/>
        </w:rPr>
        <w:t>ata. The value of Y=2651.x+19980 and R squared value is 0.817</w:t>
      </w:r>
      <w:r w:rsidRPr="009F6743">
        <w:rPr>
          <w:rFonts w:ascii="Times New Roman" w:hAnsi="Times New Roman"/>
          <w:sz w:val="24"/>
          <w:szCs w:val="24"/>
        </w:rPr>
        <w:t>.</w:t>
      </w:r>
      <w:r w:rsidRPr="009F6743">
        <w:rPr>
          <w:rFonts w:ascii="Arial" w:hAnsi="Arial" w:cs="Arial"/>
          <w:sz w:val="23"/>
          <w:szCs w:val="23"/>
        </w:rPr>
        <w:t xml:space="preserve"> </w:t>
      </w:r>
      <w:r w:rsidRPr="009F6743">
        <w:rPr>
          <w:rFonts w:ascii="Times New Roman" w:hAnsi="Times New Roman"/>
          <w:sz w:val="24"/>
          <w:szCs w:val="24"/>
        </w:rPr>
        <w:t xml:space="preserve">R Squared value shows the ratio </w:t>
      </w:r>
      <w:r>
        <w:rPr>
          <w:rFonts w:ascii="Times New Roman" w:hAnsi="Times New Roman"/>
          <w:sz w:val="24"/>
          <w:szCs w:val="24"/>
        </w:rPr>
        <w:t>of variance in the data (Infrastructure</w:t>
      </w:r>
      <w:r w:rsidRPr="009F6743">
        <w:rPr>
          <w:rFonts w:ascii="Times New Roman" w:hAnsi="Times New Roman"/>
          <w:sz w:val="24"/>
          <w:szCs w:val="24"/>
        </w:rPr>
        <w:t>)</w:t>
      </w:r>
      <w:r>
        <w:rPr>
          <w:rFonts w:ascii="Times New Roman" w:hAnsi="Times New Roman"/>
          <w:sz w:val="24"/>
          <w:szCs w:val="24"/>
        </w:rPr>
        <w:t>,</w:t>
      </w:r>
      <w:r w:rsidR="00DE148A">
        <w:rPr>
          <w:rFonts w:ascii="Times New Roman" w:hAnsi="Times New Roman"/>
          <w:sz w:val="24"/>
          <w:szCs w:val="24"/>
        </w:rPr>
        <w:t xml:space="preserve"> as explained by the figure: </w:t>
      </w:r>
      <w:r w:rsidR="005C6D7D">
        <w:rPr>
          <w:rFonts w:ascii="Times New Roman" w:hAnsi="Times New Roman"/>
          <w:sz w:val="24"/>
          <w:szCs w:val="24"/>
        </w:rPr>
        <w:t>2</w:t>
      </w:r>
      <w:r w:rsidRPr="009F6743">
        <w:rPr>
          <w:rFonts w:ascii="Times New Roman" w:hAnsi="Times New Roman"/>
          <w:sz w:val="24"/>
          <w:szCs w:val="24"/>
        </w:rPr>
        <w:t>, to the total variance in the data. A high R squared value is more stable than low R squ</w:t>
      </w:r>
      <w:r>
        <w:rPr>
          <w:rFonts w:ascii="Times New Roman" w:hAnsi="Times New Roman"/>
          <w:sz w:val="24"/>
          <w:szCs w:val="24"/>
        </w:rPr>
        <w:t>ared value. It means that Infrastructure</w:t>
      </w:r>
      <w:r w:rsidRPr="009F6743">
        <w:rPr>
          <w:rFonts w:ascii="Times New Roman" w:hAnsi="Times New Roman"/>
          <w:sz w:val="24"/>
          <w:szCs w:val="24"/>
        </w:rPr>
        <w:t xml:space="preserve"> of India during the last ten years is very stable and it shows an increasing trend.</w:t>
      </w:r>
    </w:p>
    <w:p w:rsidR="00B8744D" w:rsidRPr="009F6743" w:rsidRDefault="00B8744D" w:rsidP="00B8744D">
      <w:pPr>
        <w:spacing w:line="360" w:lineRule="auto"/>
        <w:jc w:val="both"/>
        <w:rPr>
          <w:rFonts w:ascii="Times New Roman" w:eastAsia="Times New Roman" w:hAnsi="Times New Roman"/>
          <w:sz w:val="24"/>
          <w:szCs w:val="24"/>
          <w:lang w:eastAsia="en-IN"/>
        </w:rPr>
      </w:pPr>
      <w:r>
        <w:rPr>
          <w:rFonts w:ascii="Times New Roman" w:hAnsi="Times New Roman"/>
          <w:sz w:val="24"/>
          <w:szCs w:val="24"/>
        </w:rPr>
        <w:t>The Infrastructure</w:t>
      </w:r>
      <w:r w:rsidRPr="009F6743">
        <w:rPr>
          <w:rFonts w:ascii="Times New Roman" w:hAnsi="Times New Roman"/>
          <w:sz w:val="24"/>
          <w:szCs w:val="24"/>
        </w:rPr>
        <w:t xml:space="preserve"> of Special Economic Zones in Kerala for the last ten years has been taken for the trend analysis. A straight line t</w:t>
      </w:r>
      <w:r>
        <w:rPr>
          <w:rFonts w:ascii="Times New Roman" w:hAnsi="Times New Roman"/>
          <w:sz w:val="24"/>
          <w:szCs w:val="24"/>
        </w:rPr>
        <w:t>rend can be fitted to the Infrastructure</w:t>
      </w:r>
      <w:r w:rsidRPr="009F6743">
        <w:rPr>
          <w:rFonts w:ascii="Times New Roman" w:hAnsi="Times New Roman"/>
          <w:sz w:val="24"/>
          <w:szCs w:val="24"/>
        </w:rPr>
        <w:t xml:space="preserve"> of Special Economic zones in India are based on the principle of least squares. </w:t>
      </w:r>
      <w:r w:rsidRPr="009F6743">
        <w:rPr>
          <w:rFonts w:ascii="Times New Roman" w:eastAsia="Times New Roman" w:hAnsi="Times New Roman"/>
          <w:sz w:val="24"/>
          <w:szCs w:val="24"/>
          <w:lang w:eastAsia="en-IN"/>
        </w:rPr>
        <w:t>The trend line of Total Special Economic zone Exports in Ker</w:t>
      </w:r>
      <w:r w:rsidR="005B3582">
        <w:rPr>
          <w:rFonts w:ascii="Times New Roman" w:eastAsia="Times New Roman" w:hAnsi="Times New Roman"/>
          <w:sz w:val="24"/>
          <w:szCs w:val="24"/>
          <w:lang w:eastAsia="en-IN"/>
        </w:rPr>
        <w:t>ala for the last ten years (2013-2014 to 2022</w:t>
      </w:r>
      <w:r>
        <w:rPr>
          <w:rFonts w:ascii="Times New Roman" w:eastAsia="Times New Roman" w:hAnsi="Times New Roman"/>
          <w:sz w:val="24"/>
          <w:szCs w:val="24"/>
          <w:lang w:eastAsia="en-IN"/>
        </w:rPr>
        <w:t>-20</w:t>
      </w:r>
      <w:r w:rsidR="005B3582">
        <w:rPr>
          <w:rFonts w:ascii="Times New Roman" w:eastAsia="Times New Roman" w:hAnsi="Times New Roman"/>
          <w:sz w:val="24"/>
          <w:szCs w:val="24"/>
          <w:lang w:eastAsia="en-IN"/>
        </w:rPr>
        <w:t>23) are given in the figure</w:t>
      </w:r>
      <w:r w:rsidR="00DE148A">
        <w:rPr>
          <w:rFonts w:ascii="Times New Roman" w:eastAsia="Times New Roman" w:hAnsi="Times New Roman"/>
          <w:sz w:val="24"/>
          <w:szCs w:val="24"/>
          <w:lang w:eastAsia="en-IN"/>
        </w:rPr>
        <w:t>:</w:t>
      </w:r>
      <w:r w:rsidR="005B3582">
        <w:rPr>
          <w:rFonts w:ascii="Times New Roman" w:eastAsia="Times New Roman" w:hAnsi="Times New Roman"/>
          <w:sz w:val="24"/>
          <w:szCs w:val="24"/>
          <w:lang w:eastAsia="en-IN"/>
        </w:rPr>
        <w:t xml:space="preserve"> 3</w:t>
      </w:r>
    </w:p>
    <w:p w:rsidR="00B8744D" w:rsidRPr="009F6743" w:rsidRDefault="00B8744D" w:rsidP="00B8744D">
      <w:pPr>
        <w:spacing w:line="480" w:lineRule="auto"/>
        <w:jc w:val="both"/>
        <w:rPr>
          <w:rFonts w:ascii="Times New Roman" w:hAnsi="Times New Roman"/>
          <w:sz w:val="24"/>
          <w:szCs w:val="24"/>
        </w:rPr>
      </w:pPr>
      <w:r w:rsidRPr="00737E7E">
        <w:rPr>
          <w:rFonts w:ascii="Times New Roman" w:hAnsi="Times New Roman"/>
          <w:noProof/>
          <w:sz w:val="24"/>
          <w:szCs w:val="24"/>
          <w:lang w:val="en-IN" w:eastAsia="en-IN"/>
        </w:rPr>
        <w:lastRenderedPageBreak/>
        <w:drawing>
          <wp:inline distT="0" distB="0" distL="0" distR="0">
            <wp:extent cx="5943600" cy="2495550"/>
            <wp:effectExtent l="19050" t="0" r="19050" b="0"/>
            <wp:docPr id="2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8744D" w:rsidRDefault="005B3582" w:rsidP="00B8744D">
      <w:pPr>
        <w:spacing w:after="0" w:line="240" w:lineRule="auto"/>
        <w:jc w:val="center"/>
        <w:rPr>
          <w:rFonts w:ascii="Times New Roman" w:hAnsi="Times New Roman"/>
          <w:b/>
          <w:sz w:val="24"/>
          <w:szCs w:val="24"/>
        </w:rPr>
      </w:pPr>
      <w:r>
        <w:rPr>
          <w:rFonts w:ascii="Times New Roman" w:hAnsi="Times New Roman"/>
          <w:b/>
          <w:sz w:val="24"/>
          <w:szCs w:val="24"/>
        </w:rPr>
        <w:t>Figure</w:t>
      </w:r>
      <w:r w:rsidR="00DE148A">
        <w:rPr>
          <w:rFonts w:ascii="Times New Roman" w:hAnsi="Times New Roman"/>
          <w:b/>
          <w:sz w:val="24"/>
          <w:szCs w:val="24"/>
        </w:rPr>
        <w:t>:</w:t>
      </w:r>
      <w:r>
        <w:rPr>
          <w:rFonts w:ascii="Times New Roman" w:hAnsi="Times New Roman"/>
          <w:b/>
          <w:sz w:val="24"/>
          <w:szCs w:val="24"/>
        </w:rPr>
        <w:t xml:space="preserve"> 3</w:t>
      </w:r>
    </w:p>
    <w:p w:rsidR="00B8744D" w:rsidRPr="009F6743" w:rsidRDefault="00B8744D" w:rsidP="00B8744D">
      <w:pPr>
        <w:spacing w:after="0" w:line="240" w:lineRule="auto"/>
        <w:jc w:val="center"/>
        <w:rPr>
          <w:rFonts w:ascii="Times New Roman" w:eastAsia="Times New Roman" w:hAnsi="Times New Roman"/>
          <w:b/>
          <w:sz w:val="24"/>
          <w:szCs w:val="24"/>
          <w:lang w:eastAsia="en-IN"/>
        </w:rPr>
      </w:pPr>
      <w:r w:rsidRPr="009F6743">
        <w:rPr>
          <w:rFonts w:ascii="Times New Roman" w:eastAsia="Times New Roman" w:hAnsi="Times New Roman"/>
          <w:b/>
          <w:sz w:val="24"/>
          <w:szCs w:val="24"/>
          <w:lang w:eastAsia="en-IN"/>
        </w:rPr>
        <w:t>The trend line of Tot</w:t>
      </w:r>
      <w:r>
        <w:rPr>
          <w:rFonts w:ascii="Times New Roman" w:eastAsia="Times New Roman" w:hAnsi="Times New Roman"/>
          <w:b/>
          <w:sz w:val="24"/>
          <w:szCs w:val="24"/>
          <w:lang w:eastAsia="en-IN"/>
        </w:rPr>
        <w:t xml:space="preserve">al Special Economic zone </w:t>
      </w:r>
      <w:r w:rsidRPr="00A04F4D">
        <w:rPr>
          <w:rFonts w:ascii="Times New Roman" w:hAnsi="Times New Roman"/>
          <w:b/>
          <w:sz w:val="24"/>
          <w:szCs w:val="24"/>
        </w:rPr>
        <w:t>Infrastructure</w:t>
      </w:r>
      <w:r w:rsidRPr="009F6743">
        <w:rPr>
          <w:rFonts w:ascii="Times New Roman" w:eastAsia="Times New Roman" w:hAnsi="Times New Roman"/>
          <w:b/>
          <w:sz w:val="24"/>
          <w:szCs w:val="24"/>
          <w:lang w:eastAsia="en-IN"/>
        </w:rPr>
        <w:t xml:space="preserve"> in Ker</w:t>
      </w:r>
      <w:r w:rsidR="005B3582">
        <w:rPr>
          <w:rFonts w:ascii="Times New Roman" w:eastAsia="Times New Roman" w:hAnsi="Times New Roman"/>
          <w:b/>
          <w:sz w:val="24"/>
          <w:szCs w:val="24"/>
          <w:lang w:eastAsia="en-IN"/>
        </w:rPr>
        <w:t>ala for the last ten years (2013-2014 to 2022-2023</w:t>
      </w:r>
      <w:r w:rsidRPr="009F6743">
        <w:rPr>
          <w:rFonts w:ascii="Times New Roman" w:eastAsia="Times New Roman" w:hAnsi="Times New Roman"/>
          <w:b/>
          <w:sz w:val="24"/>
          <w:szCs w:val="24"/>
          <w:lang w:eastAsia="en-IN"/>
        </w:rPr>
        <w:t>)</w:t>
      </w:r>
    </w:p>
    <w:p w:rsidR="00B8744D" w:rsidRPr="009F6743" w:rsidRDefault="00DE148A" w:rsidP="00B8744D">
      <w:pPr>
        <w:jc w:val="both"/>
        <w:rPr>
          <w:rFonts w:ascii="Times New Roman" w:eastAsia="Times New Roman" w:hAnsi="Times New Roman"/>
          <w:b/>
          <w:sz w:val="24"/>
          <w:szCs w:val="24"/>
          <w:lang w:eastAsia="en-IN"/>
        </w:rPr>
      </w:pPr>
      <w:r>
        <w:rPr>
          <w:rFonts w:ascii="Times New Roman" w:eastAsia="Times New Roman" w:hAnsi="Times New Roman"/>
          <w:b/>
          <w:sz w:val="24"/>
          <w:szCs w:val="24"/>
          <w:lang w:eastAsia="en-IN"/>
        </w:rPr>
        <w:t>Source: Prepared from Table 2</w:t>
      </w:r>
    </w:p>
    <w:p w:rsidR="00B8744D" w:rsidRPr="00533A18" w:rsidRDefault="00B8744D" w:rsidP="00533A18">
      <w:pPr>
        <w:spacing w:line="360" w:lineRule="auto"/>
        <w:jc w:val="both"/>
        <w:rPr>
          <w:rFonts w:ascii="Times New Roman" w:hAnsi="Times New Roman"/>
          <w:sz w:val="24"/>
          <w:szCs w:val="24"/>
        </w:rPr>
      </w:pPr>
      <w:r w:rsidRPr="009F6743">
        <w:rPr>
          <w:rFonts w:ascii="Times New Roman" w:hAnsi="Times New Roman"/>
          <w:sz w:val="24"/>
          <w:szCs w:val="24"/>
        </w:rPr>
        <w:t>The trend value is calculated for the comparison purpose. The first</w:t>
      </w:r>
      <w:r>
        <w:rPr>
          <w:rFonts w:ascii="Times New Roman" w:hAnsi="Times New Roman"/>
          <w:sz w:val="24"/>
          <w:szCs w:val="24"/>
        </w:rPr>
        <w:t xml:space="preserve"> line shows the trend of</w:t>
      </w:r>
      <w:r w:rsidRPr="00A04F4D">
        <w:rPr>
          <w:rFonts w:ascii="Times New Roman" w:hAnsi="Times New Roman"/>
          <w:sz w:val="24"/>
          <w:szCs w:val="24"/>
        </w:rPr>
        <w:t xml:space="preserve"> </w:t>
      </w:r>
      <w:r>
        <w:rPr>
          <w:rFonts w:ascii="Times New Roman" w:hAnsi="Times New Roman"/>
          <w:sz w:val="24"/>
          <w:szCs w:val="24"/>
        </w:rPr>
        <w:t xml:space="preserve">Infrastructure </w:t>
      </w:r>
      <w:r w:rsidRPr="009F6743">
        <w:rPr>
          <w:rFonts w:ascii="Times New Roman" w:hAnsi="Times New Roman"/>
          <w:sz w:val="24"/>
          <w:szCs w:val="24"/>
        </w:rPr>
        <w:t xml:space="preserve">of Indian Special Economic Zones and the second line shows the straight line trend fit to the </w:t>
      </w:r>
      <w:r>
        <w:rPr>
          <w:rFonts w:ascii="Times New Roman" w:hAnsi="Times New Roman"/>
          <w:sz w:val="24"/>
          <w:szCs w:val="24"/>
        </w:rPr>
        <w:t>data. The value of Y=67.23x-286.3 and R squared value is 0.773</w:t>
      </w:r>
      <w:r w:rsidRPr="009F6743">
        <w:rPr>
          <w:rFonts w:ascii="Times New Roman" w:hAnsi="Times New Roman"/>
          <w:sz w:val="24"/>
          <w:szCs w:val="24"/>
        </w:rPr>
        <w:t xml:space="preserve">. R Squared value shows the ratio </w:t>
      </w:r>
      <w:r>
        <w:rPr>
          <w:rFonts w:ascii="Times New Roman" w:hAnsi="Times New Roman"/>
          <w:sz w:val="24"/>
          <w:szCs w:val="24"/>
        </w:rPr>
        <w:t>of variance in the data (Infrastructure</w:t>
      </w:r>
      <w:r w:rsidRPr="009F6743">
        <w:rPr>
          <w:rFonts w:ascii="Times New Roman" w:hAnsi="Times New Roman"/>
          <w:sz w:val="24"/>
          <w:szCs w:val="24"/>
        </w:rPr>
        <w:t>)</w:t>
      </w:r>
      <w:r>
        <w:rPr>
          <w:rFonts w:ascii="Times New Roman" w:hAnsi="Times New Roman"/>
          <w:sz w:val="24"/>
          <w:szCs w:val="24"/>
        </w:rPr>
        <w:t>,</w:t>
      </w:r>
      <w:r w:rsidR="00DE148A">
        <w:rPr>
          <w:rFonts w:ascii="Times New Roman" w:hAnsi="Times New Roman"/>
          <w:sz w:val="24"/>
          <w:szCs w:val="24"/>
        </w:rPr>
        <w:t xml:space="preserve"> as explained by the figure: </w:t>
      </w:r>
      <w:r w:rsidR="005C6D7D">
        <w:rPr>
          <w:rFonts w:ascii="Times New Roman" w:hAnsi="Times New Roman"/>
          <w:sz w:val="24"/>
          <w:szCs w:val="24"/>
        </w:rPr>
        <w:t>3</w:t>
      </w:r>
      <w:r w:rsidRPr="009F6743">
        <w:rPr>
          <w:rFonts w:ascii="Times New Roman" w:hAnsi="Times New Roman"/>
          <w:sz w:val="24"/>
          <w:szCs w:val="24"/>
        </w:rPr>
        <w:t xml:space="preserve">, to the total variance in the data. A high R squared value is more stable than low R squared value. It </w:t>
      </w:r>
      <w:r>
        <w:rPr>
          <w:rFonts w:ascii="Times New Roman" w:hAnsi="Times New Roman"/>
          <w:sz w:val="24"/>
          <w:szCs w:val="24"/>
        </w:rPr>
        <w:t>means that Infrastructure</w:t>
      </w:r>
      <w:r w:rsidRPr="009F6743">
        <w:rPr>
          <w:rFonts w:ascii="Times New Roman" w:hAnsi="Times New Roman"/>
          <w:sz w:val="24"/>
          <w:szCs w:val="24"/>
        </w:rPr>
        <w:t xml:space="preserve"> of Kerala during the last ten years is very not stable and it shows a decreasing trend.</w:t>
      </w:r>
    </w:p>
    <w:p w:rsidR="00B8744D" w:rsidRDefault="00B8744D" w:rsidP="00B8744D">
      <w:pPr>
        <w:spacing w:after="120" w:line="360" w:lineRule="auto"/>
        <w:jc w:val="both"/>
        <w:rPr>
          <w:rFonts w:ascii="Times New Roman" w:hAnsi="Times New Roman"/>
          <w:b/>
          <w:bCs/>
          <w:sz w:val="24"/>
          <w:szCs w:val="24"/>
        </w:rPr>
      </w:pPr>
      <w:r>
        <w:rPr>
          <w:rFonts w:ascii="Times New Roman" w:hAnsi="Times New Roman"/>
          <w:b/>
          <w:bCs/>
          <w:sz w:val="24"/>
          <w:szCs w:val="24"/>
        </w:rPr>
        <w:t>Procedure of Analysis</w:t>
      </w:r>
    </w:p>
    <w:p w:rsidR="00B8744D" w:rsidRDefault="00B8744D" w:rsidP="00B8744D">
      <w:pPr>
        <w:spacing w:after="120" w:line="360" w:lineRule="auto"/>
        <w:jc w:val="both"/>
        <w:rPr>
          <w:rFonts w:ascii="Times New Roman" w:hAnsi="Times New Roman"/>
          <w:sz w:val="24"/>
          <w:szCs w:val="24"/>
        </w:rPr>
      </w:pPr>
      <w:r>
        <w:rPr>
          <w:rFonts w:ascii="Times New Roman" w:hAnsi="Times New Roman"/>
          <w:sz w:val="24"/>
          <w:szCs w:val="24"/>
        </w:rPr>
        <w:tab/>
        <w:t xml:space="preserve">In order to test the association between dependent variable and its independent variables Karl Pearson’s co-efficient of co-relation (r) is used and interpretation is made accordingly. As far as testing the significance of difference is concerned, two methods are administered, viz., (i) for testing the significance of difference between two variables independent </w:t>
      </w:r>
      <w:r>
        <w:rPr>
          <w:rFonts w:ascii="Times New Roman" w:hAnsi="Times New Roman"/>
          <w:i/>
          <w:iCs/>
          <w:sz w:val="24"/>
          <w:szCs w:val="24"/>
        </w:rPr>
        <w:t>t</w:t>
      </w:r>
      <w:r>
        <w:rPr>
          <w:rFonts w:ascii="Times New Roman" w:hAnsi="Times New Roman"/>
          <w:sz w:val="24"/>
          <w:szCs w:val="24"/>
        </w:rPr>
        <w:t>-test is used and (ii) for testing the significance of difference between more than two variables, Analysis of Variance (ANOVA) – One Way Classification is used. Here also the finding is validated and cross checked through Post-Hoc test using computer software package, i.e., Statistical Package for Social Sciences (SPSS).</w:t>
      </w:r>
    </w:p>
    <w:p w:rsidR="006E7112" w:rsidRDefault="006E7112" w:rsidP="00B8744D">
      <w:pPr>
        <w:spacing w:after="120" w:line="360" w:lineRule="auto"/>
        <w:jc w:val="both"/>
        <w:rPr>
          <w:rFonts w:ascii="Times New Roman" w:hAnsi="Times New Roman"/>
          <w:b/>
          <w:bCs/>
          <w:sz w:val="24"/>
          <w:szCs w:val="24"/>
        </w:rPr>
      </w:pPr>
    </w:p>
    <w:p w:rsidR="0090499A" w:rsidRDefault="0090499A" w:rsidP="00B8744D">
      <w:pPr>
        <w:spacing w:after="120" w:line="360" w:lineRule="auto"/>
        <w:jc w:val="both"/>
        <w:rPr>
          <w:rFonts w:ascii="Times New Roman" w:hAnsi="Times New Roman"/>
          <w:b/>
          <w:bCs/>
          <w:sz w:val="24"/>
          <w:szCs w:val="24"/>
        </w:rPr>
      </w:pPr>
    </w:p>
    <w:p w:rsidR="00B8744D" w:rsidRDefault="00B8744D" w:rsidP="00B8744D">
      <w:pPr>
        <w:spacing w:after="120" w:line="360" w:lineRule="auto"/>
        <w:jc w:val="both"/>
        <w:rPr>
          <w:rFonts w:ascii="Times New Roman" w:hAnsi="Times New Roman"/>
          <w:b/>
          <w:bCs/>
          <w:sz w:val="24"/>
          <w:szCs w:val="24"/>
        </w:rPr>
      </w:pPr>
      <w:r>
        <w:rPr>
          <w:rFonts w:ascii="Times New Roman" w:hAnsi="Times New Roman"/>
          <w:b/>
          <w:bCs/>
          <w:sz w:val="24"/>
          <w:szCs w:val="24"/>
        </w:rPr>
        <w:lastRenderedPageBreak/>
        <w:t>Testing the Significance of Relationship</w:t>
      </w:r>
    </w:p>
    <w:p w:rsidR="00B8744D" w:rsidRPr="00533A18" w:rsidRDefault="00B8744D" w:rsidP="00533A18">
      <w:pPr>
        <w:spacing w:after="120" w:line="360" w:lineRule="auto"/>
        <w:jc w:val="both"/>
        <w:rPr>
          <w:rFonts w:ascii="Times New Roman" w:hAnsi="Times New Roman"/>
          <w:sz w:val="24"/>
          <w:szCs w:val="24"/>
        </w:rPr>
      </w:pPr>
      <w:r w:rsidRPr="00533A18">
        <w:rPr>
          <w:rFonts w:ascii="Times New Roman" w:hAnsi="Times New Roman"/>
          <w:sz w:val="24"/>
          <w:szCs w:val="24"/>
        </w:rPr>
        <w:t>Ho1: There exists no significant correlation between the independent variable ‘Infrastructural Facilities and the dependent variable ‘Performance Evaluation of SEZ Units.</w:t>
      </w:r>
    </w:p>
    <w:p w:rsidR="00B8744D" w:rsidRPr="0090499A" w:rsidRDefault="00B8744D" w:rsidP="0090499A">
      <w:pPr>
        <w:spacing w:after="120" w:line="360" w:lineRule="auto"/>
        <w:ind w:firstLine="360"/>
        <w:jc w:val="both"/>
        <w:rPr>
          <w:rFonts w:ascii="Times New Roman" w:hAnsi="Times New Roman"/>
          <w:sz w:val="24"/>
          <w:szCs w:val="24"/>
        </w:rPr>
      </w:pPr>
      <w:r>
        <w:rPr>
          <w:rFonts w:ascii="Times New Roman" w:hAnsi="Times New Roman"/>
          <w:sz w:val="24"/>
          <w:szCs w:val="24"/>
        </w:rPr>
        <w:t>The relationship between the variable Infrastructural Facilities and Performance Evaluation of SEZ units has been subjected to statistical test through Karl Pearson’s co-efficient of co-relation as to identify whether there is any significant co-relation between these two variables and thereby the laid down hypothesis is true or not. Th</w:t>
      </w:r>
      <w:r w:rsidR="00DE148A">
        <w:rPr>
          <w:rFonts w:ascii="Times New Roman" w:hAnsi="Times New Roman"/>
          <w:sz w:val="24"/>
          <w:szCs w:val="24"/>
        </w:rPr>
        <w:t>e result is shown in Table: 3</w:t>
      </w:r>
    </w:p>
    <w:p w:rsidR="00B8744D" w:rsidRDefault="006E7112" w:rsidP="00B8744D">
      <w:pPr>
        <w:spacing w:after="0" w:line="240" w:lineRule="auto"/>
        <w:ind w:left="360"/>
        <w:jc w:val="center"/>
        <w:rPr>
          <w:rFonts w:ascii="Times New Roman" w:hAnsi="Times New Roman"/>
          <w:b/>
          <w:bCs/>
          <w:sz w:val="24"/>
          <w:szCs w:val="24"/>
        </w:rPr>
      </w:pPr>
      <w:r>
        <w:rPr>
          <w:rFonts w:ascii="Times New Roman" w:hAnsi="Times New Roman"/>
          <w:b/>
          <w:bCs/>
          <w:sz w:val="24"/>
          <w:szCs w:val="24"/>
        </w:rPr>
        <w:t>Tab</w:t>
      </w:r>
      <w:r w:rsidR="00DE148A">
        <w:rPr>
          <w:rFonts w:ascii="Times New Roman" w:hAnsi="Times New Roman"/>
          <w:b/>
          <w:bCs/>
          <w:sz w:val="24"/>
          <w:szCs w:val="24"/>
        </w:rPr>
        <w:t>le: 3</w:t>
      </w:r>
    </w:p>
    <w:p w:rsidR="00B8744D" w:rsidRDefault="00B8744D" w:rsidP="00B8744D">
      <w:pPr>
        <w:spacing w:after="0" w:line="240" w:lineRule="auto"/>
        <w:ind w:left="360"/>
        <w:jc w:val="center"/>
        <w:rPr>
          <w:rFonts w:ascii="Times New Roman" w:hAnsi="Times New Roman"/>
          <w:b/>
          <w:bCs/>
          <w:sz w:val="24"/>
          <w:szCs w:val="24"/>
        </w:rPr>
      </w:pPr>
      <w:r>
        <w:rPr>
          <w:rFonts w:ascii="Times New Roman" w:hAnsi="Times New Roman"/>
          <w:b/>
          <w:bCs/>
          <w:sz w:val="24"/>
          <w:szCs w:val="24"/>
        </w:rPr>
        <w:t>Co-relation between Infrastructural Facilities and Performance Evaluation</w:t>
      </w:r>
    </w:p>
    <w:tbl>
      <w:tblPr>
        <w:tblStyle w:val="TableGrid"/>
        <w:tblW w:w="0" w:type="auto"/>
        <w:tblInd w:w="360" w:type="dxa"/>
        <w:tblLook w:val="04A0"/>
      </w:tblPr>
      <w:tblGrid>
        <w:gridCol w:w="2236"/>
        <w:gridCol w:w="2198"/>
        <w:gridCol w:w="2236"/>
        <w:gridCol w:w="2212"/>
      </w:tblGrid>
      <w:tr w:rsidR="00B8744D" w:rsidTr="005B3582">
        <w:trPr>
          <w:trHeight w:val="673"/>
        </w:trPr>
        <w:tc>
          <w:tcPr>
            <w:tcW w:w="4608" w:type="dxa"/>
            <w:gridSpan w:val="2"/>
            <w:vAlign w:val="center"/>
          </w:tcPr>
          <w:p w:rsidR="00B8744D" w:rsidRDefault="00B8744D" w:rsidP="005B3582">
            <w:pPr>
              <w:spacing w:after="120" w:line="360" w:lineRule="auto"/>
              <w:jc w:val="center"/>
              <w:rPr>
                <w:rFonts w:ascii="Times New Roman" w:hAnsi="Times New Roman"/>
                <w:sz w:val="24"/>
                <w:szCs w:val="24"/>
              </w:rPr>
            </w:pPr>
          </w:p>
        </w:tc>
        <w:tc>
          <w:tcPr>
            <w:tcW w:w="2304" w:type="dxa"/>
            <w:vAlign w:val="center"/>
          </w:tcPr>
          <w:p w:rsidR="00B8744D" w:rsidRPr="005F7459" w:rsidRDefault="00B8744D" w:rsidP="005B3582">
            <w:pPr>
              <w:spacing w:after="120" w:line="360" w:lineRule="auto"/>
              <w:jc w:val="center"/>
              <w:rPr>
                <w:rFonts w:ascii="Times New Roman" w:hAnsi="Times New Roman"/>
                <w:sz w:val="24"/>
                <w:szCs w:val="24"/>
                <w:vertAlign w:val="subscript"/>
              </w:rPr>
            </w:pPr>
            <w:r w:rsidRPr="008C0A35">
              <w:rPr>
                <w:rFonts w:ascii="Times New Roman" w:hAnsi="Times New Roman"/>
                <w:sz w:val="24"/>
                <w:szCs w:val="24"/>
              </w:rPr>
              <w:t>‘Infrastructural Facilities</w:t>
            </w:r>
          </w:p>
        </w:tc>
        <w:tc>
          <w:tcPr>
            <w:tcW w:w="2304" w:type="dxa"/>
            <w:vAlign w:val="center"/>
          </w:tcPr>
          <w:p w:rsidR="00B8744D" w:rsidRPr="005F7459" w:rsidRDefault="00B8744D" w:rsidP="005B3582">
            <w:pPr>
              <w:spacing w:after="120" w:line="360" w:lineRule="auto"/>
              <w:rPr>
                <w:rFonts w:ascii="Times New Roman" w:hAnsi="Times New Roman"/>
                <w:sz w:val="24"/>
                <w:szCs w:val="24"/>
                <w:vertAlign w:val="subscript"/>
              </w:rPr>
            </w:pPr>
            <w:r>
              <w:rPr>
                <w:rFonts w:ascii="Times New Roman" w:hAnsi="Times New Roman"/>
                <w:sz w:val="24"/>
                <w:szCs w:val="24"/>
              </w:rPr>
              <w:t>Performance Evaluation of SEZ Units</w:t>
            </w:r>
          </w:p>
        </w:tc>
      </w:tr>
      <w:tr w:rsidR="00B8744D" w:rsidTr="005B3582">
        <w:tc>
          <w:tcPr>
            <w:tcW w:w="2304" w:type="dxa"/>
            <w:vMerge w:val="restart"/>
            <w:vAlign w:val="center"/>
          </w:tcPr>
          <w:p w:rsidR="00B8744D" w:rsidRPr="00A93185" w:rsidRDefault="00B8744D" w:rsidP="005B3582">
            <w:pPr>
              <w:spacing w:after="120" w:line="360" w:lineRule="auto"/>
              <w:rPr>
                <w:rFonts w:ascii="Times New Roman" w:hAnsi="Times New Roman"/>
                <w:sz w:val="24"/>
                <w:szCs w:val="24"/>
                <w:vertAlign w:val="subscript"/>
              </w:rPr>
            </w:pPr>
            <w:r w:rsidRPr="008C0A35">
              <w:rPr>
                <w:rFonts w:ascii="Times New Roman" w:hAnsi="Times New Roman"/>
                <w:sz w:val="24"/>
                <w:szCs w:val="24"/>
              </w:rPr>
              <w:t>‘Infrastructural Facilities</w:t>
            </w:r>
          </w:p>
        </w:tc>
        <w:tc>
          <w:tcPr>
            <w:tcW w:w="2304" w:type="dxa"/>
            <w:vAlign w:val="center"/>
          </w:tcPr>
          <w:p w:rsidR="00B8744D" w:rsidRDefault="00B8744D" w:rsidP="005B3582">
            <w:pPr>
              <w:spacing w:after="120" w:line="360" w:lineRule="auto"/>
              <w:jc w:val="center"/>
              <w:rPr>
                <w:rFonts w:ascii="Times New Roman" w:hAnsi="Times New Roman"/>
                <w:sz w:val="24"/>
                <w:szCs w:val="24"/>
              </w:rPr>
            </w:pPr>
            <w:r>
              <w:rPr>
                <w:rFonts w:ascii="Times New Roman" w:hAnsi="Times New Roman"/>
                <w:sz w:val="24"/>
                <w:szCs w:val="24"/>
              </w:rPr>
              <w:t>Pearson Correlation</w:t>
            </w:r>
          </w:p>
        </w:tc>
        <w:tc>
          <w:tcPr>
            <w:tcW w:w="2304" w:type="dxa"/>
            <w:vAlign w:val="center"/>
          </w:tcPr>
          <w:p w:rsidR="00B8744D" w:rsidRDefault="00B8744D" w:rsidP="005B3582">
            <w:pPr>
              <w:spacing w:after="120" w:line="360" w:lineRule="auto"/>
              <w:jc w:val="center"/>
              <w:rPr>
                <w:rFonts w:ascii="Times New Roman" w:hAnsi="Times New Roman"/>
                <w:sz w:val="24"/>
                <w:szCs w:val="24"/>
              </w:rPr>
            </w:pPr>
            <w:r>
              <w:rPr>
                <w:rFonts w:ascii="Times New Roman" w:hAnsi="Times New Roman"/>
                <w:sz w:val="24"/>
                <w:szCs w:val="24"/>
              </w:rPr>
              <w:t>1</w:t>
            </w:r>
          </w:p>
        </w:tc>
        <w:tc>
          <w:tcPr>
            <w:tcW w:w="2304" w:type="dxa"/>
            <w:vAlign w:val="center"/>
          </w:tcPr>
          <w:p w:rsidR="00B8744D" w:rsidRDefault="00B8744D" w:rsidP="005B3582">
            <w:pPr>
              <w:spacing w:after="120" w:line="360" w:lineRule="auto"/>
              <w:jc w:val="center"/>
              <w:rPr>
                <w:rFonts w:ascii="Times New Roman" w:hAnsi="Times New Roman"/>
                <w:sz w:val="24"/>
                <w:szCs w:val="24"/>
              </w:rPr>
            </w:pPr>
            <w:r>
              <w:rPr>
                <w:rFonts w:ascii="Times New Roman" w:hAnsi="Times New Roman"/>
                <w:sz w:val="24"/>
                <w:szCs w:val="24"/>
              </w:rPr>
              <w:t>.523**</w:t>
            </w:r>
          </w:p>
        </w:tc>
      </w:tr>
      <w:tr w:rsidR="00B8744D" w:rsidTr="005B3582">
        <w:tc>
          <w:tcPr>
            <w:tcW w:w="2304" w:type="dxa"/>
            <w:vMerge/>
            <w:vAlign w:val="center"/>
          </w:tcPr>
          <w:p w:rsidR="00B8744D" w:rsidRDefault="00B8744D" w:rsidP="005B3582">
            <w:pPr>
              <w:spacing w:after="120" w:line="360" w:lineRule="auto"/>
              <w:jc w:val="center"/>
              <w:rPr>
                <w:rFonts w:ascii="Times New Roman" w:hAnsi="Times New Roman"/>
                <w:sz w:val="24"/>
                <w:szCs w:val="24"/>
              </w:rPr>
            </w:pPr>
          </w:p>
        </w:tc>
        <w:tc>
          <w:tcPr>
            <w:tcW w:w="2304" w:type="dxa"/>
            <w:vAlign w:val="center"/>
          </w:tcPr>
          <w:p w:rsidR="00B8744D" w:rsidRDefault="00B8744D" w:rsidP="005B3582">
            <w:pPr>
              <w:spacing w:after="120" w:line="360" w:lineRule="auto"/>
              <w:jc w:val="center"/>
              <w:rPr>
                <w:rFonts w:ascii="Times New Roman" w:hAnsi="Times New Roman"/>
                <w:sz w:val="24"/>
                <w:szCs w:val="24"/>
              </w:rPr>
            </w:pPr>
            <w:r>
              <w:rPr>
                <w:rFonts w:ascii="Times New Roman" w:hAnsi="Times New Roman"/>
                <w:sz w:val="24"/>
                <w:szCs w:val="24"/>
              </w:rPr>
              <w:t>Sig. (2-tailed)</w:t>
            </w:r>
          </w:p>
        </w:tc>
        <w:tc>
          <w:tcPr>
            <w:tcW w:w="2304" w:type="dxa"/>
            <w:vAlign w:val="center"/>
          </w:tcPr>
          <w:p w:rsidR="00B8744D" w:rsidRDefault="00B8744D" w:rsidP="005B3582">
            <w:pPr>
              <w:spacing w:after="120" w:line="360" w:lineRule="auto"/>
              <w:jc w:val="center"/>
              <w:rPr>
                <w:rFonts w:ascii="Times New Roman" w:hAnsi="Times New Roman"/>
                <w:sz w:val="24"/>
                <w:szCs w:val="24"/>
              </w:rPr>
            </w:pPr>
          </w:p>
        </w:tc>
        <w:tc>
          <w:tcPr>
            <w:tcW w:w="2304" w:type="dxa"/>
            <w:vAlign w:val="center"/>
          </w:tcPr>
          <w:p w:rsidR="00B8744D" w:rsidRDefault="00B8744D" w:rsidP="005B3582">
            <w:pPr>
              <w:spacing w:after="120" w:line="360" w:lineRule="auto"/>
              <w:jc w:val="center"/>
              <w:rPr>
                <w:rFonts w:ascii="Times New Roman" w:hAnsi="Times New Roman"/>
                <w:sz w:val="24"/>
                <w:szCs w:val="24"/>
              </w:rPr>
            </w:pPr>
            <w:r>
              <w:rPr>
                <w:rFonts w:ascii="Times New Roman" w:hAnsi="Times New Roman"/>
                <w:sz w:val="24"/>
                <w:szCs w:val="24"/>
              </w:rPr>
              <w:t>.000</w:t>
            </w:r>
          </w:p>
        </w:tc>
      </w:tr>
      <w:tr w:rsidR="00B8744D" w:rsidTr="005B3582">
        <w:tc>
          <w:tcPr>
            <w:tcW w:w="2304" w:type="dxa"/>
            <w:vMerge/>
            <w:vAlign w:val="center"/>
          </w:tcPr>
          <w:p w:rsidR="00B8744D" w:rsidRDefault="00B8744D" w:rsidP="005B3582">
            <w:pPr>
              <w:spacing w:after="120" w:line="360" w:lineRule="auto"/>
              <w:jc w:val="center"/>
              <w:rPr>
                <w:rFonts w:ascii="Times New Roman" w:hAnsi="Times New Roman"/>
                <w:sz w:val="24"/>
                <w:szCs w:val="24"/>
              </w:rPr>
            </w:pPr>
          </w:p>
        </w:tc>
        <w:tc>
          <w:tcPr>
            <w:tcW w:w="2304" w:type="dxa"/>
            <w:vAlign w:val="center"/>
          </w:tcPr>
          <w:p w:rsidR="00B8744D" w:rsidRPr="005F7459" w:rsidRDefault="00B8744D" w:rsidP="005B3582">
            <w:pPr>
              <w:spacing w:after="120" w:line="360" w:lineRule="auto"/>
              <w:jc w:val="center"/>
              <w:rPr>
                <w:rFonts w:ascii="Times New Roman" w:hAnsi="Times New Roman"/>
                <w:sz w:val="24"/>
                <w:szCs w:val="24"/>
              </w:rPr>
            </w:pPr>
            <w:r>
              <w:rPr>
                <w:rFonts w:ascii="Times New Roman" w:hAnsi="Times New Roman"/>
                <w:sz w:val="24"/>
                <w:szCs w:val="24"/>
              </w:rPr>
              <w:t>N</w:t>
            </w:r>
          </w:p>
        </w:tc>
        <w:tc>
          <w:tcPr>
            <w:tcW w:w="2304" w:type="dxa"/>
            <w:vAlign w:val="center"/>
          </w:tcPr>
          <w:p w:rsidR="00B8744D" w:rsidRDefault="00B8744D" w:rsidP="005B3582">
            <w:pPr>
              <w:spacing w:after="120" w:line="360" w:lineRule="auto"/>
              <w:jc w:val="center"/>
              <w:rPr>
                <w:rFonts w:ascii="Times New Roman" w:hAnsi="Times New Roman"/>
                <w:sz w:val="24"/>
                <w:szCs w:val="24"/>
              </w:rPr>
            </w:pPr>
            <w:r>
              <w:rPr>
                <w:rFonts w:ascii="Times New Roman" w:hAnsi="Times New Roman"/>
                <w:sz w:val="24"/>
                <w:szCs w:val="24"/>
              </w:rPr>
              <w:t>216</w:t>
            </w:r>
          </w:p>
        </w:tc>
        <w:tc>
          <w:tcPr>
            <w:tcW w:w="2304" w:type="dxa"/>
            <w:vAlign w:val="center"/>
          </w:tcPr>
          <w:p w:rsidR="00B8744D" w:rsidRDefault="00B8744D" w:rsidP="005B3582">
            <w:pPr>
              <w:spacing w:after="120" w:line="360" w:lineRule="auto"/>
              <w:jc w:val="center"/>
              <w:rPr>
                <w:rFonts w:ascii="Times New Roman" w:hAnsi="Times New Roman"/>
                <w:sz w:val="24"/>
                <w:szCs w:val="24"/>
              </w:rPr>
            </w:pPr>
            <w:r>
              <w:rPr>
                <w:rFonts w:ascii="Times New Roman" w:hAnsi="Times New Roman"/>
                <w:sz w:val="24"/>
                <w:szCs w:val="24"/>
              </w:rPr>
              <w:t>216</w:t>
            </w:r>
          </w:p>
        </w:tc>
      </w:tr>
      <w:tr w:rsidR="00B8744D" w:rsidTr="005B3582">
        <w:tc>
          <w:tcPr>
            <w:tcW w:w="2304" w:type="dxa"/>
            <w:vMerge w:val="restart"/>
            <w:vAlign w:val="center"/>
          </w:tcPr>
          <w:p w:rsidR="00B8744D" w:rsidRPr="00A93185" w:rsidRDefault="00B8744D" w:rsidP="005B3582">
            <w:pPr>
              <w:spacing w:after="120" w:line="360" w:lineRule="auto"/>
              <w:rPr>
                <w:rFonts w:ascii="Times New Roman" w:hAnsi="Times New Roman"/>
                <w:sz w:val="24"/>
                <w:szCs w:val="24"/>
                <w:vertAlign w:val="subscript"/>
              </w:rPr>
            </w:pPr>
            <w:r>
              <w:rPr>
                <w:rFonts w:ascii="Times New Roman" w:hAnsi="Times New Roman"/>
                <w:sz w:val="24"/>
                <w:szCs w:val="24"/>
              </w:rPr>
              <w:t>Performance Evaluation of SEZ</w:t>
            </w:r>
          </w:p>
        </w:tc>
        <w:tc>
          <w:tcPr>
            <w:tcW w:w="2304" w:type="dxa"/>
            <w:vAlign w:val="center"/>
          </w:tcPr>
          <w:p w:rsidR="00B8744D" w:rsidRDefault="00B8744D" w:rsidP="005B3582">
            <w:pPr>
              <w:spacing w:after="120" w:line="360" w:lineRule="auto"/>
              <w:jc w:val="center"/>
              <w:rPr>
                <w:rFonts w:ascii="Times New Roman" w:hAnsi="Times New Roman"/>
                <w:sz w:val="24"/>
                <w:szCs w:val="24"/>
              </w:rPr>
            </w:pPr>
            <w:r>
              <w:rPr>
                <w:rFonts w:ascii="Times New Roman" w:hAnsi="Times New Roman"/>
                <w:sz w:val="24"/>
                <w:szCs w:val="24"/>
              </w:rPr>
              <w:t>Pearson Correlation</w:t>
            </w:r>
          </w:p>
        </w:tc>
        <w:tc>
          <w:tcPr>
            <w:tcW w:w="2304" w:type="dxa"/>
            <w:vAlign w:val="center"/>
          </w:tcPr>
          <w:p w:rsidR="00B8744D" w:rsidRDefault="00B8744D" w:rsidP="005B3582">
            <w:pPr>
              <w:spacing w:after="120" w:line="360" w:lineRule="auto"/>
              <w:jc w:val="center"/>
              <w:rPr>
                <w:rFonts w:ascii="Times New Roman" w:hAnsi="Times New Roman"/>
                <w:sz w:val="24"/>
                <w:szCs w:val="24"/>
              </w:rPr>
            </w:pPr>
            <w:r>
              <w:rPr>
                <w:rFonts w:ascii="Times New Roman" w:hAnsi="Times New Roman"/>
                <w:sz w:val="24"/>
                <w:szCs w:val="24"/>
              </w:rPr>
              <w:t>.523**</w:t>
            </w:r>
          </w:p>
        </w:tc>
        <w:tc>
          <w:tcPr>
            <w:tcW w:w="2304" w:type="dxa"/>
            <w:vAlign w:val="center"/>
          </w:tcPr>
          <w:p w:rsidR="00B8744D" w:rsidRDefault="00B8744D" w:rsidP="005B3582">
            <w:pPr>
              <w:spacing w:after="120" w:line="360" w:lineRule="auto"/>
              <w:jc w:val="center"/>
              <w:rPr>
                <w:rFonts w:ascii="Times New Roman" w:hAnsi="Times New Roman"/>
                <w:sz w:val="24"/>
                <w:szCs w:val="24"/>
              </w:rPr>
            </w:pPr>
            <w:r>
              <w:rPr>
                <w:rFonts w:ascii="Times New Roman" w:hAnsi="Times New Roman"/>
                <w:sz w:val="24"/>
                <w:szCs w:val="24"/>
              </w:rPr>
              <w:t>1</w:t>
            </w:r>
          </w:p>
        </w:tc>
      </w:tr>
      <w:tr w:rsidR="00B8744D" w:rsidTr="005B3582">
        <w:tc>
          <w:tcPr>
            <w:tcW w:w="2304" w:type="dxa"/>
            <w:vMerge/>
            <w:vAlign w:val="center"/>
          </w:tcPr>
          <w:p w:rsidR="00B8744D" w:rsidRDefault="00B8744D" w:rsidP="005B3582">
            <w:pPr>
              <w:spacing w:after="120" w:line="360" w:lineRule="auto"/>
              <w:jc w:val="center"/>
              <w:rPr>
                <w:rFonts w:ascii="Times New Roman" w:hAnsi="Times New Roman"/>
                <w:sz w:val="24"/>
                <w:szCs w:val="24"/>
              </w:rPr>
            </w:pPr>
          </w:p>
        </w:tc>
        <w:tc>
          <w:tcPr>
            <w:tcW w:w="2304" w:type="dxa"/>
            <w:vAlign w:val="center"/>
          </w:tcPr>
          <w:p w:rsidR="00B8744D" w:rsidRDefault="00B8744D" w:rsidP="005B3582">
            <w:pPr>
              <w:spacing w:after="120" w:line="360" w:lineRule="auto"/>
              <w:jc w:val="center"/>
              <w:rPr>
                <w:rFonts w:ascii="Times New Roman" w:hAnsi="Times New Roman"/>
                <w:sz w:val="24"/>
                <w:szCs w:val="24"/>
              </w:rPr>
            </w:pPr>
            <w:r>
              <w:rPr>
                <w:rFonts w:ascii="Times New Roman" w:hAnsi="Times New Roman"/>
                <w:sz w:val="24"/>
                <w:szCs w:val="24"/>
              </w:rPr>
              <w:t>Sig. (2-tailed)</w:t>
            </w:r>
          </w:p>
        </w:tc>
        <w:tc>
          <w:tcPr>
            <w:tcW w:w="2304" w:type="dxa"/>
            <w:vAlign w:val="center"/>
          </w:tcPr>
          <w:p w:rsidR="00B8744D" w:rsidRDefault="00B8744D" w:rsidP="005B3582">
            <w:pPr>
              <w:spacing w:after="120" w:line="360" w:lineRule="auto"/>
              <w:jc w:val="center"/>
              <w:rPr>
                <w:rFonts w:ascii="Times New Roman" w:hAnsi="Times New Roman"/>
                <w:sz w:val="24"/>
                <w:szCs w:val="24"/>
              </w:rPr>
            </w:pPr>
            <w:r>
              <w:rPr>
                <w:rFonts w:ascii="Times New Roman" w:hAnsi="Times New Roman"/>
                <w:sz w:val="24"/>
                <w:szCs w:val="24"/>
              </w:rPr>
              <w:t>.000</w:t>
            </w:r>
          </w:p>
        </w:tc>
        <w:tc>
          <w:tcPr>
            <w:tcW w:w="2304" w:type="dxa"/>
            <w:vAlign w:val="center"/>
          </w:tcPr>
          <w:p w:rsidR="00B8744D" w:rsidRDefault="00B8744D" w:rsidP="005B3582">
            <w:pPr>
              <w:spacing w:after="120" w:line="360" w:lineRule="auto"/>
              <w:jc w:val="center"/>
              <w:rPr>
                <w:rFonts w:ascii="Times New Roman" w:hAnsi="Times New Roman"/>
                <w:sz w:val="24"/>
                <w:szCs w:val="24"/>
              </w:rPr>
            </w:pPr>
          </w:p>
        </w:tc>
      </w:tr>
      <w:tr w:rsidR="00B8744D" w:rsidTr="005B3582">
        <w:tc>
          <w:tcPr>
            <w:tcW w:w="2304" w:type="dxa"/>
            <w:vMerge/>
          </w:tcPr>
          <w:p w:rsidR="00B8744D" w:rsidRDefault="00B8744D" w:rsidP="005B3582">
            <w:pPr>
              <w:spacing w:after="120" w:line="360" w:lineRule="auto"/>
              <w:jc w:val="center"/>
              <w:rPr>
                <w:rFonts w:ascii="Times New Roman" w:hAnsi="Times New Roman"/>
                <w:sz w:val="24"/>
                <w:szCs w:val="24"/>
              </w:rPr>
            </w:pPr>
          </w:p>
        </w:tc>
        <w:tc>
          <w:tcPr>
            <w:tcW w:w="2304" w:type="dxa"/>
            <w:vAlign w:val="center"/>
          </w:tcPr>
          <w:p w:rsidR="00B8744D" w:rsidRPr="005F7459" w:rsidRDefault="00B8744D" w:rsidP="005B3582">
            <w:pPr>
              <w:spacing w:after="120" w:line="360" w:lineRule="auto"/>
              <w:jc w:val="center"/>
              <w:rPr>
                <w:rFonts w:ascii="Times New Roman" w:hAnsi="Times New Roman"/>
                <w:sz w:val="24"/>
                <w:szCs w:val="24"/>
              </w:rPr>
            </w:pPr>
            <w:r>
              <w:rPr>
                <w:rFonts w:ascii="Times New Roman" w:hAnsi="Times New Roman"/>
                <w:sz w:val="24"/>
                <w:szCs w:val="24"/>
              </w:rPr>
              <w:t>N</w:t>
            </w:r>
          </w:p>
        </w:tc>
        <w:tc>
          <w:tcPr>
            <w:tcW w:w="2304" w:type="dxa"/>
          </w:tcPr>
          <w:p w:rsidR="00B8744D" w:rsidRDefault="00B8744D" w:rsidP="005B3582">
            <w:pPr>
              <w:spacing w:after="120" w:line="360" w:lineRule="auto"/>
              <w:jc w:val="center"/>
              <w:rPr>
                <w:rFonts w:ascii="Times New Roman" w:hAnsi="Times New Roman"/>
                <w:sz w:val="24"/>
                <w:szCs w:val="24"/>
              </w:rPr>
            </w:pPr>
            <w:r>
              <w:rPr>
                <w:rFonts w:ascii="Times New Roman" w:hAnsi="Times New Roman"/>
                <w:sz w:val="24"/>
                <w:szCs w:val="24"/>
              </w:rPr>
              <w:t>216</w:t>
            </w:r>
          </w:p>
        </w:tc>
        <w:tc>
          <w:tcPr>
            <w:tcW w:w="2304" w:type="dxa"/>
          </w:tcPr>
          <w:p w:rsidR="00B8744D" w:rsidRDefault="00B8744D" w:rsidP="005B3582">
            <w:pPr>
              <w:spacing w:after="120" w:line="360" w:lineRule="auto"/>
              <w:jc w:val="center"/>
              <w:rPr>
                <w:rFonts w:ascii="Times New Roman" w:hAnsi="Times New Roman"/>
                <w:sz w:val="24"/>
                <w:szCs w:val="24"/>
              </w:rPr>
            </w:pPr>
            <w:r>
              <w:rPr>
                <w:rFonts w:ascii="Times New Roman" w:hAnsi="Times New Roman"/>
                <w:sz w:val="24"/>
                <w:szCs w:val="24"/>
              </w:rPr>
              <w:t>216</w:t>
            </w:r>
          </w:p>
        </w:tc>
      </w:tr>
    </w:tbl>
    <w:p w:rsidR="00B8744D" w:rsidRDefault="00B8744D" w:rsidP="00B8744D">
      <w:pPr>
        <w:spacing w:after="120" w:line="360" w:lineRule="auto"/>
        <w:ind w:left="360"/>
        <w:rPr>
          <w:rFonts w:ascii="Times New Roman" w:hAnsi="Times New Roman"/>
          <w:sz w:val="20"/>
          <w:szCs w:val="20"/>
        </w:rPr>
      </w:pPr>
      <w:r w:rsidRPr="005F7459">
        <w:rPr>
          <w:rFonts w:ascii="Times New Roman" w:hAnsi="Times New Roman"/>
          <w:sz w:val="20"/>
          <w:szCs w:val="20"/>
        </w:rPr>
        <w:t>**. Correlation is significant at the 0.01 level (2-tailed).</w:t>
      </w:r>
    </w:p>
    <w:p w:rsidR="00FD501D" w:rsidRPr="0090499A" w:rsidRDefault="00B8744D" w:rsidP="0090499A">
      <w:pPr>
        <w:spacing w:after="120" w:line="360" w:lineRule="auto"/>
        <w:ind w:firstLine="360"/>
        <w:jc w:val="both"/>
      </w:pPr>
      <w:r>
        <w:rPr>
          <w:rFonts w:ascii="Times New Roman" w:hAnsi="Times New Roman"/>
          <w:sz w:val="24"/>
          <w:szCs w:val="24"/>
        </w:rPr>
        <w:tab/>
        <w:t>The Pearson co-rela</w:t>
      </w:r>
      <w:r w:rsidR="00DE148A">
        <w:rPr>
          <w:rFonts w:ascii="Times New Roman" w:hAnsi="Times New Roman"/>
          <w:sz w:val="24"/>
          <w:szCs w:val="24"/>
        </w:rPr>
        <w:t>tion as seen from the Table 3</w:t>
      </w:r>
      <w:r>
        <w:rPr>
          <w:rFonts w:ascii="Times New Roman" w:hAnsi="Times New Roman"/>
          <w:sz w:val="24"/>
          <w:szCs w:val="24"/>
        </w:rPr>
        <w:t xml:space="preserve"> shows that there exist a significant co-relation between Infrastructural Facilities and Performance Evaluation of SEZ units which is 0.523 at 0.01 levels. Hence¸ the null hypothesis can be rejected and the alternate hypothesis is accepted. It means that there exists a significant co-relation among the relationship between Infrastructural Facilities and Performance Evaluation of SEZ units.</w:t>
      </w:r>
    </w:p>
    <w:p w:rsidR="00C70DBE" w:rsidRPr="005E7836" w:rsidRDefault="00D83747" w:rsidP="00C70DBE">
      <w:pPr>
        <w:rPr>
          <w:rFonts w:ascii="Times New Roman" w:hAnsi="Times New Roman"/>
          <w:b/>
        </w:rPr>
      </w:pPr>
      <w:r w:rsidRPr="005E7836">
        <w:rPr>
          <w:rFonts w:ascii="Times New Roman" w:hAnsi="Times New Roman"/>
          <w:b/>
        </w:rPr>
        <w:t>Suggestions</w:t>
      </w:r>
    </w:p>
    <w:p w:rsidR="00C70DBE" w:rsidRDefault="00C70DBE" w:rsidP="00C70DBE">
      <w:pPr>
        <w:rPr>
          <w:rFonts w:ascii="Times New Roman" w:hAnsi="Times New Roman"/>
          <w:sz w:val="24"/>
          <w:szCs w:val="24"/>
        </w:rPr>
      </w:pPr>
      <w:r>
        <w:rPr>
          <w:rFonts w:ascii="Times New Roman" w:hAnsi="Times New Roman"/>
          <w:sz w:val="24"/>
          <w:szCs w:val="24"/>
        </w:rPr>
        <w:t xml:space="preserve">The following suggestions are made for improving the performance of SEZ units in Kerala: </w:t>
      </w:r>
    </w:p>
    <w:p w:rsidR="00C70DBE" w:rsidRPr="009E2F08" w:rsidRDefault="00C70DBE" w:rsidP="00FD501D">
      <w:pPr>
        <w:pStyle w:val="ListParagraph"/>
        <w:numPr>
          <w:ilvl w:val="0"/>
          <w:numId w:val="5"/>
        </w:numPr>
        <w:autoSpaceDE w:val="0"/>
        <w:autoSpaceDN w:val="0"/>
        <w:adjustRightInd w:val="0"/>
        <w:spacing w:after="0" w:line="360" w:lineRule="auto"/>
        <w:ind w:left="714" w:hanging="357"/>
        <w:jc w:val="both"/>
        <w:rPr>
          <w:rFonts w:ascii="Times New Roman" w:hAnsi="Times New Roman"/>
          <w:bCs/>
          <w:sz w:val="24"/>
          <w:szCs w:val="24"/>
        </w:rPr>
      </w:pPr>
      <w:r w:rsidRPr="009E2F08">
        <w:rPr>
          <w:rFonts w:ascii="Times New Roman" w:hAnsi="Times New Roman"/>
          <w:bCs/>
          <w:sz w:val="24"/>
          <w:szCs w:val="24"/>
        </w:rPr>
        <w:t xml:space="preserve">Permit more participation from Foreign Direct Investment in all the sectors of the </w:t>
      </w:r>
      <w:r w:rsidR="00F64ACC">
        <w:rPr>
          <w:rFonts w:ascii="Times New Roman" w:hAnsi="Times New Roman"/>
          <w:bCs/>
          <w:sz w:val="24"/>
          <w:szCs w:val="24"/>
        </w:rPr>
        <w:t>Special Economic Zone in India to enhance the Infrastructure development.</w:t>
      </w:r>
    </w:p>
    <w:p w:rsidR="00FD501D" w:rsidRPr="00FD501D" w:rsidRDefault="009E2F08" w:rsidP="00FD501D">
      <w:pPr>
        <w:numPr>
          <w:ilvl w:val="0"/>
          <w:numId w:val="5"/>
        </w:numPr>
        <w:shd w:val="clear" w:color="auto" w:fill="FFFFFF"/>
        <w:spacing w:after="180" w:line="360" w:lineRule="auto"/>
        <w:ind w:left="714" w:hanging="357"/>
        <w:jc w:val="both"/>
        <w:rPr>
          <w:rFonts w:ascii="Times New Roman" w:eastAsia="Times New Roman" w:hAnsi="Times New Roman"/>
          <w:color w:val="0A0A0A"/>
          <w:sz w:val="24"/>
          <w:szCs w:val="24"/>
          <w:lang w:val="en-IN" w:eastAsia="en-IN"/>
        </w:rPr>
      </w:pPr>
      <w:r w:rsidRPr="006721C9">
        <w:rPr>
          <w:rFonts w:ascii="Times New Roman" w:eastAsia="Times New Roman" w:hAnsi="Times New Roman"/>
          <w:bCs/>
          <w:color w:val="0A0A0A"/>
          <w:sz w:val="24"/>
          <w:szCs w:val="24"/>
          <w:lang w:val="en-IN" w:eastAsia="en-IN"/>
        </w:rPr>
        <w:lastRenderedPageBreak/>
        <w:t>Infrastructure &amp; Land:</w:t>
      </w:r>
      <w:r w:rsidRPr="009E2F08">
        <w:rPr>
          <w:rFonts w:ascii="Times New Roman" w:eastAsia="Times New Roman" w:hAnsi="Times New Roman"/>
          <w:color w:val="0A0A0A"/>
          <w:sz w:val="24"/>
          <w:szCs w:val="24"/>
          <w:lang w:val="en-IN" w:eastAsia="en-IN"/>
        </w:rPr>
        <w:t> SEZs provide high-quality, specialized infrastructure (power, water, connectivity). Land requirement for specialized sectors like IT/Biotech can be as low as 10 hectares</w:t>
      </w:r>
      <w:r w:rsidR="00FD501D" w:rsidRPr="00FD501D">
        <w:rPr>
          <w:rFonts w:ascii="Times New Roman" w:eastAsia="Times New Roman" w:hAnsi="Times New Roman"/>
          <w:sz w:val="24"/>
          <w:szCs w:val="24"/>
          <w:lang w:val="en-IN" w:eastAsia="en-IN"/>
        </w:rPr>
        <w:t>.</w:t>
      </w:r>
    </w:p>
    <w:p w:rsidR="00FD501D" w:rsidRPr="00FD501D" w:rsidRDefault="00FD501D" w:rsidP="00FD501D">
      <w:pPr>
        <w:numPr>
          <w:ilvl w:val="0"/>
          <w:numId w:val="5"/>
        </w:numPr>
        <w:spacing w:before="100" w:beforeAutospacing="1" w:after="100" w:afterAutospacing="1" w:line="360" w:lineRule="auto"/>
        <w:ind w:left="714" w:hanging="357"/>
        <w:rPr>
          <w:rFonts w:ascii="Times New Roman" w:eastAsia="Times New Roman" w:hAnsi="Times New Roman"/>
          <w:sz w:val="24"/>
          <w:szCs w:val="24"/>
          <w:lang w:val="en-IN" w:eastAsia="en-IN"/>
        </w:rPr>
      </w:pPr>
      <w:r w:rsidRPr="00FD501D">
        <w:rPr>
          <w:rFonts w:ascii="Times New Roman" w:eastAsia="Times New Roman" w:hAnsi="Times New Roman"/>
          <w:sz w:val="24"/>
          <w:szCs w:val="24"/>
          <w:lang w:val="en-IN" w:eastAsia="en-IN"/>
        </w:rPr>
        <w:t xml:space="preserve">Develop high-quality road, rail, port, and airport links to SEZs. </w:t>
      </w:r>
    </w:p>
    <w:p w:rsidR="00FD501D" w:rsidRDefault="00FD501D" w:rsidP="00FD501D">
      <w:pPr>
        <w:numPr>
          <w:ilvl w:val="0"/>
          <w:numId w:val="5"/>
        </w:numPr>
        <w:spacing w:before="100" w:beforeAutospacing="1" w:after="100" w:afterAutospacing="1" w:line="360" w:lineRule="auto"/>
        <w:ind w:left="714" w:hanging="357"/>
        <w:rPr>
          <w:rFonts w:ascii="Times New Roman" w:eastAsia="Times New Roman" w:hAnsi="Times New Roman"/>
          <w:sz w:val="24"/>
          <w:szCs w:val="24"/>
          <w:lang w:val="en-IN" w:eastAsia="en-IN"/>
        </w:rPr>
      </w:pPr>
      <w:r w:rsidRPr="00FD501D">
        <w:rPr>
          <w:rFonts w:ascii="Times New Roman" w:eastAsia="Times New Roman" w:hAnsi="Times New Roman"/>
          <w:sz w:val="24"/>
          <w:szCs w:val="24"/>
          <w:lang w:val="en-IN" w:eastAsia="en-IN"/>
        </w:rPr>
        <w:t>Strengthen multimodal logistics networks to reduce transportation costs.</w:t>
      </w:r>
    </w:p>
    <w:p w:rsidR="00822FDA" w:rsidRPr="00FD501D" w:rsidRDefault="00FD501D" w:rsidP="00FD501D">
      <w:pPr>
        <w:numPr>
          <w:ilvl w:val="0"/>
          <w:numId w:val="5"/>
        </w:numPr>
        <w:spacing w:before="100" w:beforeAutospacing="1" w:after="100" w:afterAutospacing="1" w:line="360" w:lineRule="auto"/>
        <w:ind w:left="714" w:hanging="357"/>
        <w:rPr>
          <w:rFonts w:ascii="Times New Roman" w:eastAsia="Times New Roman" w:hAnsi="Times New Roman"/>
          <w:sz w:val="24"/>
          <w:szCs w:val="24"/>
          <w:lang w:val="en-IN" w:eastAsia="en-IN"/>
        </w:rPr>
      </w:pPr>
      <w:r w:rsidRPr="00FD501D">
        <w:rPr>
          <w:rFonts w:ascii="Times New Roman" w:eastAsia="Times New Roman" w:hAnsi="Times New Roman"/>
          <w:sz w:val="24"/>
          <w:szCs w:val="24"/>
          <w:lang w:val="en-IN" w:eastAsia="en-IN"/>
        </w:rPr>
        <w:t>Invest in solar parks, rooftop solar systems, and energy-efficient infrastructure.</w:t>
      </w:r>
    </w:p>
    <w:p w:rsidR="00EF0EA4" w:rsidRPr="00EF0EA4" w:rsidRDefault="006721C9" w:rsidP="00EF0EA4">
      <w:pPr>
        <w:autoSpaceDE w:val="0"/>
        <w:autoSpaceDN w:val="0"/>
        <w:adjustRightInd w:val="0"/>
        <w:spacing w:after="0" w:line="360" w:lineRule="auto"/>
        <w:jc w:val="both"/>
        <w:rPr>
          <w:rFonts w:ascii="Times New Roman" w:hAnsi="Times New Roman"/>
          <w:b/>
          <w:color w:val="000000" w:themeColor="text1"/>
        </w:rPr>
      </w:pPr>
      <w:r w:rsidRPr="00EF0EA4">
        <w:rPr>
          <w:rFonts w:ascii="Times New Roman" w:hAnsi="Times New Roman"/>
          <w:b/>
          <w:color w:val="000000" w:themeColor="text1"/>
        </w:rPr>
        <w:t xml:space="preserve">Bibliography </w:t>
      </w:r>
    </w:p>
    <w:p w:rsidR="00EF0EA4" w:rsidRPr="00EF0EA4" w:rsidRDefault="00EF0EA4" w:rsidP="00EF0EA4">
      <w:pPr>
        <w:pStyle w:val="ListParagraph"/>
        <w:numPr>
          <w:ilvl w:val="0"/>
          <w:numId w:val="6"/>
        </w:numPr>
        <w:autoSpaceDE w:val="0"/>
        <w:autoSpaceDN w:val="0"/>
        <w:adjustRightInd w:val="0"/>
        <w:spacing w:after="0" w:line="360" w:lineRule="auto"/>
        <w:jc w:val="both"/>
        <w:rPr>
          <w:rFonts w:ascii="Times New Roman" w:hAnsi="Times New Roman"/>
          <w:color w:val="000000" w:themeColor="text1"/>
          <w:sz w:val="24"/>
          <w:szCs w:val="24"/>
        </w:rPr>
      </w:pPr>
      <w:r w:rsidRPr="00EF0EA4">
        <w:rPr>
          <w:rFonts w:ascii="Times New Roman" w:hAnsi="Times New Roman"/>
          <w:sz w:val="24"/>
          <w:szCs w:val="24"/>
        </w:rPr>
        <w:t>Abdul Rahoof, T.K., P. G. Arul, (2016) in the study titled on “An Evaluation of Special Economic Zones (SEZs) Performance Post SEZs Act 2005”. Universal Journal of Industrial and Business Management 4(2): 44-52, 2016</w:t>
      </w:r>
    </w:p>
    <w:p w:rsidR="00EF0EA4" w:rsidRPr="00EF0EA4" w:rsidRDefault="00EF0EA4" w:rsidP="00EF0EA4">
      <w:pPr>
        <w:pStyle w:val="ListParagraph"/>
        <w:numPr>
          <w:ilvl w:val="0"/>
          <w:numId w:val="6"/>
        </w:numPr>
        <w:spacing w:after="0" w:line="360" w:lineRule="auto"/>
        <w:jc w:val="both"/>
        <w:rPr>
          <w:rFonts w:ascii="Times New Roman" w:hAnsi="Times New Roman"/>
          <w:color w:val="000000" w:themeColor="text1"/>
          <w:sz w:val="24"/>
          <w:szCs w:val="24"/>
        </w:rPr>
      </w:pPr>
      <w:r w:rsidRPr="00EF0EA4">
        <w:rPr>
          <w:rFonts w:ascii="Times New Roman" w:hAnsi="Times New Roman"/>
          <w:color w:val="000000" w:themeColor="text1"/>
          <w:sz w:val="24"/>
          <w:szCs w:val="24"/>
        </w:rPr>
        <w:t>AchalTyagi, (2007),  Special Economic Zones, an Initiative for India.</w:t>
      </w:r>
    </w:p>
    <w:p w:rsidR="00EF0EA4" w:rsidRPr="00EF0EA4" w:rsidRDefault="00EF0EA4" w:rsidP="00EF0EA4">
      <w:pPr>
        <w:pStyle w:val="ListParagraph"/>
        <w:numPr>
          <w:ilvl w:val="0"/>
          <w:numId w:val="6"/>
        </w:numPr>
        <w:autoSpaceDE w:val="0"/>
        <w:autoSpaceDN w:val="0"/>
        <w:adjustRightInd w:val="0"/>
        <w:spacing w:after="0" w:line="360" w:lineRule="auto"/>
        <w:jc w:val="both"/>
        <w:rPr>
          <w:rFonts w:ascii="Times New Roman" w:hAnsi="Times New Roman"/>
          <w:color w:val="000000" w:themeColor="text1"/>
          <w:sz w:val="24"/>
          <w:szCs w:val="24"/>
        </w:rPr>
      </w:pPr>
      <w:r w:rsidRPr="00EF0EA4">
        <w:rPr>
          <w:rFonts w:ascii="Times New Roman" w:hAnsi="Times New Roman"/>
          <w:color w:val="000000" w:themeColor="text1"/>
          <w:sz w:val="24"/>
          <w:szCs w:val="24"/>
        </w:rPr>
        <w:t xml:space="preserve">Aggarwal, A. (2002). ‘Liberalisation, Multinational Enterprises and Export Performance: Evidence from Indian Manufacturing (2002), </w:t>
      </w:r>
      <w:r w:rsidRPr="00EF0EA4">
        <w:rPr>
          <w:rFonts w:ascii="Times New Roman" w:hAnsi="Times New Roman"/>
          <w:i/>
          <w:iCs/>
          <w:color w:val="000000" w:themeColor="text1"/>
          <w:sz w:val="24"/>
          <w:szCs w:val="24"/>
        </w:rPr>
        <w:t xml:space="preserve">Journal of Development Studies, Vol38, No. 2, 119-137. </w:t>
      </w:r>
      <w:r w:rsidRPr="00EF0EA4">
        <w:rPr>
          <w:rFonts w:ascii="Times New Roman" w:hAnsi="Times New Roman"/>
          <w:color w:val="000000" w:themeColor="text1"/>
          <w:sz w:val="24"/>
          <w:szCs w:val="24"/>
        </w:rPr>
        <w:t>Routledge.</w:t>
      </w:r>
    </w:p>
    <w:p w:rsidR="00EF0EA4" w:rsidRPr="00EF0EA4" w:rsidRDefault="00EF0EA4" w:rsidP="00EF0EA4">
      <w:pPr>
        <w:pStyle w:val="ListParagraph"/>
        <w:numPr>
          <w:ilvl w:val="0"/>
          <w:numId w:val="6"/>
        </w:numPr>
        <w:spacing w:after="0" w:line="360" w:lineRule="auto"/>
        <w:jc w:val="both"/>
        <w:rPr>
          <w:rFonts w:ascii="Times New Roman" w:hAnsi="Times New Roman"/>
          <w:color w:val="000000" w:themeColor="text1"/>
          <w:sz w:val="24"/>
          <w:szCs w:val="24"/>
        </w:rPr>
      </w:pPr>
      <w:r w:rsidRPr="00EF0EA4">
        <w:rPr>
          <w:rFonts w:ascii="Times New Roman" w:hAnsi="Times New Roman"/>
          <w:color w:val="000000" w:themeColor="text1"/>
          <w:sz w:val="24"/>
          <w:szCs w:val="24"/>
        </w:rPr>
        <w:t>Ahluwalia, I.J., R.Mohan and C.Oman (1996), Policy Reforms in India, Organisation for Economic Co-operation and Development.</w:t>
      </w:r>
    </w:p>
    <w:p w:rsidR="00EF0EA4" w:rsidRDefault="00EF0EA4" w:rsidP="00EF0EA4">
      <w:pPr>
        <w:pStyle w:val="NormalWeb"/>
        <w:numPr>
          <w:ilvl w:val="0"/>
          <w:numId w:val="6"/>
        </w:numPr>
        <w:shd w:val="clear" w:color="auto" w:fill="FFFFFF"/>
        <w:spacing w:before="240" w:beforeAutospacing="0" w:after="240" w:afterAutospacing="0" w:line="360" w:lineRule="auto"/>
        <w:jc w:val="both"/>
        <w:rPr>
          <w:color w:val="111111"/>
        </w:rPr>
      </w:pPr>
      <w:r>
        <w:rPr>
          <w:color w:val="111111"/>
        </w:rPr>
        <w:t xml:space="preserve">Anand, S.andWankhade,K., (2014). Understanding Drivers of Urban Expansion: Exploratory Case Studies of Three Indian Cities, UGEC Viewpoints, 10, pp. 25 </w:t>
      </w:r>
    </w:p>
    <w:p w:rsidR="00EF0EA4" w:rsidRPr="00EF0EA4" w:rsidRDefault="00EF0EA4" w:rsidP="00EF0EA4">
      <w:pPr>
        <w:pStyle w:val="ListParagraph"/>
        <w:numPr>
          <w:ilvl w:val="0"/>
          <w:numId w:val="6"/>
        </w:numPr>
        <w:spacing w:after="0" w:line="360" w:lineRule="auto"/>
        <w:jc w:val="both"/>
        <w:rPr>
          <w:rFonts w:ascii="Times New Roman" w:hAnsi="Times New Roman"/>
          <w:sz w:val="24"/>
          <w:szCs w:val="24"/>
        </w:rPr>
      </w:pPr>
      <w:r w:rsidRPr="00EF0EA4">
        <w:rPr>
          <w:rFonts w:ascii="Times New Roman" w:hAnsi="Times New Roman"/>
          <w:sz w:val="24"/>
          <w:szCs w:val="24"/>
        </w:rPr>
        <w:t xml:space="preserve">Andrew Lang, (2010), </w:t>
      </w:r>
      <w:r w:rsidRPr="00EF0EA4">
        <w:rPr>
          <w:rFonts w:ascii="Times New Roman" w:hAnsi="Times New Roman"/>
          <w:i/>
          <w:sz w:val="24"/>
          <w:szCs w:val="24"/>
        </w:rPr>
        <w:t>“Trade Agreements, Business and Human rights: The Case of Export Processing Zones”</w:t>
      </w:r>
      <w:r w:rsidRPr="00EF0EA4">
        <w:rPr>
          <w:rFonts w:ascii="Times New Roman" w:hAnsi="Times New Roman"/>
          <w:sz w:val="24"/>
          <w:szCs w:val="24"/>
        </w:rPr>
        <w:t>, Working paper no.57. Cambridge MA: John F. Kennedy School of Government, Harvard University. 34 Jin Wang (2010)</w:t>
      </w:r>
    </w:p>
    <w:p w:rsidR="00EF0EA4" w:rsidRPr="00EF0EA4" w:rsidRDefault="00EF0EA4" w:rsidP="00EF0EA4">
      <w:pPr>
        <w:pStyle w:val="ListParagraph"/>
        <w:numPr>
          <w:ilvl w:val="0"/>
          <w:numId w:val="6"/>
        </w:numPr>
        <w:spacing w:after="0" w:line="360" w:lineRule="auto"/>
        <w:jc w:val="both"/>
        <w:rPr>
          <w:rFonts w:ascii="Times New Roman" w:hAnsi="Times New Roman"/>
          <w:sz w:val="24"/>
          <w:szCs w:val="24"/>
        </w:rPr>
      </w:pPr>
      <w:r w:rsidRPr="00EF0EA4">
        <w:rPr>
          <w:rFonts w:ascii="Times New Roman" w:hAnsi="Times New Roman"/>
          <w:sz w:val="24"/>
          <w:szCs w:val="24"/>
        </w:rPr>
        <w:t>AndrzejSztando, (2007) “</w:t>
      </w:r>
      <w:r w:rsidRPr="00EF0EA4">
        <w:rPr>
          <w:rFonts w:ascii="Times New Roman" w:hAnsi="Times New Roman"/>
          <w:i/>
          <w:sz w:val="24"/>
          <w:szCs w:val="24"/>
        </w:rPr>
        <w:t>Regional public Assistance in Special Economic Zones in Poland”,</w:t>
      </w:r>
      <w:r w:rsidRPr="00EF0EA4">
        <w:rPr>
          <w:rFonts w:ascii="Times New Roman" w:hAnsi="Times New Roman"/>
          <w:sz w:val="24"/>
          <w:szCs w:val="24"/>
        </w:rPr>
        <w:t xml:space="preserve"> Social and Economic Development and Regional Politics in Ustl region, Jan Evangelista Purkyne University, pp.95-111</w:t>
      </w:r>
    </w:p>
    <w:p w:rsidR="00EF0EA4" w:rsidRPr="00EF0EA4" w:rsidRDefault="00EF0EA4" w:rsidP="00EF0EA4">
      <w:pPr>
        <w:pStyle w:val="ListParagraph"/>
        <w:numPr>
          <w:ilvl w:val="0"/>
          <w:numId w:val="6"/>
        </w:numPr>
        <w:spacing w:after="0" w:line="360" w:lineRule="auto"/>
        <w:jc w:val="both"/>
        <w:rPr>
          <w:rFonts w:ascii="Times New Roman" w:hAnsi="Times New Roman"/>
          <w:sz w:val="24"/>
          <w:szCs w:val="24"/>
        </w:rPr>
      </w:pPr>
      <w:r w:rsidRPr="00EF0EA4">
        <w:rPr>
          <w:rFonts w:ascii="Times New Roman" w:hAnsi="Times New Roman"/>
          <w:sz w:val="24"/>
          <w:szCs w:val="24"/>
        </w:rPr>
        <w:t xml:space="preserve"> Andy Mukherjee (2006),‘Viewpoint: Trade Zone Hang-ups’, </w:t>
      </w:r>
      <w:r w:rsidRPr="00EF0EA4">
        <w:rPr>
          <w:rFonts w:ascii="Times New Roman" w:hAnsi="Times New Roman"/>
          <w:i/>
          <w:iCs/>
          <w:sz w:val="24"/>
          <w:szCs w:val="24"/>
        </w:rPr>
        <w:t>International Herald Tribune</w:t>
      </w:r>
      <w:r w:rsidRPr="00EF0EA4">
        <w:rPr>
          <w:rFonts w:ascii="Times New Roman" w:hAnsi="Times New Roman"/>
          <w:sz w:val="24"/>
          <w:szCs w:val="24"/>
        </w:rPr>
        <w:t>, 3 October 2006</w:t>
      </w:r>
    </w:p>
    <w:p w:rsidR="00EF0EA4" w:rsidRPr="00EF0EA4" w:rsidRDefault="00EF0EA4" w:rsidP="00EF0EA4">
      <w:pPr>
        <w:pStyle w:val="ListParagraph"/>
        <w:numPr>
          <w:ilvl w:val="0"/>
          <w:numId w:val="6"/>
        </w:numPr>
        <w:autoSpaceDE w:val="0"/>
        <w:autoSpaceDN w:val="0"/>
        <w:adjustRightInd w:val="0"/>
        <w:spacing w:after="0" w:line="360" w:lineRule="auto"/>
        <w:jc w:val="both"/>
        <w:rPr>
          <w:rFonts w:ascii="Times New Roman" w:hAnsi="Times New Roman"/>
          <w:color w:val="000000" w:themeColor="text1"/>
          <w:sz w:val="24"/>
          <w:szCs w:val="24"/>
        </w:rPr>
      </w:pPr>
      <w:r w:rsidRPr="00EF0EA4">
        <w:rPr>
          <w:rFonts w:ascii="Times New Roman" w:hAnsi="Times New Roman"/>
          <w:color w:val="000000" w:themeColor="text1"/>
          <w:sz w:val="24"/>
          <w:szCs w:val="24"/>
        </w:rPr>
        <w:t>AnirudhBurman, (2007) ‘Special Economic Zones: Issues in Corporate Governance’, IDRC Working Paper, Ottawa.</w:t>
      </w:r>
    </w:p>
    <w:p w:rsidR="00EF0EA4" w:rsidRPr="00EF0EA4" w:rsidRDefault="00EF0EA4" w:rsidP="00EF0EA4">
      <w:pPr>
        <w:pStyle w:val="ListParagraph"/>
        <w:numPr>
          <w:ilvl w:val="0"/>
          <w:numId w:val="6"/>
        </w:numPr>
        <w:spacing w:after="0" w:line="360" w:lineRule="auto"/>
        <w:jc w:val="both"/>
        <w:rPr>
          <w:rFonts w:ascii="Times New Roman" w:hAnsi="Times New Roman"/>
          <w:color w:val="000000" w:themeColor="text1"/>
          <w:sz w:val="24"/>
          <w:szCs w:val="24"/>
        </w:rPr>
      </w:pPr>
      <w:r w:rsidRPr="00EF0EA4">
        <w:rPr>
          <w:rFonts w:ascii="Times New Roman" w:hAnsi="Times New Roman"/>
          <w:color w:val="000000" w:themeColor="text1"/>
          <w:sz w:val="24"/>
          <w:szCs w:val="24"/>
        </w:rPr>
        <w:t>AparnaShivpur Singh (2006), India’s Tryst with Special Economic Zones, Opinion Asia Global Views on Asia.</w:t>
      </w:r>
    </w:p>
    <w:p w:rsidR="00EB5D82" w:rsidRPr="00C70DBE" w:rsidRDefault="00DE148A" w:rsidP="00DE148A">
      <w:pPr>
        <w:tabs>
          <w:tab w:val="left" w:pos="2970"/>
        </w:tabs>
      </w:pPr>
      <w:r>
        <w:tab/>
        <w:t>********************************</w:t>
      </w:r>
    </w:p>
    <w:sectPr w:rsidR="00EB5D82" w:rsidRPr="00C70DBE" w:rsidSect="00EB5D82">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C51" w:rsidRDefault="00867C51" w:rsidP="00BF1BCB">
      <w:pPr>
        <w:spacing w:after="0" w:line="240" w:lineRule="auto"/>
      </w:pPr>
      <w:r>
        <w:separator/>
      </w:r>
    </w:p>
  </w:endnote>
  <w:endnote w:type="continuationSeparator" w:id="1">
    <w:p w:rsidR="00867C51" w:rsidRDefault="00867C51" w:rsidP="00BF1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850957"/>
      <w:docPartObj>
        <w:docPartGallery w:val="Page Numbers (Bottom of Page)"/>
        <w:docPartUnique/>
      </w:docPartObj>
    </w:sdtPr>
    <w:sdtContent>
      <w:p w:rsidR="005B3582" w:rsidRDefault="00E66FB9">
        <w:pPr>
          <w:pStyle w:val="Footer"/>
          <w:jc w:val="center"/>
        </w:pPr>
        <w:fldSimple w:instr=" PAGE   \* MERGEFORMAT ">
          <w:r w:rsidR="00BC4E38">
            <w:rPr>
              <w:noProof/>
            </w:rPr>
            <w:t>10</w:t>
          </w:r>
        </w:fldSimple>
      </w:p>
    </w:sdtContent>
  </w:sdt>
  <w:p w:rsidR="005B3582" w:rsidRDefault="005B35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C51" w:rsidRDefault="00867C51" w:rsidP="00BF1BCB">
      <w:pPr>
        <w:spacing w:after="0" w:line="240" w:lineRule="auto"/>
      </w:pPr>
      <w:r>
        <w:separator/>
      </w:r>
    </w:p>
  </w:footnote>
  <w:footnote w:type="continuationSeparator" w:id="1">
    <w:p w:rsidR="00867C51" w:rsidRDefault="00867C51" w:rsidP="00BF1B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C5AF9"/>
    <w:multiLevelType w:val="hybridMultilevel"/>
    <w:tmpl w:val="AE7C5220"/>
    <w:lvl w:ilvl="0" w:tplc="B2108D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6250"/>
    <w:multiLevelType w:val="hybridMultilevel"/>
    <w:tmpl w:val="D408B7DC"/>
    <w:lvl w:ilvl="0" w:tplc="4009000B">
      <w:start w:val="1"/>
      <w:numFmt w:val="bullet"/>
      <w:lvlText w:val=""/>
      <w:lvlJc w:val="left"/>
      <w:pPr>
        <w:ind w:left="792" w:hanging="360"/>
      </w:pPr>
      <w:rPr>
        <w:rFonts w:ascii="Wingdings" w:hAnsi="Wingding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1841307A"/>
    <w:multiLevelType w:val="hybridMultilevel"/>
    <w:tmpl w:val="E5B612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A3C32"/>
    <w:multiLevelType w:val="multilevel"/>
    <w:tmpl w:val="B920888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DA22D8"/>
    <w:multiLevelType w:val="hybridMultilevel"/>
    <w:tmpl w:val="F36276F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378945F6"/>
    <w:multiLevelType w:val="multilevel"/>
    <w:tmpl w:val="627E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3802B2"/>
    <w:multiLevelType w:val="hybridMultilevel"/>
    <w:tmpl w:val="AE7C5220"/>
    <w:lvl w:ilvl="0" w:tplc="B2108D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30C13"/>
    <w:multiLevelType w:val="hybridMultilevel"/>
    <w:tmpl w:val="018255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0BD1B09"/>
    <w:multiLevelType w:val="hybridMultilevel"/>
    <w:tmpl w:val="E5B61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160047"/>
    <w:multiLevelType w:val="hybridMultilevel"/>
    <w:tmpl w:val="3AB0F24E"/>
    <w:lvl w:ilvl="0" w:tplc="0E3A33A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EC70D77"/>
    <w:multiLevelType w:val="hybridMultilevel"/>
    <w:tmpl w:val="7E82AE54"/>
    <w:lvl w:ilvl="0" w:tplc="40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283450"/>
    <w:multiLevelType w:val="multilevel"/>
    <w:tmpl w:val="4E4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11"/>
  </w:num>
  <w:num w:numId="8">
    <w:abstractNumId w:val="3"/>
  </w:num>
  <w:num w:numId="9">
    <w:abstractNumId w:val="4"/>
  </w:num>
  <w:num w:numId="10">
    <w:abstractNumId w:val="1"/>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7239"/>
    <w:rsid w:val="00063794"/>
    <w:rsid w:val="000C61CA"/>
    <w:rsid w:val="000D0394"/>
    <w:rsid w:val="000D2BC4"/>
    <w:rsid w:val="001038F3"/>
    <w:rsid w:val="00107871"/>
    <w:rsid w:val="001309A9"/>
    <w:rsid w:val="00150D48"/>
    <w:rsid w:val="0019407F"/>
    <w:rsid w:val="001B2636"/>
    <w:rsid w:val="001C1815"/>
    <w:rsid w:val="001C769E"/>
    <w:rsid w:val="001D2E07"/>
    <w:rsid w:val="001F7A00"/>
    <w:rsid w:val="002441DF"/>
    <w:rsid w:val="00294880"/>
    <w:rsid w:val="002B6088"/>
    <w:rsid w:val="002C6249"/>
    <w:rsid w:val="002D1637"/>
    <w:rsid w:val="002F680A"/>
    <w:rsid w:val="00314E6E"/>
    <w:rsid w:val="003329D4"/>
    <w:rsid w:val="00371318"/>
    <w:rsid w:val="004A1D2A"/>
    <w:rsid w:val="004C13B4"/>
    <w:rsid w:val="004F0322"/>
    <w:rsid w:val="00501477"/>
    <w:rsid w:val="00533A18"/>
    <w:rsid w:val="005470F2"/>
    <w:rsid w:val="00553B2C"/>
    <w:rsid w:val="005B1653"/>
    <w:rsid w:val="005B3582"/>
    <w:rsid w:val="005C6D7D"/>
    <w:rsid w:val="00620F0B"/>
    <w:rsid w:val="00645BB9"/>
    <w:rsid w:val="00670969"/>
    <w:rsid w:val="006721C9"/>
    <w:rsid w:val="006C2924"/>
    <w:rsid w:val="006E7112"/>
    <w:rsid w:val="006E7CCB"/>
    <w:rsid w:val="00796998"/>
    <w:rsid w:val="007B4111"/>
    <w:rsid w:val="008009E8"/>
    <w:rsid w:val="008033AE"/>
    <w:rsid w:val="00822FDA"/>
    <w:rsid w:val="00867C51"/>
    <w:rsid w:val="009005E1"/>
    <w:rsid w:val="009045C7"/>
    <w:rsid w:val="0090499A"/>
    <w:rsid w:val="0092600F"/>
    <w:rsid w:val="00977A67"/>
    <w:rsid w:val="00981E8A"/>
    <w:rsid w:val="009847FB"/>
    <w:rsid w:val="009A1E54"/>
    <w:rsid w:val="009C7C87"/>
    <w:rsid w:val="009D437E"/>
    <w:rsid w:val="009D726F"/>
    <w:rsid w:val="009E2F08"/>
    <w:rsid w:val="00A43542"/>
    <w:rsid w:val="00A863EC"/>
    <w:rsid w:val="00AA129F"/>
    <w:rsid w:val="00AA3924"/>
    <w:rsid w:val="00AF0DC0"/>
    <w:rsid w:val="00B11768"/>
    <w:rsid w:val="00B542F5"/>
    <w:rsid w:val="00B6138B"/>
    <w:rsid w:val="00B8744D"/>
    <w:rsid w:val="00BB3239"/>
    <w:rsid w:val="00BC4E38"/>
    <w:rsid w:val="00BF1BCB"/>
    <w:rsid w:val="00BF2B1E"/>
    <w:rsid w:val="00C70DBE"/>
    <w:rsid w:val="00C71B50"/>
    <w:rsid w:val="00C73394"/>
    <w:rsid w:val="00C94724"/>
    <w:rsid w:val="00CA0EA4"/>
    <w:rsid w:val="00D52A9E"/>
    <w:rsid w:val="00D67B66"/>
    <w:rsid w:val="00D83747"/>
    <w:rsid w:val="00DE148A"/>
    <w:rsid w:val="00E243E4"/>
    <w:rsid w:val="00E66FB9"/>
    <w:rsid w:val="00E710DA"/>
    <w:rsid w:val="00E97239"/>
    <w:rsid w:val="00EB0511"/>
    <w:rsid w:val="00EB5D82"/>
    <w:rsid w:val="00EF0EA4"/>
    <w:rsid w:val="00F10CBB"/>
    <w:rsid w:val="00F467BB"/>
    <w:rsid w:val="00F64ACC"/>
    <w:rsid w:val="00FC3272"/>
    <w:rsid w:val="00FD501D"/>
    <w:rsid w:val="00FF56E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6E"/>
    <w:rPr>
      <w:rFonts w:ascii="Calibri" w:eastAsia="SimSun" w:hAnsi="Calibri" w:cs="Times New Roman"/>
      <w:lang w:val="en-US"/>
    </w:rPr>
  </w:style>
  <w:style w:type="paragraph" w:styleId="Heading3">
    <w:name w:val="heading 3"/>
    <w:basedOn w:val="Normal"/>
    <w:link w:val="Heading3Char"/>
    <w:uiPriority w:val="9"/>
    <w:qFormat/>
    <w:rsid w:val="00FD501D"/>
    <w:pPr>
      <w:spacing w:before="100" w:beforeAutospacing="1" w:after="100" w:afterAutospacing="1" w:line="240" w:lineRule="auto"/>
      <w:outlineLvl w:val="2"/>
    </w:pPr>
    <w:rPr>
      <w:rFonts w:ascii="Times New Roman" w:eastAsia="Times New Roman" w:hAnsi="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unhideWhenUsed/>
    <w:rsid w:val="00E97239"/>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Header">
    <w:name w:val="header"/>
    <w:basedOn w:val="Normal"/>
    <w:link w:val="HeaderChar"/>
    <w:uiPriority w:val="99"/>
    <w:semiHidden/>
    <w:unhideWhenUsed/>
    <w:rsid w:val="00BF1B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F1BCB"/>
    <w:rPr>
      <w:rFonts w:ascii="Calibri" w:eastAsia="SimSun" w:hAnsi="Calibri" w:cs="Times New Roman"/>
      <w:lang w:val="en-US"/>
    </w:rPr>
  </w:style>
  <w:style w:type="paragraph" w:styleId="Footer">
    <w:name w:val="footer"/>
    <w:basedOn w:val="Normal"/>
    <w:link w:val="FooterChar"/>
    <w:uiPriority w:val="99"/>
    <w:unhideWhenUsed/>
    <w:rsid w:val="00BF1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BCB"/>
    <w:rPr>
      <w:rFonts w:ascii="Calibri" w:eastAsia="SimSun" w:hAnsi="Calibri" w:cs="Times New Roman"/>
      <w:lang w:val="en-US"/>
    </w:rPr>
  </w:style>
  <w:style w:type="character" w:styleId="Hyperlink">
    <w:name w:val="Hyperlink"/>
    <w:basedOn w:val="DefaultParagraphFont"/>
    <w:uiPriority w:val="99"/>
    <w:unhideWhenUsed/>
    <w:rsid w:val="005470F2"/>
    <w:rPr>
      <w:color w:val="0000FF"/>
      <w:u w:val="single"/>
    </w:rPr>
  </w:style>
  <w:style w:type="paragraph" w:styleId="ListParagraph">
    <w:name w:val="List Paragraph"/>
    <w:basedOn w:val="Normal"/>
    <w:uiPriority w:val="34"/>
    <w:qFormat/>
    <w:rsid w:val="005470F2"/>
    <w:pPr>
      <w:ind w:left="720"/>
      <w:contextualSpacing/>
    </w:pPr>
    <w:rPr>
      <w:rFonts w:eastAsia="Calibri"/>
    </w:rPr>
  </w:style>
  <w:style w:type="paragraph" w:customStyle="1" w:styleId="Matter">
    <w:name w:val="Matter"/>
    <w:basedOn w:val="Normal"/>
    <w:uiPriority w:val="99"/>
    <w:rsid w:val="005470F2"/>
    <w:pPr>
      <w:autoSpaceDE w:val="0"/>
      <w:autoSpaceDN w:val="0"/>
      <w:adjustRightInd w:val="0"/>
      <w:spacing w:after="113" w:line="360" w:lineRule="atLeast"/>
      <w:ind w:firstLine="850"/>
      <w:jc w:val="both"/>
    </w:pPr>
    <w:rPr>
      <w:rFonts w:ascii="Times New Roman" w:eastAsia="Times New Roman" w:hAnsi="Times New Roman"/>
      <w:spacing w:val="15"/>
      <w:sz w:val="26"/>
      <w:szCs w:val="26"/>
    </w:rPr>
  </w:style>
  <w:style w:type="paragraph" w:customStyle="1" w:styleId="Subhead2">
    <w:name w:val="Subhead 2"/>
    <w:basedOn w:val="Normal"/>
    <w:uiPriority w:val="99"/>
    <w:rsid w:val="005470F2"/>
    <w:pPr>
      <w:autoSpaceDE w:val="0"/>
      <w:autoSpaceDN w:val="0"/>
      <w:adjustRightInd w:val="0"/>
      <w:spacing w:after="227" w:line="240" w:lineRule="auto"/>
    </w:pPr>
    <w:rPr>
      <w:rFonts w:ascii="Times New Roman" w:eastAsia="Times New Roman" w:hAnsi="Times New Roman"/>
      <w:b/>
      <w:bCs/>
      <w:spacing w:val="15"/>
      <w:sz w:val="30"/>
      <w:szCs w:val="30"/>
    </w:rPr>
  </w:style>
  <w:style w:type="table" w:styleId="TableGrid">
    <w:name w:val="Table Grid"/>
    <w:basedOn w:val="TableNormal"/>
    <w:uiPriority w:val="59"/>
    <w:rsid w:val="003329D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2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9D4"/>
    <w:rPr>
      <w:rFonts w:ascii="Tahoma" w:eastAsia="SimSun" w:hAnsi="Tahoma" w:cs="Tahoma"/>
      <w:sz w:val="16"/>
      <w:szCs w:val="16"/>
      <w:lang w:val="en-US"/>
    </w:rPr>
  </w:style>
  <w:style w:type="paragraph" w:styleId="NormalWeb">
    <w:name w:val="Normal (Web)"/>
    <w:basedOn w:val="Normal"/>
    <w:uiPriority w:val="99"/>
    <w:unhideWhenUsed/>
    <w:rsid w:val="00EF0EA4"/>
    <w:pPr>
      <w:spacing w:before="100" w:beforeAutospacing="1" w:after="100" w:afterAutospacing="1" w:line="240" w:lineRule="auto"/>
    </w:pPr>
    <w:rPr>
      <w:rFonts w:ascii="Times New Roman" w:eastAsia="Times New Roman" w:hAnsi="Times New Roman"/>
      <w:sz w:val="24"/>
      <w:szCs w:val="24"/>
    </w:rPr>
  </w:style>
  <w:style w:type="character" w:customStyle="1" w:styleId="t286pc">
    <w:name w:val="t286pc"/>
    <w:basedOn w:val="DefaultParagraphFont"/>
    <w:rsid w:val="009E2F08"/>
  </w:style>
  <w:style w:type="character" w:styleId="Strong">
    <w:name w:val="Strong"/>
    <w:basedOn w:val="DefaultParagraphFont"/>
    <w:uiPriority w:val="22"/>
    <w:qFormat/>
    <w:rsid w:val="009E2F08"/>
    <w:rPr>
      <w:b/>
      <w:bCs/>
    </w:rPr>
  </w:style>
  <w:style w:type="character" w:customStyle="1" w:styleId="vkekvd">
    <w:name w:val="vkekvd"/>
    <w:basedOn w:val="DefaultParagraphFont"/>
    <w:rsid w:val="009E2F08"/>
  </w:style>
  <w:style w:type="paragraph" w:styleId="Caption">
    <w:name w:val="caption"/>
    <w:basedOn w:val="Normal"/>
    <w:next w:val="Normal"/>
    <w:uiPriority w:val="35"/>
    <w:unhideWhenUsed/>
    <w:qFormat/>
    <w:rsid w:val="00C73394"/>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FD501D"/>
    <w:rPr>
      <w:rFonts w:ascii="Times New Roman" w:eastAsia="Times New Roman" w:hAnsi="Times New Roman" w:cs="Times New Roman"/>
      <w:b/>
      <w:bCs/>
      <w:sz w:val="27"/>
      <w:szCs w:val="27"/>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6E"/>
    <w:rPr>
      <w:rFonts w:ascii="Calibri" w:eastAsia="SimSu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unhideWhenUsed/>
    <w:rsid w:val="00E97239"/>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Header">
    <w:name w:val="header"/>
    <w:basedOn w:val="Normal"/>
    <w:link w:val="HeaderChar"/>
    <w:uiPriority w:val="99"/>
    <w:semiHidden/>
    <w:unhideWhenUsed/>
    <w:rsid w:val="00BF1B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F1BCB"/>
    <w:rPr>
      <w:rFonts w:ascii="Calibri" w:eastAsia="SimSun" w:hAnsi="Calibri" w:cs="Times New Roman"/>
      <w:lang w:val="en-US"/>
    </w:rPr>
  </w:style>
  <w:style w:type="paragraph" w:styleId="Footer">
    <w:name w:val="footer"/>
    <w:basedOn w:val="Normal"/>
    <w:link w:val="FooterChar"/>
    <w:uiPriority w:val="99"/>
    <w:unhideWhenUsed/>
    <w:rsid w:val="00BF1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BCB"/>
    <w:rPr>
      <w:rFonts w:ascii="Calibri" w:eastAsia="SimSun" w:hAnsi="Calibri" w:cs="Times New Roman"/>
      <w:lang w:val="en-US"/>
    </w:rPr>
  </w:style>
  <w:style w:type="character" w:styleId="Hyperlink">
    <w:name w:val="Hyperlink"/>
    <w:basedOn w:val="DefaultParagraphFont"/>
    <w:uiPriority w:val="99"/>
    <w:unhideWhenUsed/>
    <w:rsid w:val="005470F2"/>
    <w:rPr>
      <w:color w:val="0000FF"/>
      <w:u w:val="single"/>
    </w:rPr>
  </w:style>
  <w:style w:type="paragraph" w:styleId="ListParagraph">
    <w:name w:val="List Paragraph"/>
    <w:basedOn w:val="Normal"/>
    <w:uiPriority w:val="34"/>
    <w:qFormat/>
    <w:rsid w:val="005470F2"/>
    <w:pPr>
      <w:ind w:left="720"/>
      <w:contextualSpacing/>
    </w:pPr>
    <w:rPr>
      <w:rFonts w:eastAsia="Calibri"/>
    </w:rPr>
  </w:style>
  <w:style w:type="paragraph" w:customStyle="1" w:styleId="Matter">
    <w:name w:val="Matter"/>
    <w:basedOn w:val="Normal"/>
    <w:uiPriority w:val="99"/>
    <w:rsid w:val="005470F2"/>
    <w:pPr>
      <w:autoSpaceDE w:val="0"/>
      <w:autoSpaceDN w:val="0"/>
      <w:adjustRightInd w:val="0"/>
      <w:spacing w:after="113" w:line="360" w:lineRule="atLeast"/>
      <w:ind w:firstLine="850"/>
      <w:jc w:val="both"/>
    </w:pPr>
    <w:rPr>
      <w:rFonts w:ascii="Times New Roman" w:eastAsia="Times New Roman" w:hAnsi="Times New Roman"/>
      <w:spacing w:val="15"/>
      <w:sz w:val="26"/>
      <w:szCs w:val="26"/>
    </w:rPr>
  </w:style>
  <w:style w:type="paragraph" w:customStyle="1" w:styleId="Subhead2">
    <w:name w:val="Subhead 2"/>
    <w:basedOn w:val="Normal"/>
    <w:uiPriority w:val="99"/>
    <w:rsid w:val="005470F2"/>
    <w:pPr>
      <w:autoSpaceDE w:val="0"/>
      <w:autoSpaceDN w:val="0"/>
      <w:adjustRightInd w:val="0"/>
      <w:spacing w:after="227" w:line="240" w:lineRule="auto"/>
    </w:pPr>
    <w:rPr>
      <w:rFonts w:ascii="Times New Roman" w:eastAsia="Times New Roman" w:hAnsi="Times New Roman"/>
      <w:b/>
      <w:bCs/>
      <w:spacing w:val="15"/>
      <w:sz w:val="30"/>
      <w:szCs w:val="30"/>
    </w:rPr>
  </w:style>
  <w:style w:type="table" w:styleId="TableGrid">
    <w:name w:val="Table Grid"/>
    <w:basedOn w:val="TableNormal"/>
    <w:uiPriority w:val="59"/>
    <w:rsid w:val="003329D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2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9D4"/>
    <w:rPr>
      <w:rFonts w:ascii="Tahoma" w:eastAsia="SimSun" w:hAnsi="Tahoma" w:cs="Tahoma"/>
      <w:sz w:val="16"/>
      <w:szCs w:val="16"/>
      <w:lang w:val="en-US"/>
    </w:rPr>
  </w:style>
  <w:style w:type="paragraph" w:styleId="NormalWeb">
    <w:name w:val="Normal (Web)"/>
    <w:basedOn w:val="Normal"/>
    <w:uiPriority w:val="99"/>
    <w:unhideWhenUsed/>
    <w:rsid w:val="00EF0EA4"/>
    <w:pPr>
      <w:spacing w:before="100" w:beforeAutospacing="1" w:after="100" w:afterAutospacing="1" w:line="240" w:lineRule="auto"/>
    </w:pPr>
    <w:rPr>
      <w:rFonts w:ascii="Times New Roman" w:eastAsia="Times New Roman" w:hAnsi="Times New Roman"/>
      <w:sz w:val="24"/>
      <w:szCs w:val="24"/>
    </w:rPr>
  </w:style>
  <w:style w:type="character" w:customStyle="1" w:styleId="t286pc">
    <w:name w:val="t286pc"/>
    <w:basedOn w:val="DefaultParagraphFont"/>
    <w:rsid w:val="009E2F08"/>
  </w:style>
  <w:style w:type="character" w:styleId="Strong">
    <w:name w:val="Strong"/>
    <w:basedOn w:val="DefaultParagraphFont"/>
    <w:uiPriority w:val="22"/>
    <w:qFormat/>
    <w:rsid w:val="009E2F08"/>
    <w:rPr>
      <w:b/>
      <w:bCs/>
    </w:rPr>
  </w:style>
  <w:style w:type="character" w:customStyle="1" w:styleId="vkekvd">
    <w:name w:val="vkekvd"/>
    <w:basedOn w:val="DefaultParagraphFont"/>
    <w:rsid w:val="009E2F08"/>
  </w:style>
  <w:style w:type="paragraph" w:styleId="Caption">
    <w:name w:val="caption"/>
    <w:basedOn w:val="Normal"/>
    <w:next w:val="Normal"/>
    <w:uiPriority w:val="35"/>
    <w:unhideWhenUsed/>
    <w:qFormat/>
    <w:rsid w:val="00C73394"/>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603851093">
      <w:bodyDiv w:val="1"/>
      <w:marLeft w:val="0"/>
      <w:marRight w:val="0"/>
      <w:marTop w:val="0"/>
      <w:marBottom w:val="0"/>
      <w:divBdr>
        <w:top w:val="none" w:sz="0" w:space="0" w:color="auto"/>
        <w:left w:val="none" w:sz="0" w:space="0" w:color="auto"/>
        <w:bottom w:val="none" w:sz="0" w:space="0" w:color="auto"/>
        <w:right w:val="none" w:sz="0" w:space="0" w:color="auto"/>
      </w:divBdr>
    </w:div>
    <w:div w:id="792476506">
      <w:bodyDiv w:val="1"/>
      <w:marLeft w:val="0"/>
      <w:marRight w:val="0"/>
      <w:marTop w:val="0"/>
      <w:marBottom w:val="0"/>
      <w:divBdr>
        <w:top w:val="none" w:sz="0" w:space="0" w:color="auto"/>
        <w:left w:val="none" w:sz="0" w:space="0" w:color="auto"/>
        <w:bottom w:val="none" w:sz="0" w:space="0" w:color="auto"/>
        <w:right w:val="none" w:sz="0" w:space="0" w:color="auto"/>
      </w:divBdr>
    </w:div>
    <w:div w:id="970599038">
      <w:bodyDiv w:val="1"/>
      <w:marLeft w:val="0"/>
      <w:marRight w:val="0"/>
      <w:marTop w:val="0"/>
      <w:marBottom w:val="0"/>
      <w:divBdr>
        <w:top w:val="none" w:sz="0" w:space="0" w:color="auto"/>
        <w:left w:val="none" w:sz="0" w:space="0" w:color="auto"/>
        <w:bottom w:val="none" w:sz="0" w:space="0" w:color="auto"/>
        <w:right w:val="none" w:sz="0" w:space="0" w:color="auto"/>
      </w:divBdr>
    </w:div>
    <w:div w:id="1100370805">
      <w:bodyDiv w:val="1"/>
      <w:marLeft w:val="0"/>
      <w:marRight w:val="0"/>
      <w:marTop w:val="0"/>
      <w:marBottom w:val="0"/>
      <w:divBdr>
        <w:top w:val="none" w:sz="0" w:space="0" w:color="auto"/>
        <w:left w:val="none" w:sz="0" w:space="0" w:color="auto"/>
        <w:bottom w:val="none" w:sz="0" w:space="0" w:color="auto"/>
        <w:right w:val="none" w:sz="0" w:space="0" w:color="auto"/>
      </w:divBdr>
      <w:divsChild>
        <w:div w:id="1521504686">
          <w:marLeft w:val="0"/>
          <w:marRight w:val="0"/>
          <w:marTop w:val="0"/>
          <w:marBottom w:val="0"/>
          <w:divBdr>
            <w:top w:val="none" w:sz="0" w:space="0" w:color="auto"/>
            <w:left w:val="none" w:sz="0" w:space="0" w:color="auto"/>
            <w:bottom w:val="none" w:sz="0" w:space="0" w:color="auto"/>
            <w:right w:val="none" w:sz="0" w:space="0" w:color="auto"/>
          </w:divBdr>
        </w:div>
      </w:divsChild>
    </w:div>
    <w:div w:id="1195381725">
      <w:bodyDiv w:val="1"/>
      <w:marLeft w:val="0"/>
      <w:marRight w:val="0"/>
      <w:marTop w:val="0"/>
      <w:marBottom w:val="0"/>
      <w:divBdr>
        <w:top w:val="none" w:sz="0" w:space="0" w:color="auto"/>
        <w:left w:val="none" w:sz="0" w:space="0" w:color="auto"/>
        <w:bottom w:val="none" w:sz="0" w:space="0" w:color="auto"/>
        <w:right w:val="none" w:sz="0" w:space="0" w:color="auto"/>
      </w:divBdr>
    </w:div>
    <w:div w:id="14429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India" TargetMode="External"/><Relationship Id="rId12" Type="http://schemas.openxmlformats.org/officeDocument/2006/relationships/fontTable" Target="fontTable.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image" Target="../media/image1.jpeg"/></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lang="en-US"/>
            </a:pPr>
            <a:r>
              <a:rPr lang="en-US"/>
              <a:t>special economic</a:t>
            </a:r>
            <a:r>
              <a:rPr lang="en-US" baseline="0"/>
              <a:t> zone infrastructure India and Kerala</a:t>
            </a:r>
            <a:endParaRPr lang="en-US"/>
          </a:p>
        </c:rich>
      </c:tx>
    </c:title>
    <c:plotArea>
      <c:layout>
        <c:manualLayout>
          <c:layoutTarget val="inner"/>
          <c:xMode val="edge"/>
          <c:yMode val="edge"/>
          <c:x val="0.11735145086030918"/>
          <c:y val="4.4057617797775533E-2"/>
          <c:w val="0.86198873578302715"/>
          <c:h val="0.71883889513811483"/>
        </c:manualLayout>
      </c:layout>
      <c:lineChart>
        <c:grouping val="standard"/>
        <c:ser>
          <c:idx val="0"/>
          <c:order val="0"/>
          <c:tx>
            <c:strRef>
              <c:f>Sheet1!$B$1</c:f>
              <c:strCache>
                <c:ptCount val="1"/>
                <c:pt idx="0">
                  <c:v>infrastructure india</c:v>
                </c:pt>
              </c:strCache>
            </c:strRef>
          </c:tx>
          <c:trendline>
            <c:trendlineType val="linear"/>
            <c:intercept val="0"/>
          </c:trendline>
          <c:trendline>
            <c:trendlineType val="linear"/>
            <c:intercept val="0"/>
          </c:trendline>
          <c:trendline>
            <c:trendlineType val="linear"/>
          </c:trendline>
          <c:trendline>
            <c:trendlineType val="linear"/>
            <c:dispRSqr val="1"/>
            <c:dispEq val="1"/>
            <c:trendlineLbl>
              <c:layout>
                <c:manualLayout>
                  <c:x val="1.0417928528164738E-3"/>
                  <c:y val="0.20244856934507249"/>
                </c:manualLayout>
              </c:layout>
              <c:numFmt formatCode="General" sourceLinked="0"/>
              <c:txPr>
                <a:bodyPr/>
                <a:lstStyle/>
                <a:p>
                  <a:pPr>
                    <a:defRPr lang="en-US"/>
                  </a:pPr>
                  <a:endParaRPr lang="en-US"/>
                </a:p>
              </c:txPr>
            </c:trendlineLbl>
          </c:trendline>
          <c:cat>
            <c:strRef>
              <c:f>Sheet1!$A$2:$A$13</c:f>
              <c:strCache>
                <c:ptCount val="12"/>
                <c:pt idx="2">
                  <c:v>2006-2007</c:v>
                </c:pt>
                <c:pt idx="3">
                  <c:v>2007-2008</c:v>
                </c:pt>
                <c:pt idx="4">
                  <c:v>2008-2009</c:v>
                </c:pt>
                <c:pt idx="5">
                  <c:v>2009-2010</c:v>
                </c:pt>
                <c:pt idx="6">
                  <c:v>2010-2011</c:v>
                </c:pt>
                <c:pt idx="7">
                  <c:v>2011-2012</c:v>
                </c:pt>
                <c:pt idx="8">
                  <c:v>2012-2013</c:v>
                </c:pt>
                <c:pt idx="9">
                  <c:v>2013-2014</c:v>
                </c:pt>
                <c:pt idx="10">
                  <c:v>2014-2015</c:v>
                </c:pt>
                <c:pt idx="11">
                  <c:v>2015-2016</c:v>
                </c:pt>
              </c:strCache>
            </c:strRef>
          </c:cat>
          <c:val>
            <c:numRef>
              <c:f>Sheet1!$B$2:$B$13</c:f>
              <c:numCache>
                <c:formatCode>General</c:formatCode>
                <c:ptCount val="12"/>
                <c:pt idx="2">
                  <c:v>23276.34</c:v>
                </c:pt>
                <c:pt idx="3">
                  <c:v>27854.560000000001</c:v>
                </c:pt>
                <c:pt idx="4">
                  <c:v>32763.34</c:v>
                </c:pt>
                <c:pt idx="5">
                  <c:v>38134.58</c:v>
                </c:pt>
                <c:pt idx="6">
                  <c:v>45021.340000000011</c:v>
                </c:pt>
                <c:pt idx="7">
                  <c:v>45786.78</c:v>
                </c:pt>
                <c:pt idx="8">
                  <c:v>45893.440000000002</c:v>
                </c:pt>
                <c:pt idx="9">
                  <c:v>46085.55</c:v>
                </c:pt>
                <c:pt idx="10">
                  <c:v>46656.55</c:v>
                </c:pt>
                <c:pt idx="11">
                  <c:v>47190.98</c:v>
                </c:pt>
              </c:numCache>
            </c:numRef>
          </c:val>
        </c:ser>
        <c:ser>
          <c:idx val="1"/>
          <c:order val="1"/>
          <c:tx>
            <c:strRef>
              <c:f>Sheet1!$C$1</c:f>
              <c:strCache>
                <c:ptCount val="1"/>
                <c:pt idx="0">
                  <c:v>infrastructure kerala</c:v>
                </c:pt>
              </c:strCache>
            </c:strRef>
          </c:tx>
          <c:dLbls>
            <c:dLblPos val="b"/>
            <c:showVal val="1"/>
          </c:dLbls>
          <c:trendline>
            <c:trendlineType val="linear"/>
          </c:trendline>
          <c:cat>
            <c:strRef>
              <c:f>Sheet1!$A$2:$A$13</c:f>
              <c:strCache>
                <c:ptCount val="12"/>
                <c:pt idx="2">
                  <c:v>2006-2007</c:v>
                </c:pt>
                <c:pt idx="3">
                  <c:v>2007-2008</c:v>
                </c:pt>
                <c:pt idx="4">
                  <c:v>2008-2009</c:v>
                </c:pt>
                <c:pt idx="5">
                  <c:v>2009-2010</c:v>
                </c:pt>
                <c:pt idx="6">
                  <c:v>2010-2011</c:v>
                </c:pt>
                <c:pt idx="7">
                  <c:v>2011-2012</c:v>
                </c:pt>
                <c:pt idx="8">
                  <c:v>2012-2013</c:v>
                </c:pt>
                <c:pt idx="9">
                  <c:v>2013-2014</c:v>
                </c:pt>
                <c:pt idx="10">
                  <c:v>2014-2015</c:v>
                </c:pt>
                <c:pt idx="11">
                  <c:v>2015-2016</c:v>
                </c:pt>
              </c:strCache>
            </c:strRef>
          </c:cat>
          <c:val>
            <c:numRef>
              <c:f>Sheet1!$C$2:$C$13</c:f>
              <c:numCache>
                <c:formatCode>General</c:formatCode>
                <c:ptCount val="12"/>
                <c:pt idx="2">
                  <c:v>42.41</c:v>
                </c:pt>
                <c:pt idx="3">
                  <c:v>42.41</c:v>
                </c:pt>
                <c:pt idx="4">
                  <c:v>42.41</c:v>
                </c:pt>
                <c:pt idx="5">
                  <c:v>42.41</c:v>
                </c:pt>
                <c:pt idx="6">
                  <c:v>42.41</c:v>
                </c:pt>
                <c:pt idx="7">
                  <c:v>147.02000000000001</c:v>
                </c:pt>
                <c:pt idx="8">
                  <c:v>184.15</c:v>
                </c:pt>
                <c:pt idx="9">
                  <c:v>545.49</c:v>
                </c:pt>
                <c:pt idx="10">
                  <c:v>545.49</c:v>
                </c:pt>
                <c:pt idx="11">
                  <c:v>545.49</c:v>
                </c:pt>
              </c:numCache>
            </c:numRef>
          </c:val>
        </c:ser>
        <c:marker val="1"/>
        <c:axId val="93668480"/>
        <c:axId val="93670016"/>
      </c:lineChart>
      <c:catAx>
        <c:axId val="93668480"/>
        <c:scaling>
          <c:orientation val="minMax"/>
        </c:scaling>
        <c:delete val="1"/>
        <c:axPos val="b"/>
        <c:numFmt formatCode="General" sourceLinked="1"/>
        <c:tickLblPos val="nextTo"/>
        <c:crossAx val="93670016"/>
        <c:crosses val="autoZero"/>
        <c:auto val="1"/>
        <c:lblAlgn val="ctr"/>
        <c:lblOffset val="100"/>
      </c:catAx>
      <c:valAx>
        <c:axId val="93670016"/>
        <c:scaling>
          <c:orientation val="minMax"/>
        </c:scaling>
        <c:axPos val="l"/>
        <c:majorGridlines/>
        <c:minorGridlines/>
        <c:numFmt formatCode="General" sourceLinked="1"/>
        <c:tickLblPos val="nextTo"/>
        <c:txPr>
          <a:bodyPr/>
          <a:lstStyle/>
          <a:p>
            <a:pPr>
              <a:defRPr lang="en-US"/>
            </a:pPr>
            <a:endParaRPr lang="en-US"/>
          </a:p>
        </c:txPr>
        <c:crossAx val="93668480"/>
        <c:crosses val="autoZero"/>
        <c:crossBetween val="between"/>
      </c:valAx>
      <c:spPr>
        <a:blipFill>
          <a:blip xmlns:r="http://schemas.openxmlformats.org/officeDocument/2006/relationships" r:embed="rId1"/>
          <a:tile tx="0" ty="0" sx="100000" sy="100000" flip="none" algn="tl"/>
        </a:blip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plotArea>
    <c:legend>
      <c:legendPos val="t"/>
      <c:layout>
        <c:manualLayout>
          <c:xMode val="edge"/>
          <c:yMode val="edge"/>
          <c:x val="0.14877128339726958"/>
          <c:y val="0.13295031843655761"/>
          <c:w val="0.7516025641025641"/>
          <c:h val="0.21637241060966292"/>
        </c:manualLayout>
      </c:layout>
      <c:spPr>
        <a:ln>
          <a:noFill/>
        </a:ln>
        <a:effectLst>
          <a:outerShdw blurRad="50800" dist="50800" dir="5400000" algn="ctr" rotWithShape="0">
            <a:srgbClr val="0070C0"/>
          </a:outerShdw>
        </a:effectLst>
      </c:spPr>
      <c:txPr>
        <a:bodyPr/>
        <a:lstStyle/>
        <a:p>
          <a:pPr>
            <a:defRPr lang="en-US"/>
          </a:pPr>
          <a:endParaRPr lang="en-US"/>
        </a:p>
      </c:txPr>
    </c:legend>
    <c:plotVisOnly val="1"/>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lang="en-US"/>
            </a:pPr>
            <a:r>
              <a:rPr lang="en-US"/>
              <a:t>special economic</a:t>
            </a:r>
            <a:r>
              <a:rPr lang="en-US" baseline="0"/>
              <a:t> zone infrastructure India</a:t>
            </a:r>
            <a:endParaRPr lang="en-US"/>
          </a:p>
        </c:rich>
      </c:tx>
    </c:title>
    <c:plotArea>
      <c:layout>
        <c:manualLayout>
          <c:layoutTarget val="inner"/>
          <c:xMode val="edge"/>
          <c:yMode val="edge"/>
          <c:x val="0.11735145086030913"/>
          <c:y val="4.4057617797775513E-2"/>
          <c:w val="0.86198873578302715"/>
          <c:h val="0.71883889513811505"/>
        </c:manualLayout>
      </c:layout>
      <c:lineChart>
        <c:grouping val="standard"/>
        <c:ser>
          <c:idx val="0"/>
          <c:order val="0"/>
          <c:tx>
            <c:strRef>
              <c:f>Sheet1!$B$1</c:f>
              <c:strCache>
                <c:ptCount val="1"/>
                <c:pt idx="0">
                  <c:v>infrastructure india</c:v>
                </c:pt>
              </c:strCache>
            </c:strRef>
          </c:tx>
          <c:dLbls>
            <c:dLblPos val="b"/>
            <c:showVal val="1"/>
          </c:dLbls>
          <c:trendline>
            <c:trendlineType val="linear"/>
            <c:intercept val="0"/>
          </c:trendline>
          <c:trendline>
            <c:trendlineType val="linear"/>
            <c:intercept val="0"/>
          </c:trendline>
          <c:trendline>
            <c:trendlineType val="linear"/>
          </c:trendline>
          <c:trendline>
            <c:trendlineType val="linear"/>
            <c:dispRSqr val="1"/>
            <c:dispEq val="1"/>
            <c:trendlineLbl>
              <c:layout>
                <c:manualLayout>
                  <c:x val="1.0417928528164738E-3"/>
                  <c:y val="0.20244856934507249"/>
                </c:manualLayout>
              </c:layout>
              <c:numFmt formatCode="General" sourceLinked="0"/>
              <c:txPr>
                <a:bodyPr/>
                <a:lstStyle/>
                <a:p>
                  <a:pPr>
                    <a:defRPr lang="en-US"/>
                  </a:pPr>
                  <a:endParaRPr lang="en-US"/>
                </a:p>
              </c:txPr>
            </c:trendlineLbl>
          </c:trendline>
          <c:cat>
            <c:strRef>
              <c:f>Sheet1!$A$2:$A$13</c:f>
              <c:strCache>
                <c:ptCount val="12"/>
                <c:pt idx="2">
                  <c:v>2006-2007</c:v>
                </c:pt>
                <c:pt idx="3">
                  <c:v>2007-2008</c:v>
                </c:pt>
                <c:pt idx="4">
                  <c:v>2008-2009</c:v>
                </c:pt>
                <c:pt idx="5">
                  <c:v>2009-2010</c:v>
                </c:pt>
                <c:pt idx="6">
                  <c:v>2010-2011</c:v>
                </c:pt>
                <c:pt idx="7">
                  <c:v>2011-2012</c:v>
                </c:pt>
                <c:pt idx="8">
                  <c:v>2012-2013</c:v>
                </c:pt>
                <c:pt idx="9">
                  <c:v>2013-2014</c:v>
                </c:pt>
                <c:pt idx="10">
                  <c:v>2014-2015</c:v>
                </c:pt>
                <c:pt idx="11">
                  <c:v>2015-2016</c:v>
                </c:pt>
              </c:strCache>
            </c:strRef>
          </c:cat>
          <c:val>
            <c:numRef>
              <c:f>Sheet1!$B$2:$B$13</c:f>
              <c:numCache>
                <c:formatCode>General</c:formatCode>
                <c:ptCount val="12"/>
                <c:pt idx="2">
                  <c:v>23276.34</c:v>
                </c:pt>
                <c:pt idx="3">
                  <c:v>27854.560000000001</c:v>
                </c:pt>
                <c:pt idx="4">
                  <c:v>32763.34</c:v>
                </c:pt>
                <c:pt idx="5">
                  <c:v>38134.58</c:v>
                </c:pt>
                <c:pt idx="6">
                  <c:v>45021.340000000011</c:v>
                </c:pt>
                <c:pt idx="7">
                  <c:v>45786.78</c:v>
                </c:pt>
                <c:pt idx="8">
                  <c:v>45893.440000000002</c:v>
                </c:pt>
                <c:pt idx="9">
                  <c:v>46085.55</c:v>
                </c:pt>
                <c:pt idx="10">
                  <c:v>46656.55</c:v>
                </c:pt>
                <c:pt idx="11">
                  <c:v>47190.98</c:v>
                </c:pt>
              </c:numCache>
            </c:numRef>
          </c:val>
        </c:ser>
        <c:marker val="1"/>
        <c:axId val="72091520"/>
        <c:axId val="72093056"/>
      </c:lineChart>
      <c:catAx>
        <c:axId val="72091520"/>
        <c:scaling>
          <c:orientation val="minMax"/>
        </c:scaling>
        <c:delete val="1"/>
        <c:axPos val="b"/>
        <c:numFmt formatCode="General" sourceLinked="1"/>
        <c:tickLblPos val="nextTo"/>
        <c:crossAx val="72093056"/>
        <c:crosses val="autoZero"/>
        <c:auto val="1"/>
        <c:lblAlgn val="ctr"/>
        <c:lblOffset val="100"/>
      </c:catAx>
      <c:valAx>
        <c:axId val="72093056"/>
        <c:scaling>
          <c:orientation val="minMax"/>
        </c:scaling>
        <c:axPos val="l"/>
        <c:majorGridlines/>
        <c:minorGridlines/>
        <c:numFmt formatCode="General" sourceLinked="1"/>
        <c:tickLblPos val="nextTo"/>
        <c:txPr>
          <a:bodyPr/>
          <a:lstStyle/>
          <a:p>
            <a:pPr>
              <a:defRPr lang="en-US"/>
            </a:pPr>
            <a:endParaRPr lang="en-US"/>
          </a:p>
        </c:txPr>
        <c:crossAx val="72091520"/>
        <c:crosses val="autoZero"/>
        <c:crossBetween val="between"/>
      </c:valAx>
      <c:spPr>
        <a:blipFill>
          <a:blip xmlns:r="http://schemas.openxmlformats.org/officeDocument/2006/relationships" r:embed="rId1"/>
          <a:tile tx="0" ty="0" sx="100000" sy="100000" flip="none" algn="tl"/>
        </a:blip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plotArea>
    <c:legend>
      <c:legendPos val="t"/>
      <c:layout>
        <c:manualLayout>
          <c:xMode val="edge"/>
          <c:yMode val="edge"/>
          <c:x val="0.14877128339726969"/>
          <c:y val="0.13295031843655761"/>
          <c:w val="0.7516025641025641"/>
          <c:h val="0.21637241060966292"/>
        </c:manualLayout>
      </c:layout>
      <c:spPr>
        <a:ln>
          <a:noFill/>
        </a:ln>
        <a:effectLst>
          <a:outerShdw blurRad="50800" dist="50800" dir="5400000" algn="ctr" rotWithShape="0">
            <a:srgbClr val="0070C0"/>
          </a:outerShdw>
        </a:effectLst>
      </c:spPr>
      <c:txPr>
        <a:bodyPr/>
        <a:lstStyle/>
        <a:p>
          <a:pPr>
            <a:defRPr lang="en-US"/>
          </a:pPr>
          <a:endParaRPr lang="en-US"/>
        </a:p>
      </c:txPr>
    </c:legend>
    <c:plotVisOnly val="1"/>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lang="en-US"/>
            </a:pPr>
            <a:r>
              <a:rPr lang="en-US"/>
              <a:t>special economic</a:t>
            </a:r>
            <a:r>
              <a:rPr lang="en-US" baseline="0"/>
              <a:t> zone infrastructure Kerala</a:t>
            </a:r>
            <a:endParaRPr lang="en-US"/>
          </a:p>
        </c:rich>
      </c:tx>
    </c:title>
    <c:plotArea>
      <c:layout>
        <c:manualLayout>
          <c:layoutTarget val="inner"/>
          <c:xMode val="edge"/>
          <c:yMode val="edge"/>
          <c:x val="0.11735145086030913"/>
          <c:y val="4.4057617797775513E-2"/>
          <c:w val="0.86198873578302715"/>
          <c:h val="0.71883889513811505"/>
        </c:manualLayout>
      </c:layout>
      <c:lineChart>
        <c:grouping val="standard"/>
        <c:ser>
          <c:idx val="0"/>
          <c:order val="0"/>
          <c:tx>
            <c:strRef>
              <c:f>Sheet1!$B$1</c:f>
              <c:strCache>
                <c:ptCount val="1"/>
                <c:pt idx="0">
                  <c:v>infrastructure india</c:v>
                </c:pt>
              </c:strCache>
            </c:strRef>
          </c:tx>
          <c:trendline>
            <c:trendlineType val="linear"/>
            <c:intercept val="0"/>
          </c:trendline>
          <c:trendline>
            <c:trendlineType val="linear"/>
            <c:intercept val="0"/>
          </c:trendline>
          <c:trendline>
            <c:trendlineType val="linear"/>
          </c:trendline>
          <c:trendline>
            <c:trendlineType val="linear"/>
            <c:dispRSqr val="1"/>
            <c:dispEq val="1"/>
            <c:trendlineLbl>
              <c:layout>
                <c:manualLayout>
                  <c:x val="1.0417928528164738E-3"/>
                  <c:y val="0.20244856934507249"/>
                </c:manualLayout>
              </c:layout>
              <c:numFmt formatCode="General" sourceLinked="0"/>
              <c:txPr>
                <a:bodyPr/>
                <a:lstStyle/>
                <a:p>
                  <a:pPr>
                    <a:defRPr lang="en-US"/>
                  </a:pPr>
                  <a:endParaRPr lang="en-US"/>
                </a:p>
              </c:txPr>
            </c:trendlineLbl>
          </c:trendline>
          <c:cat>
            <c:strRef>
              <c:f>Sheet1!$A$2:$A$13</c:f>
              <c:strCache>
                <c:ptCount val="12"/>
                <c:pt idx="2">
                  <c:v>2006-2007</c:v>
                </c:pt>
                <c:pt idx="3">
                  <c:v>2007-2008</c:v>
                </c:pt>
                <c:pt idx="4">
                  <c:v>2008-2009</c:v>
                </c:pt>
                <c:pt idx="5">
                  <c:v>2009-2010</c:v>
                </c:pt>
                <c:pt idx="6">
                  <c:v>2010-2011</c:v>
                </c:pt>
                <c:pt idx="7">
                  <c:v>2011-2012</c:v>
                </c:pt>
                <c:pt idx="8">
                  <c:v>2012-2013</c:v>
                </c:pt>
                <c:pt idx="9">
                  <c:v>2013-2014</c:v>
                </c:pt>
                <c:pt idx="10">
                  <c:v>2014-2015</c:v>
                </c:pt>
                <c:pt idx="11">
                  <c:v>2015-2016</c:v>
                </c:pt>
              </c:strCache>
            </c:strRef>
          </c:cat>
          <c:val>
            <c:numRef>
              <c:f>Sheet1!$B$2:$B$13</c:f>
              <c:numCache>
                <c:formatCode>General</c:formatCode>
                <c:ptCount val="12"/>
              </c:numCache>
            </c:numRef>
          </c:val>
        </c:ser>
        <c:ser>
          <c:idx val="1"/>
          <c:order val="1"/>
          <c:tx>
            <c:strRef>
              <c:f>Sheet1!$C$1</c:f>
              <c:strCache>
                <c:ptCount val="1"/>
                <c:pt idx="0">
                  <c:v>infrastructure kerala</c:v>
                </c:pt>
              </c:strCache>
            </c:strRef>
          </c:tx>
          <c:dLbls>
            <c:showVal val="1"/>
          </c:dLbls>
          <c:trendline>
            <c:trendlineType val="linear"/>
            <c:dispRSqr val="1"/>
            <c:dispEq val="1"/>
            <c:trendlineLbl>
              <c:layout>
                <c:manualLayout>
                  <c:x val="2.1415640352648226E-2"/>
                  <c:y val="0.28655385325536736"/>
                </c:manualLayout>
              </c:layout>
              <c:numFmt formatCode="General" sourceLinked="0"/>
              <c:spPr>
                <a:ln cmpd="sng">
                  <a:gradFill>
                    <a:gsLst>
                      <a:gs pos="0">
                        <a:srgbClr val="000000"/>
                      </a:gs>
                      <a:gs pos="20000">
                        <a:srgbClr val="000040"/>
                      </a:gs>
                      <a:gs pos="50000">
                        <a:srgbClr val="400040"/>
                      </a:gs>
                      <a:gs pos="75000">
                        <a:srgbClr val="8F0040"/>
                      </a:gs>
                      <a:gs pos="89999">
                        <a:srgbClr val="F27300"/>
                      </a:gs>
                      <a:gs pos="100000">
                        <a:srgbClr val="FFBF00"/>
                      </a:gs>
                    </a:gsLst>
                    <a:lin ang="5400000" scaled="0"/>
                  </a:gradFill>
                </a:ln>
                <a:effectLst>
                  <a:outerShdw blurRad="50800" dist="50800" dir="5400000" algn="ctr" rotWithShape="0">
                    <a:schemeClr val="tx2">
                      <a:lumMod val="60000"/>
                      <a:lumOff val="40000"/>
                    </a:schemeClr>
                  </a:outerShdw>
                </a:effectLst>
              </c:spPr>
              <c:txPr>
                <a:bodyPr/>
                <a:lstStyle/>
                <a:p>
                  <a:pPr>
                    <a:defRPr lang="en-US"/>
                  </a:pPr>
                  <a:endParaRPr lang="en-US"/>
                </a:p>
              </c:txPr>
            </c:trendlineLbl>
          </c:trendline>
          <c:cat>
            <c:strRef>
              <c:f>Sheet1!$A$2:$A$13</c:f>
              <c:strCache>
                <c:ptCount val="12"/>
                <c:pt idx="2">
                  <c:v>2006-2007</c:v>
                </c:pt>
                <c:pt idx="3">
                  <c:v>2007-2008</c:v>
                </c:pt>
                <c:pt idx="4">
                  <c:v>2008-2009</c:v>
                </c:pt>
                <c:pt idx="5">
                  <c:v>2009-2010</c:v>
                </c:pt>
                <c:pt idx="6">
                  <c:v>2010-2011</c:v>
                </c:pt>
                <c:pt idx="7">
                  <c:v>2011-2012</c:v>
                </c:pt>
                <c:pt idx="8">
                  <c:v>2012-2013</c:v>
                </c:pt>
                <c:pt idx="9">
                  <c:v>2013-2014</c:v>
                </c:pt>
                <c:pt idx="10">
                  <c:v>2014-2015</c:v>
                </c:pt>
                <c:pt idx="11">
                  <c:v>2015-2016</c:v>
                </c:pt>
              </c:strCache>
            </c:strRef>
          </c:cat>
          <c:val>
            <c:numRef>
              <c:f>Sheet1!$C$2:$C$13</c:f>
              <c:numCache>
                <c:formatCode>General</c:formatCode>
                <c:ptCount val="12"/>
                <c:pt idx="2">
                  <c:v>42.41</c:v>
                </c:pt>
                <c:pt idx="3">
                  <c:v>42.41</c:v>
                </c:pt>
                <c:pt idx="4">
                  <c:v>42.41</c:v>
                </c:pt>
                <c:pt idx="5">
                  <c:v>42.41</c:v>
                </c:pt>
                <c:pt idx="6">
                  <c:v>42.41</c:v>
                </c:pt>
                <c:pt idx="7">
                  <c:v>147.02000000000001</c:v>
                </c:pt>
                <c:pt idx="8">
                  <c:v>184.15</c:v>
                </c:pt>
                <c:pt idx="9">
                  <c:v>545.49</c:v>
                </c:pt>
                <c:pt idx="10">
                  <c:v>545.49</c:v>
                </c:pt>
                <c:pt idx="11">
                  <c:v>545.49</c:v>
                </c:pt>
              </c:numCache>
            </c:numRef>
          </c:val>
        </c:ser>
        <c:marker val="1"/>
        <c:axId val="88383872"/>
        <c:axId val="88385408"/>
      </c:lineChart>
      <c:catAx>
        <c:axId val="88383872"/>
        <c:scaling>
          <c:orientation val="minMax"/>
        </c:scaling>
        <c:delete val="1"/>
        <c:axPos val="b"/>
        <c:numFmt formatCode="General" sourceLinked="1"/>
        <c:tickLblPos val="nextTo"/>
        <c:crossAx val="88385408"/>
        <c:crosses val="autoZero"/>
        <c:auto val="1"/>
        <c:lblAlgn val="ctr"/>
        <c:lblOffset val="100"/>
      </c:catAx>
      <c:valAx>
        <c:axId val="88385408"/>
        <c:scaling>
          <c:orientation val="minMax"/>
        </c:scaling>
        <c:axPos val="l"/>
        <c:majorGridlines/>
        <c:minorGridlines/>
        <c:numFmt formatCode="General" sourceLinked="1"/>
        <c:tickLblPos val="nextTo"/>
        <c:txPr>
          <a:bodyPr/>
          <a:lstStyle/>
          <a:p>
            <a:pPr>
              <a:defRPr lang="en-US"/>
            </a:pPr>
            <a:endParaRPr lang="en-US"/>
          </a:p>
        </c:txPr>
        <c:crossAx val="88383872"/>
        <c:crosses val="autoZero"/>
        <c:crossBetween val="between"/>
      </c:valAx>
      <c:spPr>
        <a:blipFill>
          <a:blip xmlns:r="http://schemas.openxmlformats.org/officeDocument/2006/relationships" r:embed="rId1"/>
          <a:tile tx="0" ty="0" sx="100000" sy="100000" flip="none" algn="tl"/>
        </a:blip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plotArea>
    <c:legend>
      <c:legendPos val="t"/>
      <c:layout>
        <c:manualLayout>
          <c:xMode val="edge"/>
          <c:yMode val="edge"/>
          <c:x val="0.14877128339726969"/>
          <c:y val="0.13295031843655761"/>
          <c:w val="0.7516025641025641"/>
          <c:h val="0.21637241060966292"/>
        </c:manualLayout>
      </c:layout>
      <c:spPr>
        <a:ln>
          <a:noFill/>
        </a:ln>
        <a:effectLst>
          <a:outerShdw blurRad="50800" dist="50800" dir="5400000" algn="ctr" rotWithShape="0">
            <a:srgbClr val="0070C0"/>
          </a:outerShdw>
        </a:effectLst>
      </c:spPr>
      <c:txPr>
        <a:bodyPr/>
        <a:lstStyle/>
        <a:p>
          <a:pPr>
            <a:defRPr lang="en-US"/>
          </a:pPr>
          <a:endParaRPr lang="en-US"/>
        </a:p>
      </c:txPr>
    </c:legend>
    <c:plotVisOnly val="1"/>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2026-05-19T10:21:00Z</dcterms:created>
  <dcterms:modified xsi:type="dcterms:W3CDTF">2026-06-11T07:31:00Z</dcterms:modified>
</cp:coreProperties>
</file>