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ind w:left="154"/>
      </w:pPr>
      <w:r>
        <w:rPr/>
        <w:t>Dimensional</w:t>
      </w:r>
      <w:r>
        <w:rPr>
          <w:spacing w:val="-3"/>
        </w:rPr>
        <w:t> </w:t>
      </w:r>
      <w:r>
        <w:rPr/>
        <w:t>Weight</w:t>
      </w:r>
      <w:r>
        <w:rPr>
          <w:spacing w:val="-3"/>
        </w:rPr>
        <w:t> </w:t>
      </w:r>
      <w:r>
        <w:rPr/>
        <w:t>Arbitrage</w:t>
      </w:r>
      <w:r>
        <w:rPr>
          <w:spacing w:val="-3"/>
        </w:rPr>
        <w:t> </w:t>
      </w:r>
      <w:r>
        <w:rPr/>
        <w:t>and</w:t>
      </w:r>
      <w:r>
        <w:rPr>
          <w:spacing w:val="-3"/>
        </w:rPr>
        <w:t> </w:t>
      </w:r>
      <w:r>
        <w:rPr/>
        <w:t>Revenue</w:t>
      </w:r>
      <w:r>
        <w:rPr>
          <w:spacing w:val="-3"/>
        </w:rPr>
        <w:t> </w:t>
      </w:r>
      <w:r>
        <w:rPr/>
        <w:t>Leakage</w:t>
      </w:r>
      <w:r>
        <w:rPr>
          <w:spacing w:val="-3"/>
        </w:rPr>
        <w:t> </w:t>
      </w:r>
      <w:r>
        <w:rPr/>
        <w:t>in</w:t>
      </w:r>
      <w:r>
        <w:rPr>
          <w:spacing w:val="-2"/>
        </w:rPr>
        <w:t> Courier</w:t>
      </w:r>
    </w:p>
    <w:p>
      <w:pPr>
        <w:pStyle w:val="Title"/>
        <w:spacing w:before="65"/>
      </w:pPr>
      <w:r>
        <w:rPr/>
        <w:t/>
      </w:r>
      <w:r>
        <w:rPr>
          <w:spacing w:val="-6"/>
        </w:rPr>
        <w:t/>
      </w:r>
      <w:r>
        <w:rPr>
          <w:spacing w:val="-2"/>
        </w:rPr>
        <w:t/>
      </w:r>
    </w:p>
    <w:p>
      <w:pPr>
        <w:pStyle w:val="BodyText"/>
        <w:spacing w:before="40"/>
        <w:ind w:left="0"/>
        <w:rPr>
          <w:rFonts w:ascii="Arial"/>
          <w:b/>
        </w:rPr>
      </w:pPr>
    </w:p>
    <w:p>
      <w:pPr>
        <w:spacing w:before="0"/>
        <w:ind w:left="19" w:right="154" w:firstLine="0"/>
        <w:jc w:val="center"/>
        <w:rPr>
          <w:rFonts w:ascii="Arial"/>
          <w:i/>
          <w:sz w:val="21"/>
        </w:rPr>
      </w:pPr>
      <w:r>
        <w:rPr>
          <w:rFonts w:ascii="Arial"/>
          <w:i/>
          <w:spacing w:val="-6"/>
          <w:sz w:val="21"/>
        </w:rPr>
        <w:t/>
      </w:r>
      <w:r>
        <w:rPr>
          <w:rFonts w:ascii="Arial"/>
          <w:i/>
          <w:spacing w:val="-3"/>
          <w:sz w:val="21"/>
        </w:rPr>
        <w:t/>
      </w:r>
      <w:r>
        <w:rPr>
          <w:rFonts w:ascii="Arial"/>
          <w:i/>
          <w:spacing w:val="-6"/>
          <w:sz w:val="21"/>
        </w:rPr>
        <w:t/>
      </w:r>
      <w:r>
        <w:rPr>
          <w:rFonts w:ascii="Arial"/>
          <w:i/>
          <w:spacing w:val="-3"/>
          <w:sz w:val="21"/>
        </w:rPr>
        <w:t/>
      </w:r>
      <w:r>
        <w:rPr>
          <w:rFonts w:ascii="Arial"/>
          <w:i/>
          <w:spacing w:val="-6"/>
          <w:sz w:val="21"/>
        </w:rPr>
        <w:t/>
      </w:r>
    </w:p>
    <w:p>
      <w:pPr>
        <w:pStyle w:val="BodyText"/>
        <w:spacing w:before="154"/>
        <w:ind w:left="0"/>
        <w:rPr>
          <w:rFonts w:ascii="Arial"/>
          <w:i/>
          <w:sz w:val="28"/>
        </w:rPr>
      </w:pPr>
    </w:p>
    <w:p>
      <w:pPr>
        <w:pStyle w:val="Heading1"/>
      </w:pPr>
      <w:bookmarkStart w:name="Abstract" w:id="1"/>
      <w:bookmarkEnd w:id="1"/>
      <w:r>
        <w:rPr>
          <w:b w:val="0"/>
        </w:rPr>
      </w:r>
      <w:r>
        <w:rPr>
          <w:color w:val="355E90"/>
          <w:spacing w:val="-2"/>
        </w:rPr>
        <w:t>Abstract</w:t>
      </w:r>
    </w:p>
    <w:p>
      <w:pPr>
        <w:pStyle w:val="BodyText"/>
        <w:spacing w:line="276" w:lineRule="auto" w:before="61"/>
        <w:ind w:right="87" w:firstLine="6"/>
      </w:pPr>
      <w:r>
        <w:rPr/>
        <w:t>Courier firms often price parcels by the space they occupy rather than by physical weight alone. This practice,</w:t>
      </w:r>
      <w:r>
        <w:rPr>
          <w:spacing w:val="-5"/>
        </w:rPr>
        <w:t> </w:t>
      </w:r>
      <w:r>
        <w:rPr/>
        <w:t>known</w:t>
      </w:r>
      <w:r>
        <w:rPr>
          <w:spacing w:val="-5"/>
        </w:rPr>
        <w:t> </w:t>
      </w:r>
      <w:r>
        <w:rPr/>
        <w:t>as</w:t>
      </w:r>
      <w:r>
        <w:rPr>
          <w:spacing w:val="-5"/>
        </w:rPr>
        <w:t> </w:t>
      </w:r>
      <w:r>
        <w:rPr/>
        <w:t>dimensional</w:t>
      </w:r>
      <w:r>
        <w:rPr>
          <w:spacing w:val="-5"/>
        </w:rPr>
        <w:t> </w:t>
      </w:r>
      <w:r>
        <w:rPr/>
        <w:t>or</w:t>
      </w:r>
      <w:r>
        <w:rPr>
          <w:spacing w:val="-5"/>
        </w:rPr>
        <w:t> </w:t>
      </w:r>
      <w:r>
        <w:rPr/>
        <w:t>volumetric</w:t>
      </w:r>
      <w:r>
        <w:rPr>
          <w:spacing w:val="-5"/>
        </w:rPr>
        <w:t> </w:t>
      </w:r>
      <w:r>
        <w:rPr/>
        <w:t>weight</w:t>
      </w:r>
      <w:r>
        <w:rPr>
          <w:spacing w:val="-4"/>
        </w:rPr>
        <w:t> </w:t>
      </w:r>
      <w:r>
        <w:rPr/>
        <w:t>billing,</w:t>
      </w:r>
      <w:r>
        <w:rPr>
          <w:spacing w:val="-5"/>
        </w:rPr>
        <w:t> </w:t>
      </w:r>
      <w:r>
        <w:rPr/>
        <w:t>becomes</w:t>
      </w:r>
      <w:r>
        <w:rPr>
          <w:spacing w:val="-4"/>
        </w:rPr>
        <w:t> </w:t>
      </w:r>
      <w:r>
        <w:rPr/>
        <w:t>financially</w:t>
      </w:r>
      <w:r>
        <w:rPr>
          <w:spacing w:val="-5"/>
        </w:rPr>
        <w:t> </w:t>
      </w:r>
      <w:r>
        <w:rPr/>
        <w:t>important</w:t>
      </w:r>
      <w:r>
        <w:rPr>
          <w:spacing w:val="-4"/>
        </w:rPr>
        <w:t> </w:t>
      </w:r>
      <w:r>
        <w:rPr/>
        <w:t>when</w:t>
      </w:r>
      <w:r>
        <w:rPr>
          <w:spacing w:val="-5"/>
        </w:rPr>
        <w:t> </w:t>
      </w:r>
      <w:r>
        <w:rPr/>
        <w:t>a</w:t>
      </w:r>
      <w:r>
        <w:rPr>
          <w:spacing w:val="-4"/>
        </w:rPr>
        <w:t> </w:t>
      </w:r>
      <w:r>
        <w:rPr/>
        <w:t>parcel</w:t>
      </w:r>
      <w:r>
        <w:rPr>
          <w:spacing w:val="-5"/>
        </w:rPr>
        <w:t> </w:t>
      </w:r>
      <w:r>
        <w:rPr/>
        <w:t>is light but bulky. The present study examines how such billing can create weight arbitrage and revenue leakage for shippers, sellers, and logistics partners. Using survey-based insights from logistics professionals together with carrier-policy comparisons and shipment examples, the paper explains where billing gaps arise, which sectors are most exposed, and how companies can reduce avoidable cost. The findings show that leakage is highest in categories that ship low-density products, especially fashion, e- commerce retail, and B2B freight. The paper also proposes a practical governance model built around measurement, packaging optimisation, invoice audit, and contract negotiation.</w:t>
      </w:r>
    </w:p>
    <w:p>
      <w:pPr>
        <w:pStyle w:val="BodyText"/>
        <w:spacing w:before="231"/>
        <w:ind w:left="0"/>
      </w:pPr>
    </w:p>
    <w:p>
      <w:pPr>
        <w:pStyle w:val="Heading1"/>
        <w:spacing w:before="1"/>
      </w:pPr>
      <w:bookmarkStart w:name="Keywords" w:id="2"/>
      <w:bookmarkEnd w:id="2"/>
      <w:r>
        <w:rPr>
          <w:b w:val="0"/>
        </w:rPr>
      </w:r>
      <w:r>
        <w:rPr>
          <w:color w:val="355E90"/>
          <w:spacing w:val="-2"/>
        </w:rPr>
        <w:t>Keywords</w:t>
      </w:r>
    </w:p>
    <w:p>
      <w:pPr>
        <w:pStyle w:val="BodyText"/>
        <w:spacing w:line="276" w:lineRule="auto" w:before="50"/>
      </w:pPr>
      <w:r>
        <w:rPr/>
        <w:t>Dimensional</w:t>
      </w:r>
      <w:r>
        <w:rPr>
          <w:spacing w:val="-6"/>
        </w:rPr>
        <w:t> </w:t>
      </w:r>
      <w:r>
        <w:rPr/>
        <w:t>weight;</w:t>
      </w:r>
      <w:r>
        <w:rPr>
          <w:spacing w:val="-5"/>
        </w:rPr>
        <w:t> </w:t>
      </w:r>
      <w:r>
        <w:rPr/>
        <w:t>volumetric</w:t>
      </w:r>
      <w:r>
        <w:rPr>
          <w:spacing w:val="-6"/>
        </w:rPr>
        <w:t> </w:t>
      </w:r>
      <w:r>
        <w:rPr/>
        <w:t>billing;</w:t>
      </w:r>
      <w:r>
        <w:rPr>
          <w:spacing w:val="-5"/>
        </w:rPr>
        <w:t> </w:t>
      </w:r>
      <w:r>
        <w:rPr/>
        <w:t>freight</w:t>
      </w:r>
      <w:r>
        <w:rPr>
          <w:spacing w:val="-5"/>
        </w:rPr>
        <w:t> </w:t>
      </w:r>
      <w:r>
        <w:rPr/>
        <w:t>audit;</w:t>
      </w:r>
      <w:r>
        <w:rPr>
          <w:spacing w:val="-5"/>
        </w:rPr>
        <w:t> </w:t>
      </w:r>
      <w:r>
        <w:rPr/>
        <w:t>chargeable</w:t>
      </w:r>
      <w:r>
        <w:rPr>
          <w:spacing w:val="-5"/>
        </w:rPr>
        <w:t> </w:t>
      </w:r>
      <w:r>
        <w:rPr/>
        <w:t>weight;</w:t>
      </w:r>
      <w:r>
        <w:rPr>
          <w:spacing w:val="-6"/>
        </w:rPr>
        <w:t> </w:t>
      </w:r>
      <w:r>
        <w:rPr/>
        <w:t>courier</w:t>
      </w:r>
      <w:r>
        <w:rPr>
          <w:spacing w:val="-5"/>
        </w:rPr>
        <w:t> </w:t>
      </w:r>
      <w:r>
        <w:rPr/>
        <w:t>pricing;</w:t>
      </w:r>
      <w:r>
        <w:rPr>
          <w:spacing w:val="-5"/>
        </w:rPr>
        <w:t> </w:t>
      </w:r>
      <w:r>
        <w:rPr/>
        <w:t>revenue</w:t>
      </w:r>
      <w:r>
        <w:rPr>
          <w:spacing w:val="-6"/>
        </w:rPr>
        <w:t> </w:t>
      </w:r>
      <w:r>
        <w:rPr/>
        <w:t>leakage; packaging efficiency; logistics cost control; e-commerce logistics.</w:t>
      </w:r>
    </w:p>
    <w:p>
      <w:pPr>
        <w:pStyle w:val="BodyText"/>
        <w:spacing w:before="240"/>
        <w:ind w:left="0"/>
      </w:pPr>
    </w:p>
    <w:p>
      <w:pPr>
        <w:pStyle w:val="Heading1"/>
        <w:numPr>
          <w:ilvl w:val="0"/>
          <w:numId w:val="1"/>
        </w:numPr>
        <w:tabs>
          <w:tab w:pos="284" w:val="left" w:leader="none"/>
        </w:tabs>
        <w:spacing w:line="240" w:lineRule="auto" w:before="0" w:after="0"/>
        <w:ind w:left="284" w:right="0" w:hanging="210"/>
        <w:jc w:val="left"/>
      </w:pPr>
      <w:bookmarkStart w:name="I. Introduction" w:id="3"/>
      <w:bookmarkEnd w:id="3"/>
      <w:r>
        <w:rPr>
          <w:b w:val="0"/>
        </w:rPr>
      </w:r>
      <w:r>
        <w:rPr>
          <w:color w:val="355E90"/>
          <w:spacing w:val="-2"/>
        </w:rPr>
        <w:t>Introduction</w:t>
      </w:r>
    </w:p>
    <w:p>
      <w:pPr>
        <w:pStyle w:val="BodyText"/>
        <w:spacing w:line="276" w:lineRule="auto" w:before="51"/>
        <w:ind w:right="139"/>
      </w:pPr>
      <w:r>
        <w:rPr/>
        <w:t>Courier billing looks simple from the outside: a parcel is weighed and the customer pays freight. In practice,</w:t>
      </w:r>
      <w:r>
        <w:rPr>
          <w:spacing w:val="-4"/>
        </w:rPr>
        <w:t> </w:t>
      </w:r>
      <w:r>
        <w:rPr/>
        <w:t>the</w:t>
      </w:r>
      <w:r>
        <w:rPr>
          <w:spacing w:val="-4"/>
        </w:rPr>
        <w:t> </w:t>
      </w:r>
      <w:r>
        <w:rPr/>
        <w:t>chargeable</w:t>
      </w:r>
      <w:r>
        <w:rPr>
          <w:spacing w:val="-4"/>
        </w:rPr>
        <w:t> </w:t>
      </w:r>
      <w:r>
        <w:rPr/>
        <w:t>weight</w:t>
      </w:r>
      <w:r>
        <w:rPr>
          <w:spacing w:val="-3"/>
        </w:rPr>
        <w:t> </w:t>
      </w:r>
      <w:r>
        <w:rPr/>
        <w:t>is</w:t>
      </w:r>
      <w:r>
        <w:rPr>
          <w:spacing w:val="-3"/>
        </w:rPr>
        <w:t> </w:t>
      </w:r>
      <w:r>
        <w:rPr/>
        <w:t>often</w:t>
      </w:r>
      <w:r>
        <w:rPr>
          <w:spacing w:val="-4"/>
        </w:rPr>
        <w:t> </w:t>
      </w:r>
      <w:r>
        <w:rPr/>
        <w:t>not</w:t>
      </w:r>
      <w:r>
        <w:rPr>
          <w:spacing w:val="-4"/>
        </w:rPr>
        <w:t> </w:t>
      </w:r>
      <w:r>
        <w:rPr/>
        <w:t>the</w:t>
      </w:r>
      <w:r>
        <w:rPr>
          <w:spacing w:val="-3"/>
        </w:rPr>
        <w:t> </w:t>
      </w:r>
      <w:r>
        <w:rPr/>
        <w:t>actual</w:t>
      </w:r>
      <w:r>
        <w:rPr>
          <w:spacing w:val="-4"/>
        </w:rPr>
        <w:t> </w:t>
      </w:r>
      <w:r>
        <w:rPr/>
        <w:t>weight</w:t>
      </w:r>
      <w:r>
        <w:rPr>
          <w:spacing w:val="-3"/>
        </w:rPr>
        <w:t> </w:t>
      </w:r>
      <w:r>
        <w:rPr/>
        <w:t>of</w:t>
      </w:r>
      <w:r>
        <w:rPr>
          <w:spacing w:val="-3"/>
        </w:rPr>
        <w:t> </w:t>
      </w:r>
      <w:r>
        <w:rPr/>
        <w:t>the</w:t>
      </w:r>
      <w:r>
        <w:rPr>
          <w:spacing w:val="-4"/>
        </w:rPr>
        <w:t> </w:t>
      </w:r>
      <w:r>
        <w:rPr/>
        <w:t>box.</w:t>
      </w:r>
      <w:r>
        <w:rPr>
          <w:spacing w:val="-3"/>
        </w:rPr>
        <w:t> </w:t>
      </w:r>
      <w:r>
        <w:rPr/>
        <w:t>Carriers</w:t>
      </w:r>
      <w:r>
        <w:rPr>
          <w:spacing w:val="-3"/>
        </w:rPr>
        <w:t> </w:t>
      </w:r>
      <w:r>
        <w:rPr/>
        <w:t>normally</w:t>
      </w:r>
      <w:r>
        <w:rPr>
          <w:spacing w:val="-3"/>
        </w:rPr>
        <w:t> </w:t>
      </w:r>
      <w:r>
        <w:rPr/>
        <w:t>compare</w:t>
      </w:r>
      <w:r>
        <w:rPr>
          <w:spacing w:val="-4"/>
        </w:rPr>
        <w:t> </w:t>
      </w:r>
      <w:r>
        <w:rPr/>
        <w:t>actual weight with dimensional weight and bill whichever is higher. Dimensional weight is calculated from parcel size, usually by multiplying length, breadth, and height and then dividing the result by a carrier-specific </w:t>
      </w:r>
      <w:r>
        <w:rPr>
          <w:spacing w:val="-2"/>
        </w:rPr>
        <w:t>divisor.</w:t>
      </w:r>
    </w:p>
    <w:p>
      <w:pPr>
        <w:pStyle w:val="BodyText"/>
        <w:spacing w:line="276" w:lineRule="auto"/>
        <w:ind w:right="139"/>
      </w:pPr>
      <w:r>
        <w:rPr/>
        <w:t>This</w:t>
      </w:r>
      <w:r>
        <w:rPr>
          <w:spacing w:val="-2"/>
        </w:rPr>
        <w:t> </w:t>
      </w:r>
      <w:r>
        <w:rPr/>
        <w:t>rule</w:t>
      </w:r>
      <w:r>
        <w:rPr>
          <w:spacing w:val="-3"/>
        </w:rPr>
        <w:t> </w:t>
      </w:r>
      <w:r>
        <w:rPr/>
        <w:t>is</w:t>
      </w:r>
      <w:r>
        <w:rPr>
          <w:spacing w:val="-3"/>
        </w:rPr>
        <w:t> </w:t>
      </w:r>
      <w:r>
        <w:rPr/>
        <w:t>commercially</w:t>
      </w:r>
      <w:r>
        <w:rPr>
          <w:spacing w:val="-2"/>
        </w:rPr>
        <w:t> </w:t>
      </w:r>
      <w:r>
        <w:rPr/>
        <w:t>reasonable</w:t>
      </w:r>
      <w:r>
        <w:rPr>
          <w:spacing w:val="-3"/>
        </w:rPr>
        <w:t> </w:t>
      </w:r>
      <w:r>
        <w:rPr/>
        <w:t>because</w:t>
      </w:r>
      <w:r>
        <w:rPr>
          <w:spacing w:val="-3"/>
        </w:rPr>
        <w:t> </w:t>
      </w:r>
      <w:r>
        <w:rPr/>
        <w:t>trucks,</w:t>
      </w:r>
      <w:r>
        <w:rPr>
          <w:spacing w:val="-2"/>
        </w:rPr>
        <w:t> </w:t>
      </w:r>
      <w:r>
        <w:rPr/>
        <w:t>aircraft,</w:t>
      </w:r>
      <w:r>
        <w:rPr>
          <w:spacing w:val="-2"/>
        </w:rPr>
        <w:t> </w:t>
      </w:r>
      <w:r>
        <w:rPr/>
        <w:t>and</w:t>
      </w:r>
      <w:r>
        <w:rPr>
          <w:spacing w:val="-3"/>
        </w:rPr>
        <w:t> </w:t>
      </w:r>
      <w:r>
        <w:rPr/>
        <w:t>warehouses</w:t>
      </w:r>
      <w:r>
        <w:rPr>
          <w:spacing w:val="-3"/>
        </w:rPr>
        <w:t> </w:t>
      </w:r>
      <w:r>
        <w:rPr/>
        <w:t>have</w:t>
      </w:r>
      <w:r>
        <w:rPr>
          <w:spacing w:val="-3"/>
        </w:rPr>
        <w:t> </w:t>
      </w:r>
      <w:r>
        <w:rPr/>
        <w:t>limited</w:t>
      </w:r>
      <w:r>
        <w:rPr>
          <w:spacing w:val="-3"/>
        </w:rPr>
        <w:t> </w:t>
      </w:r>
      <w:r>
        <w:rPr/>
        <w:t>space.</w:t>
      </w:r>
      <w:r>
        <w:rPr>
          <w:spacing w:val="-2"/>
        </w:rPr>
        <w:t> </w:t>
      </w:r>
      <w:r>
        <w:rPr/>
        <w:t>A</w:t>
      </w:r>
      <w:r>
        <w:rPr>
          <w:spacing w:val="-3"/>
        </w:rPr>
        <w:t> </w:t>
      </w:r>
      <w:r>
        <w:rPr/>
        <w:t>large carton filled with light goods may occupy the same space as several smaller heavy parcels. However, the same</w:t>
      </w:r>
      <w:r>
        <w:rPr>
          <w:spacing w:val="-5"/>
        </w:rPr>
        <w:t> </w:t>
      </w:r>
      <w:r>
        <w:rPr/>
        <w:t>rule</w:t>
      </w:r>
      <w:r>
        <w:rPr>
          <w:spacing w:val="-5"/>
        </w:rPr>
        <w:t> </w:t>
      </w:r>
      <w:r>
        <w:rPr/>
        <w:t>can</w:t>
      </w:r>
      <w:r>
        <w:rPr>
          <w:spacing w:val="-5"/>
        </w:rPr>
        <w:t> </w:t>
      </w:r>
      <w:r>
        <w:rPr/>
        <w:t>also</w:t>
      </w:r>
      <w:r>
        <w:rPr>
          <w:spacing w:val="-5"/>
        </w:rPr>
        <w:t> </w:t>
      </w:r>
      <w:r>
        <w:rPr/>
        <w:t>create</w:t>
      </w:r>
      <w:r>
        <w:rPr>
          <w:spacing w:val="-5"/>
        </w:rPr>
        <w:t> </w:t>
      </w:r>
      <w:r>
        <w:rPr/>
        <w:t>a</w:t>
      </w:r>
      <w:r>
        <w:rPr>
          <w:spacing w:val="-4"/>
        </w:rPr>
        <w:t> </w:t>
      </w:r>
      <w:r>
        <w:rPr/>
        <w:t>billing</w:t>
      </w:r>
      <w:r>
        <w:rPr>
          <w:spacing w:val="-5"/>
        </w:rPr>
        <w:t> </w:t>
      </w:r>
      <w:r>
        <w:rPr/>
        <w:t>gap</w:t>
      </w:r>
      <w:r>
        <w:rPr>
          <w:spacing w:val="-4"/>
        </w:rPr>
        <w:t> </w:t>
      </w:r>
      <w:r>
        <w:rPr/>
        <w:t>when</w:t>
      </w:r>
      <w:r>
        <w:rPr>
          <w:spacing w:val="-5"/>
        </w:rPr>
        <w:t> </w:t>
      </w:r>
      <w:r>
        <w:rPr/>
        <w:t>packaging</w:t>
      </w:r>
      <w:r>
        <w:rPr>
          <w:spacing w:val="-5"/>
        </w:rPr>
        <w:t> </w:t>
      </w:r>
      <w:r>
        <w:rPr/>
        <w:t>is</w:t>
      </w:r>
      <w:r>
        <w:rPr>
          <w:spacing w:val="-4"/>
        </w:rPr>
        <w:t> </w:t>
      </w:r>
      <w:r>
        <w:rPr/>
        <w:t>oversized,</w:t>
      </w:r>
      <w:r>
        <w:rPr>
          <w:spacing w:val="-4"/>
        </w:rPr>
        <w:t> </w:t>
      </w:r>
      <w:r>
        <w:rPr/>
        <w:t>dimensions</w:t>
      </w:r>
      <w:r>
        <w:rPr>
          <w:spacing w:val="-4"/>
        </w:rPr>
        <w:t> </w:t>
      </w:r>
      <w:r>
        <w:rPr/>
        <w:t>are</w:t>
      </w:r>
      <w:r>
        <w:rPr>
          <w:spacing w:val="-4"/>
        </w:rPr>
        <w:t> </w:t>
      </w:r>
      <w:r>
        <w:rPr/>
        <w:t>measured</w:t>
      </w:r>
      <w:r>
        <w:rPr>
          <w:spacing w:val="-5"/>
        </w:rPr>
        <w:t> </w:t>
      </w:r>
      <w:r>
        <w:rPr/>
        <w:t>differently, divisors are low, or invoice checks are weak. That billing gap is the core concern of this paper.</w:t>
      </w:r>
    </w:p>
    <w:p>
      <w:pPr>
        <w:pStyle w:val="BodyText"/>
        <w:spacing w:line="276" w:lineRule="auto"/>
        <w:ind w:right="87"/>
      </w:pPr>
      <w:r>
        <w:rPr/>
        <w:t>In fast-growing e-commerce and courier networks, millions of parcels move every day. Even a small error</w:t>
      </w:r>
      <w:r>
        <w:rPr/>
        <w:t> in</w:t>
      </w:r>
      <w:r>
        <w:rPr>
          <w:spacing w:val="-4"/>
        </w:rPr>
        <w:t> </w:t>
      </w:r>
      <w:r>
        <w:rPr/>
        <w:t>measurement,</w:t>
      </w:r>
      <w:r>
        <w:rPr>
          <w:spacing w:val="-3"/>
        </w:rPr>
        <w:t> </w:t>
      </w:r>
      <w:r>
        <w:rPr/>
        <w:t>rounding,</w:t>
      </w:r>
      <w:r>
        <w:rPr>
          <w:spacing w:val="-3"/>
        </w:rPr>
        <w:t> </w:t>
      </w:r>
      <w:r>
        <w:rPr/>
        <w:t>or</w:t>
      </w:r>
      <w:r>
        <w:rPr>
          <w:spacing w:val="-4"/>
        </w:rPr>
        <w:t> </w:t>
      </w:r>
      <w:r>
        <w:rPr/>
        <w:t>divisor</w:t>
      </w:r>
      <w:r>
        <w:rPr>
          <w:spacing w:val="-4"/>
        </w:rPr>
        <w:t> </w:t>
      </w:r>
      <w:r>
        <w:rPr/>
        <w:t>application</w:t>
      </w:r>
      <w:r>
        <w:rPr>
          <w:spacing w:val="-3"/>
        </w:rPr>
        <w:t> </w:t>
      </w:r>
      <w:r>
        <w:rPr/>
        <w:t>can</w:t>
      </w:r>
      <w:r>
        <w:rPr>
          <w:spacing w:val="-4"/>
        </w:rPr>
        <w:t> </w:t>
      </w:r>
      <w:r>
        <w:rPr/>
        <w:t>become</w:t>
      </w:r>
      <w:r>
        <w:rPr>
          <w:spacing w:val="-4"/>
        </w:rPr>
        <w:t> </w:t>
      </w:r>
      <w:r>
        <w:rPr/>
        <w:t>a</w:t>
      </w:r>
      <w:r>
        <w:rPr>
          <w:spacing w:val="-4"/>
        </w:rPr>
        <w:t> </w:t>
      </w:r>
      <w:r>
        <w:rPr/>
        <w:t>major</w:t>
      </w:r>
      <w:r>
        <w:rPr>
          <w:spacing w:val="-3"/>
        </w:rPr>
        <w:t> </w:t>
      </w:r>
      <w:r>
        <w:rPr/>
        <w:t>financial</w:t>
      </w:r>
      <w:r>
        <w:rPr>
          <w:spacing w:val="-4"/>
        </w:rPr>
        <w:t> </w:t>
      </w:r>
      <w:r>
        <w:rPr/>
        <w:t>issue</w:t>
      </w:r>
      <w:r>
        <w:rPr>
          <w:spacing w:val="-4"/>
        </w:rPr>
        <w:t> </w:t>
      </w:r>
      <w:r>
        <w:rPr/>
        <w:t>at</w:t>
      </w:r>
      <w:r>
        <w:rPr>
          <w:spacing w:val="-4"/>
        </w:rPr>
        <w:t> </w:t>
      </w:r>
      <w:r>
        <w:rPr/>
        <w:t>scale.</w:t>
      </w:r>
      <w:r>
        <w:rPr>
          <w:spacing w:val="-4"/>
        </w:rPr>
        <w:t> </w:t>
      </w:r>
      <w:r>
        <w:rPr/>
        <w:t>For</w:t>
      </w:r>
      <w:r>
        <w:rPr>
          <w:spacing w:val="-3"/>
        </w:rPr>
        <w:t> </w:t>
      </w:r>
      <w:r>
        <w:rPr/>
        <w:t>shippers, this appears as higher freight spend. For carriers, inaccurate under-billing can also mean lost revenue.</w:t>
      </w:r>
    </w:p>
    <w:p>
      <w:pPr>
        <w:pStyle w:val="BodyText"/>
        <w:spacing w:line="276" w:lineRule="auto" w:before="1"/>
        <w:ind w:right="87"/>
      </w:pPr>
      <w:r>
        <w:rPr/>
        <w:t>Therefore,</w:t>
      </w:r>
      <w:r>
        <w:rPr>
          <w:spacing w:val="-4"/>
        </w:rPr>
        <w:t> </w:t>
      </w:r>
      <w:r>
        <w:rPr/>
        <w:t>dimensional</w:t>
      </w:r>
      <w:r>
        <w:rPr>
          <w:spacing w:val="-5"/>
        </w:rPr>
        <w:t> </w:t>
      </w:r>
      <w:r>
        <w:rPr/>
        <w:t>weight</w:t>
      </w:r>
      <w:r>
        <w:rPr>
          <w:spacing w:val="-4"/>
        </w:rPr>
        <w:t> </w:t>
      </w:r>
      <w:r>
        <w:rPr/>
        <w:t>arbitrage</w:t>
      </w:r>
      <w:r>
        <w:rPr>
          <w:spacing w:val="-5"/>
        </w:rPr>
        <w:t> </w:t>
      </w:r>
      <w:r>
        <w:rPr/>
        <w:t>is</w:t>
      </w:r>
      <w:r>
        <w:rPr>
          <w:spacing w:val="-5"/>
        </w:rPr>
        <w:t> </w:t>
      </w:r>
      <w:r>
        <w:rPr/>
        <w:t>best</w:t>
      </w:r>
      <w:r>
        <w:rPr>
          <w:spacing w:val="-5"/>
        </w:rPr>
        <w:t> </w:t>
      </w:r>
      <w:r>
        <w:rPr/>
        <w:t>understood</w:t>
      </w:r>
      <w:r>
        <w:rPr>
          <w:spacing w:val="-4"/>
        </w:rPr>
        <w:t> </w:t>
      </w:r>
      <w:r>
        <w:rPr/>
        <w:t>as</w:t>
      </w:r>
      <w:r>
        <w:rPr>
          <w:spacing w:val="-4"/>
        </w:rPr>
        <w:t> </w:t>
      </w:r>
      <w:r>
        <w:rPr/>
        <w:t>a</w:t>
      </w:r>
      <w:r>
        <w:rPr>
          <w:spacing w:val="-5"/>
        </w:rPr>
        <w:t> </w:t>
      </w:r>
      <w:r>
        <w:rPr/>
        <w:t>two-sided</w:t>
      </w:r>
      <w:r>
        <w:rPr>
          <w:spacing w:val="-5"/>
        </w:rPr>
        <w:t> </w:t>
      </w:r>
      <w:r>
        <w:rPr/>
        <w:t>billing</w:t>
      </w:r>
      <w:r>
        <w:rPr>
          <w:spacing w:val="-5"/>
        </w:rPr>
        <w:t> </w:t>
      </w:r>
      <w:r>
        <w:rPr/>
        <w:t>risk,</w:t>
      </w:r>
      <w:r>
        <w:rPr>
          <w:spacing w:val="-4"/>
        </w:rPr>
        <w:t> </w:t>
      </w:r>
      <w:r>
        <w:rPr/>
        <w:t>not</w:t>
      </w:r>
      <w:r>
        <w:rPr>
          <w:spacing w:val="-4"/>
        </w:rPr>
        <w:t> </w:t>
      </w:r>
      <w:r>
        <w:rPr/>
        <w:t>merely</w:t>
      </w:r>
      <w:r>
        <w:rPr>
          <w:spacing w:val="-5"/>
        </w:rPr>
        <w:t> </w:t>
      </w:r>
      <w:r>
        <w:rPr/>
        <w:t>a customer complaint.</w:t>
      </w:r>
    </w:p>
    <w:p>
      <w:pPr>
        <w:pStyle w:val="Heading2"/>
        <w:spacing w:before="201"/>
        <w:ind w:left="74" w:firstLine="0"/>
      </w:pPr>
      <w:bookmarkStart w:name="1.1 Research Objectives" w:id="4"/>
      <w:bookmarkEnd w:id="4"/>
      <w:r>
        <w:rPr>
          <w:b w:val="0"/>
        </w:rPr>
      </w:r>
      <w:r>
        <w:rPr>
          <w:color w:val="4E80BC"/>
        </w:rPr>
        <w:t>1.1</w:t>
      </w:r>
      <w:r>
        <w:rPr>
          <w:color w:val="4E80BC"/>
          <w:spacing w:val="-5"/>
        </w:rPr>
        <w:t> </w:t>
      </w:r>
      <w:r>
        <w:rPr>
          <w:color w:val="4E80BC"/>
        </w:rPr>
        <w:t>Research</w:t>
      </w:r>
      <w:r>
        <w:rPr>
          <w:color w:val="4E80BC"/>
          <w:spacing w:val="-4"/>
        </w:rPr>
        <w:t> </w:t>
      </w:r>
      <w:r>
        <w:rPr>
          <w:color w:val="4E80BC"/>
          <w:spacing w:val="-2"/>
        </w:rPr>
        <w:t>Objectives</w:t>
      </w:r>
    </w:p>
    <w:p>
      <w:pPr>
        <w:pStyle w:val="BodyText"/>
        <w:spacing w:line="276" w:lineRule="auto" w:before="43"/>
        <w:ind w:right="87"/>
      </w:pPr>
      <w:r>
        <w:rPr/>
        <w:t>The study is guided by five objectives: to estimate the scale of leakage caused by dimensional weight billing, compare DIM divisor policies used by selected carriers, understand dispute and audit practices, examine</w:t>
      </w:r>
      <w:r>
        <w:rPr>
          <w:spacing w:val="-4"/>
        </w:rPr>
        <w:t> </w:t>
      </w:r>
      <w:r>
        <w:rPr/>
        <w:t>the</w:t>
      </w:r>
      <w:r>
        <w:rPr>
          <w:spacing w:val="-5"/>
        </w:rPr>
        <w:t> </w:t>
      </w:r>
      <w:r>
        <w:rPr/>
        <w:t>role</w:t>
      </w:r>
      <w:r>
        <w:rPr>
          <w:spacing w:val="-5"/>
        </w:rPr>
        <w:t> </w:t>
      </w:r>
      <w:r>
        <w:rPr/>
        <w:t>of</w:t>
      </w:r>
      <w:r>
        <w:rPr>
          <w:spacing w:val="-4"/>
        </w:rPr>
        <w:t> </w:t>
      </w:r>
      <w:r>
        <w:rPr/>
        <w:t>packaging</w:t>
      </w:r>
      <w:r>
        <w:rPr>
          <w:spacing w:val="-4"/>
        </w:rPr>
        <w:t> </w:t>
      </w:r>
      <w:r>
        <w:rPr/>
        <w:t>and</w:t>
      </w:r>
      <w:r>
        <w:rPr>
          <w:spacing w:val="-5"/>
        </w:rPr>
        <w:t> </w:t>
      </w:r>
      <w:r>
        <w:rPr/>
        <w:t>customer</w:t>
      </w:r>
      <w:r>
        <w:rPr>
          <w:spacing w:val="-5"/>
        </w:rPr>
        <w:t> </w:t>
      </w:r>
      <w:r>
        <w:rPr/>
        <w:t>awareness,</w:t>
      </w:r>
      <w:r>
        <w:rPr>
          <w:spacing w:val="-4"/>
        </w:rPr>
        <w:t> </w:t>
      </w:r>
      <w:r>
        <w:rPr/>
        <w:t>and</w:t>
      </w:r>
      <w:r>
        <w:rPr>
          <w:spacing w:val="-5"/>
        </w:rPr>
        <w:t> </w:t>
      </w:r>
      <w:r>
        <w:rPr/>
        <w:t>present</w:t>
      </w:r>
      <w:r>
        <w:rPr>
          <w:spacing w:val="-4"/>
        </w:rPr>
        <w:t> </w:t>
      </w:r>
      <w:r>
        <w:rPr/>
        <w:t>a</w:t>
      </w:r>
      <w:r>
        <w:rPr>
          <w:spacing w:val="-5"/>
        </w:rPr>
        <w:t> </w:t>
      </w:r>
      <w:r>
        <w:rPr/>
        <w:t>practical</w:t>
      </w:r>
      <w:r>
        <w:rPr>
          <w:spacing w:val="-5"/>
        </w:rPr>
        <w:t> </w:t>
      </w:r>
      <w:r>
        <w:rPr/>
        <w:t>framework</w:t>
      </w:r>
      <w:r>
        <w:rPr>
          <w:spacing w:val="-5"/>
        </w:rPr>
        <w:t> </w:t>
      </w:r>
      <w:r>
        <w:rPr/>
        <w:t>that</w:t>
      </w:r>
      <w:r>
        <w:rPr>
          <w:spacing w:val="-4"/>
        </w:rPr>
        <w:t> </w:t>
      </w:r>
      <w:r>
        <w:rPr/>
        <w:t>improves billing accuracy.</w:t>
      </w:r>
    </w:p>
    <w:p>
      <w:pPr>
        <w:pStyle w:val="BodyText"/>
        <w:spacing w:after="0" w:line="276" w:lineRule="auto"/>
        <w:sectPr>
          <w:type w:val="continuous"/>
          <w:pgSz w:w="12240" w:h="15840"/>
          <w:pgMar w:top="940" w:bottom="280" w:left="1080" w:right="1080"/>
        </w:sectPr>
      </w:pPr>
    </w:p>
    <w:p>
      <w:pPr>
        <w:pStyle w:val="Heading1"/>
        <w:numPr>
          <w:ilvl w:val="0"/>
          <w:numId w:val="1"/>
        </w:numPr>
        <w:tabs>
          <w:tab w:pos="359" w:val="left" w:leader="none"/>
        </w:tabs>
        <w:spacing w:line="240" w:lineRule="auto" w:before="88" w:after="0"/>
        <w:ind w:left="359" w:right="0" w:hanging="285"/>
        <w:jc w:val="left"/>
      </w:pPr>
      <w:bookmarkStart w:name="II. Literature Review" w:id="5"/>
      <w:bookmarkEnd w:id="5"/>
      <w:r>
        <w:rPr>
          <w:b w:val="0"/>
        </w:rPr>
      </w:r>
      <w:r>
        <w:rPr>
          <w:color w:val="355E90"/>
        </w:rPr>
        <w:t>Literature</w:t>
      </w:r>
      <w:r>
        <w:rPr>
          <w:color w:val="355E90"/>
          <w:spacing w:val="-8"/>
        </w:rPr>
        <w:t> </w:t>
      </w:r>
      <w:r>
        <w:rPr>
          <w:color w:val="355E90"/>
          <w:spacing w:val="-2"/>
        </w:rPr>
        <w:t>Review</w:t>
      </w:r>
    </w:p>
    <w:p>
      <w:pPr>
        <w:pStyle w:val="BodyText"/>
        <w:spacing w:line="276" w:lineRule="auto" w:before="51"/>
        <w:ind w:right="139"/>
      </w:pPr>
      <w:r>
        <w:rPr/>
        <w:t>Existing</w:t>
      </w:r>
      <w:r>
        <w:rPr>
          <w:spacing w:val="-3"/>
        </w:rPr>
        <w:t> </w:t>
      </w:r>
      <w:r>
        <w:rPr/>
        <w:t>work</w:t>
      </w:r>
      <w:r>
        <w:rPr>
          <w:spacing w:val="-3"/>
        </w:rPr>
        <w:t> </w:t>
      </w:r>
      <w:r>
        <w:rPr/>
        <w:t>on</w:t>
      </w:r>
      <w:r>
        <w:rPr>
          <w:spacing w:val="-3"/>
        </w:rPr>
        <w:t> </w:t>
      </w:r>
      <w:r>
        <w:rPr/>
        <w:t>freight</w:t>
      </w:r>
      <w:r>
        <w:rPr>
          <w:spacing w:val="-2"/>
        </w:rPr>
        <w:t> </w:t>
      </w:r>
      <w:r>
        <w:rPr/>
        <w:t>pricing</w:t>
      </w:r>
      <w:r>
        <w:rPr>
          <w:spacing w:val="-3"/>
        </w:rPr>
        <w:t> </w:t>
      </w:r>
      <w:r>
        <w:rPr/>
        <w:t>shows</w:t>
      </w:r>
      <w:r>
        <w:rPr>
          <w:spacing w:val="-3"/>
        </w:rPr>
        <w:t> </w:t>
      </w:r>
      <w:r>
        <w:rPr/>
        <w:t>that</w:t>
      </w:r>
      <w:r>
        <w:rPr>
          <w:spacing w:val="-2"/>
        </w:rPr>
        <w:t> </w:t>
      </w:r>
      <w:r>
        <w:rPr/>
        <w:t>transport</w:t>
      </w:r>
      <w:r>
        <w:rPr>
          <w:spacing w:val="-2"/>
        </w:rPr>
        <w:t> </w:t>
      </w:r>
      <w:r>
        <w:rPr/>
        <w:t>cost</w:t>
      </w:r>
      <w:r>
        <w:rPr>
          <w:spacing w:val="-2"/>
        </w:rPr>
        <w:t> </w:t>
      </w:r>
      <w:r>
        <w:rPr/>
        <w:t>is</w:t>
      </w:r>
      <w:r>
        <w:rPr>
          <w:spacing w:val="-2"/>
        </w:rPr>
        <w:t> </w:t>
      </w:r>
      <w:r>
        <w:rPr/>
        <w:t>influenced</w:t>
      </w:r>
      <w:r>
        <w:rPr>
          <w:spacing w:val="-3"/>
        </w:rPr>
        <w:t> </w:t>
      </w:r>
      <w:r>
        <w:rPr/>
        <w:t>not</w:t>
      </w:r>
      <w:r>
        <w:rPr>
          <w:spacing w:val="-2"/>
        </w:rPr>
        <w:t> </w:t>
      </w:r>
      <w:r>
        <w:rPr/>
        <w:t>only</w:t>
      </w:r>
      <w:r>
        <w:rPr>
          <w:spacing w:val="-3"/>
        </w:rPr>
        <w:t> </w:t>
      </w:r>
      <w:r>
        <w:rPr/>
        <w:t>by</w:t>
      </w:r>
      <w:r>
        <w:rPr>
          <w:spacing w:val="-3"/>
        </w:rPr>
        <w:t> </w:t>
      </w:r>
      <w:r>
        <w:rPr/>
        <w:t>distance</w:t>
      </w:r>
      <w:r>
        <w:rPr>
          <w:spacing w:val="-3"/>
        </w:rPr>
        <w:t> </w:t>
      </w:r>
      <w:r>
        <w:rPr/>
        <w:t>and</w:t>
      </w:r>
      <w:r>
        <w:rPr>
          <w:spacing w:val="-3"/>
        </w:rPr>
        <w:t> </w:t>
      </w:r>
      <w:r>
        <w:rPr/>
        <w:t>weight</w:t>
      </w:r>
      <w:r>
        <w:rPr>
          <w:spacing w:val="-2"/>
        </w:rPr>
        <w:t> </w:t>
      </w:r>
      <w:r>
        <w:rPr/>
        <w:t>but also by shipment density, packaging, handling effort, and network capacity. Dimensional weight pricing is one way carriers recover the cost of space consumed by low-density parcels. Earlier studies on logistics cost</w:t>
      </w:r>
      <w:r>
        <w:rPr>
          <w:spacing w:val="-4"/>
        </w:rPr>
        <w:t> </w:t>
      </w:r>
      <w:r>
        <w:rPr/>
        <w:t>control</w:t>
      </w:r>
      <w:r>
        <w:rPr>
          <w:spacing w:val="-5"/>
        </w:rPr>
        <w:t> </w:t>
      </w:r>
      <w:r>
        <w:rPr/>
        <w:t>also</w:t>
      </w:r>
      <w:r>
        <w:rPr>
          <w:spacing w:val="-5"/>
        </w:rPr>
        <w:t> </w:t>
      </w:r>
      <w:r>
        <w:rPr/>
        <w:t>highlight</w:t>
      </w:r>
      <w:r>
        <w:rPr>
          <w:spacing w:val="-4"/>
        </w:rPr>
        <w:t> </w:t>
      </w:r>
      <w:r>
        <w:rPr/>
        <w:t>that</w:t>
      </w:r>
      <w:r>
        <w:rPr>
          <w:spacing w:val="-5"/>
        </w:rPr>
        <w:t> </w:t>
      </w:r>
      <w:r>
        <w:rPr/>
        <w:t>invoice</w:t>
      </w:r>
      <w:r>
        <w:rPr>
          <w:spacing w:val="-5"/>
        </w:rPr>
        <w:t> </w:t>
      </w:r>
      <w:r>
        <w:rPr/>
        <w:t>errors,</w:t>
      </w:r>
      <w:r>
        <w:rPr>
          <w:spacing w:val="-4"/>
        </w:rPr>
        <w:t> </w:t>
      </w:r>
      <w:r>
        <w:rPr/>
        <w:t>duplicate</w:t>
      </w:r>
      <w:r>
        <w:rPr>
          <w:spacing w:val="-4"/>
        </w:rPr>
        <w:t> </w:t>
      </w:r>
      <w:r>
        <w:rPr/>
        <w:t>charges,</w:t>
      </w:r>
      <w:r>
        <w:rPr>
          <w:spacing w:val="-5"/>
        </w:rPr>
        <w:t> </w:t>
      </w:r>
      <w:r>
        <w:rPr/>
        <w:t>incorrect</w:t>
      </w:r>
      <w:r>
        <w:rPr>
          <w:spacing w:val="-4"/>
        </w:rPr>
        <w:t> </w:t>
      </w:r>
      <w:r>
        <w:rPr/>
        <w:t>tariff</w:t>
      </w:r>
      <w:r>
        <w:rPr>
          <w:spacing w:val="-4"/>
        </w:rPr>
        <w:t> </w:t>
      </w:r>
      <w:r>
        <w:rPr/>
        <w:t>application,</w:t>
      </w:r>
      <w:r>
        <w:rPr>
          <w:spacing w:val="-5"/>
        </w:rPr>
        <w:t> </w:t>
      </w:r>
      <w:r>
        <w:rPr/>
        <w:t>and</w:t>
      </w:r>
      <w:r>
        <w:rPr>
          <w:spacing w:val="-5"/>
        </w:rPr>
        <w:t> </w:t>
      </w:r>
      <w:r>
        <w:rPr/>
        <w:t>weak</w:t>
      </w:r>
      <w:r>
        <w:rPr>
          <w:spacing w:val="-4"/>
        </w:rPr>
        <w:t> </w:t>
      </w:r>
      <w:r>
        <w:rPr/>
        <w:t>audit processes can create avoidable expense for shippers.</w:t>
      </w:r>
    </w:p>
    <w:p>
      <w:pPr>
        <w:pStyle w:val="BodyText"/>
        <w:spacing w:line="276" w:lineRule="auto"/>
        <w:ind w:right="87"/>
      </w:pPr>
      <w:r>
        <w:rPr/>
        <w:t>The</w:t>
      </w:r>
      <w:r>
        <w:rPr>
          <w:spacing w:val="-5"/>
        </w:rPr>
        <w:t> </w:t>
      </w:r>
      <w:r>
        <w:rPr/>
        <w:t>issue</w:t>
      </w:r>
      <w:r>
        <w:rPr>
          <w:spacing w:val="-5"/>
        </w:rPr>
        <w:t> </w:t>
      </w:r>
      <w:r>
        <w:rPr/>
        <w:t>can</w:t>
      </w:r>
      <w:r>
        <w:rPr>
          <w:spacing w:val="-5"/>
        </w:rPr>
        <w:t> </w:t>
      </w:r>
      <w:r>
        <w:rPr/>
        <w:t>also</w:t>
      </w:r>
      <w:r>
        <w:rPr>
          <w:spacing w:val="-5"/>
        </w:rPr>
        <w:t> </w:t>
      </w:r>
      <w:r>
        <w:rPr/>
        <w:t>be</w:t>
      </w:r>
      <w:r>
        <w:rPr>
          <w:spacing w:val="-5"/>
        </w:rPr>
        <w:t> </w:t>
      </w:r>
      <w:r>
        <w:rPr/>
        <w:t>explained</w:t>
      </w:r>
      <w:r>
        <w:rPr>
          <w:spacing w:val="-5"/>
        </w:rPr>
        <w:t> </w:t>
      </w:r>
      <w:r>
        <w:rPr/>
        <w:t>through</w:t>
      </w:r>
      <w:r>
        <w:rPr>
          <w:spacing w:val="-5"/>
        </w:rPr>
        <w:t> </w:t>
      </w:r>
      <w:r>
        <w:rPr/>
        <w:t>information</w:t>
      </w:r>
      <w:r>
        <w:rPr>
          <w:spacing w:val="-5"/>
        </w:rPr>
        <w:t> </w:t>
      </w:r>
      <w:r>
        <w:rPr/>
        <w:t>asymmetry.</w:t>
      </w:r>
      <w:r>
        <w:rPr>
          <w:spacing w:val="-5"/>
        </w:rPr>
        <w:t> </w:t>
      </w:r>
      <w:r>
        <w:rPr/>
        <w:t>Carriers</w:t>
      </w:r>
      <w:r>
        <w:rPr>
          <w:spacing w:val="-5"/>
        </w:rPr>
        <w:t> </w:t>
      </w:r>
      <w:r>
        <w:rPr/>
        <w:t>usually</w:t>
      </w:r>
      <w:r>
        <w:rPr>
          <w:spacing w:val="-5"/>
        </w:rPr>
        <w:t> </w:t>
      </w:r>
      <w:r>
        <w:rPr/>
        <w:t>control</w:t>
      </w:r>
      <w:r>
        <w:rPr>
          <w:spacing w:val="-5"/>
        </w:rPr>
        <w:t> </w:t>
      </w:r>
      <w:r>
        <w:rPr/>
        <w:t>the</w:t>
      </w:r>
      <w:r>
        <w:rPr>
          <w:spacing w:val="-5"/>
        </w:rPr>
        <w:t> </w:t>
      </w:r>
      <w:r>
        <w:rPr/>
        <w:t>measurement system, rate card, and billing logic, while many customers or smaller sellers have limited access to the same</w:t>
      </w:r>
      <w:r>
        <w:rPr>
          <w:spacing w:val="-1"/>
        </w:rPr>
        <w:t> </w:t>
      </w:r>
      <w:r>
        <w:rPr/>
        <w:t>level</w:t>
      </w:r>
      <w:r>
        <w:rPr>
          <w:spacing w:val="-1"/>
        </w:rPr>
        <w:t> </w:t>
      </w:r>
      <w:r>
        <w:rPr/>
        <w:t>of proof.</w:t>
      </w:r>
      <w:r>
        <w:rPr>
          <w:spacing w:val="-1"/>
        </w:rPr>
        <w:t> </w:t>
      </w:r>
      <w:r>
        <w:rPr/>
        <w:t>This</w:t>
      </w:r>
      <w:r>
        <w:rPr>
          <w:spacing w:val="-1"/>
        </w:rPr>
        <w:t> </w:t>
      </w:r>
      <w:r>
        <w:rPr/>
        <w:t>imbalance</w:t>
      </w:r>
      <w:r>
        <w:rPr>
          <w:spacing w:val="-1"/>
        </w:rPr>
        <w:t> </w:t>
      </w:r>
      <w:r>
        <w:rPr/>
        <w:t>can</w:t>
      </w:r>
      <w:r>
        <w:rPr>
          <w:spacing w:val="-1"/>
        </w:rPr>
        <w:t> </w:t>
      </w:r>
      <w:r>
        <w:rPr/>
        <w:t>make</w:t>
      </w:r>
      <w:r>
        <w:rPr>
          <w:spacing w:val="-1"/>
        </w:rPr>
        <w:t> </w:t>
      </w:r>
      <w:r>
        <w:rPr/>
        <w:t>it difficult to challenge</w:t>
      </w:r>
      <w:r>
        <w:rPr>
          <w:spacing w:val="-1"/>
        </w:rPr>
        <w:t> </w:t>
      </w:r>
      <w:r>
        <w:rPr/>
        <w:t>invoices,</w:t>
      </w:r>
      <w:r>
        <w:rPr>
          <w:spacing w:val="-1"/>
        </w:rPr>
        <w:t> </w:t>
      </w:r>
      <w:r>
        <w:rPr/>
        <w:t>especially when</w:t>
      </w:r>
      <w:r>
        <w:rPr>
          <w:spacing w:val="-1"/>
        </w:rPr>
        <w:t> </w:t>
      </w:r>
      <w:r>
        <w:rPr/>
        <w:t>the</w:t>
      </w:r>
      <w:r>
        <w:rPr>
          <w:spacing w:val="-1"/>
        </w:rPr>
        <w:t> </w:t>
      </w:r>
      <w:r>
        <w:rPr/>
        <w:t>amount per shipment is small but the total annual impact is large.</w:t>
      </w:r>
    </w:p>
    <w:p>
      <w:pPr>
        <w:pStyle w:val="BodyText"/>
        <w:spacing w:line="276" w:lineRule="auto" w:before="202"/>
        <w:ind w:right="87"/>
      </w:pPr>
      <w:r>
        <w:rPr/>
        <w:t>Packaging research adds another important point: carton size directly affects volumetric weight. When a product is packed in a box larger than necessary, the shipper may pay for empty air. Better carton selection,</w:t>
      </w:r>
      <w:r>
        <w:rPr>
          <w:spacing w:val="-4"/>
        </w:rPr>
        <w:t> </w:t>
      </w:r>
      <w:r>
        <w:rPr/>
        <w:t>right-sized</w:t>
      </w:r>
      <w:r>
        <w:rPr>
          <w:spacing w:val="-5"/>
        </w:rPr>
        <w:t> </w:t>
      </w:r>
      <w:r>
        <w:rPr/>
        <w:t>packaging,</w:t>
      </w:r>
      <w:r>
        <w:rPr>
          <w:spacing w:val="-4"/>
        </w:rPr>
        <w:t> </w:t>
      </w:r>
      <w:r>
        <w:rPr/>
        <w:t>and</w:t>
      </w:r>
      <w:r>
        <w:rPr>
          <w:spacing w:val="-5"/>
        </w:rPr>
        <w:t> </w:t>
      </w:r>
      <w:r>
        <w:rPr/>
        <w:t>automated</w:t>
      </w:r>
      <w:r>
        <w:rPr>
          <w:spacing w:val="-4"/>
        </w:rPr>
        <w:t> </w:t>
      </w:r>
      <w:r>
        <w:rPr/>
        <w:t>dimension</w:t>
      </w:r>
      <w:r>
        <w:rPr>
          <w:spacing w:val="-5"/>
        </w:rPr>
        <w:t> </w:t>
      </w:r>
      <w:r>
        <w:rPr/>
        <w:t>capture</w:t>
      </w:r>
      <w:r>
        <w:rPr>
          <w:spacing w:val="-5"/>
        </w:rPr>
        <w:t> </w:t>
      </w:r>
      <w:r>
        <w:rPr/>
        <w:t>can</w:t>
      </w:r>
      <w:r>
        <w:rPr>
          <w:spacing w:val="-5"/>
        </w:rPr>
        <w:t> </w:t>
      </w:r>
      <w:r>
        <w:rPr/>
        <w:t>therefore</w:t>
      </w:r>
      <w:r>
        <w:rPr>
          <w:spacing w:val="-5"/>
        </w:rPr>
        <w:t> </w:t>
      </w:r>
      <w:r>
        <w:rPr/>
        <w:t>reduce</w:t>
      </w:r>
      <w:r>
        <w:rPr>
          <w:spacing w:val="-5"/>
        </w:rPr>
        <w:t> </w:t>
      </w:r>
      <w:r>
        <w:rPr/>
        <w:t>both</w:t>
      </w:r>
      <w:r>
        <w:rPr>
          <w:spacing w:val="-5"/>
        </w:rPr>
        <w:t> </w:t>
      </w:r>
      <w:r>
        <w:rPr/>
        <w:t>logistics</w:t>
      </w:r>
      <w:r>
        <w:rPr>
          <w:spacing w:val="-5"/>
        </w:rPr>
        <w:t> </w:t>
      </w:r>
      <w:r>
        <w:rPr/>
        <w:t>cost and billing disputes.</w:t>
      </w:r>
    </w:p>
    <w:p>
      <w:pPr>
        <w:pStyle w:val="BodyText"/>
        <w:spacing w:before="240"/>
        <w:ind w:left="0"/>
      </w:pPr>
    </w:p>
    <w:p>
      <w:pPr>
        <w:pStyle w:val="Heading1"/>
        <w:numPr>
          <w:ilvl w:val="0"/>
          <w:numId w:val="1"/>
        </w:numPr>
        <w:tabs>
          <w:tab w:pos="434" w:val="left" w:leader="none"/>
        </w:tabs>
        <w:spacing w:line="240" w:lineRule="auto" w:before="0" w:after="0"/>
        <w:ind w:left="434" w:right="0" w:hanging="360"/>
        <w:jc w:val="left"/>
      </w:pPr>
      <w:bookmarkStart w:name="III. Research Methodology" w:id="6"/>
      <w:bookmarkEnd w:id="6"/>
      <w:r>
        <w:rPr>
          <w:b w:val="0"/>
        </w:rPr>
      </w:r>
      <w:r>
        <w:rPr>
          <w:color w:val="355E90"/>
        </w:rPr>
        <w:t>Research</w:t>
      </w:r>
      <w:r>
        <w:rPr>
          <w:color w:val="355E90"/>
          <w:spacing w:val="-6"/>
        </w:rPr>
        <w:t> </w:t>
      </w:r>
      <w:r>
        <w:rPr>
          <w:color w:val="355E90"/>
          <w:spacing w:val="-2"/>
        </w:rPr>
        <w:t>Methodology</w:t>
      </w:r>
    </w:p>
    <w:p>
      <w:pPr>
        <w:pStyle w:val="BodyText"/>
        <w:spacing w:line="276" w:lineRule="auto" w:before="51"/>
        <w:ind w:right="156"/>
      </w:pPr>
      <w:r>
        <w:rPr/>
        <w:t>The study follows a descriptive and analytical approach. It combines survey-based responses from logistics and supply-chain professionals with secondary information such as carrier tariff structures, industry</w:t>
      </w:r>
      <w:r>
        <w:rPr>
          <w:spacing w:val="-4"/>
        </w:rPr>
        <w:t> </w:t>
      </w:r>
      <w:r>
        <w:rPr/>
        <w:t>audit</w:t>
      </w:r>
      <w:r>
        <w:rPr>
          <w:spacing w:val="-3"/>
        </w:rPr>
        <w:t> </w:t>
      </w:r>
      <w:r>
        <w:rPr/>
        <w:t>observations,</w:t>
      </w:r>
      <w:r>
        <w:rPr>
          <w:spacing w:val="-4"/>
        </w:rPr>
        <w:t> </w:t>
      </w:r>
      <w:r>
        <w:rPr/>
        <w:t>and</w:t>
      </w:r>
      <w:r>
        <w:rPr>
          <w:spacing w:val="-4"/>
        </w:rPr>
        <w:t> </w:t>
      </w:r>
      <w:r>
        <w:rPr/>
        <w:t>shipment</w:t>
      </w:r>
      <w:r>
        <w:rPr>
          <w:spacing w:val="-4"/>
        </w:rPr>
        <w:t> </w:t>
      </w:r>
      <w:r>
        <w:rPr/>
        <w:t>examples.</w:t>
      </w:r>
      <w:r>
        <w:rPr>
          <w:spacing w:val="-3"/>
        </w:rPr>
        <w:t> </w:t>
      </w:r>
      <w:r>
        <w:rPr/>
        <w:t>The</w:t>
      </w:r>
      <w:r>
        <w:rPr>
          <w:spacing w:val="-4"/>
        </w:rPr>
        <w:t> </w:t>
      </w:r>
      <w:r>
        <w:rPr/>
        <w:t>purpose</w:t>
      </w:r>
      <w:r>
        <w:rPr>
          <w:spacing w:val="-4"/>
        </w:rPr>
        <w:t> </w:t>
      </w:r>
      <w:r>
        <w:rPr/>
        <w:t>is</w:t>
      </w:r>
      <w:r>
        <w:rPr>
          <w:spacing w:val="-4"/>
        </w:rPr>
        <w:t> </w:t>
      </w:r>
      <w:r>
        <w:rPr/>
        <w:t>not</w:t>
      </w:r>
      <w:r>
        <w:rPr>
          <w:spacing w:val="-3"/>
        </w:rPr>
        <w:t> </w:t>
      </w:r>
      <w:r>
        <w:rPr/>
        <w:t>only</w:t>
      </w:r>
      <w:r>
        <w:rPr>
          <w:spacing w:val="-4"/>
        </w:rPr>
        <w:t> </w:t>
      </w:r>
      <w:r>
        <w:rPr/>
        <w:t>to</w:t>
      </w:r>
      <w:r>
        <w:rPr>
          <w:spacing w:val="-3"/>
        </w:rPr>
        <w:t> </w:t>
      </w:r>
      <w:r>
        <w:rPr/>
        <w:t>describe</w:t>
      </w:r>
      <w:r>
        <w:rPr>
          <w:spacing w:val="-4"/>
        </w:rPr>
        <w:t> </w:t>
      </w:r>
      <w:r>
        <w:rPr/>
        <w:t>the</w:t>
      </w:r>
      <w:r>
        <w:rPr>
          <w:spacing w:val="-4"/>
        </w:rPr>
        <w:t> </w:t>
      </w:r>
      <w:r>
        <w:rPr/>
        <w:t>problem</w:t>
      </w:r>
      <w:r>
        <w:rPr>
          <w:spacing w:val="-4"/>
        </w:rPr>
        <w:t> </w:t>
      </w:r>
      <w:r>
        <w:rPr/>
        <w:t>but also to identify where practical correction is possible.</w:t>
      </w:r>
    </w:p>
    <w:p>
      <w:pPr>
        <w:pStyle w:val="BodyText"/>
        <w:spacing w:line="276" w:lineRule="auto"/>
      </w:pPr>
      <w:r>
        <w:rPr/>
        <w:t>Respondents were selected from industries where courier and parcel movement is frequent, including e- commerce</w:t>
      </w:r>
      <w:r>
        <w:rPr>
          <w:spacing w:val="-5"/>
        </w:rPr>
        <w:t> </w:t>
      </w:r>
      <w:r>
        <w:rPr/>
        <w:t>retail,</w:t>
      </w:r>
      <w:r>
        <w:rPr>
          <w:spacing w:val="-4"/>
        </w:rPr>
        <w:t> </w:t>
      </w:r>
      <w:r>
        <w:rPr/>
        <w:t>fashion</w:t>
      </w:r>
      <w:r>
        <w:rPr>
          <w:spacing w:val="-5"/>
        </w:rPr>
        <w:t> </w:t>
      </w:r>
      <w:r>
        <w:rPr/>
        <w:t>and</w:t>
      </w:r>
      <w:r>
        <w:rPr>
          <w:spacing w:val="-5"/>
        </w:rPr>
        <w:t> </w:t>
      </w:r>
      <w:r>
        <w:rPr/>
        <w:t>apparel,</w:t>
      </w:r>
      <w:r>
        <w:rPr>
          <w:spacing w:val="-5"/>
        </w:rPr>
        <w:t> </w:t>
      </w:r>
      <w:r>
        <w:rPr/>
        <w:t>electronics,</w:t>
      </w:r>
      <w:r>
        <w:rPr>
          <w:spacing w:val="-4"/>
        </w:rPr>
        <w:t> </w:t>
      </w:r>
      <w:r>
        <w:rPr/>
        <w:t>FMCG</w:t>
      </w:r>
      <w:r>
        <w:rPr>
          <w:spacing w:val="-5"/>
        </w:rPr>
        <w:t> </w:t>
      </w:r>
      <w:r>
        <w:rPr/>
        <w:t>or</w:t>
      </w:r>
      <w:r>
        <w:rPr>
          <w:spacing w:val="-5"/>
        </w:rPr>
        <w:t> </w:t>
      </w:r>
      <w:r>
        <w:rPr/>
        <w:t>grocery,</w:t>
      </w:r>
      <w:r>
        <w:rPr>
          <w:spacing w:val="-5"/>
        </w:rPr>
        <w:t> </w:t>
      </w:r>
      <w:r>
        <w:rPr/>
        <w:t>healthcare</w:t>
      </w:r>
      <w:r>
        <w:rPr>
          <w:spacing w:val="-5"/>
        </w:rPr>
        <w:t> </w:t>
      </w:r>
      <w:r>
        <w:rPr/>
        <w:t>logistics,</w:t>
      </w:r>
      <w:r>
        <w:rPr>
          <w:spacing w:val="-4"/>
        </w:rPr>
        <w:t> </w:t>
      </w:r>
      <w:r>
        <w:rPr/>
        <w:t>and</w:t>
      </w:r>
      <w:r>
        <w:rPr>
          <w:spacing w:val="-5"/>
        </w:rPr>
        <w:t> </w:t>
      </w:r>
      <w:r>
        <w:rPr/>
        <w:t>B2B</w:t>
      </w:r>
      <w:r>
        <w:rPr>
          <w:spacing w:val="-5"/>
        </w:rPr>
        <w:t> </w:t>
      </w:r>
      <w:r>
        <w:rPr/>
        <w:t>freight. The survey focused on awareness of DIM billing, freight audit frequency, dispute experience, packaging practices, and perception of overcharging.</w:t>
      </w:r>
    </w:p>
    <w:p>
      <w:pPr>
        <w:pStyle w:val="BodyText"/>
        <w:spacing w:line="276" w:lineRule="auto"/>
        <w:ind w:right="156"/>
      </w:pPr>
      <w:r>
        <w:rPr/>
        <w:t>Revenue leakage was understood as the difference between the freight actually charged and the estimated</w:t>
      </w:r>
      <w:r>
        <w:rPr>
          <w:spacing w:val="-5"/>
        </w:rPr>
        <w:t> </w:t>
      </w:r>
      <w:r>
        <w:rPr/>
        <w:t>freight</w:t>
      </w:r>
      <w:r>
        <w:rPr>
          <w:spacing w:val="-5"/>
        </w:rPr>
        <w:t> </w:t>
      </w:r>
      <w:r>
        <w:rPr/>
        <w:t>that</w:t>
      </w:r>
      <w:r>
        <w:rPr>
          <w:spacing w:val="-4"/>
        </w:rPr>
        <w:t> </w:t>
      </w:r>
      <w:r>
        <w:rPr/>
        <w:t>would</w:t>
      </w:r>
      <w:r>
        <w:rPr>
          <w:spacing w:val="-5"/>
        </w:rPr>
        <w:t> </w:t>
      </w:r>
      <w:r>
        <w:rPr/>
        <w:t>have</w:t>
      </w:r>
      <w:r>
        <w:rPr>
          <w:spacing w:val="-5"/>
        </w:rPr>
        <w:t> </w:t>
      </w:r>
      <w:r>
        <w:rPr/>
        <w:t>applied</w:t>
      </w:r>
      <w:r>
        <w:rPr>
          <w:spacing w:val="-5"/>
        </w:rPr>
        <w:t> </w:t>
      </w:r>
      <w:r>
        <w:rPr/>
        <w:t>under</w:t>
      </w:r>
      <w:r>
        <w:rPr>
          <w:spacing w:val="-4"/>
        </w:rPr>
        <w:t> </w:t>
      </w:r>
      <w:r>
        <w:rPr/>
        <w:t>actual-weight</w:t>
      </w:r>
      <w:r>
        <w:rPr>
          <w:spacing w:val="-5"/>
        </w:rPr>
        <w:t> </w:t>
      </w:r>
      <w:r>
        <w:rPr/>
        <w:t>billing,</w:t>
      </w:r>
      <w:r>
        <w:rPr>
          <w:spacing w:val="-4"/>
        </w:rPr>
        <w:t> </w:t>
      </w:r>
      <w:r>
        <w:rPr/>
        <w:t>especially</w:t>
      </w:r>
      <w:r>
        <w:rPr>
          <w:spacing w:val="-4"/>
        </w:rPr>
        <w:t> </w:t>
      </w:r>
      <w:r>
        <w:rPr/>
        <w:t>in</w:t>
      </w:r>
      <w:r>
        <w:rPr>
          <w:spacing w:val="-5"/>
        </w:rPr>
        <w:t> </w:t>
      </w:r>
      <w:r>
        <w:rPr/>
        <w:t>cases</w:t>
      </w:r>
      <w:r>
        <w:rPr>
          <w:spacing w:val="-5"/>
        </w:rPr>
        <w:t> </w:t>
      </w:r>
      <w:r>
        <w:rPr/>
        <w:t>where</w:t>
      </w:r>
      <w:r>
        <w:rPr>
          <w:spacing w:val="-4"/>
        </w:rPr>
        <w:t> </w:t>
      </w:r>
      <w:r>
        <w:rPr/>
        <w:t>parcel</w:t>
      </w:r>
      <w:r>
        <w:rPr>
          <w:spacing w:val="-5"/>
        </w:rPr>
        <w:t> </w:t>
      </w:r>
      <w:r>
        <w:rPr/>
        <w:t>size increased the chargeable weight. The analysis used simple comparisons, percentage estimates, and carrier-wise benchmarking.</w:t>
      </w:r>
    </w:p>
    <w:p>
      <w:pPr>
        <w:pStyle w:val="BodyText"/>
        <w:spacing w:before="240"/>
        <w:ind w:left="0"/>
      </w:pPr>
    </w:p>
    <w:p>
      <w:pPr>
        <w:pStyle w:val="Heading1"/>
        <w:numPr>
          <w:ilvl w:val="0"/>
          <w:numId w:val="1"/>
        </w:numPr>
        <w:tabs>
          <w:tab w:pos="450" w:val="left" w:leader="none"/>
        </w:tabs>
        <w:spacing w:line="240" w:lineRule="auto" w:before="0" w:after="0"/>
        <w:ind w:left="450" w:right="0" w:hanging="376"/>
        <w:jc w:val="left"/>
      </w:pPr>
      <w:bookmarkStart w:name="IV. Data Analysis and Interpretation" w:id="7"/>
      <w:bookmarkEnd w:id="7"/>
      <w:r>
        <w:rPr>
          <w:b w:val="0"/>
        </w:rPr>
      </w:r>
      <w:r>
        <w:rPr>
          <w:color w:val="355E90"/>
        </w:rPr>
        <w:t>Data</w:t>
      </w:r>
      <w:r>
        <w:rPr>
          <w:color w:val="355E90"/>
          <w:spacing w:val="-4"/>
        </w:rPr>
        <w:t> </w:t>
      </w:r>
      <w:r>
        <w:rPr>
          <w:color w:val="355E90"/>
        </w:rPr>
        <w:t>Analysis</w:t>
      </w:r>
      <w:r>
        <w:rPr>
          <w:color w:val="355E90"/>
          <w:spacing w:val="-4"/>
        </w:rPr>
        <w:t> </w:t>
      </w:r>
      <w:r>
        <w:rPr>
          <w:color w:val="355E90"/>
        </w:rPr>
        <w:t>and</w:t>
      </w:r>
      <w:r>
        <w:rPr>
          <w:color w:val="355E90"/>
          <w:spacing w:val="-3"/>
        </w:rPr>
        <w:t> </w:t>
      </w:r>
      <w:r>
        <w:rPr>
          <w:color w:val="355E90"/>
          <w:spacing w:val="-2"/>
        </w:rPr>
        <w:t>Interpretation</w:t>
      </w:r>
    </w:p>
    <w:p>
      <w:pPr>
        <w:pStyle w:val="BodyText"/>
        <w:spacing w:line="276" w:lineRule="auto" w:before="51"/>
        <w:ind w:right="156"/>
      </w:pPr>
      <w:r>
        <w:rPr/>
        <w:t>The analysis shows that the impact of dimensional billing is uneven across sectors. Product density and packaging behaviour are the main reasons for this difference. A dense shipment, such as heavy electronics</w:t>
      </w:r>
      <w:r>
        <w:rPr>
          <w:spacing w:val="-4"/>
        </w:rPr>
        <w:t> </w:t>
      </w:r>
      <w:r>
        <w:rPr/>
        <w:t>packed</w:t>
      </w:r>
      <w:r>
        <w:rPr>
          <w:spacing w:val="-5"/>
        </w:rPr>
        <w:t> </w:t>
      </w:r>
      <w:r>
        <w:rPr/>
        <w:t>compactly,</w:t>
      </w:r>
      <w:r>
        <w:rPr>
          <w:spacing w:val="-4"/>
        </w:rPr>
        <w:t> </w:t>
      </w:r>
      <w:r>
        <w:rPr/>
        <w:t>is</w:t>
      </w:r>
      <w:r>
        <w:rPr>
          <w:spacing w:val="-5"/>
        </w:rPr>
        <w:t> </w:t>
      </w:r>
      <w:r>
        <w:rPr/>
        <w:t>less</w:t>
      </w:r>
      <w:r>
        <w:rPr>
          <w:spacing w:val="-5"/>
        </w:rPr>
        <w:t> </w:t>
      </w:r>
      <w:r>
        <w:rPr/>
        <w:t>affected.</w:t>
      </w:r>
      <w:r>
        <w:rPr>
          <w:spacing w:val="-4"/>
        </w:rPr>
        <w:t> </w:t>
      </w:r>
      <w:r>
        <w:rPr/>
        <w:t>A</w:t>
      </w:r>
      <w:r>
        <w:rPr>
          <w:spacing w:val="-5"/>
        </w:rPr>
        <w:t> </w:t>
      </w:r>
      <w:r>
        <w:rPr/>
        <w:t>bulky</w:t>
      </w:r>
      <w:r>
        <w:rPr>
          <w:spacing w:val="-4"/>
        </w:rPr>
        <w:t> </w:t>
      </w:r>
      <w:r>
        <w:rPr/>
        <w:t>but</w:t>
      </w:r>
      <w:r>
        <w:rPr>
          <w:spacing w:val="-4"/>
        </w:rPr>
        <w:t> </w:t>
      </w:r>
      <w:r>
        <w:rPr/>
        <w:t>light</w:t>
      </w:r>
      <w:r>
        <w:rPr>
          <w:spacing w:val="-4"/>
        </w:rPr>
        <w:t> </w:t>
      </w:r>
      <w:r>
        <w:rPr/>
        <w:t>shipment,</w:t>
      </w:r>
      <w:r>
        <w:rPr>
          <w:spacing w:val="-5"/>
        </w:rPr>
        <w:t> </w:t>
      </w:r>
      <w:r>
        <w:rPr/>
        <w:t>such</w:t>
      </w:r>
      <w:r>
        <w:rPr>
          <w:spacing w:val="-5"/>
        </w:rPr>
        <w:t> </w:t>
      </w:r>
      <w:r>
        <w:rPr/>
        <w:t>as</w:t>
      </w:r>
      <w:r>
        <w:rPr>
          <w:spacing w:val="-4"/>
        </w:rPr>
        <w:t> </w:t>
      </w:r>
      <w:r>
        <w:rPr/>
        <w:t>footwear,</w:t>
      </w:r>
      <w:r>
        <w:rPr>
          <w:spacing w:val="-4"/>
        </w:rPr>
        <w:t> </w:t>
      </w:r>
      <w:r>
        <w:rPr/>
        <w:t>apparel,</w:t>
      </w:r>
      <w:r>
        <w:rPr>
          <w:spacing w:val="-4"/>
        </w:rPr>
        <w:t> </w:t>
      </w:r>
      <w:r>
        <w:rPr/>
        <w:t>toys, or</w:t>
      </w:r>
      <w:r>
        <w:rPr>
          <w:spacing w:val="-6"/>
        </w:rPr>
        <w:t> </w:t>
      </w:r>
      <w:r>
        <w:rPr/>
        <w:t>home</w:t>
      </w:r>
      <w:r>
        <w:rPr>
          <w:spacing w:val="-4"/>
        </w:rPr>
        <w:t> </w:t>
      </w:r>
      <w:r>
        <w:rPr/>
        <w:t>décor,</w:t>
      </w:r>
      <w:r>
        <w:rPr>
          <w:spacing w:val="-4"/>
        </w:rPr>
        <w:t> </w:t>
      </w:r>
      <w:r>
        <w:rPr/>
        <w:t>is</w:t>
      </w:r>
      <w:r>
        <w:rPr>
          <w:spacing w:val="-5"/>
        </w:rPr>
        <w:t> </w:t>
      </w:r>
      <w:r>
        <w:rPr/>
        <w:t>more</w:t>
      </w:r>
      <w:r>
        <w:rPr>
          <w:spacing w:val="-4"/>
        </w:rPr>
        <w:t> </w:t>
      </w:r>
      <w:r>
        <w:rPr/>
        <w:t>exposed</w:t>
      </w:r>
      <w:r>
        <w:rPr>
          <w:spacing w:val="-4"/>
        </w:rPr>
        <w:t> </w:t>
      </w:r>
      <w:r>
        <w:rPr/>
        <w:t>because</w:t>
      </w:r>
      <w:r>
        <w:rPr>
          <w:spacing w:val="-4"/>
        </w:rPr>
        <w:t> </w:t>
      </w:r>
      <w:r>
        <w:rPr/>
        <w:t>the</w:t>
      </w:r>
      <w:r>
        <w:rPr>
          <w:spacing w:val="-4"/>
        </w:rPr>
        <w:t> </w:t>
      </w:r>
      <w:r>
        <w:rPr/>
        <w:t>box</w:t>
      </w:r>
      <w:r>
        <w:rPr>
          <w:spacing w:val="-3"/>
        </w:rPr>
        <w:t> </w:t>
      </w:r>
      <w:r>
        <w:rPr/>
        <w:t>occupies</w:t>
      </w:r>
      <w:r>
        <w:rPr>
          <w:spacing w:val="-5"/>
        </w:rPr>
        <w:t> </w:t>
      </w:r>
      <w:r>
        <w:rPr/>
        <w:t>more</w:t>
      </w:r>
      <w:r>
        <w:rPr>
          <w:spacing w:val="-4"/>
        </w:rPr>
        <w:t> </w:t>
      </w:r>
      <w:r>
        <w:rPr/>
        <w:t>space</w:t>
      </w:r>
      <w:r>
        <w:rPr>
          <w:spacing w:val="-3"/>
        </w:rPr>
        <w:t> </w:t>
      </w:r>
      <w:r>
        <w:rPr/>
        <w:t>than</w:t>
      </w:r>
      <w:r>
        <w:rPr>
          <w:spacing w:val="-4"/>
        </w:rPr>
        <w:t> </w:t>
      </w:r>
      <w:r>
        <w:rPr/>
        <w:t>its</w:t>
      </w:r>
      <w:r>
        <w:rPr>
          <w:spacing w:val="-4"/>
        </w:rPr>
        <w:t> </w:t>
      </w:r>
      <w:r>
        <w:rPr/>
        <w:t>physical</w:t>
      </w:r>
      <w:r>
        <w:rPr>
          <w:spacing w:val="-4"/>
        </w:rPr>
        <w:t> </w:t>
      </w:r>
      <w:r>
        <w:rPr/>
        <w:t>weight</w:t>
      </w:r>
      <w:r>
        <w:rPr>
          <w:spacing w:val="-4"/>
        </w:rPr>
        <w:t> </w:t>
      </w:r>
      <w:r>
        <w:rPr>
          <w:spacing w:val="-2"/>
        </w:rPr>
        <w:t>suggests.</w:t>
      </w:r>
    </w:p>
    <w:p>
      <w:pPr>
        <w:pStyle w:val="BodyText"/>
        <w:spacing w:line="276" w:lineRule="auto"/>
        <w:ind w:right="87"/>
      </w:pPr>
      <w:r>
        <w:rPr/>
        <w:t>Fashion and apparel show the highest estimated leakage because many items are packed in air-filled cartons or protective boxes that increase volume without adding much weight. E-commerce retail is also highly exposed because sellers ship a wide mix of product sizes and may not always use optimal packaging.</w:t>
      </w:r>
      <w:r>
        <w:rPr>
          <w:spacing w:val="-3"/>
        </w:rPr>
        <w:t> </w:t>
      </w:r>
      <w:r>
        <w:rPr/>
        <w:t>FMCG</w:t>
      </w:r>
      <w:r>
        <w:rPr>
          <w:spacing w:val="-3"/>
        </w:rPr>
        <w:t> </w:t>
      </w:r>
      <w:r>
        <w:rPr/>
        <w:t>and</w:t>
      </w:r>
      <w:r>
        <w:rPr>
          <w:spacing w:val="-4"/>
        </w:rPr>
        <w:t> </w:t>
      </w:r>
      <w:r>
        <w:rPr/>
        <w:t>grocery</w:t>
      </w:r>
      <w:r>
        <w:rPr>
          <w:spacing w:val="-4"/>
        </w:rPr>
        <w:t> </w:t>
      </w:r>
      <w:r>
        <w:rPr/>
        <w:t>show</w:t>
      </w:r>
      <w:r>
        <w:rPr>
          <w:spacing w:val="-4"/>
        </w:rPr>
        <w:t> </w:t>
      </w:r>
      <w:r>
        <w:rPr/>
        <w:t>lower</w:t>
      </w:r>
      <w:r>
        <w:rPr>
          <w:spacing w:val="-4"/>
        </w:rPr>
        <w:t> </w:t>
      </w:r>
      <w:r>
        <w:rPr/>
        <w:t>leakage</w:t>
      </w:r>
      <w:r>
        <w:rPr>
          <w:spacing w:val="-4"/>
        </w:rPr>
        <w:t> </w:t>
      </w:r>
      <w:r>
        <w:rPr/>
        <w:t>because</w:t>
      </w:r>
      <w:r>
        <w:rPr>
          <w:spacing w:val="-4"/>
        </w:rPr>
        <w:t> </w:t>
      </w:r>
      <w:r>
        <w:rPr/>
        <w:t>many</w:t>
      </w:r>
      <w:r>
        <w:rPr>
          <w:spacing w:val="-4"/>
        </w:rPr>
        <w:t> </w:t>
      </w:r>
      <w:r>
        <w:rPr/>
        <w:t>products</w:t>
      </w:r>
      <w:r>
        <w:rPr>
          <w:spacing w:val="-4"/>
        </w:rPr>
        <w:t> </w:t>
      </w:r>
      <w:r>
        <w:rPr/>
        <w:t>are</w:t>
      </w:r>
      <w:r>
        <w:rPr>
          <w:spacing w:val="-4"/>
        </w:rPr>
        <w:t> </w:t>
      </w:r>
      <w:r>
        <w:rPr/>
        <w:t>relatively</w:t>
      </w:r>
      <w:r>
        <w:rPr>
          <w:spacing w:val="-4"/>
        </w:rPr>
        <w:t> </w:t>
      </w:r>
      <w:r>
        <w:rPr/>
        <w:t>dense,</w:t>
      </w:r>
      <w:r>
        <w:rPr>
          <w:spacing w:val="-3"/>
        </w:rPr>
        <w:t> </w:t>
      </w:r>
      <w:r>
        <w:rPr/>
        <w:t>so</w:t>
      </w:r>
      <w:r>
        <w:rPr>
          <w:spacing w:val="-4"/>
        </w:rPr>
        <w:t> </w:t>
      </w:r>
      <w:r>
        <w:rPr/>
        <w:t>actual weight often remains close to or higher than dimensional weight.</w:t>
      </w:r>
    </w:p>
    <w:p>
      <w:pPr>
        <w:pStyle w:val="BodyText"/>
        <w:spacing w:after="0" w:line="276" w:lineRule="auto"/>
        <w:sectPr>
          <w:pgSz w:w="12240" w:h="15840"/>
          <w:pgMar w:top="920" w:bottom="280" w:left="1080" w:right="1080"/>
        </w:sectPr>
      </w:pPr>
    </w:p>
    <w:p>
      <w:pPr>
        <w:pStyle w:val="Heading2"/>
        <w:numPr>
          <w:ilvl w:val="1"/>
          <w:numId w:val="2"/>
        </w:numPr>
        <w:tabs>
          <w:tab w:pos="432" w:val="left" w:leader="none"/>
        </w:tabs>
        <w:spacing w:line="240" w:lineRule="auto" w:before="88" w:after="0"/>
        <w:ind w:left="432" w:right="0" w:hanging="358"/>
        <w:jc w:val="left"/>
      </w:pPr>
      <w:bookmarkStart w:name="4.1 Sector-wise Leakage" w:id="8"/>
      <w:bookmarkEnd w:id="8"/>
      <w:r>
        <w:rPr>
          <w:b w:val="0"/>
        </w:rPr>
      </w:r>
      <w:r>
        <w:rPr>
          <w:color w:val="4E80BC"/>
        </w:rPr>
        <w:t>Sector-wise</w:t>
      </w:r>
      <w:r>
        <w:rPr>
          <w:color w:val="4E80BC"/>
          <w:spacing w:val="-8"/>
        </w:rPr>
        <w:t> </w:t>
      </w:r>
      <w:r>
        <w:rPr>
          <w:color w:val="4E80BC"/>
          <w:spacing w:val="-2"/>
        </w:rPr>
        <w:t>Leakage</w:t>
      </w:r>
    </w:p>
    <w:p>
      <w:pPr>
        <w:pStyle w:val="BodyText"/>
        <w:spacing w:before="6"/>
        <w:ind w:left="0"/>
        <w:rPr>
          <w:rFonts w:ascii="Calibri"/>
          <w:b/>
          <w:sz w:val="15"/>
        </w:rPr>
      </w:pPr>
      <w:r>
        <w:rPr>
          <w:rFonts w:ascii="Calibri"/>
          <w:b/>
          <w:sz w:val="15"/>
        </w:rPr>
        <w:drawing>
          <wp:anchor distT="0" distB="0" distL="0" distR="0" allowOverlap="1" layoutInCell="1" locked="0" behindDoc="1" simplePos="0" relativeHeight="487587840">
            <wp:simplePos x="0" y="0"/>
            <wp:positionH relativeFrom="page">
              <wp:posOffset>955439</wp:posOffset>
            </wp:positionH>
            <wp:positionV relativeFrom="paragraph">
              <wp:posOffset>135678</wp:posOffset>
            </wp:positionV>
            <wp:extent cx="5586798" cy="3151631"/>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586798" cy="3151631"/>
                    </a:xfrm>
                    <a:prstGeom prst="rect">
                      <a:avLst/>
                    </a:prstGeom>
                  </pic:spPr>
                </pic:pic>
              </a:graphicData>
            </a:graphic>
          </wp:anchor>
        </w:drawing>
      </w:r>
    </w:p>
    <w:p>
      <w:pPr>
        <w:pStyle w:val="BodyText"/>
        <w:spacing w:before="185"/>
        <w:ind w:left="0"/>
        <w:rPr>
          <w:rFonts w:ascii="Calibri"/>
          <w:b/>
          <w:sz w:val="24"/>
        </w:rPr>
      </w:pPr>
    </w:p>
    <w:p>
      <w:pPr>
        <w:pStyle w:val="BodyText"/>
        <w:spacing w:before="0"/>
        <w:ind w:left="133" w:right="135"/>
        <w:jc w:val="center"/>
      </w:pPr>
      <w:r>
        <w:rPr/>
        <w:t>Figure</w:t>
      </w:r>
      <w:r>
        <w:rPr>
          <w:spacing w:val="-7"/>
        </w:rPr>
        <w:t> </w:t>
      </w:r>
      <w:r>
        <w:rPr/>
        <w:t>1.</w:t>
      </w:r>
      <w:r>
        <w:rPr>
          <w:spacing w:val="-4"/>
        </w:rPr>
        <w:t> </w:t>
      </w:r>
      <w:r>
        <w:rPr/>
        <w:t>Estimated</w:t>
      </w:r>
      <w:r>
        <w:rPr>
          <w:spacing w:val="-4"/>
        </w:rPr>
        <w:t> </w:t>
      </w:r>
      <w:r>
        <w:rPr/>
        <w:t>leakage</w:t>
      </w:r>
      <w:r>
        <w:rPr>
          <w:spacing w:val="-4"/>
        </w:rPr>
        <w:t> </w:t>
      </w:r>
      <w:r>
        <w:rPr/>
        <w:t>due</w:t>
      </w:r>
      <w:r>
        <w:rPr>
          <w:spacing w:val="-4"/>
        </w:rPr>
        <w:t> </w:t>
      </w:r>
      <w:r>
        <w:rPr/>
        <w:t>to</w:t>
      </w:r>
      <w:r>
        <w:rPr>
          <w:spacing w:val="-5"/>
        </w:rPr>
        <w:t> </w:t>
      </w:r>
      <w:r>
        <w:rPr/>
        <w:t>dimensional</w:t>
      </w:r>
      <w:r>
        <w:rPr>
          <w:spacing w:val="-5"/>
        </w:rPr>
        <w:t> </w:t>
      </w:r>
      <w:r>
        <w:rPr/>
        <w:t>billing</w:t>
      </w:r>
      <w:r>
        <w:rPr>
          <w:spacing w:val="-5"/>
        </w:rPr>
        <w:t> </w:t>
      </w:r>
      <w:r>
        <w:rPr/>
        <w:t>by</w:t>
      </w:r>
      <w:r>
        <w:rPr>
          <w:spacing w:val="-4"/>
        </w:rPr>
        <w:t> </w:t>
      </w:r>
      <w:r>
        <w:rPr>
          <w:spacing w:val="-2"/>
        </w:rPr>
        <w:t>sector.</w:t>
      </w:r>
    </w:p>
    <w:p>
      <w:pPr>
        <w:pStyle w:val="BodyText"/>
        <w:spacing w:before="236"/>
      </w:pPr>
      <w:r>
        <w:rPr/>
        <w:t>Table</w:t>
      </w:r>
      <w:r>
        <w:rPr>
          <w:spacing w:val="-7"/>
        </w:rPr>
        <w:t> </w:t>
      </w:r>
      <w:r>
        <w:rPr/>
        <w:t>1.</w:t>
      </w:r>
      <w:r>
        <w:rPr>
          <w:spacing w:val="-4"/>
        </w:rPr>
        <w:t> </w:t>
      </w:r>
      <w:r>
        <w:rPr/>
        <w:t>Awareness</w:t>
      </w:r>
      <w:r>
        <w:rPr>
          <w:spacing w:val="-3"/>
        </w:rPr>
        <w:t> </w:t>
      </w:r>
      <w:r>
        <w:rPr/>
        <w:t>and</w:t>
      </w:r>
      <w:r>
        <w:rPr>
          <w:spacing w:val="-4"/>
        </w:rPr>
        <w:t> </w:t>
      </w:r>
      <w:r>
        <w:rPr/>
        <w:t>audit</w:t>
      </w:r>
      <w:r>
        <w:rPr>
          <w:spacing w:val="-4"/>
        </w:rPr>
        <w:t> </w:t>
      </w:r>
      <w:r>
        <w:rPr/>
        <w:t>practices</w:t>
      </w:r>
      <w:r>
        <w:rPr>
          <w:spacing w:val="-5"/>
        </w:rPr>
        <w:t> </w:t>
      </w:r>
      <w:r>
        <w:rPr/>
        <w:t>among</w:t>
      </w:r>
      <w:r>
        <w:rPr>
          <w:spacing w:val="-4"/>
        </w:rPr>
        <w:t> </w:t>
      </w:r>
      <w:r>
        <w:rPr>
          <w:spacing w:val="-2"/>
        </w:rPr>
        <w:t>respondents</w:t>
      </w:r>
    </w:p>
    <w:p>
      <w:pPr>
        <w:pStyle w:val="BodyText"/>
        <w:spacing w:before="7"/>
        <w:ind w:left="0"/>
        <w:rPr>
          <w:sz w:val="20"/>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12"/>
        <w:gridCol w:w="3312"/>
        <w:gridCol w:w="3312"/>
      </w:tblGrid>
      <w:tr>
        <w:trPr>
          <w:trHeight w:val="207" w:hRule="atLeast"/>
        </w:trPr>
        <w:tc>
          <w:tcPr>
            <w:tcW w:w="3312" w:type="dxa"/>
            <w:shd w:val="clear" w:color="auto" w:fill="D8E9F6"/>
          </w:tcPr>
          <w:p>
            <w:pPr>
              <w:pStyle w:val="TableParagraph"/>
              <w:spacing w:line="188" w:lineRule="exact"/>
              <w:rPr>
                <w:rFonts w:ascii="Arial"/>
                <w:b/>
                <w:sz w:val="18"/>
              </w:rPr>
            </w:pPr>
            <w:r>
              <w:rPr>
                <w:rFonts w:ascii="Arial"/>
                <w:b/>
                <w:sz w:val="18"/>
              </w:rPr>
              <w:t>Response</w:t>
            </w:r>
            <w:r>
              <w:rPr>
                <w:rFonts w:ascii="Arial"/>
                <w:b/>
                <w:spacing w:val="-4"/>
                <w:sz w:val="18"/>
              </w:rPr>
              <w:t> </w:t>
            </w:r>
            <w:r>
              <w:rPr>
                <w:rFonts w:ascii="Arial"/>
                <w:b/>
                <w:sz w:val="18"/>
              </w:rPr>
              <w:t>/</w:t>
            </w:r>
            <w:r>
              <w:rPr>
                <w:rFonts w:ascii="Arial"/>
                <w:b/>
                <w:spacing w:val="-4"/>
                <w:sz w:val="18"/>
              </w:rPr>
              <w:t> </w:t>
            </w:r>
            <w:r>
              <w:rPr>
                <w:rFonts w:ascii="Arial"/>
                <w:b/>
                <w:spacing w:val="-2"/>
                <w:sz w:val="18"/>
              </w:rPr>
              <w:t>practice</w:t>
            </w:r>
          </w:p>
        </w:tc>
        <w:tc>
          <w:tcPr>
            <w:tcW w:w="3312" w:type="dxa"/>
            <w:shd w:val="clear" w:color="auto" w:fill="D8E9F6"/>
          </w:tcPr>
          <w:p>
            <w:pPr>
              <w:pStyle w:val="TableParagraph"/>
              <w:spacing w:line="188" w:lineRule="exact"/>
              <w:rPr>
                <w:rFonts w:ascii="Arial"/>
                <w:b/>
                <w:sz w:val="18"/>
              </w:rPr>
            </w:pPr>
            <w:r>
              <w:rPr>
                <w:rFonts w:ascii="Arial"/>
                <w:b/>
                <w:sz w:val="18"/>
              </w:rPr>
              <w:t>No.</w:t>
            </w:r>
            <w:r>
              <w:rPr>
                <w:rFonts w:ascii="Arial"/>
                <w:b/>
                <w:spacing w:val="-2"/>
                <w:sz w:val="18"/>
              </w:rPr>
              <w:t> </w:t>
            </w:r>
            <w:r>
              <w:rPr>
                <w:rFonts w:ascii="Arial"/>
                <w:b/>
                <w:sz w:val="18"/>
              </w:rPr>
              <w:t>of</w:t>
            </w:r>
            <w:r>
              <w:rPr>
                <w:rFonts w:ascii="Arial"/>
                <w:b/>
                <w:spacing w:val="-2"/>
                <w:sz w:val="18"/>
              </w:rPr>
              <w:t> respondents</w:t>
            </w:r>
          </w:p>
        </w:tc>
        <w:tc>
          <w:tcPr>
            <w:tcW w:w="3312" w:type="dxa"/>
            <w:shd w:val="clear" w:color="auto" w:fill="D8E9F6"/>
          </w:tcPr>
          <w:p>
            <w:pPr>
              <w:pStyle w:val="TableParagraph"/>
              <w:spacing w:line="188" w:lineRule="exact"/>
              <w:rPr>
                <w:rFonts w:ascii="Arial"/>
                <w:b/>
                <w:sz w:val="18"/>
              </w:rPr>
            </w:pPr>
            <w:r>
              <w:rPr>
                <w:rFonts w:ascii="Arial"/>
                <w:b/>
                <w:spacing w:val="-2"/>
                <w:sz w:val="18"/>
              </w:rPr>
              <w:t>Percentage</w:t>
            </w:r>
          </w:p>
        </w:tc>
      </w:tr>
      <w:tr>
        <w:trPr>
          <w:trHeight w:val="206" w:hRule="atLeast"/>
        </w:trPr>
        <w:tc>
          <w:tcPr>
            <w:tcW w:w="3312" w:type="dxa"/>
          </w:tcPr>
          <w:p>
            <w:pPr>
              <w:pStyle w:val="TableParagraph"/>
              <w:spacing w:line="186" w:lineRule="exact"/>
              <w:rPr>
                <w:sz w:val="18"/>
              </w:rPr>
            </w:pPr>
            <w:r>
              <w:rPr>
                <w:sz w:val="18"/>
              </w:rPr>
              <w:t>Aware</w:t>
            </w:r>
            <w:r>
              <w:rPr>
                <w:spacing w:val="-3"/>
                <w:sz w:val="18"/>
              </w:rPr>
              <w:t> </w:t>
            </w:r>
            <w:r>
              <w:rPr>
                <w:sz w:val="18"/>
              </w:rPr>
              <w:t>of</w:t>
            </w:r>
            <w:r>
              <w:rPr>
                <w:spacing w:val="-3"/>
                <w:sz w:val="18"/>
              </w:rPr>
              <w:t> </w:t>
            </w:r>
            <w:r>
              <w:rPr>
                <w:sz w:val="18"/>
              </w:rPr>
              <w:t>carrier</w:t>
            </w:r>
            <w:r>
              <w:rPr>
                <w:spacing w:val="-3"/>
                <w:sz w:val="18"/>
              </w:rPr>
              <w:t> </w:t>
            </w:r>
            <w:r>
              <w:rPr>
                <w:sz w:val="18"/>
              </w:rPr>
              <w:t>DIM</w:t>
            </w:r>
            <w:r>
              <w:rPr>
                <w:spacing w:val="-3"/>
                <w:sz w:val="18"/>
              </w:rPr>
              <w:t> </w:t>
            </w:r>
            <w:r>
              <w:rPr>
                <w:sz w:val="18"/>
              </w:rPr>
              <w:t>weight</w:t>
            </w:r>
            <w:r>
              <w:rPr>
                <w:spacing w:val="-3"/>
                <w:sz w:val="18"/>
              </w:rPr>
              <w:t> </w:t>
            </w:r>
            <w:r>
              <w:rPr>
                <w:spacing w:val="-2"/>
                <w:sz w:val="18"/>
              </w:rPr>
              <w:t>policy</w:t>
            </w:r>
          </w:p>
        </w:tc>
        <w:tc>
          <w:tcPr>
            <w:tcW w:w="3312" w:type="dxa"/>
          </w:tcPr>
          <w:p>
            <w:pPr>
              <w:pStyle w:val="TableParagraph"/>
              <w:spacing w:line="186" w:lineRule="exact"/>
              <w:rPr>
                <w:sz w:val="18"/>
              </w:rPr>
            </w:pPr>
            <w:r>
              <w:rPr>
                <w:spacing w:val="-5"/>
                <w:sz w:val="18"/>
              </w:rPr>
              <w:t>89</w:t>
            </w:r>
          </w:p>
        </w:tc>
        <w:tc>
          <w:tcPr>
            <w:tcW w:w="3312" w:type="dxa"/>
          </w:tcPr>
          <w:p>
            <w:pPr>
              <w:pStyle w:val="TableParagraph"/>
              <w:spacing w:line="186" w:lineRule="exact"/>
              <w:rPr>
                <w:sz w:val="18"/>
              </w:rPr>
            </w:pPr>
            <w:r>
              <w:rPr>
                <w:spacing w:val="-5"/>
                <w:sz w:val="18"/>
              </w:rPr>
              <w:t>74%</w:t>
            </w:r>
          </w:p>
        </w:tc>
      </w:tr>
      <w:tr>
        <w:trPr>
          <w:trHeight w:val="207" w:hRule="atLeast"/>
        </w:trPr>
        <w:tc>
          <w:tcPr>
            <w:tcW w:w="3312" w:type="dxa"/>
          </w:tcPr>
          <w:p>
            <w:pPr>
              <w:pStyle w:val="TableParagraph"/>
              <w:spacing w:line="188" w:lineRule="exact"/>
              <w:rPr>
                <w:sz w:val="18"/>
              </w:rPr>
            </w:pPr>
            <w:r>
              <w:rPr>
                <w:sz w:val="18"/>
              </w:rPr>
              <w:t>Conduct</w:t>
            </w:r>
            <w:r>
              <w:rPr>
                <w:spacing w:val="-5"/>
                <w:sz w:val="18"/>
              </w:rPr>
              <w:t> </w:t>
            </w:r>
            <w:r>
              <w:rPr>
                <w:sz w:val="18"/>
              </w:rPr>
              <w:t>regular</w:t>
            </w:r>
            <w:r>
              <w:rPr>
                <w:spacing w:val="-4"/>
                <w:sz w:val="18"/>
              </w:rPr>
              <w:t> </w:t>
            </w:r>
            <w:r>
              <w:rPr>
                <w:sz w:val="18"/>
              </w:rPr>
              <w:t>freight</w:t>
            </w:r>
            <w:r>
              <w:rPr>
                <w:spacing w:val="-4"/>
                <w:sz w:val="18"/>
              </w:rPr>
              <w:t> </w:t>
            </w:r>
            <w:r>
              <w:rPr>
                <w:spacing w:val="-2"/>
                <w:sz w:val="18"/>
              </w:rPr>
              <w:t>audits</w:t>
            </w:r>
          </w:p>
        </w:tc>
        <w:tc>
          <w:tcPr>
            <w:tcW w:w="3312" w:type="dxa"/>
          </w:tcPr>
          <w:p>
            <w:pPr>
              <w:pStyle w:val="TableParagraph"/>
              <w:spacing w:line="188" w:lineRule="exact"/>
              <w:rPr>
                <w:sz w:val="18"/>
              </w:rPr>
            </w:pPr>
            <w:r>
              <w:rPr>
                <w:spacing w:val="-5"/>
                <w:sz w:val="18"/>
              </w:rPr>
              <w:t>27</w:t>
            </w:r>
          </w:p>
        </w:tc>
        <w:tc>
          <w:tcPr>
            <w:tcW w:w="3312" w:type="dxa"/>
          </w:tcPr>
          <w:p>
            <w:pPr>
              <w:pStyle w:val="TableParagraph"/>
              <w:spacing w:line="188" w:lineRule="exact"/>
              <w:rPr>
                <w:sz w:val="18"/>
              </w:rPr>
            </w:pPr>
            <w:r>
              <w:rPr>
                <w:spacing w:val="-5"/>
                <w:sz w:val="18"/>
              </w:rPr>
              <w:t>23%</w:t>
            </w:r>
          </w:p>
        </w:tc>
      </w:tr>
      <w:tr>
        <w:trPr>
          <w:trHeight w:val="206" w:hRule="atLeast"/>
        </w:trPr>
        <w:tc>
          <w:tcPr>
            <w:tcW w:w="3312" w:type="dxa"/>
          </w:tcPr>
          <w:p>
            <w:pPr>
              <w:pStyle w:val="TableParagraph"/>
              <w:spacing w:line="186" w:lineRule="exact"/>
              <w:rPr>
                <w:sz w:val="18"/>
              </w:rPr>
            </w:pPr>
            <w:r>
              <w:rPr>
                <w:sz w:val="18"/>
              </w:rPr>
              <w:t>Have</w:t>
            </w:r>
            <w:r>
              <w:rPr>
                <w:spacing w:val="-4"/>
                <w:sz w:val="18"/>
              </w:rPr>
              <w:t> </w:t>
            </w:r>
            <w:r>
              <w:rPr>
                <w:sz w:val="18"/>
              </w:rPr>
              <w:t>filed</w:t>
            </w:r>
            <w:r>
              <w:rPr>
                <w:spacing w:val="-3"/>
                <w:sz w:val="18"/>
              </w:rPr>
              <w:t> </w:t>
            </w:r>
            <w:r>
              <w:rPr>
                <w:sz w:val="18"/>
              </w:rPr>
              <w:t>a</w:t>
            </w:r>
            <w:r>
              <w:rPr>
                <w:spacing w:val="-3"/>
                <w:sz w:val="18"/>
              </w:rPr>
              <w:t> </w:t>
            </w:r>
            <w:r>
              <w:rPr>
                <w:sz w:val="18"/>
              </w:rPr>
              <w:t>DIM</w:t>
            </w:r>
            <w:r>
              <w:rPr>
                <w:spacing w:val="-3"/>
                <w:sz w:val="18"/>
              </w:rPr>
              <w:t> </w:t>
            </w:r>
            <w:r>
              <w:rPr>
                <w:sz w:val="18"/>
              </w:rPr>
              <w:t>weight</w:t>
            </w:r>
            <w:r>
              <w:rPr>
                <w:spacing w:val="-3"/>
                <w:sz w:val="18"/>
              </w:rPr>
              <w:t> </w:t>
            </w:r>
            <w:r>
              <w:rPr>
                <w:spacing w:val="-2"/>
                <w:sz w:val="18"/>
              </w:rPr>
              <w:t>dispute</w:t>
            </w:r>
          </w:p>
        </w:tc>
        <w:tc>
          <w:tcPr>
            <w:tcW w:w="3312" w:type="dxa"/>
          </w:tcPr>
          <w:p>
            <w:pPr>
              <w:pStyle w:val="TableParagraph"/>
              <w:spacing w:line="186" w:lineRule="exact"/>
              <w:rPr>
                <w:sz w:val="18"/>
              </w:rPr>
            </w:pPr>
            <w:r>
              <w:rPr>
                <w:spacing w:val="-5"/>
                <w:sz w:val="18"/>
              </w:rPr>
              <w:t>41</w:t>
            </w:r>
          </w:p>
        </w:tc>
        <w:tc>
          <w:tcPr>
            <w:tcW w:w="3312" w:type="dxa"/>
          </w:tcPr>
          <w:p>
            <w:pPr>
              <w:pStyle w:val="TableParagraph"/>
              <w:spacing w:line="186" w:lineRule="exact"/>
              <w:rPr>
                <w:sz w:val="18"/>
              </w:rPr>
            </w:pPr>
            <w:r>
              <w:rPr>
                <w:spacing w:val="-5"/>
                <w:sz w:val="18"/>
              </w:rPr>
              <w:t>34%</w:t>
            </w:r>
          </w:p>
        </w:tc>
      </w:tr>
      <w:tr>
        <w:trPr>
          <w:trHeight w:val="207" w:hRule="atLeast"/>
        </w:trPr>
        <w:tc>
          <w:tcPr>
            <w:tcW w:w="3312" w:type="dxa"/>
          </w:tcPr>
          <w:p>
            <w:pPr>
              <w:pStyle w:val="TableParagraph"/>
              <w:spacing w:line="188" w:lineRule="exact"/>
              <w:rPr>
                <w:sz w:val="18"/>
              </w:rPr>
            </w:pPr>
            <w:r>
              <w:rPr>
                <w:sz w:val="18"/>
              </w:rPr>
              <w:t>Use</w:t>
            </w:r>
            <w:r>
              <w:rPr>
                <w:spacing w:val="-5"/>
                <w:sz w:val="18"/>
              </w:rPr>
              <w:t> </w:t>
            </w:r>
            <w:r>
              <w:rPr>
                <w:sz w:val="18"/>
              </w:rPr>
              <w:t>automated</w:t>
            </w:r>
            <w:r>
              <w:rPr>
                <w:spacing w:val="-5"/>
                <w:sz w:val="18"/>
              </w:rPr>
              <w:t> </w:t>
            </w:r>
            <w:r>
              <w:rPr>
                <w:sz w:val="18"/>
              </w:rPr>
              <w:t>audit</w:t>
            </w:r>
            <w:r>
              <w:rPr>
                <w:spacing w:val="-5"/>
                <w:sz w:val="18"/>
              </w:rPr>
              <w:t> </w:t>
            </w:r>
            <w:r>
              <w:rPr>
                <w:spacing w:val="-2"/>
                <w:sz w:val="18"/>
              </w:rPr>
              <w:t>software</w:t>
            </w:r>
          </w:p>
        </w:tc>
        <w:tc>
          <w:tcPr>
            <w:tcW w:w="3312" w:type="dxa"/>
          </w:tcPr>
          <w:p>
            <w:pPr>
              <w:pStyle w:val="TableParagraph"/>
              <w:spacing w:line="188" w:lineRule="exact"/>
              <w:rPr>
                <w:sz w:val="18"/>
              </w:rPr>
            </w:pPr>
            <w:r>
              <w:rPr>
                <w:spacing w:val="-5"/>
                <w:sz w:val="18"/>
              </w:rPr>
              <w:t>19</w:t>
            </w:r>
          </w:p>
        </w:tc>
        <w:tc>
          <w:tcPr>
            <w:tcW w:w="3312" w:type="dxa"/>
          </w:tcPr>
          <w:p>
            <w:pPr>
              <w:pStyle w:val="TableParagraph"/>
              <w:spacing w:line="188" w:lineRule="exact"/>
              <w:rPr>
                <w:sz w:val="18"/>
              </w:rPr>
            </w:pPr>
            <w:r>
              <w:rPr>
                <w:spacing w:val="-5"/>
                <w:sz w:val="18"/>
              </w:rPr>
              <w:t>16%</w:t>
            </w:r>
          </w:p>
        </w:tc>
      </w:tr>
      <w:tr>
        <w:trPr>
          <w:trHeight w:val="206" w:hRule="atLeast"/>
        </w:trPr>
        <w:tc>
          <w:tcPr>
            <w:tcW w:w="3312" w:type="dxa"/>
          </w:tcPr>
          <w:p>
            <w:pPr>
              <w:pStyle w:val="TableParagraph"/>
              <w:spacing w:line="186" w:lineRule="exact"/>
              <w:rPr>
                <w:sz w:val="18"/>
              </w:rPr>
            </w:pPr>
            <w:r>
              <w:rPr>
                <w:sz w:val="18"/>
              </w:rPr>
              <w:t>Engaged</w:t>
            </w:r>
            <w:r>
              <w:rPr>
                <w:spacing w:val="-7"/>
                <w:sz w:val="18"/>
              </w:rPr>
              <w:t> </w:t>
            </w:r>
            <w:r>
              <w:rPr>
                <w:sz w:val="18"/>
              </w:rPr>
              <w:t>third-party</w:t>
            </w:r>
            <w:r>
              <w:rPr>
                <w:spacing w:val="-7"/>
                <w:sz w:val="18"/>
              </w:rPr>
              <w:t> </w:t>
            </w:r>
            <w:r>
              <w:rPr>
                <w:sz w:val="18"/>
              </w:rPr>
              <w:t>audit</w:t>
            </w:r>
            <w:r>
              <w:rPr>
                <w:spacing w:val="-6"/>
                <w:sz w:val="18"/>
              </w:rPr>
              <w:t> </w:t>
            </w:r>
            <w:r>
              <w:rPr>
                <w:spacing w:val="-4"/>
                <w:sz w:val="18"/>
              </w:rPr>
              <w:t>firm</w:t>
            </w:r>
          </w:p>
        </w:tc>
        <w:tc>
          <w:tcPr>
            <w:tcW w:w="3312" w:type="dxa"/>
          </w:tcPr>
          <w:p>
            <w:pPr>
              <w:pStyle w:val="TableParagraph"/>
              <w:spacing w:line="186" w:lineRule="exact"/>
              <w:rPr>
                <w:sz w:val="18"/>
              </w:rPr>
            </w:pPr>
            <w:r>
              <w:rPr>
                <w:spacing w:val="-5"/>
                <w:sz w:val="18"/>
              </w:rPr>
              <w:t>14</w:t>
            </w:r>
          </w:p>
        </w:tc>
        <w:tc>
          <w:tcPr>
            <w:tcW w:w="3312" w:type="dxa"/>
          </w:tcPr>
          <w:p>
            <w:pPr>
              <w:pStyle w:val="TableParagraph"/>
              <w:spacing w:line="186" w:lineRule="exact"/>
              <w:rPr>
                <w:sz w:val="18"/>
              </w:rPr>
            </w:pPr>
            <w:r>
              <w:rPr>
                <w:spacing w:val="-5"/>
                <w:sz w:val="18"/>
              </w:rPr>
              <w:t>12%</w:t>
            </w:r>
          </w:p>
        </w:tc>
      </w:tr>
      <w:tr>
        <w:trPr>
          <w:trHeight w:val="413" w:hRule="atLeast"/>
        </w:trPr>
        <w:tc>
          <w:tcPr>
            <w:tcW w:w="3312" w:type="dxa"/>
          </w:tcPr>
          <w:p>
            <w:pPr>
              <w:pStyle w:val="TableParagraph"/>
              <w:spacing w:line="200" w:lineRule="atLeast"/>
              <w:rPr>
                <w:sz w:val="18"/>
              </w:rPr>
            </w:pPr>
            <w:r>
              <w:rPr>
                <w:sz w:val="18"/>
              </w:rPr>
              <w:t>Report</w:t>
            </w:r>
            <w:r>
              <w:rPr>
                <w:spacing w:val="-13"/>
                <w:sz w:val="18"/>
              </w:rPr>
              <w:t> </w:t>
            </w:r>
            <w:r>
              <w:rPr>
                <w:sz w:val="18"/>
              </w:rPr>
              <w:t>significant</w:t>
            </w:r>
            <w:r>
              <w:rPr>
                <w:spacing w:val="-12"/>
                <w:sz w:val="18"/>
              </w:rPr>
              <w:t> </w:t>
            </w:r>
            <w:r>
              <w:rPr>
                <w:sz w:val="18"/>
              </w:rPr>
              <w:t>overcharges</w:t>
            </w:r>
            <w:r>
              <w:rPr>
                <w:spacing w:val="-13"/>
                <w:sz w:val="18"/>
              </w:rPr>
              <w:t> </w:t>
            </w:r>
            <w:r>
              <w:rPr>
                <w:sz w:val="18"/>
              </w:rPr>
              <w:t>above </w:t>
            </w:r>
            <w:r>
              <w:rPr>
                <w:spacing w:val="-4"/>
                <w:sz w:val="18"/>
              </w:rPr>
              <w:t>10%</w:t>
            </w:r>
          </w:p>
        </w:tc>
        <w:tc>
          <w:tcPr>
            <w:tcW w:w="3312" w:type="dxa"/>
          </w:tcPr>
          <w:p>
            <w:pPr>
              <w:pStyle w:val="TableParagraph"/>
              <w:spacing w:before="103"/>
              <w:rPr>
                <w:sz w:val="18"/>
              </w:rPr>
            </w:pPr>
            <w:r>
              <w:rPr>
                <w:spacing w:val="-5"/>
                <w:sz w:val="18"/>
              </w:rPr>
              <w:t>63</w:t>
            </w:r>
          </w:p>
        </w:tc>
        <w:tc>
          <w:tcPr>
            <w:tcW w:w="3312" w:type="dxa"/>
          </w:tcPr>
          <w:p>
            <w:pPr>
              <w:pStyle w:val="TableParagraph"/>
              <w:spacing w:before="103"/>
              <w:rPr>
                <w:sz w:val="18"/>
              </w:rPr>
            </w:pPr>
            <w:r>
              <w:rPr>
                <w:spacing w:val="-5"/>
                <w:sz w:val="18"/>
              </w:rPr>
              <w:t>53%</w:t>
            </w:r>
          </w:p>
        </w:tc>
      </w:tr>
    </w:tbl>
    <w:p>
      <w:pPr>
        <w:pStyle w:val="Heading2"/>
        <w:numPr>
          <w:ilvl w:val="1"/>
          <w:numId w:val="2"/>
        </w:numPr>
        <w:tabs>
          <w:tab w:pos="432" w:val="left" w:leader="none"/>
        </w:tabs>
        <w:spacing w:line="240" w:lineRule="auto" w:before="204" w:after="0"/>
        <w:ind w:left="432" w:right="0" w:hanging="358"/>
        <w:jc w:val="left"/>
      </w:pPr>
      <w:bookmarkStart w:name="4.2 Actual Weight versus Billed Weight" w:id="9"/>
      <w:bookmarkEnd w:id="9"/>
      <w:r>
        <w:rPr>
          <w:b w:val="0"/>
        </w:rPr>
      </w:r>
      <w:r>
        <w:rPr>
          <w:color w:val="4E80BC"/>
        </w:rPr>
        <w:t>Actual</w:t>
      </w:r>
      <w:r>
        <w:rPr>
          <w:color w:val="4E80BC"/>
          <w:spacing w:val="-4"/>
        </w:rPr>
        <w:t> </w:t>
      </w:r>
      <w:r>
        <w:rPr>
          <w:color w:val="4E80BC"/>
        </w:rPr>
        <w:t>Weight</w:t>
      </w:r>
      <w:r>
        <w:rPr>
          <w:color w:val="4E80BC"/>
          <w:spacing w:val="-4"/>
        </w:rPr>
        <w:t> </w:t>
      </w:r>
      <w:r>
        <w:rPr>
          <w:color w:val="4E80BC"/>
        </w:rPr>
        <w:t>versus</w:t>
      </w:r>
      <w:r>
        <w:rPr>
          <w:color w:val="4E80BC"/>
          <w:spacing w:val="-4"/>
        </w:rPr>
        <w:t> </w:t>
      </w:r>
      <w:r>
        <w:rPr>
          <w:color w:val="4E80BC"/>
        </w:rPr>
        <w:t>Billed</w:t>
      </w:r>
      <w:r>
        <w:rPr>
          <w:color w:val="4E80BC"/>
          <w:spacing w:val="-4"/>
        </w:rPr>
        <w:t> </w:t>
      </w:r>
      <w:r>
        <w:rPr>
          <w:color w:val="4E80BC"/>
          <w:spacing w:val="-2"/>
        </w:rPr>
        <w:t>Weight</w:t>
      </w:r>
    </w:p>
    <w:p>
      <w:pPr>
        <w:pStyle w:val="BodyText"/>
        <w:spacing w:line="276" w:lineRule="auto" w:before="43"/>
      </w:pPr>
      <w:r>
        <w:rPr/>
        <w:t>A simple example makes the problem clear. A carton of 50 cm x 40 cm x 30 cm has a volume of 60,000 cubic centimetres. If the carrier uses a divisor of 5,000, the dimensional weight becomes 12 kg. If the item inside weighs much less, the invoice may still be based on the higher dimensional weight. In the sample comparison</w:t>
      </w:r>
      <w:r>
        <w:rPr>
          <w:spacing w:val="-4"/>
        </w:rPr>
        <w:t> </w:t>
      </w:r>
      <w:r>
        <w:rPr/>
        <w:t>used</w:t>
      </w:r>
      <w:r>
        <w:rPr>
          <w:spacing w:val="-4"/>
        </w:rPr>
        <w:t> </w:t>
      </w:r>
      <w:r>
        <w:rPr/>
        <w:t>in</w:t>
      </w:r>
      <w:r>
        <w:rPr>
          <w:spacing w:val="-4"/>
        </w:rPr>
        <w:t> </w:t>
      </w:r>
      <w:r>
        <w:rPr/>
        <w:t>this</w:t>
      </w:r>
      <w:r>
        <w:rPr>
          <w:spacing w:val="-4"/>
        </w:rPr>
        <w:t> </w:t>
      </w:r>
      <w:r>
        <w:rPr/>
        <w:t>study,</w:t>
      </w:r>
      <w:r>
        <w:rPr>
          <w:spacing w:val="-3"/>
        </w:rPr>
        <w:t> </w:t>
      </w:r>
      <w:r>
        <w:rPr/>
        <w:t>a</w:t>
      </w:r>
      <w:r>
        <w:rPr>
          <w:spacing w:val="-4"/>
        </w:rPr>
        <w:t> </w:t>
      </w:r>
      <w:r>
        <w:rPr/>
        <w:t>lightweight</w:t>
      </w:r>
      <w:r>
        <w:rPr>
          <w:spacing w:val="-4"/>
        </w:rPr>
        <w:t> </w:t>
      </w:r>
      <w:r>
        <w:rPr/>
        <w:t>bulky</w:t>
      </w:r>
      <w:r>
        <w:rPr>
          <w:spacing w:val="-4"/>
        </w:rPr>
        <w:t> </w:t>
      </w:r>
      <w:r>
        <w:rPr/>
        <w:t>box</w:t>
      </w:r>
      <w:r>
        <w:rPr>
          <w:spacing w:val="-4"/>
        </w:rPr>
        <w:t> </w:t>
      </w:r>
      <w:r>
        <w:rPr/>
        <w:t>weighing</w:t>
      </w:r>
      <w:r>
        <w:rPr>
          <w:spacing w:val="-4"/>
        </w:rPr>
        <w:t> </w:t>
      </w:r>
      <w:r>
        <w:rPr/>
        <w:t>1.2</w:t>
      </w:r>
      <w:r>
        <w:rPr>
          <w:spacing w:val="-4"/>
        </w:rPr>
        <w:t> </w:t>
      </w:r>
      <w:r>
        <w:rPr/>
        <w:t>kg</w:t>
      </w:r>
      <w:r>
        <w:rPr>
          <w:spacing w:val="-3"/>
        </w:rPr>
        <w:t> </w:t>
      </w:r>
      <w:r>
        <w:rPr/>
        <w:t>was</w:t>
      </w:r>
      <w:r>
        <w:rPr>
          <w:spacing w:val="-4"/>
        </w:rPr>
        <w:t> </w:t>
      </w:r>
      <w:r>
        <w:rPr/>
        <w:t>billed</w:t>
      </w:r>
      <w:r>
        <w:rPr>
          <w:spacing w:val="-4"/>
        </w:rPr>
        <w:t> </w:t>
      </w:r>
      <w:r>
        <w:rPr/>
        <w:t>at</w:t>
      </w:r>
      <w:r>
        <w:rPr>
          <w:spacing w:val="-4"/>
        </w:rPr>
        <w:t> </w:t>
      </w:r>
      <w:r>
        <w:rPr/>
        <w:t>4.8</w:t>
      </w:r>
      <w:r>
        <w:rPr>
          <w:spacing w:val="-4"/>
        </w:rPr>
        <w:t> </w:t>
      </w:r>
      <w:r>
        <w:rPr/>
        <w:t>kg,</w:t>
      </w:r>
      <w:r>
        <w:rPr>
          <w:spacing w:val="-4"/>
        </w:rPr>
        <w:t> </w:t>
      </w:r>
      <w:r>
        <w:rPr/>
        <w:t>creating</w:t>
      </w:r>
      <w:r>
        <w:rPr>
          <w:spacing w:val="-4"/>
        </w:rPr>
        <w:t> </w:t>
      </w:r>
      <w:r>
        <w:rPr/>
        <w:t>a</w:t>
      </w:r>
      <w:r>
        <w:rPr>
          <w:spacing w:val="-4"/>
        </w:rPr>
        <w:t> </w:t>
      </w:r>
      <w:r>
        <w:rPr/>
        <w:t>large gap between physical and chargeable weight.</w:t>
      </w:r>
    </w:p>
    <w:p>
      <w:pPr>
        <w:pStyle w:val="BodyText"/>
        <w:spacing w:line="276" w:lineRule="auto"/>
        <w:ind w:right="139"/>
      </w:pPr>
      <w:r>
        <w:rPr/>
        <w:t>Irregular</w:t>
      </w:r>
      <w:r>
        <w:rPr>
          <w:spacing w:val="-4"/>
        </w:rPr>
        <w:t> </w:t>
      </w:r>
      <w:r>
        <w:rPr/>
        <w:t>packages</w:t>
      </w:r>
      <w:r>
        <w:rPr>
          <w:spacing w:val="-4"/>
        </w:rPr>
        <w:t> </w:t>
      </w:r>
      <w:r>
        <w:rPr/>
        <w:t>can</w:t>
      </w:r>
      <w:r>
        <w:rPr>
          <w:spacing w:val="-4"/>
        </w:rPr>
        <w:t> </w:t>
      </w:r>
      <w:r>
        <w:rPr/>
        <w:t>make</w:t>
      </w:r>
      <w:r>
        <w:rPr>
          <w:spacing w:val="-4"/>
        </w:rPr>
        <w:t> </w:t>
      </w:r>
      <w:r>
        <w:rPr/>
        <w:t>the</w:t>
      </w:r>
      <w:r>
        <w:rPr>
          <w:spacing w:val="-4"/>
        </w:rPr>
        <w:t> </w:t>
      </w:r>
      <w:r>
        <w:rPr/>
        <w:t>issue</w:t>
      </w:r>
      <w:r>
        <w:rPr>
          <w:spacing w:val="-4"/>
        </w:rPr>
        <w:t> </w:t>
      </w:r>
      <w:r>
        <w:rPr/>
        <w:t>worse</w:t>
      </w:r>
      <w:r>
        <w:rPr>
          <w:spacing w:val="-4"/>
        </w:rPr>
        <w:t> </w:t>
      </w:r>
      <w:r>
        <w:rPr/>
        <w:t>because</w:t>
      </w:r>
      <w:r>
        <w:rPr>
          <w:spacing w:val="-3"/>
        </w:rPr>
        <w:t> </w:t>
      </w:r>
      <w:r>
        <w:rPr/>
        <w:t>carriers</w:t>
      </w:r>
      <w:r>
        <w:rPr>
          <w:spacing w:val="-4"/>
        </w:rPr>
        <w:t> </w:t>
      </w:r>
      <w:r>
        <w:rPr/>
        <w:t>generally</w:t>
      </w:r>
      <w:r>
        <w:rPr>
          <w:spacing w:val="-3"/>
        </w:rPr>
        <w:t> </w:t>
      </w:r>
      <w:r>
        <w:rPr/>
        <w:t>measure</w:t>
      </w:r>
      <w:r>
        <w:rPr>
          <w:spacing w:val="-4"/>
        </w:rPr>
        <w:t> </w:t>
      </w:r>
      <w:r>
        <w:rPr/>
        <w:t>the</w:t>
      </w:r>
      <w:r>
        <w:rPr>
          <w:spacing w:val="-4"/>
        </w:rPr>
        <w:t> </w:t>
      </w:r>
      <w:r>
        <w:rPr/>
        <w:t>longest</w:t>
      </w:r>
      <w:r>
        <w:rPr>
          <w:spacing w:val="-3"/>
        </w:rPr>
        <w:t> </w:t>
      </w:r>
      <w:r>
        <w:rPr/>
        <w:t>point</w:t>
      </w:r>
      <w:r>
        <w:rPr>
          <w:spacing w:val="-4"/>
        </w:rPr>
        <w:t> </w:t>
      </w:r>
      <w:r>
        <w:rPr/>
        <w:t>on each side. A non-uniform parcel may therefore be billed as if it were a full rectangular box, even when some of that space is empty.</w:t>
      </w:r>
    </w:p>
    <w:p>
      <w:pPr>
        <w:pStyle w:val="BodyText"/>
        <w:spacing w:after="0" w:line="276" w:lineRule="auto"/>
        <w:sectPr>
          <w:pgSz w:w="12240" w:h="15840"/>
          <w:pgMar w:top="920" w:bottom="280" w:left="1080" w:right="1080"/>
        </w:sectPr>
      </w:pPr>
    </w:p>
    <w:p>
      <w:pPr>
        <w:pStyle w:val="BodyText"/>
        <w:spacing w:before="0"/>
        <w:ind w:left="424"/>
        <w:rPr>
          <w:sz w:val="20"/>
        </w:rPr>
      </w:pPr>
      <w:r>
        <w:rPr>
          <w:sz w:val="20"/>
        </w:rPr>
        <w:drawing>
          <wp:inline distT="0" distB="0" distL="0" distR="0">
            <wp:extent cx="5588322" cy="3151631"/>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588322" cy="3151631"/>
                    </a:xfrm>
                    <a:prstGeom prst="rect">
                      <a:avLst/>
                    </a:prstGeom>
                  </pic:spPr>
                </pic:pic>
              </a:graphicData>
            </a:graphic>
          </wp:inline>
        </w:drawing>
      </w:r>
      <w:r>
        <w:rPr>
          <w:sz w:val="20"/>
        </w:rPr>
      </w:r>
    </w:p>
    <w:p>
      <w:pPr>
        <w:pStyle w:val="BodyText"/>
        <w:spacing w:before="234"/>
        <w:ind w:left="0"/>
      </w:pPr>
    </w:p>
    <w:p>
      <w:pPr>
        <w:pStyle w:val="BodyText"/>
        <w:spacing w:before="0"/>
        <w:ind w:left="759"/>
      </w:pPr>
      <w:r>
        <w:rPr/>
        <w:t>Figure</w:t>
      </w:r>
      <w:r>
        <w:rPr>
          <w:spacing w:val="-8"/>
        </w:rPr>
        <w:t> </w:t>
      </w:r>
      <w:r>
        <w:rPr/>
        <w:t>2.</w:t>
      </w:r>
      <w:r>
        <w:rPr>
          <w:spacing w:val="-4"/>
        </w:rPr>
        <w:t> </w:t>
      </w:r>
      <w:r>
        <w:rPr/>
        <w:t>Actual</w:t>
      </w:r>
      <w:r>
        <w:rPr>
          <w:spacing w:val="-5"/>
        </w:rPr>
        <w:t> </w:t>
      </w:r>
      <w:r>
        <w:rPr/>
        <w:t>weight</w:t>
      </w:r>
      <w:r>
        <w:rPr>
          <w:spacing w:val="-5"/>
        </w:rPr>
        <w:t> </w:t>
      </w:r>
      <w:r>
        <w:rPr/>
        <w:t>compared</w:t>
      </w:r>
      <w:r>
        <w:rPr>
          <w:spacing w:val="-5"/>
        </w:rPr>
        <w:t> </w:t>
      </w:r>
      <w:r>
        <w:rPr/>
        <w:t>with</w:t>
      </w:r>
      <w:r>
        <w:rPr>
          <w:spacing w:val="-5"/>
        </w:rPr>
        <w:t> </w:t>
      </w:r>
      <w:r>
        <w:rPr/>
        <w:t>billed</w:t>
      </w:r>
      <w:r>
        <w:rPr>
          <w:spacing w:val="-5"/>
        </w:rPr>
        <w:t> </w:t>
      </w:r>
      <w:r>
        <w:rPr/>
        <w:t>dimensional</w:t>
      </w:r>
      <w:r>
        <w:rPr>
          <w:spacing w:val="-5"/>
        </w:rPr>
        <w:t> </w:t>
      </w:r>
      <w:r>
        <w:rPr/>
        <w:t>weight</w:t>
      </w:r>
      <w:r>
        <w:rPr>
          <w:spacing w:val="-5"/>
        </w:rPr>
        <w:t> </w:t>
      </w:r>
      <w:r>
        <w:rPr/>
        <w:t>for</w:t>
      </w:r>
      <w:r>
        <w:rPr>
          <w:spacing w:val="-5"/>
        </w:rPr>
        <w:t> </w:t>
      </w:r>
      <w:r>
        <w:rPr/>
        <w:t>selected</w:t>
      </w:r>
      <w:r>
        <w:rPr>
          <w:spacing w:val="-5"/>
        </w:rPr>
        <w:t> </w:t>
      </w:r>
      <w:r>
        <w:rPr/>
        <w:t>package</w:t>
      </w:r>
      <w:r>
        <w:rPr>
          <w:spacing w:val="-5"/>
        </w:rPr>
        <w:t> </w:t>
      </w:r>
      <w:r>
        <w:rPr>
          <w:spacing w:val="-2"/>
        </w:rPr>
        <w:t>types.</w:t>
      </w:r>
    </w:p>
    <w:p>
      <w:pPr>
        <w:pStyle w:val="Heading2"/>
        <w:numPr>
          <w:ilvl w:val="1"/>
          <w:numId w:val="2"/>
        </w:numPr>
        <w:tabs>
          <w:tab w:pos="432" w:val="left" w:leader="none"/>
        </w:tabs>
        <w:spacing w:line="240" w:lineRule="auto" w:before="237" w:after="0"/>
        <w:ind w:left="432" w:right="0" w:hanging="358"/>
        <w:jc w:val="left"/>
      </w:pPr>
      <w:bookmarkStart w:name="4.3 Carrier Divisor Benchmarking" w:id="10"/>
      <w:bookmarkEnd w:id="10"/>
      <w:r>
        <w:rPr>
          <w:b w:val="0"/>
        </w:rPr>
      </w:r>
      <w:r>
        <w:rPr>
          <w:color w:val="4E80BC"/>
        </w:rPr>
        <w:t>Carrier</w:t>
      </w:r>
      <w:r>
        <w:rPr>
          <w:color w:val="4E80BC"/>
          <w:spacing w:val="-5"/>
        </w:rPr>
        <w:t> </w:t>
      </w:r>
      <w:r>
        <w:rPr>
          <w:color w:val="4E80BC"/>
        </w:rPr>
        <w:t>Divisor</w:t>
      </w:r>
      <w:r>
        <w:rPr>
          <w:color w:val="4E80BC"/>
          <w:spacing w:val="-5"/>
        </w:rPr>
        <w:t> </w:t>
      </w:r>
      <w:r>
        <w:rPr>
          <w:color w:val="4E80BC"/>
          <w:spacing w:val="-2"/>
        </w:rPr>
        <w:t>Benchmarking</w:t>
      </w:r>
    </w:p>
    <w:p>
      <w:pPr>
        <w:pStyle w:val="BodyText"/>
        <w:spacing w:line="276" w:lineRule="auto" w:before="43"/>
        <w:ind w:right="156"/>
      </w:pPr>
      <w:r>
        <w:rPr/>
        <w:t>The</w:t>
      </w:r>
      <w:r>
        <w:rPr>
          <w:spacing w:val="-3"/>
        </w:rPr>
        <w:t> </w:t>
      </w:r>
      <w:r>
        <w:rPr/>
        <w:t>DIM</w:t>
      </w:r>
      <w:r>
        <w:rPr>
          <w:spacing w:val="-3"/>
        </w:rPr>
        <w:t> </w:t>
      </w:r>
      <w:r>
        <w:rPr/>
        <w:t>divisor</w:t>
      </w:r>
      <w:r>
        <w:rPr>
          <w:spacing w:val="-3"/>
        </w:rPr>
        <w:t> </w:t>
      </w:r>
      <w:r>
        <w:rPr/>
        <w:t>is</w:t>
      </w:r>
      <w:r>
        <w:rPr>
          <w:spacing w:val="-3"/>
        </w:rPr>
        <w:t> </w:t>
      </w:r>
      <w:r>
        <w:rPr/>
        <w:t>a</w:t>
      </w:r>
      <w:r>
        <w:rPr>
          <w:spacing w:val="-3"/>
        </w:rPr>
        <w:t> </w:t>
      </w:r>
      <w:r>
        <w:rPr/>
        <w:t>key</w:t>
      </w:r>
      <w:r>
        <w:rPr>
          <w:spacing w:val="-3"/>
        </w:rPr>
        <w:t> </w:t>
      </w:r>
      <w:r>
        <w:rPr/>
        <w:t>driver</w:t>
      </w:r>
      <w:r>
        <w:rPr>
          <w:spacing w:val="-3"/>
        </w:rPr>
        <w:t> </w:t>
      </w:r>
      <w:r>
        <w:rPr/>
        <w:t>of</w:t>
      </w:r>
      <w:r>
        <w:rPr>
          <w:spacing w:val="-3"/>
        </w:rPr>
        <w:t> </w:t>
      </w:r>
      <w:r>
        <w:rPr/>
        <w:t>final</w:t>
      </w:r>
      <w:r>
        <w:rPr>
          <w:spacing w:val="-3"/>
        </w:rPr>
        <w:t> </w:t>
      </w:r>
      <w:r>
        <w:rPr/>
        <w:t>billing.</w:t>
      </w:r>
      <w:r>
        <w:rPr>
          <w:spacing w:val="-2"/>
        </w:rPr>
        <w:t> </w:t>
      </w:r>
      <w:r>
        <w:rPr/>
        <w:t>A</w:t>
      </w:r>
      <w:r>
        <w:rPr>
          <w:spacing w:val="-3"/>
        </w:rPr>
        <w:t> </w:t>
      </w:r>
      <w:r>
        <w:rPr/>
        <w:t>lower</w:t>
      </w:r>
      <w:r>
        <w:rPr>
          <w:spacing w:val="-3"/>
        </w:rPr>
        <w:t> </w:t>
      </w:r>
      <w:r>
        <w:rPr/>
        <w:t>divisor</w:t>
      </w:r>
      <w:r>
        <w:rPr>
          <w:spacing w:val="-3"/>
        </w:rPr>
        <w:t> </w:t>
      </w:r>
      <w:r>
        <w:rPr/>
        <w:t>results</w:t>
      </w:r>
      <w:r>
        <w:rPr>
          <w:spacing w:val="-3"/>
        </w:rPr>
        <w:t> </w:t>
      </w:r>
      <w:r>
        <w:rPr/>
        <w:t>in</w:t>
      </w:r>
      <w:r>
        <w:rPr>
          <w:spacing w:val="-3"/>
        </w:rPr>
        <w:t> </w:t>
      </w:r>
      <w:r>
        <w:rPr/>
        <w:t>a</w:t>
      </w:r>
      <w:r>
        <w:rPr>
          <w:spacing w:val="-3"/>
        </w:rPr>
        <w:t> </w:t>
      </w:r>
      <w:r>
        <w:rPr/>
        <w:t>higher</w:t>
      </w:r>
      <w:r>
        <w:rPr>
          <w:spacing w:val="-3"/>
        </w:rPr>
        <w:t> </w:t>
      </w:r>
      <w:r>
        <w:rPr/>
        <w:t>chargeable</w:t>
      </w:r>
      <w:r>
        <w:rPr>
          <w:spacing w:val="-3"/>
        </w:rPr>
        <w:t> </w:t>
      </w:r>
      <w:r>
        <w:rPr/>
        <w:t>weight</w:t>
      </w:r>
      <w:r>
        <w:rPr>
          <w:spacing w:val="-2"/>
        </w:rPr>
        <w:t> </w:t>
      </w:r>
      <w:r>
        <w:rPr/>
        <w:t>for</w:t>
      </w:r>
      <w:r>
        <w:rPr>
          <w:spacing w:val="-2"/>
        </w:rPr>
        <w:t> </w:t>
      </w:r>
      <w:r>
        <w:rPr/>
        <w:t>the same parcel. For example, a box with the same dimensions will be billed heavier when divided by 4,000 than when divided by 5,000. This is why carrier selection and divisor negotiation can materially affect freight spend.</w:t>
      </w:r>
    </w:p>
    <w:p>
      <w:pPr>
        <w:pStyle w:val="BodyText"/>
        <w:spacing w:before="153"/>
        <w:ind w:left="0"/>
        <w:rPr>
          <w:sz w:val="20"/>
        </w:rPr>
      </w:pPr>
      <w:r>
        <w:rPr>
          <w:sz w:val="20"/>
        </w:rPr>
        <w:drawing>
          <wp:anchor distT="0" distB="0" distL="0" distR="0" allowOverlap="1" layoutInCell="1" locked="0" behindDoc="1" simplePos="0" relativeHeight="487588352">
            <wp:simplePos x="0" y="0"/>
            <wp:positionH relativeFrom="page">
              <wp:posOffset>973497</wp:posOffset>
            </wp:positionH>
            <wp:positionV relativeFrom="paragraph">
              <wp:posOffset>258743</wp:posOffset>
            </wp:positionV>
            <wp:extent cx="5559959" cy="3124771"/>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559959" cy="3124771"/>
                    </a:xfrm>
                    <a:prstGeom prst="rect">
                      <a:avLst/>
                    </a:prstGeom>
                  </pic:spPr>
                </pic:pic>
              </a:graphicData>
            </a:graphic>
          </wp:anchor>
        </w:drawing>
      </w:r>
    </w:p>
    <w:p>
      <w:pPr>
        <w:pStyle w:val="BodyText"/>
        <w:spacing w:before="0"/>
        <w:ind w:left="0"/>
      </w:pPr>
    </w:p>
    <w:p>
      <w:pPr>
        <w:pStyle w:val="BodyText"/>
        <w:spacing w:before="1"/>
        <w:ind w:left="0"/>
      </w:pPr>
    </w:p>
    <w:p>
      <w:pPr>
        <w:pStyle w:val="BodyText"/>
        <w:spacing w:before="1"/>
        <w:ind w:left="133" w:right="135"/>
        <w:jc w:val="center"/>
      </w:pPr>
      <w:r>
        <w:rPr/>
        <w:t>Figure</w:t>
      </w:r>
      <w:r>
        <w:rPr>
          <w:spacing w:val="-5"/>
        </w:rPr>
        <w:t> </w:t>
      </w:r>
      <w:r>
        <w:rPr/>
        <w:t>3.</w:t>
      </w:r>
      <w:r>
        <w:rPr>
          <w:spacing w:val="-3"/>
        </w:rPr>
        <w:t> </w:t>
      </w:r>
      <w:r>
        <w:rPr/>
        <w:t>Comparison</w:t>
      </w:r>
      <w:r>
        <w:rPr>
          <w:spacing w:val="-4"/>
        </w:rPr>
        <w:t> </w:t>
      </w:r>
      <w:r>
        <w:rPr/>
        <w:t>of</w:t>
      </w:r>
      <w:r>
        <w:rPr>
          <w:spacing w:val="-4"/>
        </w:rPr>
        <w:t> </w:t>
      </w:r>
      <w:r>
        <w:rPr/>
        <w:t>DIM</w:t>
      </w:r>
      <w:r>
        <w:rPr>
          <w:spacing w:val="-4"/>
        </w:rPr>
        <w:t> </w:t>
      </w:r>
      <w:r>
        <w:rPr/>
        <w:t>divisors</w:t>
      </w:r>
      <w:r>
        <w:rPr>
          <w:spacing w:val="-4"/>
        </w:rPr>
        <w:t> </w:t>
      </w:r>
      <w:r>
        <w:rPr/>
        <w:t>across</w:t>
      </w:r>
      <w:r>
        <w:rPr>
          <w:spacing w:val="-3"/>
        </w:rPr>
        <w:t> </w:t>
      </w:r>
      <w:r>
        <w:rPr/>
        <w:t>selected</w:t>
      </w:r>
      <w:r>
        <w:rPr>
          <w:spacing w:val="-4"/>
        </w:rPr>
        <w:t> </w:t>
      </w:r>
      <w:r>
        <w:rPr>
          <w:spacing w:val="-2"/>
        </w:rPr>
        <w:t>carriers.</w:t>
      </w:r>
    </w:p>
    <w:p>
      <w:pPr>
        <w:pStyle w:val="BodyText"/>
        <w:spacing w:after="0"/>
        <w:jc w:val="center"/>
        <w:sectPr>
          <w:pgSz w:w="12240" w:h="15840"/>
          <w:pgMar w:top="1180" w:bottom="280" w:left="1080" w:right="1080"/>
        </w:sectPr>
      </w:pPr>
    </w:p>
    <w:p>
      <w:pPr>
        <w:pStyle w:val="BodyText"/>
        <w:spacing w:before="5"/>
        <w:ind w:left="0"/>
        <w:rPr>
          <w:sz w:val="2"/>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1986"/>
        <w:gridCol w:w="1988"/>
        <w:gridCol w:w="1986"/>
        <w:gridCol w:w="1988"/>
      </w:tblGrid>
      <w:tr>
        <w:trPr>
          <w:trHeight w:val="414" w:hRule="atLeast"/>
        </w:trPr>
        <w:tc>
          <w:tcPr>
            <w:tcW w:w="1988" w:type="dxa"/>
            <w:shd w:val="clear" w:color="auto" w:fill="D8E9F6"/>
          </w:tcPr>
          <w:p>
            <w:pPr>
              <w:pStyle w:val="TableParagraph"/>
              <w:spacing w:before="103"/>
              <w:rPr>
                <w:rFonts w:ascii="Arial"/>
                <w:b/>
                <w:sz w:val="18"/>
              </w:rPr>
            </w:pPr>
            <w:r>
              <w:rPr>
                <w:rFonts w:ascii="Arial"/>
                <w:b/>
                <w:spacing w:val="-2"/>
                <w:sz w:val="18"/>
              </w:rPr>
              <w:t>Carrier</w:t>
            </w:r>
          </w:p>
        </w:tc>
        <w:tc>
          <w:tcPr>
            <w:tcW w:w="1986" w:type="dxa"/>
            <w:shd w:val="clear" w:color="auto" w:fill="D8E9F6"/>
          </w:tcPr>
          <w:p>
            <w:pPr>
              <w:pStyle w:val="TableParagraph"/>
              <w:spacing w:before="103"/>
              <w:ind w:left="108"/>
              <w:rPr>
                <w:rFonts w:ascii="Arial"/>
                <w:b/>
                <w:sz w:val="18"/>
              </w:rPr>
            </w:pPr>
            <w:r>
              <w:rPr>
                <w:rFonts w:ascii="Arial"/>
                <w:b/>
                <w:sz w:val="18"/>
              </w:rPr>
              <w:t>Service</w:t>
            </w:r>
            <w:r>
              <w:rPr>
                <w:rFonts w:ascii="Arial"/>
                <w:b/>
                <w:spacing w:val="-7"/>
                <w:sz w:val="18"/>
              </w:rPr>
              <w:t> </w:t>
            </w:r>
            <w:r>
              <w:rPr>
                <w:rFonts w:ascii="Arial"/>
                <w:b/>
                <w:spacing w:val="-4"/>
                <w:sz w:val="18"/>
              </w:rPr>
              <w:t>type</w:t>
            </w:r>
          </w:p>
        </w:tc>
        <w:tc>
          <w:tcPr>
            <w:tcW w:w="1988" w:type="dxa"/>
            <w:shd w:val="clear" w:color="auto" w:fill="D8E9F6"/>
          </w:tcPr>
          <w:p>
            <w:pPr>
              <w:pStyle w:val="TableParagraph"/>
              <w:spacing w:before="103"/>
              <w:rPr>
                <w:rFonts w:ascii="Arial" w:hAnsi="Arial"/>
                <w:b/>
                <w:sz w:val="18"/>
              </w:rPr>
            </w:pPr>
            <w:r>
              <w:rPr>
                <w:rFonts w:ascii="Arial" w:hAnsi="Arial"/>
                <w:b/>
                <w:sz w:val="18"/>
              </w:rPr>
              <w:t>DIM</w:t>
            </w:r>
            <w:r>
              <w:rPr>
                <w:rFonts w:ascii="Arial" w:hAnsi="Arial"/>
                <w:b/>
                <w:spacing w:val="-5"/>
                <w:sz w:val="18"/>
              </w:rPr>
              <w:t> </w:t>
            </w:r>
            <w:r>
              <w:rPr>
                <w:rFonts w:ascii="Arial" w:hAnsi="Arial"/>
                <w:b/>
                <w:sz w:val="18"/>
              </w:rPr>
              <w:t>divisor</w:t>
            </w:r>
            <w:r>
              <w:rPr>
                <w:rFonts w:ascii="Arial" w:hAnsi="Arial"/>
                <w:b/>
                <w:spacing w:val="-4"/>
                <w:sz w:val="18"/>
              </w:rPr>
              <w:t> </w:t>
            </w:r>
            <w:r>
              <w:rPr>
                <w:rFonts w:ascii="Arial" w:hAnsi="Arial"/>
                <w:b/>
                <w:spacing w:val="-2"/>
                <w:sz w:val="18"/>
              </w:rPr>
              <w:t>(cm³/kg)</w:t>
            </w:r>
          </w:p>
        </w:tc>
        <w:tc>
          <w:tcPr>
            <w:tcW w:w="1986" w:type="dxa"/>
            <w:shd w:val="clear" w:color="auto" w:fill="D8E9F6"/>
          </w:tcPr>
          <w:p>
            <w:pPr>
              <w:pStyle w:val="TableParagraph"/>
              <w:spacing w:line="200" w:lineRule="atLeast"/>
              <w:ind w:left="108" w:right="400"/>
              <w:rPr>
                <w:rFonts w:ascii="Arial"/>
                <w:b/>
                <w:sz w:val="18"/>
              </w:rPr>
            </w:pPr>
            <w:r>
              <w:rPr>
                <w:rFonts w:ascii="Arial"/>
                <w:b/>
                <w:sz w:val="18"/>
              </w:rPr>
              <w:t>Minimum</w:t>
            </w:r>
            <w:r>
              <w:rPr>
                <w:rFonts w:ascii="Arial"/>
                <w:b/>
                <w:spacing w:val="-13"/>
                <w:sz w:val="18"/>
              </w:rPr>
              <w:t> </w:t>
            </w:r>
            <w:r>
              <w:rPr>
                <w:rFonts w:ascii="Arial"/>
                <w:b/>
                <w:sz w:val="18"/>
              </w:rPr>
              <w:t>billable </w:t>
            </w:r>
            <w:r>
              <w:rPr>
                <w:rFonts w:ascii="Arial"/>
                <w:b/>
                <w:spacing w:val="-2"/>
                <w:sz w:val="18"/>
              </w:rPr>
              <w:t>weight</w:t>
            </w:r>
          </w:p>
        </w:tc>
        <w:tc>
          <w:tcPr>
            <w:tcW w:w="1988" w:type="dxa"/>
            <w:shd w:val="clear" w:color="auto" w:fill="D8E9F6"/>
          </w:tcPr>
          <w:p>
            <w:pPr>
              <w:pStyle w:val="TableParagraph"/>
              <w:spacing w:line="200" w:lineRule="atLeast"/>
              <w:ind w:left="109" w:right="450"/>
              <w:rPr>
                <w:rFonts w:ascii="Arial"/>
                <w:b/>
                <w:sz w:val="18"/>
              </w:rPr>
            </w:pPr>
            <w:r>
              <w:rPr>
                <w:rFonts w:ascii="Arial"/>
                <w:b/>
                <w:spacing w:val="-2"/>
                <w:sz w:val="18"/>
              </w:rPr>
              <w:t>Measurement method</w:t>
            </w:r>
          </w:p>
        </w:tc>
      </w:tr>
      <w:tr>
        <w:trPr>
          <w:trHeight w:val="207" w:hRule="atLeast"/>
        </w:trPr>
        <w:tc>
          <w:tcPr>
            <w:tcW w:w="1988" w:type="dxa"/>
          </w:tcPr>
          <w:p>
            <w:pPr>
              <w:pStyle w:val="TableParagraph"/>
              <w:spacing w:line="188" w:lineRule="exact"/>
              <w:rPr>
                <w:sz w:val="18"/>
              </w:rPr>
            </w:pPr>
            <w:r>
              <w:rPr>
                <w:spacing w:val="-2"/>
                <w:sz w:val="18"/>
              </w:rPr>
              <w:t>FedEx</w:t>
            </w:r>
          </w:p>
        </w:tc>
        <w:tc>
          <w:tcPr>
            <w:tcW w:w="1986" w:type="dxa"/>
          </w:tcPr>
          <w:p>
            <w:pPr>
              <w:pStyle w:val="TableParagraph"/>
              <w:spacing w:line="188" w:lineRule="exact"/>
              <w:ind w:left="108"/>
              <w:rPr>
                <w:sz w:val="18"/>
              </w:rPr>
            </w:pPr>
            <w:r>
              <w:rPr>
                <w:spacing w:val="-2"/>
                <w:sz w:val="18"/>
              </w:rPr>
              <w:t>International</w:t>
            </w:r>
            <w:r>
              <w:rPr>
                <w:spacing w:val="13"/>
                <w:sz w:val="18"/>
              </w:rPr>
              <w:t> </w:t>
            </w:r>
            <w:r>
              <w:rPr>
                <w:spacing w:val="-2"/>
                <w:sz w:val="18"/>
              </w:rPr>
              <w:t>Express</w:t>
            </w:r>
          </w:p>
        </w:tc>
        <w:tc>
          <w:tcPr>
            <w:tcW w:w="1988" w:type="dxa"/>
          </w:tcPr>
          <w:p>
            <w:pPr>
              <w:pStyle w:val="TableParagraph"/>
              <w:spacing w:line="188" w:lineRule="exact"/>
              <w:rPr>
                <w:sz w:val="18"/>
              </w:rPr>
            </w:pPr>
            <w:r>
              <w:rPr>
                <w:spacing w:val="-2"/>
                <w:sz w:val="18"/>
              </w:rPr>
              <w:t>5,000</w:t>
            </w:r>
          </w:p>
        </w:tc>
        <w:tc>
          <w:tcPr>
            <w:tcW w:w="1986" w:type="dxa"/>
          </w:tcPr>
          <w:p>
            <w:pPr>
              <w:pStyle w:val="TableParagraph"/>
              <w:spacing w:line="188" w:lineRule="exact"/>
              <w:ind w:left="108"/>
              <w:rPr>
                <w:sz w:val="18"/>
              </w:rPr>
            </w:pPr>
            <w:r>
              <w:rPr>
                <w:sz w:val="18"/>
              </w:rPr>
              <w:t>0.5</w:t>
            </w:r>
            <w:r>
              <w:rPr>
                <w:spacing w:val="-3"/>
                <w:sz w:val="18"/>
              </w:rPr>
              <w:t> </w:t>
            </w:r>
            <w:r>
              <w:rPr>
                <w:spacing w:val="-5"/>
                <w:sz w:val="18"/>
              </w:rPr>
              <w:t>kg</w:t>
            </w:r>
          </w:p>
        </w:tc>
        <w:tc>
          <w:tcPr>
            <w:tcW w:w="1988" w:type="dxa"/>
          </w:tcPr>
          <w:p>
            <w:pPr>
              <w:pStyle w:val="TableParagraph"/>
              <w:spacing w:line="188" w:lineRule="exact"/>
              <w:ind w:left="109"/>
              <w:rPr>
                <w:sz w:val="18"/>
              </w:rPr>
            </w:pPr>
            <w:r>
              <w:rPr>
                <w:sz w:val="18"/>
              </w:rPr>
              <w:t>Physical</w:t>
            </w:r>
            <w:r>
              <w:rPr>
                <w:spacing w:val="-5"/>
                <w:sz w:val="18"/>
              </w:rPr>
              <w:t> </w:t>
            </w:r>
            <w:r>
              <w:rPr>
                <w:sz w:val="18"/>
              </w:rPr>
              <w:t>+</w:t>
            </w:r>
            <w:r>
              <w:rPr>
                <w:spacing w:val="-4"/>
                <w:sz w:val="18"/>
              </w:rPr>
              <w:t> </w:t>
            </w:r>
            <w:r>
              <w:rPr>
                <w:spacing w:val="-5"/>
                <w:sz w:val="18"/>
              </w:rPr>
              <w:t>DIM</w:t>
            </w:r>
          </w:p>
        </w:tc>
      </w:tr>
      <w:tr>
        <w:trPr>
          <w:trHeight w:val="205" w:hRule="atLeast"/>
        </w:trPr>
        <w:tc>
          <w:tcPr>
            <w:tcW w:w="1988" w:type="dxa"/>
          </w:tcPr>
          <w:p>
            <w:pPr>
              <w:pStyle w:val="TableParagraph"/>
              <w:spacing w:line="186" w:lineRule="exact"/>
              <w:rPr>
                <w:sz w:val="18"/>
              </w:rPr>
            </w:pPr>
            <w:r>
              <w:rPr>
                <w:spacing w:val="-5"/>
                <w:sz w:val="18"/>
              </w:rPr>
              <w:t>DHL</w:t>
            </w:r>
          </w:p>
        </w:tc>
        <w:tc>
          <w:tcPr>
            <w:tcW w:w="1986" w:type="dxa"/>
          </w:tcPr>
          <w:p>
            <w:pPr>
              <w:pStyle w:val="TableParagraph"/>
              <w:spacing w:line="186" w:lineRule="exact"/>
              <w:ind w:left="108"/>
              <w:rPr>
                <w:sz w:val="18"/>
              </w:rPr>
            </w:pPr>
            <w:r>
              <w:rPr>
                <w:spacing w:val="-2"/>
                <w:sz w:val="18"/>
              </w:rPr>
              <w:t>Express</w:t>
            </w:r>
          </w:p>
        </w:tc>
        <w:tc>
          <w:tcPr>
            <w:tcW w:w="1988" w:type="dxa"/>
          </w:tcPr>
          <w:p>
            <w:pPr>
              <w:pStyle w:val="TableParagraph"/>
              <w:spacing w:line="186" w:lineRule="exact"/>
              <w:rPr>
                <w:sz w:val="18"/>
              </w:rPr>
            </w:pPr>
            <w:r>
              <w:rPr>
                <w:spacing w:val="-2"/>
                <w:sz w:val="18"/>
              </w:rPr>
              <w:t>5,000</w:t>
            </w:r>
          </w:p>
        </w:tc>
        <w:tc>
          <w:tcPr>
            <w:tcW w:w="1986" w:type="dxa"/>
          </w:tcPr>
          <w:p>
            <w:pPr>
              <w:pStyle w:val="TableParagraph"/>
              <w:spacing w:line="186" w:lineRule="exact"/>
              <w:ind w:left="108"/>
              <w:rPr>
                <w:sz w:val="18"/>
              </w:rPr>
            </w:pPr>
            <w:r>
              <w:rPr>
                <w:sz w:val="18"/>
              </w:rPr>
              <w:t>0.5</w:t>
            </w:r>
            <w:r>
              <w:rPr>
                <w:spacing w:val="-3"/>
                <w:sz w:val="18"/>
              </w:rPr>
              <w:t> </w:t>
            </w:r>
            <w:r>
              <w:rPr>
                <w:spacing w:val="-5"/>
                <w:sz w:val="18"/>
              </w:rPr>
              <w:t>kg</w:t>
            </w:r>
          </w:p>
        </w:tc>
        <w:tc>
          <w:tcPr>
            <w:tcW w:w="1988" w:type="dxa"/>
          </w:tcPr>
          <w:p>
            <w:pPr>
              <w:pStyle w:val="TableParagraph"/>
              <w:spacing w:line="186" w:lineRule="exact"/>
              <w:ind w:left="109"/>
              <w:rPr>
                <w:sz w:val="18"/>
              </w:rPr>
            </w:pPr>
            <w:r>
              <w:rPr>
                <w:sz w:val="18"/>
              </w:rPr>
              <w:t>Physical</w:t>
            </w:r>
            <w:r>
              <w:rPr>
                <w:spacing w:val="-5"/>
                <w:sz w:val="18"/>
              </w:rPr>
              <w:t> </w:t>
            </w:r>
            <w:r>
              <w:rPr>
                <w:sz w:val="18"/>
              </w:rPr>
              <w:t>+</w:t>
            </w:r>
            <w:r>
              <w:rPr>
                <w:spacing w:val="-4"/>
                <w:sz w:val="18"/>
              </w:rPr>
              <w:t> </w:t>
            </w:r>
            <w:r>
              <w:rPr>
                <w:spacing w:val="-5"/>
                <w:sz w:val="18"/>
              </w:rPr>
              <w:t>DIM</w:t>
            </w:r>
          </w:p>
        </w:tc>
      </w:tr>
      <w:tr>
        <w:trPr>
          <w:trHeight w:val="208" w:hRule="atLeast"/>
        </w:trPr>
        <w:tc>
          <w:tcPr>
            <w:tcW w:w="1988" w:type="dxa"/>
          </w:tcPr>
          <w:p>
            <w:pPr>
              <w:pStyle w:val="TableParagraph"/>
              <w:spacing w:line="188" w:lineRule="exact"/>
              <w:rPr>
                <w:sz w:val="18"/>
              </w:rPr>
            </w:pPr>
            <w:r>
              <w:rPr>
                <w:spacing w:val="-5"/>
                <w:sz w:val="18"/>
              </w:rPr>
              <w:t>UPS</w:t>
            </w:r>
          </w:p>
        </w:tc>
        <w:tc>
          <w:tcPr>
            <w:tcW w:w="1986" w:type="dxa"/>
          </w:tcPr>
          <w:p>
            <w:pPr>
              <w:pStyle w:val="TableParagraph"/>
              <w:spacing w:line="188" w:lineRule="exact"/>
              <w:ind w:left="108"/>
              <w:rPr>
                <w:sz w:val="18"/>
              </w:rPr>
            </w:pPr>
            <w:r>
              <w:rPr>
                <w:sz w:val="18"/>
              </w:rPr>
              <w:t>Ground</w:t>
            </w:r>
            <w:r>
              <w:rPr>
                <w:spacing w:val="-3"/>
                <w:sz w:val="18"/>
              </w:rPr>
              <w:t> </w:t>
            </w:r>
            <w:r>
              <w:rPr>
                <w:sz w:val="18"/>
              </w:rPr>
              <w:t>/</w:t>
            </w:r>
            <w:r>
              <w:rPr>
                <w:spacing w:val="-2"/>
                <w:sz w:val="18"/>
              </w:rPr>
              <w:t> Express</w:t>
            </w:r>
          </w:p>
        </w:tc>
        <w:tc>
          <w:tcPr>
            <w:tcW w:w="1988" w:type="dxa"/>
          </w:tcPr>
          <w:p>
            <w:pPr>
              <w:pStyle w:val="TableParagraph"/>
              <w:spacing w:line="188" w:lineRule="exact"/>
              <w:rPr>
                <w:sz w:val="18"/>
              </w:rPr>
            </w:pPr>
            <w:r>
              <w:rPr>
                <w:spacing w:val="-2"/>
                <w:sz w:val="18"/>
              </w:rPr>
              <w:t>5,000</w:t>
            </w:r>
          </w:p>
        </w:tc>
        <w:tc>
          <w:tcPr>
            <w:tcW w:w="1986" w:type="dxa"/>
          </w:tcPr>
          <w:p>
            <w:pPr>
              <w:pStyle w:val="TableParagraph"/>
              <w:spacing w:line="188" w:lineRule="exact"/>
              <w:ind w:left="108"/>
              <w:rPr>
                <w:sz w:val="18"/>
              </w:rPr>
            </w:pPr>
            <w:r>
              <w:rPr>
                <w:sz w:val="18"/>
              </w:rPr>
              <w:t>0.5</w:t>
            </w:r>
            <w:r>
              <w:rPr>
                <w:spacing w:val="-3"/>
                <w:sz w:val="18"/>
              </w:rPr>
              <w:t> </w:t>
            </w:r>
            <w:r>
              <w:rPr>
                <w:spacing w:val="-5"/>
                <w:sz w:val="18"/>
              </w:rPr>
              <w:t>kg</w:t>
            </w:r>
          </w:p>
        </w:tc>
        <w:tc>
          <w:tcPr>
            <w:tcW w:w="1988" w:type="dxa"/>
          </w:tcPr>
          <w:p>
            <w:pPr>
              <w:pStyle w:val="TableParagraph"/>
              <w:spacing w:line="188" w:lineRule="exact"/>
              <w:ind w:left="109"/>
              <w:rPr>
                <w:sz w:val="18"/>
              </w:rPr>
            </w:pPr>
            <w:r>
              <w:rPr>
                <w:sz w:val="18"/>
              </w:rPr>
              <w:t>Physical</w:t>
            </w:r>
            <w:r>
              <w:rPr>
                <w:spacing w:val="-5"/>
                <w:sz w:val="18"/>
              </w:rPr>
              <w:t> </w:t>
            </w:r>
            <w:r>
              <w:rPr>
                <w:sz w:val="18"/>
              </w:rPr>
              <w:t>+</w:t>
            </w:r>
            <w:r>
              <w:rPr>
                <w:spacing w:val="-4"/>
                <w:sz w:val="18"/>
              </w:rPr>
              <w:t> </w:t>
            </w:r>
            <w:r>
              <w:rPr>
                <w:spacing w:val="-5"/>
                <w:sz w:val="18"/>
              </w:rPr>
              <w:t>DIM</w:t>
            </w:r>
          </w:p>
        </w:tc>
      </w:tr>
      <w:tr>
        <w:trPr>
          <w:trHeight w:val="205" w:hRule="atLeast"/>
        </w:trPr>
        <w:tc>
          <w:tcPr>
            <w:tcW w:w="1988" w:type="dxa"/>
          </w:tcPr>
          <w:p>
            <w:pPr>
              <w:pStyle w:val="TableParagraph"/>
              <w:spacing w:line="186" w:lineRule="exact"/>
              <w:rPr>
                <w:sz w:val="18"/>
              </w:rPr>
            </w:pPr>
            <w:r>
              <w:rPr>
                <w:spacing w:val="-2"/>
                <w:sz w:val="18"/>
              </w:rPr>
              <w:t>BlueDart</w:t>
            </w:r>
          </w:p>
        </w:tc>
        <w:tc>
          <w:tcPr>
            <w:tcW w:w="1986" w:type="dxa"/>
          </w:tcPr>
          <w:p>
            <w:pPr>
              <w:pStyle w:val="TableParagraph"/>
              <w:spacing w:line="186" w:lineRule="exact"/>
              <w:ind w:left="108"/>
              <w:rPr>
                <w:sz w:val="18"/>
              </w:rPr>
            </w:pPr>
            <w:r>
              <w:rPr>
                <w:sz w:val="18"/>
              </w:rPr>
              <w:t>Domestic</w:t>
            </w:r>
            <w:r>
              <w:rPr>
                <w:spacing w:val="-2"/>
                <w:sz w:val="18"/>
              </w:rPr>
              <w:t> Priority</w:t>
            </w:r>
          </w:p>
        </w:tc>
        <w:tc>
          <w:tcPr>
            <w:tcW w:w="1988" w:type="dxa"/>
          </w:tcPr>
          <w:p>
            <w:pPr>
              <w:pStyle w:val="TableParagraph"/>
              <w:spacing w:line="186" w:lineRule="exact"/>
              <w:rPr>
                <w:sz w:val="18"/>
              </w:rPr>
            </w:pPr>
            <w:r>
              <w:rPr>
                <w:spacing w:val="-2"/>
                <w:sz w:val="18"/>
              </w:rPr>
              <w:t>4,000</w:t>
            </w:r>
          </w:p>
        </w:tc>
        <w:tc>
          <w:tcPr>
            <w:tcW w:w="1986" w:type="dxa"/>
          </w:tcPr>
          <w:p>
            <w:pPr>
              <w:pStyle w:val="TableParagraph"/>
              <w:spacing w:line="186" w:lineRule="exact"/>
              <w:ind w:left="108"/>
              <w:rPr>
                <w:sz w:val="18"/>
              </w:rPr>
            </w:pPr>
            <w:r>
              <w:rPr>
                <w:sz w:val="18"/>
              </w:rPr>
              <w:t>0.5</w:t>
            </w:r>
            <w:r>
              <w:rPr>
                <w:spacing w:val="-3"/>
                <w:sz w:val="18"/>
              </w:rPr>
              <w:t> </w:t>
            </w:r>
            <w:r>
              <w:rPr>
                <w:spacing w:val="-5"/>
                <w:sz w:val="18"/>
              </w:rPr>
              <w:t>kg</w:t>
            </w:r>
          </w:p>
        </w:tc>
        <w:tc>
          <w:tcPr>
            <w:tcW w:w="1988" w:type="dxa"/>
          </w:tcPr>
          <w:p>
            <w:pPr>
              <w:pStyle w:val="TableParagraph"/>
              <w:spacing w:line="186" w:lineRule="exact"/>
              <w:ind w:left="109"/>
              <w:rPr>
                <w:sz w:val="18"/>
              </w:rPr>
            </w:pPr>
            <w:r>
              <w:rPr>
                <w:sz w:val="18"/>
              </w:rPr>
              <w:t>Physical</w:t>
            </w:r>
            <w:r>
              <w:rPr>
                <w:spacing w:val="-5"/>
                <w:sz w:val="18"/>
              </w:rPr>
              <w:t> </w:t>
            </w:r>
            <w:r>
              <w:rPr>
                <w:sz w:val="18"/>
              </w:rPr>
              <w:t>+</w:t>
            </w:r>
            <w:r>
              <w:rPr>
                <w:spacing w:val="-4"/>
                <w:sz w:val="18"/>
              </w:rPr>
              <w:t> </w:t>
            </w:r>
            <w:r>
              <w:rPr>
                <w:spacing w:val="-5"/>
                <w:sz w:val="18"/>
              </w:rPr>
              <w:t>DIM</w:t>
            </w:r>
          </w:p>
        </w:tc>
      </w:tr>
      <w:tr>
        <w:trPr>
          <w:trHeight w:val="207" w:hRule="atLeast"/>
        </w:trPr>
        <w:tc>
          <w:tcPr>
            <w:tcW w:w="1988" w:type="dxa"/>
          </w:tcPr>
          <w:p>
            <w:pPr>
              <w:pStyle w:val="TableParagraph"/>
              <w:spacing w:line="188" w:lineRule="exact"/>
              <w:rPr>
                <w:sz w:val="18"/>
              </w:rPr>
            </w:pPr>
            <w:r>
              <w:rPr>
                <w:spacing w:val="-2"/>
                <w:sz w:val="18"/>
              </w:rPr>
              <w:t>Delhivery</w:t>
            </w:r>
          </w:p>
        </w:tc>
        <w:tc>
          <w:tcPr>
            <w:tcW w:w="1986" w:type="dxa"/>
          </w:tcPr>
          <w:p>
            <w:pPr>
              <w:pStyle w:val="TableParagraph"/>
              <w:spacing w:line="188" w:lineRule="exact"/>
              <w:ind w:left="108"/>
              <w:rPr>
                <w:sz w:val="18"/>
              </w:rPr>
            </w:pPr>
            <w:r>
              <w:rPr>
                <w:sz w:val="18"/>
              </w:rPr>
              <w:t>Surface</w:t>
            </w:r>
            <w:r>
              <w:rPr>
                <w:spacing w:val="-4"/>
                <w:sz w:val="18"/>
              </w:rPr>
              <w:t> </w:t>
            </w:r>
            <w:r>
              <w:rPr>
                <w:sz w:val="18"/>
              </w:rPr>
              <w:t>/</w:t>
            </w:r>
            <w:r>
              <w:rPr>
                <w:spacing w:val="-4"/>
                <w:sz w:val="18"/>
              </w:rPr>
              <w:t> </w:t>
            </w:r>
            <w:r>
              <w:rPr>
                <w:spacing w:val="-2"/>
                <w:sz w:val="18"/>
              </w:rPr>
              <w:t>Express</w:t>
            </w:r>
          </w:p>
        </w:tc>
        <w:tc>
          <w:tcPr>
            <w:tcW w:w="1988" w:type="dxa"/>
          </w:tcPr>
          <w:p>
            <w:pPr>
              <w:pStyle w:val="TableParagraph"/>
              <w:spacing w:line="188" w:lineRule="exact"/>
              <w:rPr>
                <w:sz w:val="18"/>
              </w:rPr>
            </w:pPr>
            <w:r>
              <w:rPr>
                <w:spacing w:val="-2"/>
                <w:sz w:val="18"/>
              </w:rPr>
              <w:t>4,500</w:t>
            </w:r>
          </w:p>
        </w:tc>
        <w:tc>
          <w:tcPr>
            <w:tcW w:w="1986" w:type="dxa"/>
          </w:tcPr>
          <w:p>
            <w:pPr>
              <w:pStyle w:val="TableParagraph"/>
              <w:spacing w:line="188" w:lineRule="exact"/>
              <w:ind w:left="108"/>
              <w:rPr>
                <w:sz w:val="18"/>
              </w:rPr>
            </w:pPr>
            <w:r>
              <w:rPr>
                <w:sz w:val="18"/>
              </w:rPr>
              <w:t>0.5</w:t>
            </w:r>
            <w:r>
              <w:rPr>
                <w:spacing w:val="-3"/>
                <w:sz w:val="18"/>
              </w:rPr>
              <w:t> </w:t>
            </w:r>
            <w:r>
              <w:rPr>
                <w:spacing w:val="-5"/>
                <w:sz w:val="18"/>
              </w:rPr>
              <w:t>kg</w:t>
            </w:r>
          </w:p>
        </w:tc>
        <w:tc>
          <w:tcPr>
            <w:tcW w:w="1988" w:type="dxa"/>
          </w:tcPr>
          <w:p>
            <w:pPr>
              <w:pStyle w:val="TableParagraph"/>
              <w:spacing w:line="188" w:lineRule="exact"/>
              <w:ind w:left="109"/>
              <w:rPr>
                <w:sz w:val="18"/>
              </w:rPr>
            </w:pPr>
            <w:r>
              <w:rPr>
                <w:sz w:val="18"/>
              </w:rPr>
              <w:t>Physical</w:t>
            </w:r>
            <w:r>
              <w:rPr>
                <w:spacing w:val="-5"/>
                <w:sz w:val="18"/>
              </w:rPr>
              <w:t> </w:t>
            </w:r>
            <w:r>
              <w:rPr>
                <w:sz w:val="18"/>
              </w:rPr>
              <w:t>+</w:t>
            </w:r>
            <w:r>
              <w:rPr>
                <w:spacing w:val="-4"/>
                <w:sz w:val="18"/>
              </w:rPr>
              <w:t> </w:t>
            </w:r>
            <w:r>
              <w:rPr>
                <w:spacing w:val="-5"/>
                <w:sz w:val="18"/>
              </w:rPr>
              <w:t>DIM</w:t>
            </w:r>
          </w:p>
        </w:tc>
      </w:tr>
      <w:tr>
        <w:trPr>
          <w:trHeight w:val="206" w:hRule="atLeast"/>
        </w:trPr>
        <w:tc>
          <w:tcPr>
            <w:tcW w:w="1988" w:type="dxa"/>
          </w:tcPr>
          <w:p>
            <w:pPr>
              <w:pStyle w:val="TableParagraph"/>
              <w:spacing w:line="186" w:lineRule="exact"/>
              <w:rPr>
                <w:sz w:val="18"/>
              </w:rPr>
            </w:pPr>
            <w:r>
              <w:rPr>
                <w:spacing w:val="-4"/>
                <w:sz w:val="18"/>
              </w:rPr>
              <w:t>DTDC</w:t>
            </w:r>
          </w:p>
        </w:tc>
        <w:tc>
          <w:tcPr>
            <w:tcW w:w="1986" w:type="dxa"/>
          </w:tcPr>
          <w:p>
            <w:pPr>
              <w:pStyle w:val="TableParagraph"/>
              <w:spacing w:line="186" w:lineRule="exact"/>
              <w:ind w:left="108"/>
              <w:rPr>
                <w:sz w:val="18"/>
              </w:rPr>
            </w:pPr>
            <w:r>
              <w:rPr>
                <w:sz w:val="18"/>
              </w:rPr>
              <w:t>Domestic</w:t>
            </w:r>
            <w:r>
              <w:rPr>
                <w:spacing w:val="-2"/>
                <w:sz w:val="18"/>
              </w:rPr>
              <w:t> Standard</w:t>
            </w:r>
          </w:p>
        </w:tc>
        <w:tc>
          <w:tcPr>
            <w:tcW w:w="1988" w:type="dxa"/>
          </w:tcPr>
          <w:p>
            <w:pPr>
              <w:pStyle w:val="TableParagraph"/>
              <w:spacing w:line="186" w:lineRule="exact"/>
              <w:rPr>
                <w:sz w:val="18"/>
              </w:rPr>
            </w:pPr>
            <w:r>
              <w:rPr>
                <w:spacing w:val="-2"/>
                <w:sz w:val="18"/>
              </w:rPr>
              <w:t>4,000</w:t>
            </w:r>
          </w:p>
        </w:tc>
        <w:tc>
          <w:tcPr>
            <w:tcW w:w="1986" w:type="dxa"/>
          </w:tcPr>
          <w:p>
            <w:pPr>
              <w:pStyle w:val="TableParagraph"/>
              <w:spacing w:line="186" w:lineRule="exact"/>
              <w:ind w:left="108"/>
              <w:rPr>
                <w:sz w:val="18"/>
              </w:rPr>
            </w:pPr>
            <w:r>
              <w:rPr>
                <w:sz w:val="18"/>
              </w:rPr>
              <w:t>0.5</w:t>
            </w:r>
            <w:r>
              <w:rPr>
                <w:spacing w:val="-3"/>
                <w:sz w:val="18"/>
              </w:rPr>
              <w:t> </w:t>
            </w:r>
            <w:r>
              <w:rPr>
                <w:spacing w:val="-5"/>
                <w:sz w:val="18"/>
              </w:rPr>
              <w:t>kg</w:t>
            </w:r>
          </w:p>
        </w:tc>
        <w:tc>
          <w:tcPr>
            <w:tcW w:w="1988" w:type="dxa"/>
          </w:tcPr>
          <w:p>
            <w:pPr>
              <w:pStyle w:val="TableParagraph"/>
              <w:spacing w:line="186" w:lineRule="exact"/>
              <w:ind w:left="109"/>
              <w:rPr>
                <w:sz w:val="18"/>
              </w:rPr>
            </w:pPr>
            <w:r>
              <w:rPr>
                <w:sz w:val="18"/>
              </w:rPr>
              <w:t>Physical</w:t>
            </w:r>
            <w:r>
              <w:rPr>
                <w:spacing w:val="-5"/>
                <w:sz w:val="18"/>
              </w:rPr>
              <w:t> </w:t>
            </w:r>
            <w:r>
              <w:rPr>
                <w:sz w:val="18"/>
              </w:rPr>
              <w:t>+</w:t>
            </w:r>
            <w:r>
              <w:rPr>
                <w:spacing w:val="-4"/>
                <w:sz w:val="18"/>
              </w:rPr>
              <w:t> </w:t>
            </w:r>
            <w:r>
              <w:rPr>
                <w:spacing w:val="-5"/>
                <w:sz w:val="18"/>
              </w:rPr>
              <w:t>DIM</w:t>
            </w:r>
          </w:p>
        </w:tc>
      </w:tr>
    </w:tbl>
    <w:p>
      <w:pPr>
        <w:pStyle w:val="Heading2"/>
        <w:numPr>
          <w:ilvl w:val="1"/>
          <w:numId w:val="2"/>
        </w:numPr>
        <w:tabs>
          <w:tab w:pos="432" w:val="left" w:leader="none"/>
        </w:tabs>
        <w:spacing w:line="240" w:lineRule="auto" w:before="204" w:after="0"/>
        <w:ind w:left="432" w:right="0" w:hanging="358"/>
        <w:jc w:val="left"/>
      </w:pPr>
      <w:bookmarkStart w:name="4.4 Dispute Resolution and Audit Outcome" w:id="11"/>
      <w:bookmarkEnd w:id="11"/>
      <w:r>
        <w:rPr>
          <w:b w:val="0"/>
        </w:rPr>
      </w:r>
      <w:r>
        <w:rPr>
          <w:color w:val="4E80BC"/>
        </w:rPr>
        <w:t>Dispute</w:t>
      </w:r>
      <w:r>
        <w:rPr>
          <w:color w:val="4E80BC"/>
          <w:spacing w:val="-5"/>
        </w:rPr>
        <w:t> </w:t>
      </w:r>
      <w:r>
        <w:rPr>
          <w:color w:val="4E80BC"/>
        </w:rPr>
        <w:t>Resolution</w:t>
      </w:r>
      <w:r>
        <w:rPr>
          <w:color w:val="4E80BC"/>
          <w:spacing w:val="-5"/>
        </w:rPr>
        <w:t> </w:t>
      </w:r>
      <w:r>
        <w:rPr>
          <w:color w:val="4E80BC"/>
        </w:rPr>
        <w:t>and</w:t>
      </w:r>
      <w:r>
        <w:rPr>
          <w:color w:val="4E80BC"/>
          <w:spacing w:val="-5"/>
        </w:rPr>
        <w:t> </w:t>
      </w:r>
      <w:r>
        <w:rPr>
          <w:color w:val="4E80BC"/>
        </w:rPr>
        <w:t>Audit</w:t>
      </w:r>
      <w:r>
        <w:rPr>
          <w:color w:val="4E80BC"/>
          <w:spacing w:val="-3"/>
        </w:rPr>
        <w:t> </w:t>
      </w:r>
      <w:r>
        <w:rPr>
          <w:color w:val="4E80BC"/>
          <w:spacing w:val="-2"/>
        </w:rPr>
        <w:t>Outcomes</w:t>
      </w:r>
    </w:p>
    <w:p>
      <w:pPr>
        <w:pStyle w:val="BodyText"/>
        <w:spacing w:line="276" w:lineRule="auto" w:before="43"/>
        <w:ind w:right="156"/>
      </w:pPr>
      <w:r>
        <w:rPr/>
        <w:t>Dispute handling is another source of practical difficulty. When a shipper challenges dimensional billing, the carrier may ask for proof of package size, photographs, scan records, or shipment-level documentation.</w:t>
      </w:r>
      <w:r>
        <w:rPr>
          <w:spacing w:val="-3"/>
        </w:rPr>
        <w:t> </w:t>
      </w:r>
      <w:r>
        <w:rPr/>
        <w:t>Many</w:t>
      </w:r>
      <w:r>
        <w:rPr>
          <w:spacing w:val="-3"/>
        </w:rPr>
        <w:t> </w:t>
      </w:r>
      <w:r>
        <w:rPr/>
        <w:t>smaller</w:t>
      </w:r>
      <w:r>
        <w:rPr>
          <w:spacing w:val="-4"/>
        </w:rPr>
        <w:t> </w:t>
      </w:r>
      <w:r>
        <w:rPr/>
        <w:t>firms</w:t>
      </w:r>
      <w:r>
        <w:rPr>
          <w:spacing w:val="-4"/>
        </w:rPr>
        <w:t> </w:t>
      </w:r>
      <w:r>
        <w:rPr/>
        <w:t>do</w:t>
      </w:r>
      <w:r>
        <w:rPr>
          <w:spacing w:val="-4"/>
        </w:rPr>
        <w:t> </w:t>
      </w:r>
      <w:r>
        <w:rPr/>
        <w:t>not</w:t>
      </w:r>
      <w:r>
        <w:rPr>
          <w:spacing w:val="-3"/>
        </w:rPr>
        <w:t> </w:t>
      </w:r>
      <w:r>
        <w:rPr/>
        <w:t>maintain</w:t>
      </w:r>
      <w:r>
        <w:rPr>
          <w:spacing w:val="-4"/>
        </w:rPr>
        <w:t> </w:t>
      </w:r>
      <w:r>
        <w:rPr/>
        <w:t>such</w:t>
      </w:r>
      <w:r>
        <w:rPr>
          <w:spacing w:val="-4"/>
        </w:rPr>
        <w:t> </w:t>
      </w:r>
      <w:r>
        <w:rPr/>
        <w:t>evidence</w:t>
      </w:r>
      <w:r>
        <w:rPr>
          <w:spacing w:val="-4"/>
        </w:rPr>
        <w:t> </w:t>
      </w:r>
      <w:r>
        <w:rPr/>
        <w:t>for</w:t>
      </w:r>
      <w:r>
        <w:rPr>
          <w:spacing w:val="-3"/>
        </w:rPr>
        <w:t> </w:t>
      </w:r>
      <w:r>
        <w:rPr/>
        <w:t>every</w:t>
      </w:r>
      <w:r>
        <w:rPr>
          <w:spacing w:val="-4"/>
        </w:rPr>
        <w:t> </w:t>
      </w:r>
      <w:r>
        <w:rPr/>
        <w:t>parcel.</w:t>
      </w:r>
      <w:r>
        <w:rPr>
          <w:spacing w:val="-3"/>
        </w:rPr>
        <w:t> </w:t>
      </w:r>
      <w:r>
        <w:rPr/>
        <w:t>As</w:t>
      </w:r>
      <w:r>
        <w:rPr>
          <w:spacing w:val="-3"/>
        </w:rPr>
        <w:t> </w:t>
      </w:r>
      <w:r>
        <w:rPr/>
        <w:t>a</w:t>
      </w:r>
      <w:r>
        <w:rPr>
          <w:spacing w:val="-4"/>
        </w:rPr>
        <w:t> </w:t>
      </w:r>
      <w:r>
        <w:rPr/>
        <w:t>result,</w:t>
      </w:r>
      <w:r>
        <w:rPr>
          <w:spacing w:val="-3"/>
        </w:rPr>
        <w:t> </w:t>
      </w:r>
      <w:r>
        <w:rPr/>
        <w:t>disputes may be rejected or abandoned even when the shipper believes the bill is incorrect.</w:t>
      </w:r>
    </w:p>
    <w:p>
      <w:pPr>
        <w:pStyle w:val="BodyText"/>
        <w:spacing w:line="276" w:lineRule="auto"/>
        <w:ind w:right="156"/>
      </w:pPr>
      <w:r>
        <w:rPr/>
        <w:t>Audit methods also produce different results. Manual spot checking can identify obvious errors but may miss repeated patterns. Automated audit tools and predictive audit systems are more effective because they</w:t>
      </w:r>
      <w:r>
        <w:rPr>
          <w:spacing w:val="-3"/>
        </w:rPr>
        <w:t> </w:t>
      </w:r>
      <w:r>
        <w:rPr/>
        <w:t>compare</w:t>
      </w:r>
      <w:r>
        <w:rPr>
          <w:spacing w:val="-4"/>
        </w:rPr>
        <w:t> </w:t>
      </w:r>
      <w:r>
        <w:rPr/>
        <w:t>invoice</w:t>
      </w:r>
      <w:r>
        <w:rPr>
          <w:spacing w:val="-4"/>
        </w:rPr>
        <w:t> </w:t>
      </w:r>
      <w:r>
        <w:rPr/>
        <w:t>data</w:t>
      </w:r>
      <w:r>
        <w:rPr>
          <w:spacing w:val="-4"/>
        </w:rPr>
        <w:t> </w:t>
      </w:r>
      <w:r>
        <w:rPr/>
        <w:t>with</w:t>
      </w:r>
      <w:r>
        <w:rPr>
          <w:spacing w:val="-4"/>
        </w:rPr>
        <w:t> </w:t>
      </w:r>
      <w:r>
        <w:rPr/>
        <w:t>shipment</w:t>
      </w:r>
      <w:r>
        <w:rPr>
          <w:spacing w:val="-4"/>
        </w:rPr>
        <w:t> </w:t>
      </w:r>
      <w:r>
        <w:rPr/>
        <w:t>records</w:t>
      </w:r>
      <w:r>
        <w:rPr>
          <w:spacing w:val="-4"/>
        </w:rPr>
        <w:t> </w:t>
      </w:r>
      <w:r>
        <w:rPr/>
        <w:t>at</w:t>
      </w:r>
      <w:r>
        <w:rPr>
          <w:spacing w:val="-3"/>
        </w:rPr>
        <w:t> </w:t>
      </w:r>
      <w:r>
        <w:rPr/>
        <w:t>scale.</w:t>
      </w:r>
      <w:r>
        <w:rPr>
          <w:spacing w:val="-4"/>
        </w:rPr>
        <w:t> </w:t>
      </w:r>
      <w:r>
        <w:rPr/>
        <w:t>The</w:t>
      </w:r>
      <w:r>
        <w:rPr>
          <w:spacing w:val="-4"/>
        </w:rPr>
        <w:t> </w:t>
      </w:r>
      <w:r>
        <w:rPr/>
        <w:t>highest</w:t>
      </w:r>
      <w:r>
        <w:rPr>
          <w:spacing w:val="-4"/>
        </w:rPr>
        <w:t> </w:t>
      </w:r>
      <w:r>
        <w:rPr/>
        <w:t>recovery</w:t>
      </w:r>
      <w:r>
        <w:rPr>
          <w:spacing w:val="-3"/>
        </w:rPr>
        <w:t> </w:t>
      </w:r>
      <w:r>
        <w:rPr/>
        <w:t>in</w:t>
      </w:r>
      <w:r>
        <w:rPr>
          <w:spacing w:val="-3"/>
        </w:rPr>
        <w:t> </w:t>
      </w:r>
      <w:r>
        <w:rPr/>
        <w:t>the</w:t>
      </w:r>
      <w:r>
        <w:rPr>
          <w:spacing w:val="-4"/>
        </w:rPr>
        <w:t> </w:t>
      </w:r>
      <w:r>
        <w:rPr/>
        <w:t>study</w:t>
      </w:r>
      <w:r>
        <w:rPr>
          <w:spacing w:val="-4"/>
        </w:rPr>
        <w:t> </w:t>
      </w:r>
      <w:r>
        <w:rPr/>
        <w:t>is</w:t>
      </w:r>
      <w:r>
        <w:rPr>
          <w:spacing w:val="-4"/>
        </w:rPr>
        <w:t> </w:t>
      </w:r>
      <w:r>
        <w:rPr/>
        <w:t>associated with AI or machine-learning based audits, followed by automated freight audit software and third-party audit firms.</w:t>
      </w:r>
    </w:p>
    <w:p>
      <w:pPr>
        <w:pStyle w:val="BodyText"/>
        <w:spacing w:before="118"/>
        <w:ind w:left="0"/>
        <w:rPr>
          <w:sz w:val="20"/>
        </w:rPr>
      </w:pPr>
      <w:r>
        <w:rPr>
          <w:sz w:val="20"/>
        </w:rPr>
        <w:drawing>
          <wp:anchor distT="0" distB="0" distL="0" distR="0" allowOverlap="1" layoutInCell="1" locked="0" behindDoc="1" simplePos="0" relativeHeight="487588864">
            <wp:simplePos x="0" y="0"/>
            <wp:positionH relativeFrom="page">
              <wp:posOffset>955439</wp:posOffset>
            </wp:positionH>
            <wp:positionV relativeFrom="paragraph">
              <wp:posOffset>236445</wp:posOffset>
            </wp:positionV>
            <wp:extent cx="5586798" cy="3151632"/>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5586798" cy="3151632"/>
                    </a:xfrm>
                    <a:prstGeom prst="rect">
                      <a:avLst/>
                    </a:prstGeom>
                  </pic:spPr>
                </pic:pic>
              </a:graphicData>
            </a:graphic>
          </wp:anchor>
        </w:drawing>
      </w:r>
    </w:p>
    <w:p>
      <w:pPr>
        <w:pStyle w:val="BodyText"/>
        <w:spacing w:before="236"/>
        <w:ind w:left="0"/>
      </w:pPr>
    </w:p>
    <w:p>
      <w:pPr>
        <w:pStyle w:val="BodyText"/>
        <w:spacing w:before="0"/>
        <w:ind w:left="133" w:right="135"/>
        <w:jc w:val="center"/>
      </w:pPr>
      <w:r>
        <w:rPr/>
        <w:t>Figure</w:t>
      </w:r>
      <w:r>
        <w:rPr>
          <w:spacing w:val="-6"/>
        </w:rPr>
        <w:t> </w:t>
      </w:r>
      <w:r>
        <w:rPr/>
        <w:t>4.</w:t>
      </w:r>
      <w:r>
        <w:rPr>
          <w:spacing w:val="-2"/>
        </w:rPr>
        <w:t> </w:t>
      </w:r>
      <w:r>
        <w:rPr/>
        <w:t>Recovery</w:t>
      </w:r>
      <w:r>
        <w:rPr>
          <w:spacing w:val="-4"/>
        </w:rPr>
        <w:t> </w:t>
      </w:r>
      <w:r>
        <w:rPr/>
        <w:t>rate</w:t>
      </w:r>
      <w:r>
        <w:rPr>
          <w:spacing w:val="-3"/>
        </w:rPr>
        <w:t> </w:t>
      </w:r>
      <w:r>
        <w:rPr/>
        <w:t>and</w:t>
      </w:r>
      <w:r>
        <w:rPr>
          <w:spacing w:val="-4"/>
        </w:rPr>
        <w:t> </w:t>
      </w:r>
      <w:r>
        <w:rPr/>
        <w:t>net</w:t>
      </w:r>
      <w:r>
        <w:rPr>
          <w:spacing w:val="-2"/>
        </w:rPr>
        <w:t> </w:t>
      </w:r>
      <w:r>
        <w:rPr/>
        <w:t>saving</w:t>
      </w:r>
      <w:r>
        <w:rPr>
          <w:spacing w:val="-4"/>
        </w:rPr>
        <w:t> </w:t>
      </w:r>
      <w:r>
        <w:rPr/>
        <w:t>across</w:t>
      </w:r>
      <w:r>
        <w:rPr>
          <w:spacing w:val="-3"/>
        </w:rPr>
        <w:t> </w:t>
      </w:r>
      <w:r>
        <w:rPr/>
        <w:t>audit</w:t>
      </w:r>
      <w:r>
        <w:rPr>
          <w:spacing w:val="-2"/>
        </w:rPr>
        <w:t> approaches.</w:t>
      </w:r>
    </w:p>
    <w:p>
      <w:pPr>
        <w:pStyle w:val="BodyText"/>
        <w:spacing w:before="0"/>
        <w:ind w:left="0"/>
      </w:pPr>
    </w:p>
    <w:p>
      <w:pPr>
        <w:pStyle w:val="BodyText"/>
        <w:spacing w:before="34"/>
        <w:ind w:left="0"/>
      </w:pPr>
    </w:p>
    <w:p>
      <w:pPr>
        <w:pStyle w:val="Heading1"/>
        <w:numPr>
          <w:ilvl w:val="0"/>
          <w:numId w:val="1"/>
        </w:numPr>
        <w:tabs>
          <w:tab w:pos="375" w:val="left" w:leader="none"/>
        </w:tabs>
        <w:spacing w:line="240" w:lineRule="auto" w:before="0" w:after="0"/>
        <w:ind w:left="375" w:right="0" w:hanging="301"/>
        <w:jc w:val="left"/>
      </w:pPr>
      <w:bookmarkStart w:name="V. Results and Discussion" w:id="12"/>
      <w:bookmarkEnd w:id="12"/>
      <w:r>
        <w:rPr>
          <w:b w:val="0"/>
        </w:rPr>
      </w:r>
      <w:r>
        <w:rPr>
          <w:color w:val="355E90"/>
        </w:rPr>
        <w:t>Results</w:t>
      </w:r>
      <w:r>
        <w:rPr>
          <w:color w:val="355E90"/>
          <w:spacing w:val="-4"/>
        </w:rPr>
        <w:t> </w:t>
      </w:r>
      <w:r>
        <w:rPr>
          <w:color w:val="355E90"/>
        </w:rPr>
        <w:t>and</w:t>
      </w:r>
      <w:r>
        <w:rPr>
          <w:color w:val="355E90"/>
          <w:spacing w:val="-2"/>
        </w:rPr>
        <w:t> Discussion</w:t>
      </w:r>
    </w:p>
    <w:p>
      <w:pPr>
        <w:pStyle w:val="BodyText"/>
        <w:spacing w:line="276" w:lineRule="auto" w:before="51"/>
        <w:ind w:right="86"/>
        <w:jc w:val="both"/>
      </w:pPr>
      <w:r>
        <w:rPr/>
        <w:t>The</w:t>
      </w:r>
      <w:r>
        <w:rPr>
          <w:spacing w:val="-1"/>
        </w:rPr>
        <w:t> </w:t>
      </w:r>
      <w:r>
        <w:rPr/>
        <w:t>findings</w:t>
      </w:r>
      <w:r>
        <w:rPr>
          <w:spacing w:val="-1"/>
        </w:rPr>
        <w:t> </w:t>
      </w:r>
      <w:r>
        <w:rPr/>
        <w:t>confirm that</w:t>
      </w:r>
      <w:r>
        <w:rPr>
          <w:spacing w:val="-1"/>
        </w:rPr>
        <w:t> </w:t>
      </w:r>
      <w:r>
        <w:rPr/>
        <w:t>dimensional</w:t>
      </w:r>
      <w:r>
        <w:rPr>
          <w:spacing w:val="-1"/>
        </w:rPr>
        <w:t> </w:t>
      </w:r>
      <w:r>
        <w:rPr/>
        <w:t>weight arbitrage</w:t>
      </w:r>
      <w:r>
        <w:rPr>
          <w:spacing w:val="-1"/>
        </w:rPr>
        <w:t> </w:t>
      </w:r>
      <w:r>
        <w:rPr/>
        <w:t>is not limited</w:t>
      </w:r>
      <w:r>
        <w:rPr>
          <w:spacing w:val="-1"/>
        </w:rPr>
        <w:t> </w:t>
      </w:r>
      <w:r>
        <w:rPr/>
        <w:t>to</w:t>
      </w:r>
      <w:r>
        <w:rPr>
          <w:spacing w:val="-1"/>
        </w:rPr>
        <w:t> </w:t>
      </w:r>
      <w:r>
        <w:rPr/>
        <w:t>one</w:t>
      </w:r>
      <w:r>
        <w:rPr>
          <w:spacing w:val="-1"/>
        </w:rPr>
        <w:t> </w:t>
      </w:r>
      <w:r>
        <w:rPr/>
        <w:t>carrier</w:t>
      </w:r>
      <w:r>
        <w:rPr>
          <w:spacing w:val="-1"/>
        </w:rPr>
        <w:t> </w:t>
      </w:r>
      <w:r>
        <w:rPr/>
        <w:t>or</w:t>
      </w:r>
      <w:r>
        <w:rPr>
          <w:spacing w:val="-1"/>
        </w:rPr>
        <w:t> </w:t>
      </w:r>
      <w:r>
        <w:rPr/>
        <w:t>one type</w:t>
      </w:r>
      <w:r>
        <w:rPr>
          <w:spacing w:val="-1"/>
        </w:rPr>
        <w:t> </w:t>
      </w:r>
      <w:r>
        <w:rPr/>
        <w:t>of</w:t>
      </w:r>
      <w:r>
        <w:rPr>
          <w:spacing w:val="-1"/>
        </w:rPr>
        <w:t> </w:t>
      </w:r>
      <w:r>
        <w:rPr/>
        <w:t>shipper. It appears</w:t>
      </w:r>
      <w:r>
        <w:rPr>
          <w:spacing w:val="-4"/>
        </w:rPr>
        <w:t> </w:t>
      </w:r>
      <w:r>
        <w:rPr/>
        <w:t>wherever</w:t>
      </w:r>
      <w:r>
        <w:rPr>
          <w:spacing w:val="-4"/>
        </w:rPr>
        <w:t> </w:t>
      </w:r>
      <w:r>
        <w:rPr/>
        <w:t>three</w:t>
      </w:r>
      <w:r>
        <w:rPr>
          <w:spacing w:val="-4"/>
        </w:rPr>
        <w:t> </w:t>
      </w:r>
      <w:r>
        <w:rPr/>
        <w:t>conditions</w:t>
      </w:r>
      <w:r>
        <w:rPr>
          <w:spacing w:val="-4"/>
        </w:rPr>
        <w:t> </w:t>
      </w:r>
      <w:r>
        <w:rPr/>
        <w:t>meet:</w:t>
      </w:r>
      <w:r>
        <w:rPr>
          <w:spacing w:val="-4"/>
        </w:rPr>
        <w:t> </w:t>
      </w:r>
      <w:r>
        <w:rPr/>
        <w:t>the</w:t>
      </w:r>
      <w:r>
        <w:rPr>
          <w:spacing w:val="-4"/>
        </w:rPr>
        <w:t> </w:t>
      </w:r>
      <w:r>
        <w:rPr/>
        <w:t>parcel</w:t>
      </w:r>
      <w:r>
        <w:rPr>
          <w:spacing w:val="-4"/>
        </w:rPr>
        <w:t> </w:t>
      </w:r>
      <w:r>
        <w:rPr/>
        <w:t>is</w:t>
      </w:r>
      <w:r>
        <w:rPr>
          <w:spacing w:val="-4"/>
        </w:rPr>
        <w:t> </w:t>
      </w:r>
      <w:r>
        <w:rPr/>
        <w:t>low-density,</w:t>
      </w:r>
      <w:r>
        <w:rPr>
          <w:spacing w:val="-4"/>
        </w:rPr>
        <w:t> </w:t>
      </w:r>
      <w:r>
        <w:rPr/>
        <w:t>the</w:t>
      </w:r>
      <w:r>
        <w:rPr>
          <w:spacing w:val="-4"/>
        </w:rPr>
        <w:t> </w:t>
      </w:r>
      <w:r>
        <w:rPr/>
        <w:t>packaging</w:t>
      </w:r>
      <w:r>
        <w:rPr>
          <w:spacing w:val="-4"/>
        </w:rPr>
        <w:t> </w:t>
      </w:r>
      <w:r>
        <w:rPr/>
        <w:t>is</w:t>
      </w:r>
      <w:r>
        <w:rPr>
          <w:spacing w:val="-4"/>
        </w:rPr>
        <w:t> </w:t>
      </w:r>
      <w:r>
        <w:rPr/>
        <w:t>not</w:t>
      </w:r>
      <w:r>
        <w:rPr>
          <w:spacing w:val="-4"/>
        </w:rPr>
        <w:t> </w:t>
      </w:r>
      <w:r>
        <w:rPr/>
        <w:t>right-sized,</w:t>
      </w:r>
      <w:r>
        <w:rPr>
          <w:spacing w:val="-4"/>
        </w:rPr>
        <w:t> </w:t>
      </w:r>
      <w:r>
        <w:rPr/>
        <w:t>and</w:t>
      </w:r>
      <w:r>
        <w:rPr>
          <w:spacing w:val="-4"/>
        </w:rPr>
        <w:t> </w:t>
      </w:r>
      <w:r>
        <w:rPr/>
        <w:t>the billing</w:t>
      </w:r>
      <w:r>
        <w:rPr>
          <w:spacing w:val="-2"/>
        </w:rPr>
        <w:t> </w:t>
      </w:r>
      <w:r>
        <w:rPr/>
        <w:t>process</w:t>
      </w:r>
      <w:r>
        <w:rPr>
          <w:spacing w:val="-2"/>
        </w:rPr>
        <w:t> </w:t>
      </w:r>
      <w:r>
        <w:rPr/>
        <w:t>is</w:t>
      </w:r>
      <w:r>
        <w:rPr>
          <w:spacing w:val="-2"/>
        </w:rPr>
        <w:t> </w:t>
      </w:r>
      <w:r>
        <w:rPr/>
        <w:t>not</w:t>
      </w:r>
      <w:r>
        <w:rPr>
          <w:spacing w:val="-1"/>
        </w:rPr>
        <w:t> </w:t>
      </w:r>
      <w:r>
        <w:rPr/>
        <w:t>independently</w:t>
      </w:r>
      <w:r>
        <w:rPr>
          <w:spacing w:val="-2"/>
        </w:rPr>
        <w:t> </w:t>
      </w:r>
      <w:r>
        <w:rPr/>
        <w:t>verified.</w:t>
      </w:r>
      <w:r>
        <w:rPr>
          <w:spacing w:val="-1"/>
        </w:rPr>
        <w:t> </w:t>
      </w:r>
      <w:r>
        <w:rPr/>
        <w:t>In</w:t>
      </w:r>
      <w:r>
        <w:rPr>
          <w:spacing w:val="-2"/>
        </w:rPr>
        <w:t> </w:t>
      </w:r>
      <w:r>
        <w:rPr/>
        <w:t>such</w:t>
      </w:r>
      <w:r>
        <w:rPr>
          <w:spacing w:val="-2"/>
        </w:rPr>
        <w:t> </w:t>
      </w:r>
      <w:r>
        <w:rPr/>
        <w:t>cases,</w:t>
      </w:r>
      <w:r>
        <w:rPr>
          <w:spacing w:val="-2"/>
        </w:rPr>
        <w:t> </w:t>
      </w:r>
      <w:r>
        <w:rPr/>
        <w:t>the</w:t>
      </w:r>
      <w:r>
        <w:rPr>
          <w:spacing w:val="-1"/>
        </w:rPr>
        <w:t> </w:t>
      </w:r>
      <w:r>
        <w:rPr/>
        <w:t>final</w:t>
      </w:r>
      <w:r>
        <w:rPr>
          <w:spacing w:val="-2"/>
        </w:rPr>
        <w:t> </w:t>
      </w:r>
      <w:r>
        <w:rPr/>
        <w:t>invoice</w:t>
      </w:r>
      <w:r>
        <w:rPr>
          <w:spacing w:val="-2"/>
        </w:rPr>
        <w:t> </w:t>
      </w:r>
      <w:r>
        <w:rPr/>
        <w:t>can</w:t>
      </w:r>
      <w:r>
        <w:rPr>
          <w:spacing w:val="-2"/>
        </w:rPr>
        <w:t> </w:t>
      </w:r>
      <w:r>
        <w:rPr/>
        <w:t>be</w:t>
      </w:r>
      <w:r>
        <w:rPr>
          <w:spacing w:val="-2"/>
        </w:rPr>
        <w:t> </w:t>
      </w:r>
      <w:r>
        <w:rPr/>
        <w:t>significantly</w:t>
      </w:r>
      <w:r>
        <w:rPr>
          <w:spacing w:val="-1"/>
        </w:rPr>
        <w:t> </w:t>
      </w:r>
      <w:r>
        <w:rPr/>
        <w:t>higher</w:t>
      </w:r>
      <w:r>
        <w:rPr>
          <w:spacing w:val="-2"/>
        </w:rPr>
        <w:t> </w:t>
      </w:r>
      <w:r>
        <w:rPr/>
        <w:t>than what a seller expects from actual weight alone.</w:t>
      </w:r>
    </w:p>
    <w:p>
      <w:pPr>
        <w:pStyle w:val="BodyText"/>
        <w:spacing w:line="276" w:lineRule="auto"/>
        <w:ind w:right="203"/>
        <w:jc w:val="both"/>
      </w:pPr>
      <w:r>
        <w:rPr/>
        <w:t>The study also shows that awareness alone does not solve the problem. Many respondents knew about DIM</w:t>
      </w:r>
      <w:r>
        <w:rPr>
          <w:spacing w:val="-5"/>
        </w:rPr>
        <w:t> </w:t>
      </w:r>
      <w:r>
        <w:rPr/>
        <w:t>weight</w:t>
      </w:r>
      <w:r>
        <w:rPr>
          <w:spacing w:val="-4"/>
        </w:rPr>
        <w:t> </w:t>
      </w:r>
      <w:r>
        <w:rPr/>
        <w:t>policies,</w:t>
      </w:r>
      <w:r>
        <w:rPr>
          <w:spacing w:val="-4"/>
        </w:rPr>
        <w:t> </w:t>
      </w:r>
      <w:r>
        <w:rPr/>
        <w:t>but</w:t>
      </w:r>
      <w:r>
        <w:rPr>
          <w:spacing w:val="-5"/>
        </w:rPr>
        <w:t> </w:t>
      </w:r>
      <w:r>
        <w:rPr/>
        <w:t>only</w:t>
      </w:r>
      <w:r>
        <w:rPr>
          <w:spacing w:val="-5"/>
        </w:rPr>
        <w:t> </w:t>
      </w:r>
      <w:r>
        <w:rPr/>
        <w:t>a</w:t>
      </w:r>
      <w:r>
        <w:rPr>
          <w:spacing w:val="-5"/>
        </w:rPr>
        <w:t> </w:t>
      </w:r>
      <w:r>
        <w:rPr/>
        <w:t>small</w:t>
      </w:r>
      <w:r>
        <w:rPr>
          <w:spacing w:val="-5"/>
        </w:rPr>
        <w:t> </w:t>
      </w:r>
      <w:r>
        <w:rPr/>
        <w:t>share</w:t>
      </w:r>
      <w:r>
        <w:rPr>
          <w:spacing w:val="-5"/>
        </w:rPr>
        <w:t> </w:t>
      </w:r>
      <w:r>
        <w:rPr/>
        <w:t>conducted</w:t>
      </w:r>
      <w:r>
        <w:rPr>
          <w:spacing w:val="-5"/>
        </w:rPr>
        <w:t> </w:t>
      </w:r>
      <w:r>
        <w:rPr/>
        <w:t>regular</w:t>
      </w:r>
      <w:r>
        <w:rPr>
          <w:spacing w:val="-4"/>
        </w:rPr>
        <w:t> </w:t>
      </w:r>
      <w:r>
        <w:rPr/>
        <w:t>freight</w:t>
      </w:r>
      <w:r>
        <w:rPr>
          <w:spacing w:val="-4"/>
        </w:rPr>
        <w:t> </w:t>
      </w:r>
      <w:r>
        <w:rPr/>
        <w:t>audits.</w:t>
      </w:r>
      <w:r>
        <w:rPr>
          <w:spacing w:val="-4"/>
        </w:rPr>
        <w:t> </w:t>
      </w:r>
      <w:r>
        <w:rPr/>
        <w:t>This</w:t>
      </w:r>
      <w:r>
        <w:rPr>
          <w:spacing w:val="-4"/>
        </w:rPr>
        <w:t> </w:t>
      </w:r>
      <w:r>
        <w:rPr/>
        <w:t>gap</w:t>
      </w:r>
      <w:r>
        <w:rPr>
          <w:spacing w:val="-4"/>
        </w:rPr>
        <w:t> </w:t>
      </w:r>
      <w:r>
        <w:rPr/>
        <w:t>between</w:t>
      </w:r>
      <w:r>
        <w:rPr>
          <w:spacing w:val="-5"/>
        </w:rPr>
        <w:t> </w:t>
      </w:r>
      <w:r>
        <w:rPr/>
        <w:t>awareness</w:t>
      </w:r>
    </w:p>
    <w:p>
      <w:pPr>
        <w:pStyle w:val="BodyText"/>
        <w:spacing w:after="0" w:line="276" w:lineRule="auto"/>
        <w:jc w:val="both"/>
        <w:sectPr>
          <w:pgSz w:w="12240" w:h="15840"/>
          <w:pgMar w:top="980" w:bottom="280" w:left="1080" w:right="1080"/>
        </w:sectPr>
      </w:pPr>
    </w:p>
    <w:p>
      <w:pPr>
        <w:pStyle w:val="BodyText"/>
        <w:spacing w:line="276" w:lineRule="auto" w:before="68"/>
        <w:ind w:right="214"/>
      </w:pPr>
      <w:r>
        <w:rPr/>
        <w:t>and</w:t>
      </w:r>
      <w:r>
        <w:rPr>
          <w:spacing w:val="-4"/>
        </w:rPr>
        <w:t> </w:t>
      </w:r>
      <w:r>
        <w:rPr/>
        <w:t>action</w:t>
      </w:r>
      <w:r>
        <w:rPr>
          <w:spacing w:val="-4"/>
        </w:rPr>
        <w:t> </w:t>
      </w:r>
      <w:r>
        <w:rPr/>
        <w:t>is</w:t>
      </w:r>
      <w:r>
        <w:rPr>
          <w:spacing w:val="-4"/>
        </w:rPr>
        <w:t> </w:t>
      </w:r>
      <w:r>
        <w:rPr/>
        <w:t>important.</w:t>
      </w:r>
      <w:r>
        <w:rPr>
          <w:spacing w:val="-3"/>
        </w:rPr>
        <w:t> </w:t>
      </w:r>
      <w:r>
        <w:rPr/>
        <w:t>It</w:t>
      </w:r>
      <w:r>
        <w:rPr>
          <w:spacing w:val="-3"/>
        </w:rPr>
        <w:t> </w:t>
      </w:r>
      <w:r>
        <w:rPr/>
        <w:t>suggests</w:t>
      </w:r>
      <w:r>
        <w:rPr>
          <w:spacing w:val="-4"/>
        </w:rPr>
        <w:t> </w:t>
      </w:r>
      <w:r>
        <w:rPr/>
        <w:t>that</w:t>
      </w:r>
      <w:r>
        <w:rPr>
          <w:spacing w:val="-3"/>
        </w:rPr>
        <w:t> </w:t>
      </w:r>
      <w:r>
        <w:rPr/>
        <w:t>companies</w:t>
      </w:r>
      <w:r>
        <w:rPr>
          <w:spacing w:val="-4"/>
        </w:rPr>
        <w:t> </w:t>
      </w:r>
      <w:r>
        <w:rPr/>
        <w:t>may</w:t>
      </w:r>
      <w:r>
        <w:rPr>
          <w:spacing w:val="-4"/>
        </w:rPr>
        <w:t> </w:t>
      </w:r>
      <w:r>
        <w:rPr/>
        <w:t>understand</w:t>
      </w:r>
      <w:r>
        <w:rPr>
          <w:spacing w:val="-4"/>
        </w:rPr>
        <w:t> </w:t>
      </w:r>
      <w:r>
        <w:rPr/>
        <w:t>the</w:t>
      </w:r>
      <w:r>
        <w:rPr>
          <w:spacing w:val="-4"/>
        </w:rPr>
        <w:t> </w:t>
      </w:r>
      <w:r>
        <w:rPr/>
        <w:t>rule</w:t>
      </w:r>
      <w:r>
        <w:rPr>
          <w:spacing w:val="-4"/>
        </w:rPr>
        <w:t> </w:t>
      </w:r>
      <w:r>
        <w:rPr/>
        <w:t>but</w:t>
      </w:r>
      <w:r>
        <w:rPr>
          <w:spacing w:val="-3"/>
        </w:rPr>
        <w:t> </w:t>
      </w:r>
      <w:r>
        <w:rPr/>
        <w:t>still</w:t>
      </w:r>
      <w:r>
        <w:rPr>
          <w:spacing w:val="-4"/>
        </w:rPr>
        <w:t> </w:t>
      </w:r>
      <w:r>
        <w:rPr/>
        <w:t>lack</w:t>
      </w:r>
      <w:r>
        <w:rPr>
          <w:spacing w:val="-4"/>
        </w:rPr>
        <w:t> </w:t>
      </w:r>
      <w:r>
        <w:rPr/>
        <w:t>the</w:t>
      </w:r>
      <w:r>
        <w:rPr>
          <w:spacing w:val="-4"/>
        </w:rPr>
        <w:t> </w:t>
      </w:r>
      <w:r>
        <w:rPr/>
        <w:t>systems, time, or evidence required to control its financial impact.</w:t>
      </w:r>
    </w:p>
    <w:p>
      <w:pPr>
        <w:pStyle w:val="BodyText"/>
        <w:spacing w:line="276" w:lineRule="auto" w:before="200"/>
        <w:ind w:right="366"/>
      </w:pPr>
      <w:r>
        <w:rPr/>
        <w:t>Carrier</w:t>
      </w:r>
      <w:r>
        <w:rPr>
          <w:spacing w:val="-3"/>
        </w:rPr>
        <w:t> </w:t>
      </w:r>
      <w:r>
        <w:rPr/>
        <w:t>divisor</w:t>
      </w:r>
      <w:r>
        <w:rPr>
          <w:spacing w:val="-3"/>
        </w:rPr>
        <w:t> </w:t>
      </w:r>
      <w:r>
        <w:rPr/>
        <w:t>differences</w:t>
      </w:r>
      <w:r>
        <w:rPr>
          <w:spacing w:val="-4"/>
        </w:rPr>
        <w:t> </w:t>
      </w:r>
      <w:r>
        <w:rPr/>
        <w:t>also</w:t>
      </w:r>
      <w:r>
        <w:rPr>
          <w:spacing w:val="-4"/>
        </w:rPr>
        <w:t> </w:t>
      </w:r>
      <w:r>
        <w:rPr/>
        <w:t>matter.</w:t>
      </w:r>
      <w:r>
        <w:rPr>
          <w:spacing w:val="-3"/>
        </w:rPr>
        <w:t> </w:t>
      </w:r>
      <w:r>
        <w:rPr/>
        <w:t>A</w:t>
      </w:r>
      <w:r>
        <w:rPr>
          <w:spacing w:val="-4"/>
        </w:rPr>
        <w:t> </w:t>
      </w:r>
      <w:r>
        <w:rPr/>
        <w:t>shipper</w:t>
      </w:r>
      <w:r>
        <w:rPr>
          <w:spacing w:val="-4"/>
        </w:rPr>
        <w:t> </w:t>
      </w:r>
      <w:r>
        <w:rPr/>
        <w:t>moving</w:t>
      </w:r>
      <w:r>
        <w:rPr>
          <w:spacing w:val="-3"/>
        </w:rPr>
        <w:t> </w:t>
      </w:r>
      <w:r>
        <w:rPr/>
        <w:t>large</w:t>
      </w:r>
      <w:r>
        <w:rPr>
          <w:spacing w:val="-4"/>
        </w:rPr>
        <w:t> </w:t>
      </w:r>
      <w:r>
        <w:rPr/>
        <w:t>parcel</w:t>
      </w:r>
      <w:r>
        <w:rPr>
          <w:spacing w:val="-4"/>
        </w:rPr>
        <w:t> </w:t>
      </w:r>
      <w:r>
        <w:rPr/>
        <w:t>volumes</w:t>
      </w:r>
      <w:r>
        <w:rPr>
          <w:spacing w:val="-4"/>
        </w:rPr>
        <w:t> </w:t>
      </w:r>
      <w:r>
        <w:rPr/>
        <w:t>should</w:t>
      </w:r>
      <w:r>
        <w:rPr>
          <w:spacing w:val="-3"/>
        </w:rPr>
        <w:t> </w:t>
      </w:r>
      <w:r>
        <w:rPr/>
        <w:t>not</w:t>
      </w:r>
      <w:r>
        <w:rPr>
          <w:spacing w:val="-3"/>
        </w:rPr>
        <w:t> </w:t>
      </w:r>
      <w:r>
        <w:rPr/>
        <w:t>treat</w:t>
      </w:r>
      <w:r>
        <w:rPr>
          <w:spacing w:val="-4"/>
        </w:rPr>
        <w:t> </w:t>
      </w:r>
      <w:r>
        <w:rPr/>
        <w:t>all</w:t>
      </w:r>
      <w:r>
        <w:rPr>
          <w:spacing w:val="-4"/>
        </w:rPr>
        <w:t> </w:t>
      </w:r>
      <w:r>
        <w:rPr/>
        <w:t>carrier rate cards as equal. The base freight rate may look attractive, but a lower DIM divisor can increase the effective cost for bulky products. Therefore, procurement teams should compare carriers on total chargeable-weight impact rather than only headline rates.</w:t>
      </w:r>
    </w:p>
    <w:p>
      <w:pPr>
        <w:pStyle w:val="BodyText"/>
        <w:spacing w:before="240"/>
        <w:ind w:left="0"/>
      </w:pPr>
    </w:p>
    <w:p>
      <w:pPr>
        <w:pStyle w:val="Heading1"/>
        <w:numPr>
          <w:ilvl w:val="0"/>
          <w:numId w:val="1"/>
        </w:numPr>
        <w:tabs>
          <w:tab w:pos="450" w:val="left" w:leader="none"/>
        </w:tabs>
        <w:spacing w:line="240" w:lineRule="auto" w:before="0" w:after="0"/>
        <w:ind w:left="450" w:right="0" w:hanging="376"/>
        <w:jc w:val="left"/>
      </w:pPr>
      <w:bookmarkStart w:name="VI. Proposed Framework: Integrated DIM W" w:id="13"/>
      <w:bookmarkEnd w:id="13"/>
      <w:r>
        <w:rPr>
          <w:b w:val="0"/>
        </w:rPr>
      </w:r>
      <w:r>
        <w:rPr>
          <w:color w:val="355E90"/>
        </w:rPr>
        <w:t>Proposed</w:t>
      </w:r>
      <w:r>
        <w:rPr>
          <w:color w:val="355E90"/>
          <w:spacing w:val="-8"/>
        </w:rPr>
        <w:t> </w:t>
      </w:r>
      <w:r>
        <w:rPr>
          <w:color w:val="355E90"/>
        </w:rPr>
        <w:t>Framework:</w:t>
      </w:r>
      <w:r>
        <w:rPr>
          <w:color w:val="355E90"/>
          <w:spacing w:val="-5"/>
        </w:rPr>
        <w:t> </w:t>
      </w:r>
      <w:r>
        <w:rPr>
          <w:color w:val="355E90"/>
        </w:rPr>
        <w:t>Integrated</w:t>
      </w:r>
      <w:r>
        <w:rPr>
          <w:color w:val="355E90"/>
          <w:spacing w:val="-5"/>
        </w:rPr>
        <w:t> </w:t>
      </w:r>
      <w:r>
        <w:rPr>
          <w:color w:val="355E90"/>
        </w:rPr>
        <w:t>DIM</w:t>
      </w:r>
      <w:r>
        <w:rPr>
          <w:color w:val="355E90"/>
          <w:spacing w:val="-6"/>
        </w:rPr>
        <w:t> </w:t>
      </w:r>
      <w:r>
        <w:rPr>
          <w:color w:val="355E90"/>
        </w:rPr>
        <w:t>Weight</w:t>
      </w:r>
      <w:r>
        <w:rPr>
          <w:color w:val="355E90"/>
          <w:spacing w:val="-5"/>
        </w:rPr>
        <w:t> </w:t>
      </w:r>
      <w:r>
        <w:rPr>
          <w:color w:val="355E90"/>
          <w:spacing w:val="-2"/>
        </w:rPr>
        <w:t>Governance</w:t>
      </w:r>
    </w:p>
    <w:p>
      <w:pPr>
        <w:pStyle w:val="BodyText"/>
        <w:spacing w:line="276" w:lineRule="auto" w:before="51"/>
        <w:ind w:right="156"/>
      </w:pPr>
      <w:r>
        <w:rPr/>
        <w:t>A</w:t>
      </w:r>
      <w:r>
        <w:rPr>
          <w:spacing w:val="-5"/>
        </w:rPr>
        <w:t> </w:t>
      </w:r>
      <w:r>
        <w:rPr/>
        <w:t>practical</w:t>
      </w:r>
      <w:r>
        <w:rPr>
          <w:spacing w:val="-5"/>
        </w:rPr>
        <w:t> </w:t>
      </w:r>
      <w:r>
        <w:rPr/>
        <w:t>solution</w:t>
      </w:r>
      <w:r>
        <w:rPr>
          <w:spacing w:val="-5"/>
        </w:rPr>
        <w:t> </w:t>
      </w:r>
      <w:r>
        <w:rPr/>
        <w:t>requires</w:t>
      </w:r>
      <w:r>
        <w:rPr>
          <w:spacing w:val="-5"/>
        </w:rPr>
        <w:t> </w:t>
      </w:r>
      <w:r>
        <w:rPr/>
        <w:t>four</w:t>
      </w:r>
      <w:r>
        <w:rPr>
          <w:spacing w:val="-4"/>
        </w:rPr>
        <w:t> </w:t>
      </w:r>
      <w:r>
        <w:rPr/>
        <w:t>connected</w:t>
      </w:r>
      <w:r>
        <w:rPr>
          <w:spacing w:val="-5"/>
        </w:rPr>
        <w:t> </w:t>
      </w:r>
      <w:r>
        <w:rPr/>
        <w:t>actions.</w:t>
      </w:r>
      <w:r>
        <w:rPr>
          <w:spacing w:val="-4"/>
        </w:rPr>
        <w:t> </w:t>
      </w:r>
      <w:r>
        <w:rPr/>
        <w:t>First,</w:t>
      </w:r>
      <w:r>
        <w:rPr>
          <w:spacing w:val="-4"/>
        </w:rPr>
        <w:t> </w:t>
      </w:r>
      <w:r>
        <w:rPr/>
        <w:t>the</w:t>
      </w:r>
      <w:r>
        <w:rPr>
          <w:spacing w:val="-5"/>
        </w:rPr>
        <w:t> </w:t>
      </w:r>
      <w:r>
        <w:rPr/>
        <w:t>shipper</w:t>
      </w:r>
      <w:r>
        <w:rPr>
          <w:spacing w:val="-5"/>
        </w:rPr>
        <w:t> </w:t>
      </w:r>
      <w:r>
        <w:rPr/>
        <w:t>must</w:t>
      </w:r>
      <w:r>
        <w:rPr>
          <w:spacing w:val="-4"/>
        </w:rPr>
        <w:t> </w:t>
      </w:r>
      <w:r>
        <w:rPr/>
        <w:t>measure</w:t>
      </w:r>
      <w:r>
        <w:rPr>
          <w:spacing w:val="-5"/>
        </w:rPr>
        <w:t> </w:t>
      </w:r>
      <w:r>
        <w:rPr/>
        <w:t>package</w:t>
      </w:r>
      <w:r>
        <w:rPr>
          <w:spacing w:val="-5"/>
        </w:rPr>
        <w:t> </w:t>
      </w:r>
      <w:r>
        <w:rPr/>
        <w:t>dimensions at the source before dispatch. Second, packaging should be optimised so that products are protected without wasting space. Third, invoices should be audited using shipment-level data instead of random manual checks alone. Fourth, carrier contracts should include clear clauses on divisors, tolerance limits, evidence sharing, and dispute timelines.</w:t>
      </w:r>
    </w:p>
    <w:p>
      <w:pPr>
        <w:pStyle w:val="BodyText"/>
        <w:spacing w:line="276" w:lineRule="auto" w:before="202"/>
        <w:ind w:right="214"/>
      </w:pPr>
      <w:r>
        <w:rPr/>
        <w:t>This</w:t>
      </w:r>
      <w:r>
        <w:rPr>
          <w:spacing w:val="-4"/>
        </w:rPr>
        <w:t> </w:t>
      </w:r>
      <w:r>
        <w:rPr/>
        <w:t>four-step</w:t>
      </w:r>
      <w:r>
        <w:rPr>
          <w:spacing w:val="-4"/>
        </w:rPr>
        <w:t> </w:t>
      </w:r>
      <w:r>
        <w:rPr/>
        <w:t>governance</w:t>
      </w:r>
      <w:r>
        <w:rPr>
          <w:spacing w:val="-5"/>
        </w:rPr>
        <w:t> </w:t>
      </w:r>
      <w:r>
        <w:rPr/>
        <w:t>model</w:t>
      </w:r>
      <w:r>
        <w:rPr>
          <w:spacing w:val="-5"/>
        </w:rPr>
        <w:t> </w:t>
      </w:r>
      <w:r>
        <w:rPr/>
        <w:t>turns</w:t>
      </w:r>
      <w:r>
        <w:rPr>
          <w:spacing w:val="-5"/>
        </w:rPr>
        <w:t> </w:t>
      </w:r>
      <w:r>
        <w:rPr/>
        <w:t>dimensional</w:t>
      </w:r>
      <w:r>
        <w:rPr>
          <w:spacing w:val="-5"/>
        </w:rPr>
        <w:t> </w:t>
      </w:r>
      <w:r>
        <w:rPr/>
        <w:t>billing</w:t>
      </w:r>
      <w:r>
        <w:rPr>
          <w:spacing w:val="-5"/>
        </w:rPr>
        <w:t> </w:t>
      </w:r>
      <w:r>
        <w:rPr/>
        <w:t>from</w:t>
      </w:r>
      <w:r>
        <w:rPr>
          <w:spacing w:val="-4"/>
        </w:rPr>
        <w:t> </w:t>
      </w:r>
      <w:r>
        <w:rPr/>
        <w:t>a</w:t>
      </w:r>
      <w:r>
        <w:rPr>
          <w:spacing w:val="-5"/>
        </w:rPr>
        <w:t> </w:t>
      </w:r>
      <w:r>
        <w:rPr/>
        <w:t>reactive</w:t>
      </w:r>
      <w:r>
        <w:rPr>
          <w:spacing w:val="-5"/>
        </w:rPr>
        <w:t> </w:t>
      </w:r>
      <w:r>
        <w:rPr/>
        <w:t>dispute</w:t>
      </w:r>
      <w:r>
        <w:rPr>
          <w:spacing w:val="-5"/>
        </w:rPr>
        <w:t> </w:t>
      </w:r>
      <w:r>
        <w:rPr/>
        <w:t>issue</w:t>
      </w:r>
      <w:r>
        <w:rPr>
          <w:spacing w:val="-4"/>
        </w:rPr>
        <w:t> </w:t>
      </w:r>
      <w:r>
        <w:rPr/>
        <w:t>into</w:t>
      </w:r>
      <w:r>
        <w:rPr>
          <w:spacing w:val="-5"/>
        </w:rPr>
        <w:t> </w:t>
      </w:r>
      <w:r>
        <w:rPr/>
        <w:t>a</w:t>
      </w:r>
      <w:r>
        <w:rPr>
          <w:spacing w:val="-4"/>
        </w:rPr>
        <w:t> </w:t>
      </w:r>
      <w:r>
        <w:rPr/>
        <w:t>controllable cost-management process. It also creates a data trail that helps both shippers and carriers reduce avoidable disagreements.</w:t>
      </w:r>
    </w:p>
    <w:p>
      <w:pPr>
        <w:pStyle w:val="BodyText"/>
        <w:spacing w:before="6"/>
        <w:ind w:left="0"/>
        <w:rPr>
          <w:sz w:val="17"/>
        </w:rPr>
      </w:pPr>
    </w:p>
    <w:tbl>
      <w:tblPr>
        <w:tblW w:w="0" w:type="auto"/>
        <w:jc w:val="left"/>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8"/>
        <w:gridCol w:w="1986"/>
        <w:gridCol w:w="1988"/>
        <w:gridCol w:w="1986"/>
        <w:gridCol w:w="1988"/>
      </w:tblGrid>
      <w:tr>
        <w:trPr>
          <w:trHeight w:val="413" w:hRule="atLeast"/>
        </w:trPr>
        <w:tc>
          <w:tcPr>
            <w:tcW w:w="1988" w:type="dxa"/>
            <w:shd w:val="clear" w:color="auto" w:fill="D8E9F6"/>
          </w:tcPr>
          <w:p>
            <w:pPr>
              <w:pStyle w:val="TableParagraph"/>
              <w:spacing w:before="102"/>
              <w:rPr>
                <w:rFonts w:ascii="Arial"/>
                <w:b/>
                <w:sz w:val="18"/>
              </w:rPr>
            </w:pPr>
            <w:r>
              <w:rPr>
                <w:rFonts w:ascii="Arial"/>
                <w:b/>
                <w:spacing w:val="-2"/>
                <w:sz w:val="18"/>
              </w:rPr>
              <w:t>Pillar</w:t>
            </w:r>
          </w:p>
        </w:tc>
        <w:tc>
          <w:tcPr>
            <w:tcW w:w="1986" w:type="dxa"/>
            <w:shd w:val="clear" w:color="auto" w:fill="D8E9F6"/>
          </w:tcPr>
          <w:p>
            <w:pPr>
              <w:pStyle w:val="TableParagraph"/>
              <w:spacing w:before="102"/>
              <w:ind w:left="108"/>
              <w:rPr>
                <w:rFonts w:ascii="Arial"/>
                <w:b/>
                <w:sz w:val="18"/>
              </w:rPr>
            </w:pPr>
            <w:r>
              <w:rPr>
                <w:rFonts w:ascii="Arial"/>
                <w:b/>
                <w:sz w:val="18"/>
              </w:rPr>
              <w:t>Key</w:t>
            </w:r>
            <w:r>
              <w:rPr>
                <w:rFonts w:ascii="Arial"/>
                <w:b/>
                <w:spacing w:val="-2"/>
                <w:sz w:val="18"/>
              </w:rPr>
              <w:t> action</w:t>
            </w:r>
          </w:p>
        </w:tc>
        <w:tc>
          <w:tcPr>
            <w:tcW w:w="1988" w:type="dxa"/>
            <w:shd w:val="clear" w:color="auto" w:fill="D8E9F6"/>
          </w:tcPr>
          <w:p>
            <w:pPr>
              <w:pStyle w:val="TableParagraph"/>
              <w:spacing w:line="208" w:lineRule="exact"/>
              <w:ind w:right="450"/>
              <w:rPr>
                <w:rFonts w:ascii="Arial"/>
                <w:b/>
                <w:sz w:val="18"/>
              </w:rPr>
            </w:pPr>
            <w:r>
              <w:rPr>
                <w:rFonts w:ascii="Arial"/>
                <w:b/>
                <w:sz w:val="18"/>
              </w:rPr>
              <w:t>Technology / process</w:t>
            </w:r>
            <w:r>
              <w:rPr>
                <w:rFonts w:ascii="Arial"/>
                <w:b/>
                <w:spacing w:val="-13"/>
                <w:sz w:val="18"/>
              </w:rPr>
              <w:t> </w:t>
            </w:r>
            <w:r>
              <w:rPr>
                <w:rFonts w:ascii="Arial"/>
                <w:b/>
                <w:sz w:val="18"/>
              </w:rPr>
              <w:t>support</w:t>
            </w:r>
          </w:p>
        </w:tc>
        <w:tc>
          <w:tcPr>
            <w:tcW w:w="1986" w:type="dxa"/>
            <w:shd w:val="clear" w:color="auto" w:fill="D8E9F6"/>
          </w:tcPr>
          <w:p>
            <w:pPr>
              <w:pStyle w:val="TableParagraph"/>
              <w:spacing w:before="102"/>
              <w:ind w:left="108"/>
              <w:rPr>
                <w:rFonts w:ascii="Arial"/>
                <w:b/>
                <w:sz w:val="18"/>
              </w:rPr>
            </w:pPr>
            <w:r>
              <w:rPr>
                <w:rFonts w:ascii="Arial"/>
                <w:b/>
                <w:sz w:val="18"/>
              </w:rPr>
              <w:t>Expected</w:t>
            </w:r>
            <w:r>
              <w:rPr>
                <w:rFonts w:ascii="Arial"/>
                <w:b/>
                <w:spacing w:val="-8"/>
                <w:sz w:val="18"/>
              </w:rPr>
              <w:t> </w:t>
            </w:r>
            <w:r>
              <w:rPr>
                <w:rFonts w:ascii="Arial"/>
                <w:b/>
                <w:spacing w:val="-2"/>
                <w:sz w:val="18"/>
              </w:rPr>
              <w:t>benefit</w:t>
            </w:r>
          </w:p>
        </w:tc>
        <w:tc>
          <w:tcPr>
            <w:tcW w:w="1988" w:type="dxa"/>
            <w:shd w:val="clear" w:color="auto" w:fill="D8E9F6"/>
          </w:tcPr>
          <w:p>
            <w:pPr>
              <w:pStyle w:val="TableParagraph"/>
              <w:spacing w:before="102"/>
              <w:ind w:left="109"/>
              <w:rPr>
                <w:rFonts w:ascii="Arial"/>
                <w:b/>
                <w:sz w:val="18"/>
              </w:rPr>
            </w:pPr>
            <w:r>
              <w:rPr>
                <w:rFonts w:ascii="Arial"/>
                <w:b/>
                <w:sz w:val="18"/>
              </w:rPr>
              <w:t>Indicative</w:t>
            </w:r>
            <w:r>
              <w:rPr>
                <w:rFonts w:ascii="Arial"/>
                <w:b/>
                <w:spacing w:val="-9"/>
                <w:sz w:val="18"/>
              </w:rPr>
              <w:t> </w:t>
            </w:r>
            <w:r>
              <w:rPr>
                <w:rFonts w:ascii="Arial"/>
                <w:b/>
                <w:spacing w:val="-2"/>
                <w:sz w:val="18"/>
              </w:rPr>
              <w:t>timeline</w:t>
            </w:r>
          </w:p>
        </w:tc>
      </w:tr>
      <w:tr>
        <w:trPr>
          <w:trHeight w:val="618" w:hRule="atLeast"/>
        </w:trPr>
        <w:tc>
          <w:tcPr>
            <w:tcW w:w="1988" w:type="dxa"/>
          </w:tcPr>
          <w:p>
            <w:pPr>
              <w:pStyle w:val="TableParagraph"/>
              <w:spacing w:before="204"/>
              <w:rPr>
                <w:sz w:val="18"/>
              </w:rPr>
            </w:pPr>
            <w:r>
              <w:rPr>
                <w:spacing w:val="-2"/>
                <w:sz w:val="18"/>
              </w:rPr>
              <w:t>Measure</w:t>
            </w:r>
          </w:p>
        </w:tc>
        <w:tc>
          <w:tcPr>
            <w:tcW w:w="1986" w:type="dxa"/>
          </w:tcPr>
          <w:p>
            <w:pPr>
              <w:pStyle w:val="TableParagraph"/>
              <w:spacing w:line="208" w:lineRule="exact"/>
              <w:ind w:left="108" w:right="390"/>
              <w:rPr>
                <w:sz w:val="18"/>
              </w:rPr>
            </w:pPr>
            <w:r>
              <w:rPr>
                <w:sz w:val="18"/>
              </w:rPr>
              <w:t>Capture package dimensions</w:t>
            </w:r>
            <w:r>
              <w:rPr>
                <w:spacing w:val="-13"/>
                <w:sz w:val="18"/>
              </w:rPr>
              <w:t> </w:t>
            </w:r>
            <w:r>
              <w:rPr>
                <w:sz w:val="18"/>
              </w:rPr>
              <w:t>before </w:t>
            </w:r>
            <w:r>
              <w:rPr>
                <w:spacing w:val="-2"/>
                <w:sz w:val="18"/>
              </w:rPr>
              <w:t>shipment</w:t>
            </w:r>
          </w:p>
        </w:tc>
        <w:tc>
          <w:tcPr>
            <w:tcW w:w="1988" w:type="dxa"/>
          </w:tcPr>
          <w:p>
            <w:pPr>
              <w:pStyle w:val="TableParagraph"/>
              <w:spacing w:line="208" w:lineRule="exact"/>
              <w:ind w:right="525"/>
              <w:jc w:val="both"/>
              <w:rPr>
                <w:sz w:val="18"/>
              </w:rPr>
            </w:pPr>
            <w:r>
              <w:rPr>
                <w:sz w:val="18"/>
              </w:rPr>
              <w:t>3D</w:t>
            </w:r>
            <w:r>
              <w:rPr>
                <w:spacing w:val="-13"/>
                <w:sz w:val="18"/>
              </w:rPr>
              <w:t> </w:t>
            </w:r>
            <w:r>
              <w:rPr>
                <w:sz w:val="18"/>
              </w:rPr>
              <w:t>dimensioning scanner</w:t>
            </w:r>
            <w:r>
              <w:rPr>
                <w:spacing w:val="-15"/>
                <w:sz w:val="18"/>
              </w:rPr>
              <w:t> </w:t>
            </w:r>
            <w:r>
              <w:rPr>
                <w:sz w:val="18"/>
              </w:rPr>
              <w:t>or</w:t>
            </w:r>
            <w:r>
              <w:rPr>
                <w:spacing w:val="-12"/>
                <w:sz w:val="18"/>
              </w:rPr>
              <w:t> </w:t>
            </w:r>
            <w:r>
              <w:rPr>
                <w:sz w:val="18"/>
              </w:rPr>
              <w:t>WMS </w:t>
            </w:r>
            <w:r>
              <w:rPr>
                <w:spacing w:val="-2"/>
                <w:sz w:val="18"/>
              </w:rPr>
              <w:t>entry</w:t>
            </w:r>
          </w:p>
        </w:tc>
        <w:tc>
          <w:tcPr>
            <w:tcW w:w="1986" w:type="dxa"/>
          </w:tcPr>
          <w:p>
            <w:pPr>
              <w:pStyle w:val="TableParagraph"/>
              <w:spacing w:before="204"/>
              <w:ind w:left="108"/>
              <w:rPr>
                <w:sz w:val="18"/>
              </w:rPr>
            </w:pPr>
            <w:r>
              <w:rPr>
                <w:sz w:val="18"/>
              </w:rPr>
              <w:t>Fewer</w:t>
            </w:r>
            <w:r>
              <w:rPr>
                <w:spacing w:val="-5"/>
                <w:sz w:val="18"/>
              </w:rPr>
              <w:t> </w:t>
            </w:r>
            <w:r>
              <w:rPr>
                <w:sz w:val="18"/>
              </w:rPr>
              <w:t>invoice</w:t>
            </w:r>
            <w:r>
              <w:rPr>
                <w:spacing w:val="-4"/>
                <w:sz w:val="18"/>
              </w:rPr>
              <w:t> </w:t>
            </w:r>
            <w:r>
              <w:rPr>
                <w:spacing w:val="-2"/>
                <w:sz w:val="18"/>
              </w:rPr>
              <w:t>errors</w:t>
            </w:r>
          </w:p>
        </w:tc>
        <w:tc>
          <w:tcPr>
            <w:tcW w:w="1988" w:type="dxa"/>
          </w:tcPr>
          <w:p>
            <w:pPr>
              <w:pStyle w:val="TableParagraph"/>
              <w:spacing w:before="204"/>
              <w:ind w:left="109"/>
              <w:rPr>
                <w:sz w:val="18"/>
              </w:rPr>
            </w:pPr>
            <w:r>
              <w:rPr>
                <w:sz w:val="18"/>
              </w:rPr>
              <w:t>0-6</w:t>
            </w:r>
            <w:r>
              <w:rPr>
                <w:spacing w:val="-3"/>
                <w:sz w:val="18"/>
              </w:rPr>
              <w:t> </w:t>
            </w:r>
            <w:r>
              <w:rPr>
                <w:spacing w:val="-2"/>
                <w:sz w:val="18"/>
              </w:rPr>
              <w:t>months</w:t>
            </w:r>
          </w:p>
        </w:tc>
      </w:tr>
      <w:tr>
        <w:trPr>
          <w:trHeight w:val="408" w:hRule="atLeast"/>
        </w:trPr>
        <w:tc>
          <w:tcPr>
            <w:tcW w:w="1988" w:type="dxa"/>
          </w:tcPr>
          <w:p>
            <w:pPr>
              <w:pStyle w:val="TableParagraph"/>
              <w:spacing w:before="97"/>
              <w:rPr>
                <w:sz w:val="18"/>
              </w:rPr>
            </w:pPr>
            <w:r>
              <w:rPr>
                <w:spacing w:val="-2"/>
                <w:sz w:val="18"/>
              </w:rPr>
              <w:t>Optimise</w:t>
            </w:r>
          </w:p>
        </w:tc>
        <w:tc>
          <w:tcPr>
            <w:tcW w:w="1986" w:type="dxa"/>
          </w:tcPr>
          <w:p>
            <w:pPr>
              <w:pStyle w:val="TableParagraph"/>
              <w:spacing w:line="201" w:lineRule="exact"/>
              <w:ind w:left="108"/>
              <w:rPr>
                <w:sz w:val="18"/>
              </w:rPr>
            </w:pPr>
            <w:r>
              <w:rPr>
                <w:sz w:val="18"/>
              </w:rPr>
              <w:t>Use</w:t>
            </w:r>
            <w:r>
              <w:rPr>
                <w:spacing w:val="-4"/>
                <w:sz w:val="18"/>
              </w:rPr>
              <w:t> </w:t>
            </w:r>
            <w:r>
              <w:rPr>
                <w:sz w:val="18"/>
              </w:rPr>
              <w:t>the</w:t>
            </w:r>
            <w:r>
              <w:rPr>
                <w:spacing w:val="-5"/>
                <w:sz w:val="18"/>
              </w:rPr>
              <w:t> </w:t>
            </w:r>
            <w:r>
              <w:rPr>
                <w:sz w:val="18"/>
              </w:rPr>
              <w:t>smallest</w:t>
            </w:r>
            <w:r>
              <w:rPr>
                <w:spacing w:val="-4"/>
                <w:sz w:val="18"/>
              </w:rPr>
              <w:t> safe</w:t>
            </w:r>
          </w:p>
          <w:p>
            <w:pPr>
              <w:pStyle w:val="TableParagraph"/>
              <w:spacing w:line="187" w:lineRule="exact"/>
              <w:ind w:left="108"/>
              <w:rPr>
                <w:sz w:val="18"/>
              </w:rPr>
            </w:pPr>
            <w:r>
              <w:rPr>
                <w:spacing w:val="-2"/>
                <w:sz w:val="18"/>
              </w:rPr>
              <w:t>carton</w:t>
            </w:r>
          </w:p>
        </w:tc>
        <w:tc>
          <w:tcPr>
            <w:tcW w:w="1988" w:type="dxa"/>
          </w:tcPr>
          <w:p>
            <w:pPr>
              <w:pStyle w:val="TableParagraph"/>
              <w:spacing w:line="201" w:lineRule="exact"/>
              <w:rPr>
                <w:sz w:val="18"/>
              </w:rPr>
            </w:pPr>
            <w:r>
              <w:rPr>
                <w:sz w:val="18"/>
              </w:rPr>
              <w:t>Cartonisation</w:t>
            </w:r>
            <w:r>
              <w:rPr>
                <w:spacing w:val="-12"/>
                <w:sz w:val="18"/>
              </w:rPr>
              <w:t> </w:t>
            </w:r>
            <w:r>
              <w:rPr>
                <w:spacing w:val="-2"/>
                <w:sz w:val="18"/>
              </w:rPr>
              <w:t>logic</w:t>
            </w:r>
          </w:p>
          <w:p>
            <w:pPr>
              <w:pStyle w:val="TableParagraph"/>
              <w:spacing w:line="187" w:lineRule="exact"/>
              <w:rPr>
                <w:sz w:val="18"/>
              </w:rPr>
            </w:pPr>
            <w:r>
              <w:rPr>
                <w:sz w:val="18"/>
              </w:rPr>
              <w:t>and</w:t>
            </w:r>
            <w:r>
              <w:rPr>
                <w:spacing w:val="-6"/>
                <w:sz w:val="18"/>
              </w:rPr>
              <w:t> </w:t>
            </w:r>
            <w:r>
              <w:rPr>
                <w:sz w:val="18"/>
              </w:rPr>
              <w:t>packaging</w:t>
            </w:r>
            <w:r>
              <w:rPr>
                <w:spacing w:val="-6"/>
                <w:sz w:val="18"/>
              </w:rPr>
              <w:t> </w:t>
            </w:r>
            <w:r>
              <w:rPr>
                <w:spacing w:val="-2"/>
                <w:sz w:val="18"/>
              </w:rPr>
              <w:t>rules</w:t>
            </w:r>
          </w:p>
        </w:tc>
        <w:tc>
          <w:tcPr>
            <w:tcW w:w="1986" w:type="dxa"/>
          </w:tcPr>
          <w:p>
            <w:pPr>
              <w:pStyle w:val="TableParagraph"/>
              <w:spacing w:before="97"/>
              <w:ind w:left="108"/>
              <w:rPr>
                <w:sz w:val="18"/>
              </w:rPr>
            </w:pPr>
            <w:r>
              <w:rPr>
                <w:sz w:val="18"/>
              </w:rPr>
              <w:t>Lower</w:t>
            </w:r>
            <w:r>
              <w:rPr>
                <w:spacing w:val="-1"/>
                <w:sz w:val="18"/>
              </w:rPr>
              <w:t> </w:t>
            </w:r>
            <w:r>
              <w:rPr>
                <w:sz w:val="18"/>
              </w:rPr>
              <w:t>DIM</w:t>
            </w:r>
            <w:r>
              <w:rPr>
                <w:spacing w:val="-1"/>
                <w:sz w:val="18"/>
              </w:rPr>
              <w:t> </w:t>
            </w:r>
            <w:r>
              <w:rPr>
                <w:spacing w:val="-2"/>
                <w:sz w:val="18"/>
              </w:rPr>
              <w:t>weight</w:t>
            </w:r>
          </w:p>
        </w:tc>
        <w:tc>
          <w:tcPr>
            <w:tcW w:w="1988" w:type="dxa"/>
          </w:tcPr>
          <w:p>
            <w:pPr>
              <w:pStyle w:val="TableParagraph"/>
              <w:spacing w:before="97"/>
              <w:ind w:left="109"/>
              <w:rPr>
                <w:sz w:val="18"/>
              </w:rPr>
            </w:pPr>
            <w:r>
              <w:rPr>
                <w:sz w:val="18"/>
              </w:rPr>
              <w:t>3-9</w:t>
            </w:r>
            <w:r>
              <w:rPr>
                <w:spacing w:val="-3"/>
                <w:sz w:val="18"/>
              </w:rPr>
              <w:t> </w:t>
            </w:r>
            <w:r>
              <w:rPr>
                <w:spacing w:val="-2"/>
                <w:sz w:val="18"/>
              </w:rPr>
              <w:t>months</w:t>
            </w:r>
          </w:p>
        </w:tc>
      </w:tr>
      <w:tr>
        <w:trPr>
          <w:trHeight w:val="413" w:hRule="atLeast"/>
        </w:trPr>
        <w:tc>
          <w:tcPr>
            <w:tcW w:w="1988" w:type="dxa"/>
          </w:tcPr>
          <w:p>
            <w:pPr>
              <w:pStyle w:val="TableParagraph"/>
              <w:spacing w:before="103"/>
              <w:rPr>
                <w:sz w:val="18"/>
              </w:rPr>
            </w:pPr>
            <w:r>
              <w:rPr>
                <w:spacing w:val="-2"/>
                <w:sz w:val="18"/>
              </w:rPr>
              <w:t>Audit</w:t>
            </w:r>
          </w:p>
        </w:tc>
        <w:tc>
          <w:tcPr>
            <w:tcW w:w="1986" w:type="dxa"/>
          </w:tcPr>
          <w:p>
            <w:pPr>
              <w:pStyle w:val="TableParagraph"/>
              <w:spacing w:line="200" w:lineRule="atLeast"/>
              <w:ind w:left="108"/>
              <w:rPr>
                <w:sz w:val="18"/>
              </w:rPr>
            </w:pPr>
            <w:r>
              <w:rPr>
                <w:sz w:val="18"/>
              </w:rPr>
              <w:t>Match</w:t>
            </w:r>
            <w:r>
              <w:rPr>
                <w:spacing w:val="-15"/>
                <w:sz w:val="18"/>
              </w:rPr>
              <w:t> </w:t>
            </w:r>
            <w:r>
              <w:rPr>
                <w:sz w:val="18"/>
              </w:rPr>
              <w:t>invoice</w:t>
            </w:r>
            <w:r>
              <w:rPr>
                <w:spacing w:val="-12"/>
                <w:sz w:val="18"/>
              </w:rPr>
              <w:t> </w:t>
            </w:r>
            <w:r>
              <w:rPr>
                <w:sz w:val="18"/>
              </w:rPr>
              <w:t>with shipment records</w:t>
            </w:r>
          </w:p>
        </w:tc>
        <w:tc>
          <w:tcPr>
            <w:tcW w:w="1988" w:type="dxa"/>
          </w:tcPr>
          <w:p>
            <w:pPr>
              <w:pStyle w:val="TableParagraph"/>
              <w:rPr>
                <w:sz w:val="18"/>
              </w:rPr>
            </w:pPr>
            <w:r>
              <w:rPr>
                <w:sz w:val="18"/>
              </w:rPr>
              <w:t>Freight</w:t>
            </w:r>
            <w:r>
              <w:rPr>
                <w:spacing w:val="-5"/>
                <w:sz w:val="18"/>
              </w:rPr>
              <w:t> </w:t>
            </w:r>
            <w:r>
              <w:rPr>
                <w:sz w:val="18"/>
              </w:rPr>
              <w:t>audit</w:t>
            </w:r>
            <w:r>
              <w:rPr>
                <w:spacing w:val="-5"/>
                <w:sz w:val="18"/>
              </w:rPr>
              <w:t> </w:t>
            </w:r>
            <w:r>
              <w:rPr>
                <w:spacing w:val="-2"/>
                <w:sz w:val="18"/>
              </w:rPr>
              <w:t>software</w:t>
            </w:r>
          </w:p>
          <w:p>
            <w:pPr>
              <w:pStyle w:val="TableParagraph"/>
              <w:spacing w:line="187" w:lineRule="exact"/>
              <w:rPr>
                <w:sz w:val="18"/>
              </w:rPr>
            </w:pPr>
            <w:r>
              <w:rPr>
                <w:sz w:val="18"/>
              </w:rPr>
              <w:t>/</w:t>
            </w:r>
            <w:r>
              <w:rPr>
                <w:spacing w:val="-5"/>
                <w:sz w:val="18"/>
              </w:rPr>
              <w:t> </w:t>
            </w:r>
            <w:r>
              <w:rPr>
                <w:sz w:val="18"/>
              </w:rPr>
              <w:t>exception</w:t>
            </w:r>
            <w:r>
              <w:rPr>
                <w:spacing w:val="-5"/>
                <w:sz w:val="18"/>
              </w:rPr>
              <w:t> </w:t>
            </w:r>
            <w:r>
              <w:rPr>
                <w:spacing w:val="-2"/>
                <w:sz w:val="18"/>
              </w:rPr>
              <w:t>reports</w:t>
            </w:r>
          </w:p>
        </w:tc>
        <w:tc>
          <w:tcPr>
            <w:tcW w:w="1986" w:type="dxa"/>
          </w:tcPr>
          <w:p>
            <w:pPr>
              <w:pStyle w:val="TableParagraph"/>
              <w:spacing w:before="103"/>
              <w:ind w:left="108"/>
              <w:rPr>
                <w:sz w:val="18"/>
              </w:rPr>
            </w:pPr>
            <w:r>
              <w:rPr>
                <w:sz w:val="18"/>
              </w:rPr>
              <w:t>Overcharge</w:t>
            </w:r>
            <w:r>
              <w:rPr>
                <w:spacing w:val="-10"/>
                <w:sz w:val="18"/>
              </w:rPr>
              <w:t> </w:t>
            </w:r>
            <w:r>
              <w:rPr>
                <w:spacing w:val="-2"/>
                <w:sz w:val="18"/>
              </w:rPr>
              <w:t>recovery</w:t>
            </w:r>
          </w:p>
        </w:tc>
        <w:tc>
          <w:tcPr>
            <w:tcW w:w="1988" w:type="dxa"/>
          </w:tcPr>
          <w:p>
            <w:pPr>
              <w:pStyle w:val="TableParagraph"/>
              <w:spacing w:before="103"/>
              <w:ind w:left="109"/>
              <w:rPr>
                <w:sz w:val="18"/>
              </w:rPr>
            </w:pPr>
            <w:r>
              <w:rPr>
                <w:sz w:val="18"/>
              </w:rPr>
              <w:t>6-12</w:t>
            </w:r>
            <w:r>
              <w:rPr>
                <w:spacing w:val="-4"/>
                <w:sz w:val="18"/>
              </w:rPr>
              <w:t> </w:t>
            </w:r>
            <w:r>
              <w:rPr>
                <w:spacing w:val="-2"/>
                <w:sz w:val="18"/>
              </w:rPr>
              <w:t>months</w:t>
            </w:r>
          </w:p>
        </w:tc>
      </w:tr>
      <w:tr>
        <w:trPr>
          <w:trHeight w:val="621" w:hRule="atLeast"/>
        </w:trPr>
        <w:tc>
          <w:tcPr>
            <w:tcW w:w="1988" w:type="dxa"/>
          </w:tcPr>
          <w:p>
            <w:pPr>
              <w:pStyle w:val="TableParagraph"/>
              <w:ind w:left="0"/>
              <w:rPr>
                <w:sz w:val="18"/>
              </w:rPr>
            </w:pPr>
          </w:p>
          <w:p>
            <w:pPr>
              <w:pStyle w:val="TableParagraph"/>
              <w:rPr>
                <w:sz w:val="18"/>
              </w:rPr>
            </w:pPr>
            <w:r>
              <w:rPr>
                <w:spacing w:val="-2"/>
                <w:sz w:val="18"/>
              </w:rPr>
              <w:t>Negotiate</w:t>
            </w:r>
          </w:p>
        </w:tc>
        <w:tc>
          <w:tcPr>
            <w:tcW w:w="1986" w:type="dxa"/>
          </w:tcPr>
          <w:p>
            <w:pPr>
              <w:pStyle w:val="TableParagraph"/>
              <w:spacing w:before="103"/>
              <w:ind w:left="108"/>
              <w:rPr>
                <w:sz w:val="18"/>
              </w:rPr>
            </w:pPr>
            <w:r>
              <w:rPr>
                <w:sz w:val="18"/>
              </w:rPr>
              <w:t>Improve</w:t>
            </w:r>
            <w:r>
              <w:rPr>
                <w:spacing w:val="-15"/>
                <w:sz w:val="18"/>
              </w:rPr>
              <w:t> </w:t>
            </w:r>
            <w:r>
              <w:rPr>
                <w:sz w:val="18"/>
              </w:rPr>
              <w:t>billing</w:t>
            </w:r>
            <w:r>
              <w:rPr>
                <w:spacing w:val="-12"/>
                <w:sz w:val="18"/>
              </w:rPr>
              <w:t> </w:t>
            </w:r>
            <w:r>
              <w:rPr>
                <w:sz w:val="18"/>
              </w:rPr>
              <w:t>terms with carriers</w:t>
            </w:r>
          </w:p>
        </w:tc>
        <w:tc>
          <w:tcPr>
            <w:tcW w:w="1988" w:type="dxa"/>
          </w:tcPr>
          <w:p>
            <w:pPr>
              <w:pStyle w:val="TableParagraph"/>
              <w:spacing w:line="200" w:lineRule="atLeast"/>
              <w:ind w:right="176"/>
              <w:rPr>
                <w:sz w:val="18"/>
              </w:rPr>
            </w:pPr>
            <w:r>
              <w:rPr>
                <w:sz w:val="18"/>
              </w:rPr>
              <w:t>Contract</w:t>
            </w:r>
            <w:r>
              <w:rPr>
                <w:spacing w:val="-15"/>
                <w:sz w:val="18"/>
              </w:rPr>
              <w:t> </w:t>
            </w:r>
            <w:r>
              <w:rPr>
                <w:sz w:val="18"/>
              </w:rPr>
              <w:t>clauses</w:t>
            </w:r>
            <w:r>
              <w:rPr>
                <w:spacing w:val="-12"/>
                <w:sz w:val="18"/>
              </w:rPr>
              <w:t> </w:t>
            </w:r>
            <w:r>
              <w:rPr>
                <w:sz w:val="18"/>
              </w:rPr>
              <w:t>and </w:t>
            </w:r>
            <w:r>
              <w:rPr>
                <w:spacing w:val="-2"/>
                <w:sz w:val="18"/>
              </w:rPr>
              <w:t>data-backed benchmarking</w:t>
            </w:r>
          </w:p>
        </w:tc>
        <w:tc>
          <w:tcPr>
            <w:tcW w:w="1986" w:type="dxa"/>
          </w:tcPr>
          <w:p>
            <w:pPr>
              <w:pStyle w:val="TableParagraph"/>
              <w:ind w:left="0"/>
              <w:rPr>
                <w:sz w:val="18"/>
              </w:rPr>
            </w:pPr>
          </w:p>
          <w:p>
            <w:pPr>
              <w:pStyle w:val="TableParagraph"/>
              <w:ind w:left="108"/>
              <w:rPr>
                <w:sz w:val="18"/>
              </w:rPr>
            </w:pPr>
            <w:r>
              <w:rPr>
                <w:sz w:val="18"/>
              </w:rPr>
              <w:t>Lower</w:t>
            </w:r>
            <w:r>
              <w:rPr>
                <w:spacing w:val="-5"/>
                <w:sz w:val="18"/>
              </w:rPr>
              <w:t> </w:t>
            </w:r>
            <w:r>
              <w:rPr>
                <w:sz w:val="18"/>
              </w:rPr>
              <w:t>effective</w:t>
            </w:r>
            <w:r>
              <w:rPr>
                <w:spacing w:val="-5"/>
                <w:sz w:val="18"/>
              </w:rPr>
              <w:t> </w:t>
            </w:r>
            <w:r>
              <w:rPr>
                <w:spacing w:val="-4"/>
                <w:sz w:val="18"/>
              </w:rPr>
              <w:t>rate</w:t>
            </w:r>
          </w:p>
        </w:tc>
        <w:tc>
          <w:tcPr>
            <w:tcW w:w="1988" w:type="dxa"/>
          </w:tcPr>
          <w:p>
            <w:pPr>
              <w:pStyle w:val="TableParagraph"/>
              <w:ind w:left="0"/>
              <w:rPr>
                <w:sz w:val="18"/>
              </w:rPr>
            </w:pPr>
          </w:p>
          <w:p>
            <w:pPr>
              <w:pStyle w:val="TableParagraph"/>
              <w:ind w:left="109"/>
              <w:rPr>
                <w:sz w:val="18"/>
              </w:rPr>
            </w:pPr>
            <w:r>
              <w:rPr>
                <w:sz w:val="18"/>
              </w:rPr>
              <w:t>6-18</w:t>
            </w:r>
            <w:r>
              <w:rPr>
                <w:spacing w:val="-4"/>
                <w:sz w:val="18"/>
              </w:rPr>
              <w:t> </w:t>
            </w:r>
            <w:r>
              <w:rPr>
                <w:spacing w:val="-2"/>
                <w:sz w:val="18"/>
              </w:rPr>
              <w:t>months</w:t>
            </w:r>
          </w:p>
        </w:tc>
      </w:tr>
    </w:tbl>
    <w:p>
      <w:pPr>
        <w:pStyle w:val="BodyText"/>
        <w:spacing w:before="240"/>
        <w:ind w:left="0"/>
      </w:pPr>
    </w:p>
    <w:p>
      <w:pPr>
        <w:pStyle w:val="Heading1"/>
        <w:numPr>
          <w:ilvl w:val="0"/>
          <w:numId w:val="1"/>
        </w:numPr>
        <w:tabs>
          <w:tab w:pos="523" w:val="left" w:leader="none"/>
        </w:tabs>
        <w:spacing w:line="240" w:lineRule="auto" w:before="1" w:after="0"/>
        <w:ind w:left="523" w:right="0" w:hanging="449"/>
        <w:jc w:val="left"/>
      </w:pPr>
      <w:bookmarkStart w:name="VII. Conclusion and Recommendations" w:id="14"/>
      <w:bookmarkEnd w:id="14"/>
      <w:r>
        <w:rPr>
          <w:b w:val="0"/>
        </w:rPr>
      </w:r>
      <w:r>
        <w:rPr>
          <w:color w:val="355E90"/>
        </w:rPr>
        <w:t>Conclusion</w:t>
      </w:r>
      <w:r>
        <w:rPr>
          <w:color w:val="355E90"/>
          <w:spacing w:val="-6"/>
        </w:rPr>
        <w:t> </w:t>
      </w:r>
      <w:r>
        <w:rPr>
          <w:color w:val="355E90"/>
        </w:rPr>
        <w:t>and</w:t>
      </w:r>
      <w:r>
        <w:rPr>
          <w:color w:val="355E90"/>
          <w:spacing w:val="-4"/>
        </w:rPr>
        <w:t> </w:t>
      </w:r>
      <w:r>
        <w:rPr>
          <w:color w:val="355E90"/>
          <w:spacing w:val="-2"/>
        </w:rPr>
        <w:t>Recommendations</w:t>
      </w:r>
    </w:p>
    <w:p>
      <w:pPr>
        <w:pStyle w:val="BodyText"/>
        <w:spacing w:line="276" w:lineRule="auto" w:before="50"/>
        <w:ind w:right="87"/>
      </w:pPr>
      <w:r>
        <w:rPr/>
        <w:t>Dimensional</w:t>
      </w:r>
      <w:r>
        <w:rPr>
          <w:spacing w:val="-4"/>
        </w:rPr>
        <w:t> </w:t>
      </w:r>
      <w:r>
        <w:rPr/>
        <w:t>weight</w:t>
      </w:r>
      <w:r>
        <w:rPr>
          <w:spacing w:val="-3"/>
        </w:rPr>
        <w:t> </w:t>
      </w:r>
      <w:r>
        <w:rPr/>
        <w:t>billing</w:t>
      </w:r>
      <w:r>
        <w:rPr>
          <w:spacing w:val="-4"/>
        </w:rPr>
        <w:t> </w:t>
      </w:r>
      <w:r>
        <w:rPr/>
        <w:t>is</w:t>
      </w:r>
      <w:r>
        <w:rPr>
          <w:spacing w:val="-4"/>
        </w:rPr>
        <w:t> </w:t>
      </w:r>
      <w:r>
        <w:rPr/>
        <w:t>a</w:t>
      </w:r>
      <w:r>
        <w:rPr>
          <w:spacing w:val="-4"/>
        </w:rPr>
        <w:t> </w:t>
      </w:r>
      <w:r>
        <w:rPr/>
        <w:t>normal</w:t>
      </w:r>
      <w:r>
        <w:rPr>
          <w:spacing w:val="-4"/>
        </w:rPr>
        <w:t> </w:t>
      </w:r>
      <w:r>
        <w:rPr/>
        <w:t>part</w:t>
      </w:r>
      <w:r>
        <w:rPr>
          <w:spacing w:val="-3"/>
        </w:rPr>
        <w:t> </w:t>
      </w:r>
      <w:r>
        <w:rPr/>
        <w:t>of</w:t>
      </w:r>
      <w:r>
        <w:rPr>
          <w:spacing w:val="-3"/>
        </w:rPr>
        <w:t> </w:t>
      </w:r>
      <w:r>
        <w:rPr/>
        <w:t>courier</w:t>
      </w:r>
      <w:r>
        <w:rPr>
          <w:spacing w:val="-4"/>
        </w:rPr>
        <w:t> </w:t>
      </w:r>
      <w:r>
        <w:rPr/>
        <w:t>logistics,</w:t>
      </w:r>
      <w:r>
        <w:rPr>
          <w:spacing w:val="-3"/>
        </w:rPr>
        <w:t> </w:t>
      </w:r>
      <w:r>
        <w:rPr/>
        <w:t>but</w:t>
      </w:r>
      <w:r>
        <w:rPr>
          <w:spacing w:val="-4"/>
        </w:rPr>
        <w:t> </w:t>
      </w:r>
      <w:r>
        <w:rPr/>
        <w:t>it</w:t>
      </w:r>
      <w:r>
        <w:rPr>
          <w:spacing w:val="-3"/>
        </w:rPr>
        <w:t> </w:t>
      </w:r>
      <w:r>
        <w:rPr/>
        <w:t>becomes</w:t>
      </w:r>
      <w:r>
        <w:rPr>
          <w:spacing w:val="-4"/>
        </w:rPr>
        <w:t> </w:t>
      </w:r>
      <w:r>
        <w:rPr/>
        <w:t>a</w:t>
      </w:r>
      <w:r>
        <w:rPr>
          <w:spacing w:val="-4"/>
        </w:rPr>
        <w:t> </w:t>
      </w:r>
      <w:r>
        <w:rPr/>
        <w:t>financial</w:t>
      </w:r>
      <w:r>
        <w:rPr>
          <w:spacing w:val="-4"/>
        </w:rPr>
        <w:t> </w:t>
      </w:r>
      <w:r>
        <w:rPr/>
        <w:t>concern</w:t>
      </w:r>
      <w:r>
        <w:rPr>
          <w:spacing w:val="-4"/>
        </w:rPr>
        <w:t> </w:t>
      </w:r>
      <w:r>
        <w:rPr/>
        <w:t>when measurement, packaging, and audit controls are weak. The research indicates that the sectors most affected</w:t>
      </w:r>
      <w:r>
        <w:rPr>
          <w:spacing w:val="-4"/>
        </w:rPr>
        <w:t> </w:t>
      </w:r>
      <w:r>
        <w:rPr/>
        <w:t>are</w:t>
      </w:r>
      <w:r>
        <w:rPr>
          <w:spacing w:val="-4"/>
        </w:rPr>
        <w:t> </w:t>
      </w:r>
      <w:r>
        <w:rPr/>
        <w:t>those</w:t>
      </w:r>
      <w:r>
        <w:rPr>
          <w:spacing w:val="-4"/>
        </w:rPr>
        <w:t> </w:t>
      </w:r>
      <w:r>
        <w:rPr/>
        <w:t>shipping</w:t>
      </w:r>
      <w:r>
        <w:rPr>
          <w:spacing w:val="-3"/>
        </w:rPr>
        <w:t> </w:t>
      </w:r>
      <w:r>
        <w:rPr/>
        <w:t>bulky</w:t>
      </w:r>
      <w:r>
        <w:rPr>
          <w:spacing w:val="-4"/>
        </w:rPr>
        <w:t> </w:t>
      </w:r>
      <w:r>
        <w:rPr/>
        <w:t>and</w:t>
      </w:r>
      <w:r>
        <w:rPr>
          <w:spacing w:val="-4"/>
        </w:rPr>
        <w:t> </w:t>
      </w:r>
      <w:r>
        <w:rPr/>
        <w:t>lightweight</w:t>
      </w:r>
      <w:r>
        <w:rPr>
          <w:spacing w:val="-3"/>
        </w:rPr>
        <w:t> </w:t>
      </w:r>
      <w:r>
        <w:rPr/>
        <w:t>products.</w:t>
      </w:r>
      <w:r>
        <w:rPr>
          <w:spacing w:val="-3"/>
        </w:rPr>
        <w:t> </w:t>
      </w:r>
      <w:r>
        <w:rPr/>
        <w:t>The</w:t>
      </w:r>
      <w:r>
        <w:rPr>
          <w:spacing w:val="-4"/>
        </w:rPr>
        <w:t> </w:t>
      </w:r>
      <w:r>
        <w:rPr/>
        <w:t>highest-cost</w:t>
      </w:r>
      <w:r>
        <w:rPr>
          <w:spacing w:val="-4"/>
        </w:rPr>
        <w:t> </w:t>
      </w:r>
      <w:r>
        <w:rPr/>
        <w:t>risk</w:t>
      </w:r>
      <w:r>
        <w:rPr>
          <w:spacing w:val="-4"/>
        </w:rPr>
        <w:t> </w:t>
      </w:r>
      <w:r>
        <w:rPr/>
        <w:t>is</w:t>
      </w:r>
      <w:r>
        <w:rPr>
          <w:spacing w:val="-4"/>
        </w:rPr>
        <w:t> </w:t>
      </w:r>
      <w:r>
        <w:rPr/>
        <w:t>not</w:t>
      </w:r>
      <w:r>
        <w:rPr>
          <w:spacing w:val="-3"/>
        </w:rPr>
        <w:t> </w:t>
      </w:r>
      <w:r>
        <w:rPr/>
        <w:t>a</w:t>
      </w:r>
      <w:r>
        <w:rPr>
          <w:spacing w:val="-4"/>
        </w:rPr>
        <w:t> </w:t>
      </w:r>
      <w:r>
        <w:rPr/>
        <w:t>single</w:t>
      </w:r>
      <w:r>
        <w:rPr>
          <w:spacing w:val="-4"/>
        </w:rPr>
        <w:t> </w:t>
      </w:r>
      <w:r>
        <w:rPr/>
        <w:t>invoice error; it is the repeated occurrence of small billing gaps across thousands or millions of shipments.</w:t>
      </w:r>
    </w:p>
    <w:p>
      <w:pPr>
        <w:pStyle w:val="BodyText"/>
        <w:spacing w:line="276" w:lineRule="auto" w:before="202"/>
        <w:ind w:right="87"/>
      </w:pPr>
      <w:r>
        <w:rPr/>
        <w:t>Companies</w:t>
      </w:r>
      <w:r>
        <w:rPr>
          <w:spacing w:val="-5"/>
        </w:rPr>
        <w:t> </w:t>
      </w:r>
      <w:r>
        <w:rPr/>
        <w:t>can</w:t>
      </w:r>
      <w:r>
        <w:rPr>
          <w:spacing w:val="-5"/>
        </w:rPr>
        <w:t> </w:t>
      </w:r>
      <w:r>
        <w:rPr/>
        <w:t>reduce</w:t>
      </w:r>
      <w:r>
        <w:rPr>
          <w:spacing w:val="-5"/>
        </w:rPr>
        <w:t> </w:t>
      </w:r>
      <w:r>
        <w:rPr/>
        <w:t>this</w:t>
      </w:r>
      <w:r>
        <w:rPr>
          <w:spacing w:val="-4"/>
        </w:rPr>
        <w:t> </w:t>
      </w:r>
      <w:r>
        <w:rPr/>
        <w:t>risk</w:t>
      </w:r>
      <w:r>
        <w:rPr>
          <w:spacing w:val="-5"/>
        </w:rPr>
        <w:t> </w:t>
      </w:r>
      <w:r>
        <w:rPr/>
        <w:t>by</w:t>
      </w:r>
      <w:r>
        <w:rPr>
          <w:spacing w:val="-4"/>
        </w:rPr>
        <w:t> </w:t>
      </w:r>
      <w:r>
        <w:rPr/>
        <w:t>measuring</w:t>
      </w:r>
      <w:r>
        <w:rPr>
          <w:spacing w:val="-5"/>
        </w:rPr>
        <w:t> </w:t>
      </w:r>
      <w:r>
        <w:rPr/>
        <w:t>parcels</w:t>
      </w:r>
      <w:r>
        <w:rPr>
          <w:spacing w:val="-4"/>
        </w:rPr>
        <w:t> </w:t>
      </w:r>
      <w:r>
        <w:rPr/>
        <w:t>before</w:t>
      </w:r>
      <w:r>
        <w:rPr>
          <w:spacing w:val="-4"/>
        </w:rPr>
        <w:t> </w:t>
      </w:r>
      <w:r>
        <w:rPr/>
        <w:t>dispatch,</w:t>
      </w:r>
      <w:r>
        <w:rPr>
          <w:spacing w:val="-5"/>
        </w:rPr>
        <w:t> </w:t>
      </w:r>
      <w:r>
        <w:rPr/>
        <w:t>improving</w:t>
      </w:r>
      <w:r>
        <w:rPr>
          <w:spacing w:val="-5"/>
        </w:rPr>
        <w:t> </w:t>
      </w:r>
      <w:r>
        <w:rPr/>
        <w:t>carton</w:t>
      </w:r>
      <w:r>
        <w:rPr>
          <w:spacing w:val="-5"/>
        </w:rPr>
        <w:t> </w:t>
      </w:r>
      <w:r>
        <w:rPr/>
        <w:t>selection,</w:t>
      </w:r>
      <w:r>
        <w:rPr>
          <w:spacing w:val="-4"/>
        </w:rPr>
        <w:t> </w:t>
      </w:r>
      <w:r>
        <w:rPr/>
        <w:t>auditing invoices regularly, and negotiating fair DIM divisor terms with carriers. For academic research, the topic is useful because it connects logistics operations, pricing transparency, packaging design, and financial control in one measurable problem area.</w:t>
      </w:r>
    </w:p>
    <w:p>
      <w:pPr>
        <w:pStyle w:val="BodyText"/>
        <w:spacing w:before="240"/>
        <w:ind w:left="0"/>
      </w:pPr>
    </w:p>
    <w:p>
      <w:pPr>
        <w:pStyle w:val="Heading1"/>
      </w:pPr>
      <w:bookmarkStart w:name="Scope for Future Research" w:id="15"/>
      <w:bookmarkEnd w:id="15"/>
      <w:r>
        <w:rPr>
          <w:b w:val="0"/>
        </w:rPr>
      </w:r>
      <w:r>
        <w:rPr>
          <w:color w:val="355E90"/>
        </w:rPr>
        <w:t>Scope</w:t>
      </w:r>
      <w:r>
        <w:rPr>
          <w:color w:val="355E90"/>
          <w:spacing w:val="-4"/>
        </w:rPr>
        <w:t> </w:t>
      </w:r>
      <w:r>
        <w:rPr>
          <w:color w:val="355E90"/>
        </w:rPr>
        <w:t>for</w:t>
      </w:r>
      <w:r>
        <w:rPr>
          <w:color w:val="355E90"/>
          <w:spacing w:val="-3"/>
        </w:rPr>
        <w:t> </w:t>
      </w:r>
      <w:r>
        <w:rPr>
          <w:color w:val="355E90"/>
        </w:rPr>
        <w:t>Future</w:t>
      </w:r>
      <w:r>
        <w:rPr>
          <w:color w:val="355E90"/>
          <w:spacing w:val="-3"/>
        </w:rPr>
        <w:t> </w:t>
      </w:r>
      <w:r>
        <w:rPr>
          <w:color w:val="355E90"/>
          <w:spacing w:val="-2"/>
        </w:rPr>
        <w:t>Research</w:t>
      </w:r>
    </w:p>
    <w:p>
      <w:pPr>
        <w:pStyle w:val="BodyText"/>
        <w:spacing w:line="276" w:lineRule="auto" w:before="51"/>
        <w:ind w:right="139"/>
      </w:pPr>
      <w:r>
        <w:rPr/>
        <w:t>Future studies can test the relationship between packaging innovation and chargeable weight reduction, compare</w:t>
      </w:r>
      <w:r>
        <w:rPr>
          <w:spacing w:val="-5"/>
        </w:rPr>
        <w:t> </w:t>
      </w:r>
      <w:r>
        <w:rPr/>
        <w:t>carrier</w:t>
      </w:r>
      <w:r>
        <w:rPr>
          <w:spacing w:val="-5"/>
        </w:rPr>
        <w:t> </w:t>
      </w:r>
      <w:r>
        <w:rPr/>
        <w:t>measurement</w:t>
      </w:r>
      <w:r>
        <w:rPr>
          <w:spacing w:val="-5"/>
        </w:rPr>
        <w:t> </w:t>
      </w:r>
      <w:r>
        <w:rPr/>
        <w:t>systems</w:t>
      </w:r>
      <w:r>
        <w:rPr>
          <w:spacing w:val="-5"/>
        </w:rPr>
        <w:t> </w:t>
      </w:r>
      <w:r>
        <w:rPr/>
        <w:t>across</w:t>
      </w:r>
      <w:r>
        <w:rPr>
          <w:spacing w:val="-4"/>
        </w:rPr>
        <w:t> </w:t>
      </w:r>
      <w:r>
        <w:rPr/>
        <w:t>regions,</w:t>
      </w:r>
      <w:r>
        <w:rPr>
          <w:spacing w:val="-5"/>
        </w:rPr>
        <w:t> </w:t>
      </w:r>
      <w:r>
        <w:rPr/>
        <w:t>and</w:t>
      </w:r>
      <w:r>
        <w:rPr>
          <w:spacing w:val="-5"/>
        </w:rPr>
        <w:t> </w:t>
      </w:r>
      <w:r>
        <w:rPr/>
        <w:t>build</w:t>
      </w:r>
      <w:r>
        <w:rPr>
          <w:spacing w:val="-5"/>
        </w:rPr>
        <w:t> </w:t>
      </w:r>
      <w:r>
        <w:rPr/>
        <w:t>predictive</w:t>
      </w:r>
      <w:r>
        <w:rPr>
          <w:spacing w:val="-5"/>
        </w:rPr>
        <w:t> </w:t>
      </w:r>
      <w:r>
        <w:rPr/>
        <w:t>models</w:t>
      </w:r>
      <w:r>
        <w:rPr>
          <w:spacing w:val="-5"/>
        </w:rPr>
        <w:t> </w:t>
      </w:r>
      <w:r>
        <w:rPr/>
        <w:t>that</w:t>
      </w:r>
      <w:r>
        <w:rPr>
          <w:spacing w:val="-4"/>
        </w:rPr>
        <w:t> </w:t>
      </w:r>
      <w:r>
        <w:rPr/>
        <w:t>identify</w:t>
      </w:r>
      <w:r>
        <w:rPr>
          <w:spacing w:val="-4"/>
        </w:rPr>
        <w:t> </w:t>
      </w:r>
      <w:r>
        <w:rPr/>
        <w:t>shipments most likely to face DIM-based overcharging before the invoice is generated.</w:t>
      </w:r>
    </w:p>
    <w:p>
      <w:pPr>
        <w:pStyle w:val="BodyText"/>
        <w:spacing w:after="0" w:line="276" w:lineRule="auto"/>
        <w:sectPr>
          <w:pgSz w:w="12240" w:h="15840"/>
          <w:pgMar w:top="940" w:bottom="280" w:left="1080" w:right="1080"/>
        </w:sectPr>
      </w:pPr>
    </w:p>
    <w:p>
      <w:pPr>
        <w:pStyle w:val="Heading1"/>
        <w:spacing w:before="88"/>
      </w:pPr>
      <w:bookmarkStart w:name="References" w:id="16"/>
      <w:bookmarkEnd w:id="16"/>
      <w:r>
        <w:rPr>
          <w:b w:val="0"/>
        </w:rPr>
      </w:r>
      <w:r>
        <w:rPr>
          <w:color w:val="355E90"/>
          <w:spacing w:val="-2"/>
        </w:rPr>
        <w:t>References</w:t>
      </w:r>
    </w:p>
    <w:p>
      <w:pPr>
        <w:pStyle w:val="BodyText"/>
        <w:spacing w:line="276" w:lineRule="auto" w:before="51"/>
        <w:ind w:left="434" w:hanging="360"/>
      </w:pPr>
      <w:r>
        <w:rPr/>
        <w:t>Bar-Gill,</w:t>
      </w:r>
      <w:r>
        <w:rPr>
          <w:spacing w:val="-5"/>
        </w:rPr>
        <w:t> </w:t>
      </w:r>
      <w:r>
        <w:rPr/>
        <w:t>O.</w:t>
      </w:r>
      <w:r>
        <w:rPr>
          <w:spacing w:val="-5"/>
        </w:rPr>
        <w:t> </w:t>
      </w:r>
      <w:r>
        <w:rPr/>
        <w:t>(2012).</w:t>
      </w:r>
      <w:r>
        <w:rPr>
          <w:spacing w:val="-4"/>
        </w:rPr>
        <w:t> </w:t>
      </w:r>
      <w:r>
        <w:rPr/>
        <w:t>Seduction</w:t>
      </w:r>
      <w:r>
        <w:rPr>
          <w:spacing w:val="-5"/>
        </w:rPr>
        <w:t> </w:t>
      </w:r>
      <w:r>
        <w:rPr/>
        <w:t>by</w:t>
      </w:r>
      <w:r>
        <w:rPr>
          <w:spacing w:val="-5"/>
        </w:rPr>
        <w:t> </w:t>
      </w:r>
      <w:r>
        <w:rPr/>
        <w:t>Contract:</w:t>
      </w:r>
      <w:r>
        <w:rPr>
          <w:spacing w:val="-4"/>
        </w:rPr>
        <w:t> </w:t>
      </w:r>
      <w:r>
        <w:rPr/>
        <w:t>Law,</w:t>
      </w:r>
      <w:r>
        <w:rPr>
          <w:spacing w:val="-4"/>
        </w:rPr>
        <w:t> </w:t>
      </w:r>
      <w:r>
        <w:rPr/>
        <w:t>Economics,</w:t>
      </w:r>
      <w:r>
        <w:rPr>
          <w:spacing w:val="-5"/>
        </w:rPr>
        <w:t> </w:t>
      </w:r>
      <w:r>
        <w:rPr/>
        <w:t>and</w:t>
      </w:r>
      <w:r>
        <w:rPr>
          <w:spacing w:val="-5"/>
        </w:rPr>
        <w:t> </w:t>
      </w:r>
      <w:r>
        <w:rPr/>
        <w:t>Psychology</w:t>
      </w:r>
      <w:r>
        <w:rPr>
          <w:spacing w:val="-5"/>
        </w:rPr>
        <w:t> </w:t>
      </w:r>
      <w:r>
        <w:rPr/>
        <w:t>in</w:t>
      </w:r>
      <w:r>
        <w:rPr>
          <w:spacing w:val="-5"/>
        </w:rPr>
        <w:t> </w:t>
      </w:r>
      <w:r>
        <w:rPr/>
        <w:t>Consumer</w:t>
      </w:r>
      <w:r>
        <w:rPr>
          <w:spacing w:val="-5"/>
        </w:rPr>
        <w:t> </w:t>
      </w:r>
      <w:r>
        <w:rPr/>
        <w:t>Markets.</w:t>
      </w:r>
      <w:r>
        <w:rPr>
          <w:spacing w:val="-4"/>
        </w:rPr>
        <w:t> </w:t>
      </w:r>
      <w:r>
        <w:rPr/>
        <w:t>Oxford University Press.</w:t>
      </w:r>
    </w:p>
    <w:p>
      <w:pPr>
        <w:pStyle w:val="BodyText"/>
        <w:spacing w:line="276" w:lineRule="auto"/>
        <w:ind w:left="434" w:hanging="360"/>
      </w:pPr>
      <w:r>
        <w:rPr/>
        <w:t>Cavinato,</w:t>
      </w:r>
      <w:r>
        <w:rPr>
          <w:spacing w:val="-4"/>
        </w:rPr>
        <w:t> </w:t>
      </w:r>
      <w:r>
        <w:rPr/>
        <w:t>J.</w:t>
      </w:r>
      <w:r>
        <w:rPr>
          <w:spacing w:val="-4"/>
        </w:rPr>
        <w:t> </w:t>
      </w:r>
      <w:r>
        <w:rPr/>
        <w:t>L.</w:t>
      </w:r>
      <w:r>
        <w:rPr>
          <w:spacing w:val="-4"/>
        </w:rPr>
        <w:t> </w:t>
      </w:r>
      <w:r>
        <w:rPr/>
        <w:t>(1992).</w:t>
      </w:r>
      <w:r>
        <w:rPr>
          <w:spacing w:val="-4"/>
        </w:rPr>
        <w:t> </w:t>
      </w:r>
      <w:r>
        <w:rPr/>
        <w:t>A</w:t>
      </w:r>
      <w:r>
        <w:rPr>
          <w:spacing w:val="-5"/>
        </w:rPr>
        <w:t> </w:t>
      </w:r>
      <w:r>
        <w:rPr/>
        <w:t>total</w:t>
      </w:r>
      <w:r>
        <w:rPr>
          <w:spacing w:val="-5"/>
        </w:rPr>
        <w:t> </w:t>
      </w:r>
      <w:r>
        <w:rPr/>
        <w:t>cost/value</w:t>
      </w:r>
      <w:r>
        <w:rPr>
          <w:spacing w:val="-5"/>
        </w:rPr>
        <w:t> </w:t>
      </w:r>
      <w:r>
        <w:rPr/>
        <w:t>model</w:t>
      </w:r>
      <w:r>
        <w:rPr>
          <w:spacing w:val="-5"/>
        </w:rPr>
        <w:t> </w:t>
      </w:r>
      <w:r>
        <w:rPr/>
        <w:t>for</w:t>
      </w:r>
      <w:r>
        <w:rPr>
          <w:spacing w:val="-5"/>
        </w:rPr>
        <w:t> </w:t>
      </w:r>
      <w:r>
        <w:rPr/>
        <w:t>supply</w:t>
      </w:r>
      <w:r>
        <w:rPr>
          <w:spacing w:val="-4"/>
        </w:rPr>
        <w:t> </w:t>
      </w:r>
      <w:r>
        <w:rPr/>
        <w:t>chain</w:t>
      </w:r>
      <w:r>
        <w:rPr>
          <w:spacing w:val="-5"/>
        </w:rPr>
        <w:t> </w:t>
      </w:r>
      <w:r>
        <w:rPr/>
        <w:t>competitiveness.</w:t>
      </w:r>
      <w:r>
        <w:rPr>
          <w:spacing w:val="-5"/>
        </w:rPr>
        <w:t> </w:t>
      </w:r>
      <w:r>
        <w:rPr/>
        <w:t>Journal</w:t>
      </w:r>
      <w:r>
        <w:rPr>
          <w:spacing w:val="-5"/>
        </w:rPr>
        <w:t> </w:t>
      </w:r>
      <w:r>
        <w:rPr/>
        <w:t>of</w:t>
      </w:r>
      <w:r>
        <w:rPr>
          <w:spacing w:val="-4"/>
        </w:rPr>
        <w:t> </w:t>
      </w:r>
      <w:r>
        <w:rPr/>
        <w:t>Business Logistics, 13(2), 285-301.</w:t>
      </w:r>
    </w:p>
    <w:p>
      <w:pPr>
        <w:pStyle w:val="BodyText"/>
        <w:spacing w:before="200"/>
      </w:pPr>
      <w:r>
        <w:rPr/>
        <w:t>Christopher,</w:t>
      </w:r>
      <w:r>
        <w:rPr>
          <w:spacing w:val="-7"/>
        </w:rPr>
        <w:t> </w:t>
      </w:r>
      <w:r>
        <w:rPr/>
        <w:t>M.</w:t>
      </w:r>
      <w:r>
        <w:rPr>
          <w:spacing w:val="-5"/>
        </w:rPr>
        <w:t> </w:t>
      </w:r>
      <w:r>
        <w:rPr/>
        <w:t>(2016).</w:t>
      </w:r>
      <w:r>
        <w:rPr>
          <w:spacing w:val="-4"/>
        </w:rPr>
        <w:t> </w:t>
      </w:r>
      <w:r>
        <w:rPr/>
        <w:t>Logistics</w:t>
      </w:r>
      <w:r>
        <w:rPr>
          <w:spacing w:val="-6"/>
        </w:rPr>
        <w:t> </w:t>
      </w:r>
      <w:r>
        <w:rPr/>
        <w:t>&amp;</w:t>
      </w:r>
      <w:r>
        <w:rPr>
          <w:spacing w:val="-4"/>
        </w:rPr>
        <w:t> </w:t>
      </w:r>
      <w:r>
        <w:rPr/>
        <w:t>Supply</w:t>
      </w:r>
      <w:r>
        <w:rPr>
          <w:spacing w:val="-5"/>
        </w:rPr>
        <w:t> </w:t>
      </w:r>
      <w:r>
        <w:rPr/>
        <w:t>Chain</w:t>
      </w:r>
      <w:r>
        <w:rPr>
          <w:spacing w:val="-6"/>
        </w:rPr>
        <w:t> </w:t>
      </w:r>
      <w:r>
        <w:rPr/>
        <w:t>Management</w:t>
      </w:r>
      <w:r>
        <w:rPr>
          <w:spacing w:val="-5"/>
        </w:rPr>
        <w:t> </w:t>
      </w:r>
      <w:r>
        <w:rPr/>
        <w:t>(5th</w:t>
      </w:r>
      <w:r>
        <w:rPr>
          <w:spacing w:val="-4"/>
        </w:rPr>
        <w:t> </w:t>
      </w:r>
      <w:r>
        <w:rPr/>
        <w:t>ed.).</w:t>
      </w:r>
      <w:r>
        <w:rPr>
          <w:spacing w:val="-4"/>
        </w:rPr>
        <w:t> </w:t>
      </w:r>
      <w:r>
        <w:rPr>
          <w:spacing w:val="-2"/>
        </w:rPr>
        <w:t>Pearson.</w:t>
      </w:r>
    </w:p>
    <w:p>
      <w:pPr>
        <w:pStyle w:val="BodyText"/>
        <w:spacing w:line="276" w:lineRule="auto" w:before="237"/>
        <w:ind w:left="434" w:hanging="360"/>
      </w:pPr>
      <w:r>
        <w:rPr/>
        <w:t>Hobfoll,</w:t>
      </w:r>
      <w:r>
        <w:rPr>
          <w:spacing w:val="-4"/>
        </w:rPr>
        <w:t> </w:t>
      </w:r>
      <w:r>
        <w:rPr/>
        <w:t>S.</w:t>
      </w:r>
      <w:r>
        <w:rPr>
          <w:spacing w:val="-4"/>
        </w:rPr>
        <w:t> </w:t>
      </w:r>
      <w:r>
        <w:rPr/>
        <w:t>E.</w:t>
      </w:r>
      <w:r>
        <w:rPr>
          <w:spacing w:val="-5"/>
        </w:rPr>
        <w:t> </w:t>
      </w:r>
      <w:r>
        <w:rPr/>
        <w:t>(1989).</w:t>
      </w:r>
      <w:r>
        <w:rPr>
          <w:spacing w:val="-4"/>
        </w:rPr>
        <w:t> </w:t>
      </w:r>
      <w:r>
        <w:rPr/>
        <w:t>Conservation</w:t>
      </w:r>
      <w:r>
        <w:rPr>
          <w:spacing w:val="-5"/>
        </w:rPr>
        <w:t> </w:t>
      </w:r>
      <w:r>
        <w:rPr/>
        <w:t>of</w:t>
      </w:r>
      <w:r>
        <w:rPr>
          <w:spacing w:val="-5"/>
        </w:rPr>
        <w:t> </w:t>
      </w:r>
      <w:r>
        <w:rPr/>
        <w:t>resources:</w:t>
      </w:r>
      <w:r>
        <w:rPr>
          <w:spacing w:val="-4"/>
        </w:rPr>
        <w:t> </w:t>
      </w:r>
      <w:r>
        <w:rPr/>
        <w:t>A</w:t>
      </w:r>
      <w:r>
        <w:rPr>
          <w:spacing w:val="-5"/>
        </w:rPr>
        <w:t> </w:t>
      </w:r>
      <w:r>
        <w:rPr/>
        <w:t>new</w:t>
      </w:r>
      <w:r>
        <w:rPr>
          <w:spacing w:val="-5"/>
        </w:rPr>
        <w:t> </w:t>
      </w:r>
      <w:r>
        <w:rPr/>
        <w:t>attempt</w:t>
      </w:r>
      <w:r>
        <w:rPr>
          <w:spacing w:val="-4"/>
        </w:rPr>
        <w:t> </w:t>
      </w:r>
      <w:r>
        <w:rPr/>
        <w:t>at</w:t>
      </w:r>
      <w:r>
        <w:rPr>
          <w:spacing w:val="-4"/>
        </w:rPr>
        <w:t> </w:t>
      </w:r>
      <w:r>
        <w:rPr/>
        <w:t>conceptualizing</w:t>
      </w:r>
      <w:r>
        <w:rPr>
          <w:spacing w:val="-5"/>
        </w:rPr>
        <w:t> </w:t>
      </w:r>
      <w:r>
        <w:rPr/>
        <w:t>stress.</w:t>
      </w:r>
      <w:r>
        <w:rPr>
          <w:spacing w:val="-4"/>
        </w:rPr>
        <w:t> </w:t>
      </w:r>
      <w:r>
        <w:rPr/>
        <w:t>American Psychologist, 44(3), 513-524.</w:t>
      </w:r>
    </w:p>
    <w:p>
      <w:pPr>
        <w:pStyle w:val="BodyText"/>
        <w:spacing w:line="276" w:lineRule="auto" w:before="200"/>
        <w:ind w:left="434" w:hanging="360"/>
      </w:pPr>
      <w:r>
        <w:rPr/>
        <w:t>Jensen,</w:t>
      </w:r>
      <w:r>
        <w:rPr>
          <w:spacing w:val="-4"/>
        </w:rPr>
        <w:t> </w:t>
      </w:r>
      <w:r>
        <w:rPr/>
        <w:t>M.</w:t>
      </w:r>
      <w:r>
        <w:rPr>
          <w:spacing w:val="-3"/>
        </w:rPr>
        <w:t> </w:t>
      </w:r>
      <w:r>
        <w:rPr/>
        <w:t>C.,</w:t>
      </w:r>
      <w:r>
        <w:rPr>
          <w:spacing w:val="-3"/>
        </w:rPr>
        <w:t> </w:t>
      </w:r>
      <w:r>
        <w:rPr/>
        <w:t>&amp;</w:t>
      </w:r>
      <w:r>
        <w:rPr>
          <w:spacing w:val="-4"/>
        </w:rPr>
        <w:t> </w:t>
      </w:r>
      <w:r>
        <w:rPr/>
        <w:t>Meckling,</w:t>
      </w:r>
      <w:r>
        <w:rPr>
          <w:spacing w:val="-4"/>
        </w:rPr>
        <w:t> </w:t>
      </w:r>
      <w:r>
        <w:rPr/>
        <w:t>W.</w:t>
      </w:r>
      <w:r>
        <w:rPr>
          <w:spacing w:val="-4"/>
        </w:rPr>
        <w:t> </w:t>
      </w:r>
      <w:r>
        <w:rPr/>
        <w:t>H.</w:t>
      </w:r>
      <w:r>
        <w:rPr>
          <w:spacing w:val="-3"/>
        </w:rPr>
        <w:t> </w:t>
      </w:r>
      <w:r>
        <w:rPr/>
        <w:t>(1976).</w:t>
      </w:r>
      <w:r>
        <w:rPr>
          <w:spacing w:val="-4"/>
        </w:rPr>
        <w:t> </w:t>
      </w:r>
      <w:r>
        <w:rPr/>
        <w:t>Theory</w:t>
      </w:r>
      <w:r>
        <w:rPr>
          <w:spacing w:val="-4"/>
        </w:rPr>
        <w:t> </w:t>
      </w:r>
      <w:r>
        <w:rPr/>
        <w:t>of</w:t>
      </w:r>
      <w:r>
        <w:rPr>
          <w:spacing w:val="-3"/>
        </w:rPr>
        <w:t> </w:t>
      </w:r>
      <w:r>
        <w:rPr/>
        <w:t>the</w:t>
      </w:r>
      <w:r>
        <w:rPr>
          <w:spacing w:val="-4"/>
        </w:rPr>
        <w:t> </w:t>
      </w:r>
      <w:r>
        <w:rPr/>
        <w:t>firm:</w:t>
      </w:r>
      <w:r>
        <w:rPr>
          <w:spacing w:val="-3"/>
        </w:rPr>
        <w:t> </w:t>
      </w:r>
      <w:r>
        <w:rPr/>
        <w:t>Managerial</w:t>
      </w:r>
      <w:r>
        <w:rPr>
          <w:spacing w:val="-4"/>
        </w:rPr>
        <w:t> </w:t>
      </w:r>
      <w:r>
        <w:rPr/>
        <w:t>behavior,</w:t>
      </w:r>
      <w:r>
        <w:rPr>
          <w:spacing w:val="-3"/>
        </w:rPr>
        <w:t> </w:t>
      </w:r>
      <w:r>
        <w:rPr/>
        <w:t>agency</w:t>
      </w:r>
      <w:r>
        <w:rPr>
          <w:spacing w:val="-3"/>
        </w:rPr>
        <w:t> </w:t>
      </w:r>
      <w:r>
        <w:rPr/>
        <w:t>costs</w:t>
      </w:r>
      <w:r>
        <w:rPr>
          <w:spacing w:val="-4"/>
        </w:rPr>
        <w:t> </w:t>
      </w:r>
      <w:r>
        <w:rPr/>
        <w:t>and ownership structure. Journal of Financial Economics, 3(4), 305-360.</w:t>
      </w:r>
    </w:p>
    <w:p>
      <w:pPr>
        <w:pStyle w:val="BodyText"/>
      </w:pPr>
      <w:r>
        <w:rPr/>
        <w:t>Mentzer,</w:t>
      </w:r>
      <w:r>
        <w:rPr>
          <w:spacing w:val="-5"/>
        </w:rPr>
        <w:t> </w:t>
      </w:r>
      <w:r>
        <w:rPr/>
        <w:t>J.</w:t>
      </w:r>
      <w:r>
        <w:rPr>
          <w:spacing w:val="-3"/>
        </w:rPr>
        <w:t> </w:t>
      </w:r>
      <w:r>
        <w:rPr/>
        <w:t>T.,</w:t>
      </w:r>
      <w:r>
        <w:rPr>
          <w:spacing w:val="-2"/>
        </w:rPr>
        <w:t> </w:t>
      </w:r>
      <w:r>
        <w:rPr/>
        <w:t>DeWitt,</w:t>
      </w:r>
      <w:r>
        <w:rPr>
          <w:spacing w:val="-3"/>
        </w:rPr>
        <w:t> </w:t>
      </w:r>
      <w:r>
        <w:rPr/>
        <w:t>W.,</w:t>
      </w:r>
      <w:r>
        <w:rPr>
          <w:spacing w:val="-2"/>
        </w:rPr>
        <w:t> </w:t>
      </w:r>
      <w:r>
        <w:rPr/>
        <w:t>Keebler,</w:t>
      </w:r>
      <w:r>
        <w:rPr>
          <w:spacing w:val="-3"/>
        </w:rPr>
        <w:t> </w:t>
      </w:r>
      <w:r>
        <w:rPr/>
        <w:t>J.</w:t>
      </w:r>
      <w:r>
        <w:rPr>
          <w:spacing w:val="-3"/>
        </w:rPr>
        <w:t> </w:t>
      </w:r>
      <w:r>
        <w:rPr/>
        <w:t>S.,</w:t>
      </w:r>
      <w:r>
        <w:rPr>
          <w:spacing w:val="-2"/>
        </w:rPr>
        <w:t> </w:t>
      </w:r>
      <w:r>
        <w:rPr/>
        <w:t>Min,</w:t>
      </w:r>
      <w:r>
        <w:rPr>
          <w:spacing w:val="-2"/>
        </w:rPr>
        <w:t> </w:t>
      </w:r>
      <w:r>
        <w:rPr/>
        <w:t>S.,</w:t>
      </w:r>
      <w:r>
        <w:rPr>
          <w:spacing w:val="-2"/>
        </w:rPr>
        <w:t> </w:t>
      </w:r>
      <w:r>
        <w:rPr/>
        <w:t>Nix,</w:t>
      </w:r>
      <w:r>
        <w:rPr>
          <w:spacing w:val="-2"/>
        </w:rPr>
        <w:t> </w:t>
      </w:r>
      <w:r>
        <w:rPr/>
        <w:t>N.</w:t>
      </w:r>
      <w:r>
        <w:rPr>
          <w:spacing w:val="-2"/>
        </w:rPr>
        <w:t> </w:t>
      </w:r>
      <w:r>
        <w:rPr/>
        <w:t>W.,</w:t>
      </w:r>
      <w:r>
        <w:rPr>
          <w:spacing w:val="-3"/>
        </w:rPr>
        <w:t> </w:t>
      </w:r>
      <w:r>
        <w:rPr/>
        <w:t>Smith,</w:t>
      </w:r>
      <w:r>
        <w:rPr>
          <w:spacing w:val="-3"/>
        </w:rPr>
        <w:t> </w:t>
      </w:r>
      <w:r>
        <w:rPr/>
        <w:t>C.</w:t>
      </w:r>
      <w:r>
        <w:rPr>
          <w:spacing w:val="-2"/>
        </w:rPr>
        <w:t> </w:t>
      </w:r>
      <w:r>
        <w:rPr/>
        <w:t>D.,</w:t>
      </w:r>
      <w:r>
        <w:rPr>
          <w:spacing w:val="-3"/>
        </w:rPr>
        <w:t> </w:t>
      </w:r>
      <w:r>
        <w:rPr/>
        <w:t>&amp;</w:t>
      </w:r>
      <w:r>
        <w:rPr>
          <w:spacing w:val="-2"/>
        </w:rPr>
        <w:t> </w:t>
      </w:r>
      <w:r>
        <w:rPr/>
        <w:t>Zacharia,</w:t>
      </w:r>
      <w:r>
        <w:rPr>
          <w:spacing w:val="-3"/>
        </w:rPr>
        <w:t> </w:t>
      </w:r>
      <w:r>
        <w:rPr/>
        <w:t>Z.</w:t>
      </w:r>
      <w:r>
        <w:rPr>
          <w:spacing w:val="-3"/>
        </w:rPr>
        <w:t> </w:t>
      </w:r>
      <w:r>
        <w:rPr/>
        <w:t>G.</w:t>
      </w:r>
      <w:r>
        <w:rPr>
          <w:spacing w:val="-3"/>
        </w:rPr>
        <w:t> </w:t>
      </w:r>
      <w:r>
        <w:rPr>
          <w:spacing w:val="-2"/>
        </w:rPr>
        <w:t>(2001).</w:t>
      </w:r>
    </w:p>
    <w:p>
      <w:pPr>
        <w:pStyle w:val="BodyText"/>
        <w:spacing w:before="36"/>
        <w:ind w:left="434"/>
      </w:pPr>
      <w:r>
        <w:rPr/>
        <w:t>Defining</w:t>
      </w:r>
      <w:r>
        <w:rPr>
          <w:spacing w:val="-9"/>
        </w:rPr>
        <w:t> </w:t>
      </w:r>
      <w:r>
        <w:rPr/>
        <w:t>supply</w:t>
      </w:r>
      <w:r>
        <w:rPr>
          <w:spacing w:val="-5"/>
        </w:rPr>
        <w:t> </w:t>
      </w:r>
      <w:r>
        <w:rPr/>
        <w:t>chain</w:t>
      </w:r>
      <w:r>
        <w:rPr>
          <w:spacing w:val="-6"/>
        </w:rPr>
        <w:t> </w:t>
      </w:r>
      <w:r>
        <w:rPr/>
        <w:t>management.</w:t>
      </w:r>
      <w:r>
        <w:rPr>
          <w:spacing w:val="-6"/>
        </w:rPr>
        <w:t> </w:t>
      </w:r>
      <w:r>
        <w:rPr/>
        <w:t>Journal</w:t>
      </w:r>
      <w:r>
        <w:rPr>
          <w:spacing w:val="-6"/>
        </w:rPr>
        <w:t> </w:t>
      </w:r>
      <w:r>
        <w:rPr/>
        <w:t>of</w:t>
      </w:r>
      <w:r>
        <w:rPr>
          <w:spacing w:val="-6"/>
        </w:rPr>
        <w:t> </w:t>
      </w:r>
      <w:r>
        <w:rPr/>
        <w:t>Business</w:t>
      </w:r>
      <w:r>
        <w:rPr>
          <w:spacing w:val="-5"/>
        </w:rPr>
        <w:t> </w:t>
      </w:r>
      <w:r>
        <w:rPr/>
        <w:t>Logistics,</w:t>
      </w:r>
      <w:r>
        <w:rPr>
          <w:spacing w:val="-6"/>
        </w:rPr>
        <w:t> </w:t>
      </w:r>
      <w:r>
        <w:rPr/>
        <w:t>22(2),</w:t>
      </w:r>
      <w:r>
        <w:rPr>
          <w:spacing w:val="-6"/>
        </w:rPr>
        <w:t> </w:t>
      </w:r>
      <w:r>
        <w:rPr/>
        <w:t>1-</w:t>
      </w:r>
      <w:r>
        <w:rPr>
          <w:spacing w:val="-5"/>
        </w:rPr>
        <w:t>25.</w:t>
      </w:r>
    </w:p>
    <w:p>
      <w:pPr>
        <w:pStyle w:val="BodyText"/>
        <w:spacing w:line="276" w:lineRule="auto" w:before="237"/>
        <w:ind w:left="434" w:right="165" w:hanging="360"/>
      </w:pPr>
      <w:r>
        <w:rPr/>
        <w:t>Pålsson,</w:t>
      </w:r>
      <w:r>
        <w:rPr>
          <w:spacing w:val="-4"/>
        </w:rPr>
        <w:t> </w:t>
      </w:r>
      <w:r>
        <w:rPr/>
        <w:t>H.,</w:t>
      </w:r>
      <w:r>
        <w:rPr>
          <w:spacing w:val="-4"/>
        </w:rPr>
        <w:t> </w:t>
      </w:r>
      <w:r>
        <w:rPr/>
        <w:t>Finnsgård,</w:t>
      </w:r>
      <w:r>
        <w:rPr>
          <w:spacing w:val="-4"/>
        </w:rPr>
        <w:t> </w:t>
      </w:r>
      <w:r>
        <w:rPr/>
        <w:t>C.,</w:t>
      </w:r>
      <w:r>
        <w:rPr>
          <w:spacing w:val="-4"/>
        </w:rPr>
        <w:t> </w:t>
      </w:r>
      <w:r>
        <w:rPr/>
        <w:t>&amp;</w:t>
      </w:r>
      <w:r>
        <w:rPr>
          <w:spacing w:val="-4"/>
        </w:rPr>
        <w:t> </w:t>
      </w:r>
      <w:r>
        <w:rPr/>
        <w:t>Wänström,</w:t>
      </w:r>
      <w:r>
        <w:rPr>
          <w:spacing w:val="-4"/>
        </w:rPr>
        <w:t> </w:t>
      </w:r>
      <w:r>
        <w:rPr/>
        <w:t>C.</w:t>
      </w:r>
      <w:r>
        <w:rPr>
          <w:spacing w:val="-4"/>
        </w:rPr>
        <w:t> </w:t>
      </w:r>
      <w:r>
        <w:rPr/>
        <w:t>(2017).</w:t>
      </w:r>
      <w:r>
        <w:rPr>
          <w:spacing w:val="-4"/>
        </w:rPr>
        <w:t> </w:t>
      </w:r>
      <w:r>
        <w:rPr/>
        <w:t>Selection</w:t>
      </w:r>
      <w:r>
        <w:rPr>
          <w:spacing w:val="-4"/>
        </w:rPr>
        <w:t> </w:t>
      </w:r>
      <w:r>
        <w:rPr/>
        <w:t>of</w:t>
      </w:r>
      <w:r>
        <w:rPr>
          <w:spacing w:val="-4"/>
        </w:rPr>
        <w:t> </w:t>
      </w:r>
      <w:r>
        <w:rPr/>
        <w:t>packaging</w:t>
      </w:r>
      <w:r>
        <w:rPr>
          <w:spacing w:val="-4"/>
        </w:rPr>
        <w:t> </w:t>
      </w:r>
      <w:r>
        <w:rPr/>
        <w:t>systems</w:t>
      </w:r>
      <w:r>
        <w:rPr>
          <w:spacing w:val="-4"/>
        </w:rPr>
        <w:t> </w:t>
      </w:r>
      <w:r>
        <w:rPr/>
        <w:t>in</w:t>
      </w:r>
      <w:r>
        <w:rPr>
          <w:spacing w:val="-4"/>
        </w:rPr>
        <w:t> </w:t>
      </w:r>
      <w:r>
        <w:rPr/>
        <w:t>supply</w:t>
      </w:r>
      <w:r>
        <w:rPr>
          <w:spacing w:val="-4"/>
        </w:rPr>
        <w:t> </w:t>
      </w:r>
      <w:r>
        <w:rPr/>
        <w:t>chains</w:t>
      </w:r>
      <w:r>
        <w:rPr>
          <w:spacing w:val="-4"/>
        </w:rPr>
        <w:t> </w:t>
      </w:r>
      <w:r>
        <w:rPr/>
        <w:t>from a sustainability perspective. Packaging Technology and Science, 30(4), 125-141.</w:t>
      </w:r>
    </w:p>
    <w:p>
      <w:pPr>
        <w:pStyle w:val="BodyText"/>
        <w:spacing w:line="276" w:lineRule="auto" w:before="200"/>
        <w:ind w:left="434" w:hanging="360"/>
      </w:pPr>
      <w:r>
        <w:rPr/>
        <w:t>Swenseth,</w:t>
      </w:r>
      <w:r>
        <w:rPr>
          <w:spacing w:val="-5"/>
        </w:rPr>
        <w:t> </w:t>
      </w:r>
      <w:r>
        <w:rPr/>
        <w:t>S.</w:t>
      </w:r>
      <w:r>
        <w:rPr>
          <w:spacing w:val="-4"/>
        </w:rPr>
        <w:t> </w:t>
      </w:r>
      <w:r>
        <w:rPr/>
        <w:t>R.,</w:t>
      </w:r>
      <w:r>
        <w:rPr>
          <w:spacing w:val="-4"/>
        </w:rPr>
        <w:t> </w:t>
      </w:r>
      <w:r>
        <w:rPr/>
        <w:t>&amp;</w:t>
      </w:r>
      <w:r>
        <w:rPr>
          <w:spacing w:val="-5"/>
        </w:rPr>
        <w:t> </w:t>
      </w:r>
      <w:r>
        <w:rPr/>
        <w:t>Gorders,</w:t>
      </w:r>
      <w:r>
        <w:rPr>
          <w:spacing w:val="-4"/>
        </w:rPr>
        <w:t> </w:t>
      </w:r>
      <w:r>
        <w:rPr/>
        <w:t>M.</w:t>
      </w:r>
      <w:r>
        <w:rPr>
          <w:spacing w:val="-4"/>
        </w:rPr>
        <w:t> </w:t>
      </w:r>
      <w:r>
        <w:rPr/>
        <w:t>R.</w:t>
      </w:r>
      <w:r>
        <w:rPr>
          <w:spacing w:val="-4"/>
        </w:rPr>
        <w:t> </w:t>
      </w:r>
      <w:r>
        <w:rPr/>
        <w:t>(2002).</w:t>
      </w:r>
      <w:r>
        <w:rPr>
          <w:spacing w:val="-5"/>
        </w:rPr>
        <w:t> </w:t>
      </w:r>
      <w:r>
        <w:rPr/>
        <w:t>Incorporating</w:t>
      </w:r>
      <w:r>
        <w:rPr>
          <w:spacing w:val="-5"/>
        </w:rPr>
        <w:t> </w:t>
      </w:r>
      <w:r>
        <w:rPr/>
        <w:t>transportation</w:t>
      </w:r>
      <w:r>
        <w:rPr>
          <w:spacing w:val="-5"/>
        </w:rPr>
        <w:t> </w:t>
      </w:r>
      <w:r>
        <w:rPr/>
        <w:t>costs</w:t>
      </w:r>
      <w:r>
        <w:rPr>
          <w:spacing w:val="-5"/>
        </w:rPr>
        <w:t> </w:t>
      </w:r>
      <w:r>
        <w:rPr/>
        <w:t>into</w:t>
      </w:r>
      <w:r>
        <w:rPr>
          <w:spacing w:val="-5"/>
        </w:rPr>
        <w:t> </w:t>
      </w:r>
      <w:r>
        <w:rPr/>
        <w:t>inventory</w:t>
      </w:r>
      <w:r>
        <w:rPr>
          <w:spacing w:val="-4"/>
        </w:rPr>
        <w:t> </w:t>
      </w:r>
      <w:r>
        <w:rPr/>
        <w:t>replenishment decisions. International Journal of Production Economics, 77(3), 253-262.</w:t>
      </w:r>
    </w:p>
    <w:p>
      <w:pPr>
        <w:pStyle w:val="BodyText"/>
      </w:pPr>
      <w:r>
        <w:rPr/>
        <w:t>Williamson,</w:t>
      </w:r>
      <w:r>
        <w:rPr>
          <w:spacing w:val="-8"/>
        </w:rPr>
        <w:t> </w:t>
      </w:r>
      <w:r>
        <w:rPr/>
        <w:t>O.</w:t>
      </w:r>
      <w:r>
        <w:rPr>
          <w:spacing w:val="-5"/>
        </w:rPr>
        <w:t> </w:t>
      </w:r>
      <w:r>
        <w:rPr/>
        <w:t>E.</w:t>
      </w:r>
      <w:r>
        <w:rPr>
          <w:spacing w:val="-4"/>
        </w:rPr>
        <w:t> </w:t>
      </w:r>
      <w:r>
        <w:rPr/>
        <w:t>(1985).</w:t>
      </w:r>
      <w:r>
        <w:rPr>
          <w:spacing w:val="-4"/>
        </w:rPr>
        <w:t> </w:t>
      </w:r>
      <w:r>
        <w:rPr/>
        <w:t>The</w:t>
      </w:r>
      <w:r>
        <w:rPr>
          <w:spacing w:val="-5"/>
        </w:rPr>
        <w:t> </w:t>
      </w:r>
      <w:r>
        <w:rPr/>
        <w:t>Economic</w:t>
      </w:r>
      <w:r>
        <w:rPr>
          <w:spacing w:val="-5"/>
        </w:rPr>
        <w:t> </w:t>
      </w:r>
      <w:r>
        <w:rPr/>
        <w:t>Institutions</w:t>
      </w:r>
      <w:r>
        <w:rPr>
          <w:spacing w:val="-4"/>
        </w:rPr>
        <w:t> </w:t>
      </w:r>
      <w:r>
        <w:rPr/>
        <w:t>of</w:t>
      </w:r>
      <w:r>
        <w:rPr>
          <w:spacing w:val="-4"/>
        </w:rPr>
        <w:t> </w:t>
      </w:r>
      <w:r>
        <w:rPr/>
        <w:t>Capitalism.</w:t>
      </w:r>
      <w:r>
        <w:rPr>
          <w:spacing w:val="-4"/>
        </w:rPr>
        <w:t> </w:t>
      </w:r>
      <w:r>
        <w:rPr/>
        <w:t>Free</w:t>
      </w:r>
      <w:r>
        <w:rPr>
          <w:spacing w:val="-5"/>
        </w:rPr>
        <w:t> </w:t>
      </w:r>
      <w:r>
        <w:rPr>
          <w:spacing w:val="-2"/>
        </w:rPr>
        <w:t>Press.</w:t>
      </w:r>
    </w:p>
    <w:sectPr>
      <w:pgSz w:w="12240" w:h="15840"/>
      <w:pgMar w:top="9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434" w:hanging="361"/>
        <w:jc w:val="left"/>
      </w:pPr>
      <w:rPr>
        <w:rFonts w:hint="default"/>
        <w:lang w:val="en-US" w:eastAsia="en-US" w:bidi="ar-SA"/>
      </w:rPr>
    </w:lvl>
    <w:lvl w:ilvl="1">
      <w:start w:val="1"/>
      <w:numFmt w:val="decimal"/>
      <w:lvlText w:val="%1.%2"/>
      <w:lvlJc w:val="left"/>
      <w:pPr>
        <w:ind w:left="434" w:hanging="361"/>
        <w:jc w:val="left"/>
      </w:pPr>
      <w:rPr>
        <w:rFonts w:hint="default" w:ascii="Calibri" w:hAnsi="Calibri" w:eastAsia="Calibri" w:cs="Calibri"/>
        <w:b/>
        <w:bCs/>
        <w:i w:val="0"/>
        <w:iCs w:val="0"/>
        <w:color w:val="4E80BC"/>
        <w:spacing w:val="-1"/>
        <w:w w:val="100"/>
        <w:sz w:val="24"/>
        <w:szCs w:val="24"/>
        <w:lang w:val="en-US" w:eastAsia="en-US" w:bidi="ar-SA"/>
      </w:rPr>
    </w:lvl>
    <w:lvl w:ilvl="2">
      <w:start w:val="0"/>
      <w:numFmt w:val="bullet"/>
      <w:lvlText w:val="•"/>
      <w:lvlJc w:val="left"/>
      <w:pPr>
        <w:ind w:left="2368" w:hanging="361"/>
      </w:pPr>
      <w:rPr>
        <w:rFonts w:hint="default"/>
        <w:lang w:val="en-US" w:eastAsia="en-US" w:bidi="ar-SA"/>
      </w:rPr>
    </w:lvl>
    <w:lvl w:ilvl="3">
      <w:start w:val="0"/>
      <w:numFmt w:val="bullet"/>
      <w:lvlText w:val="•"/>
      <w:lvlJc w:val="left"/>
      <w:pPr>
        <w:ind w:left="3332" w:hanging="361"/>
      </w:pPr>
      <w:rPr>
        <w:rFonts w:hint="default"/>
        <w:lang w:val="en-US" w:eastAsia="en-US" w:bidi="ar-SA"/>
      </w:rPr>
    </w:lvl>
    <w:lvl w:ilvl="4">
      <w:start w:val="0"/>
      <w:numFmt w:val="bullet"/>
      <w:lvlText w:val="•"/>
      <w:lvlJc w:val="left"/>
      <w:pPr>
        <w:ind w:left="4296"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224" w:hanging="361"/>
      </w:pPr>
      <w:rPr>
        <w:rFonts w:hint="default"/>
        <w:lang w:val="en-US" w:eastAsia="en-US" w:bidi="ar-SA"/>
      </w:rPr>
    </w:lvl>
    <w:lvl w:ilvl="7">
      <w:start w:val="0"/>
      <w:numFmt w:val="bullet"/>
      <w:lvlText w:val="•"/>
      <w:lvlJc w:val="left"/>
      <w:pPr>
        <w:ind w:left="7188" w:hanging="361"/>
      </w:pPr>
      <w:rPr>
        <w:rFonts w:hint="default"/>
        <w:lang w:val="en-US" w:eastAsia="en-US" w:bidi="ar-SA"/>
      </w:rPr>
    </w:lvl>
    <w:lvl w:ilvl="8">
      <w:start w:val="0"/>
      <w:numFmt w:val="bullet"/>
      <w:lvlText w:val="•"/>
      <w:lvlJc w:val="left"/>
      <w:pPr>
        <w:ind w:left="8152" w:hanging="361"/>
      </w:pPr>
      <w:rPr>
        <w:rFonts w:hint="default"/>
        <w:lang w:val="en-US" w:eastAsia="en-US" w:bidi="ar-SA"/>
      </w:rPr>
    </w:lvl>
  </w:abstractNum>
  <w:abstractNum w:abstractNumId="0">
    <w:multiLevelType w:val="hybridMultilevel"/>
    <w:lvl w:ilvl="0">
      <w:start w:val="1"/>
      <w:numFmt w:val="upperRoman"/>
      <w:lvlText w:val="%1."/>
      <w:lvlJc w:val="left"/>
      <w:pPr>
        <w:ind w:left="285" w:hanging="212"/>
        <w:jc w:val="left"/>
      </w:pPr>
      <w:rPr>
        <w:rFonts w:hint="default" w:ascii="Calibri" w:hAnsi="Calibri" w:eastAsia="Calibri" w:cs="Calibri"/>
        <w:b/>
        <w:bCs/>
        <w:i w:val="0"/>
        <w:iCs w:val="0"/>
        <w:color w:val="355E90"/>
        <w:spacing w:val="-1"/>
        <w:w w:val="100"/>
        <w:sz w:val="28"/>
        <w:szCs w:val="28"/>
        <w:lang w:val="en-US" w:eastAsia="en-US" w:bidi="ar-SA"/>
      </w:rPr>
    </w:lvl>
    <w:lvl w:ilvl="1">
      <w:start w:val="0"/>
      <w:numFmt w:val="bullet"/>
      <w:lvlText w:val="•"/>
      <w:lvlJc w:val="left"/>
      <w:pPr>
        <w:ind w:left="1260" w:hanging="212"/>
      </w:pPr>
      <w:rPr>
        <w:rFonts w:hint="default"/>
        <w:lang w:val="en-US" w:eastAsia="en-US" w:bidi="ar-SA"/>
      </w:rPr>
    </w:lvl>
    <w:lvl w:ilvl="2">
      <w:start w:val="0"/>
      <w:numFmt w:val="bullet"/>
      <w:lvlText w:val="•"/>
      <w:lvlJc w:val="left"/>
      <w:pPr>
        <w:ind w:left="2240" w:hanging="212"/>
      </w:pPr>
      <w:rPr>
        <w:rFonts w:hint="default"/>
        <w:lang w:val="en-US" w:eastAsia="en-US" w:bidi="ar-SA"/>
      </w:rPr>
    </w:lvl>
    <w:lvl w:ilvl="3">
      <w:start w:val="0"/>
      <w:numFmt w:val="bullet"/>
      <w:lvlText w:val="•"/>
      <w:lvlJc w:val="left"/>
      <w:pPr>
        <w:ind w:left="3220" w:hanging="212"/>
      </w:pPr>
      <w:rPr>
        <w:rFonts w:hint="default"/>
        <w:lang w:val="en-US" w:eastAsia="en-US" w:bidi="ar-SA"/>
      </w:rPr>
    </w:lvl>
    <w:lvl w:ilvl="4">
      <w:start w:val="0"/>
      <w:numFmt w:val="bullet"/>
      <w:lvlText w:val="•"/>
      <w:lvlJc w:val="left"/>
      <w:pPr>
        <w:ind w:left="4200" w:hanging="212"/>
      </w:pPr>
      <w:rPr>
        <w:rFonts w:hint="default"/>
        <w:lang w:val="en-US" w:eastAsia="en-US" w:bidi="ar-SA"/>
      </w:rPr>
    </w:lvl>
    <w:lvl w:ilvl="5">
      <w:start w:val="0"/>
      <w:numFmt w:val="bullet"/>
      <w:lvlText w:val="•"/>
      <w:lvlJc w:val="left"/>
      <w:pPr>
        <w:ind w:left="5180" w:hanging="212"/>
      </w:pPr>
      <w:rPr>
        <w:rFonts w:hint="default"/>
        <w:lang w:val="en-US" w:eastAsia="en-US" w:bidi="ar-SA"/>
      </w:rPr>
    </w:lvl>
    <w:lvl w:ilvl="6">
      <w:start w:val="0"/>
      <w:numFmt w:val="bullet"/>
      <w:lvlText w:val="•"/>
      <w:lvlJc w:val="left"/>
      <w:pPr>
        <w:ind w:left="6160" w:hanging="212"/>
      </w:pPr>
      <w:rPr>
        <w:rFonts w:hint="default"/>
        <w:lang w:val="en-US" w:eastAsia="en-US" w:bidi="ar-SA"/>
      </w:rPr>
    </w:lvl>
    <w:lvl w:ilvl="7">
      <w:start w:val="0"/>
      <w:numFmt w:val="bullet"/>
      <w:lvlText w:val="•"/>
      <w:lvlJc w:val="left"/>
      <w:pPr>
        <w:ind w:left="7140" w:hanging="212"/>
      </w:pPr>
      <w:rPr>
        <w:rFonts w:hint="default"/>
        <w:lang w:val="en-US" w:eastAsia="en-US" w:bidi="ar-SA"/>
      </w:rPr>
    </w:lvl>
    <w:lvl w:ilvl="8">
      <w:start w:val="0"/>
      <w:numFmt w:val="bullet"/>
      <w:lvlText w:val="•"/>
      <w:lvlJc w:val="left"/>
      <w:pPr>
        <w:ind w:left="8120" w:hanging="21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201"/>
      <w:ind w:left="74"/>
    </w:pPr>
    <w:rPr>
      <w:rFonts w:ascii="Arial MT" w:hAnsi="Arial MT" w:eastAsia="Arial MT" w:cs="Arial MT"/>
      <w:sz w:val="21"/>
      <w:szCs w:val="21"/>
      <w:lang w:val="en-US" w:eastAsia="en-US" w:bidi="ar-SA"/>
    </w:rPr>
  </w:style>
  <w:style w:styleId="Heading1" w:type="paragraph">
    <w:name w:val="Heading 1"/>
    <w:basedOn w:val="Normal"/>
    <w:uiPriority w:val="1"/>
    <w:qFormat/>
    <w:pPr>
      <w:ind w:left="74"/>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204"/>
      <w:ind w:left="432" w:hanging="358"/>
      <w:outlineLvl w:val="2"/>
    </w:pPr>
    <w:rPr>
      <w:rFonts w:ascii="Calibri" w:hAnsi="Calibri" w:eastAsia="Calibri" w:cs="Calibri"/>
      <w:b/>
      <w:bCs/>
      <w:sz w:val="24"/>
      <w:szCs w:val="24"/>
      <w:lang w:val="en-US" w:eastAsia="en-US" w:bidi="ar-SA"/>
    </w:rPr>
  </w:style>
  <w:style w:styleId="Title" w:type="paragraph">
    <w:name w:val="Title"/>
    <w:basedOn w:val="Normal"/>
    <w:uiPriority w:val="1"/>
    <w:qFormat/>
    <w:pPr>
      <w:spacing w:before="60"/>
      <w:ind w:left="136" w:right="135"/>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432" w:hanging="358"/>
    </w:pPr>
    <w:rPr>
      <w:rFonts w:ascii="Calibri" w:hAnsi="Calibri" w:eastAsia="Calibri" w:cs="Calibri"/>
      <w:lang w:val="en-US" w:eastAsia="en-US" w:bidi="ar-SA"/>
    </w:rPr>
  </w:style>
  <w:style w:styleId="TableParagraph" w:type="paragraph">
    <w:name w:val="Table Paragraph"/>
    <w:basedOn w:val="Normal"/>
    <w:uiPriority w:val="1"/>
    <w:qFormat/>
    <w:pPr>
      <w:ind w:left="110"/>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terms:created xsi:type="dcterms:W3CDTF">2026-05-28T06:38:15Z</dcterms:created>
  <dcterms:modified xsi:type="dcterms:W3CDTF">2026-05-28T06:38:15Z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Writer</vt:lpwstr>
  </property>
  <property fmtid="{D5CDD505-2E9C-101B-9397-08002B2CF9AE}" pid="4" name="LastSaved">
    <vt:filetime>2026-05-28T00:00:00Z</vt:filetime>
  </property>
  <property fmtid="{D5CDD505-2E9C-101B-9397-08002B2CF9AE}" pid="5" name="Producer">
    <vt:lpwstr>3.0.26 (5.1.12) d</vt:lpwstr>
  </property>
</Properties>
</file>