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C92" w:rsidRPr="004E676B" w:rsidRDefault="00D072C3">
      <w:pPr>
        <w:spacing w:after="120"/>
        <w:jc w:val="center"/>
        <w:rPr>
          <w:color w:val="auto"/>
          <w:sz w:val="36"/>
          <w:szCs w:val="36"/>
        </w:rPr>
      </w:pPr>
      <w:r w:rsidRPr="004E676B">
        <w:rPr>
          <w:b/>
          <w:bCs/>
          <w:color w:val="auto"/>
          <w:sz w:val="36"/>
          <w:szCs w:val="36"/>
        </w:rPr>
        <w:t>Identifying Social Media Platforms in the Promotion of</w:t>
      </w:r>
    </w:p>
    <w:p w:rsidR="00D84C92" w:rsidRPr="004E676B" w:rsidRDefault="00D072C3" w:rsidP="002E611B">
      <w:pPr>
        <w:spacing w:after="240"/>
        <w:jc w:val="center"/>
        <w:rPr>
          <w:b/>
          <w:bCs/>
          <w:color w:val="auto"/>
          <w:sz w:val="36"/>
          <w:szCs w:val="36"/>
        </w:rPr>
      </w:pPr>
      <w:r w:rsidRPr="004E676B">
        <w:rPr>
          <w:b/>
          <w:bCs/>
          <w:color w:val="auto"/>
          <w:sz w:val="36"/>
          <w:szCs w:val="36"/>
        </w:rPr>
        <w:t/>
      </w:r>
    </w:p>
    <w:p w:rsidR="004B1DAA" w:rsidRPr="004E676B" w:rsidRDefault="00F0622B" w:rsidP="004B1DAA">
      <w:pPr>
        <w:pStyle w:val="Title"/>
        <w:spacing w:line="276" w:lineRule="auto"/>
        <w:jc w:val="center"/>
        <w:rPr>
          <w:b/>
          <w:bCs/>
          <w:sz w:val="24"/>
          <w:szCs w:val="24"/>
          <w:vertAlign w:val="superscript"/>
        </w:rPr>
      </w:pPr>
      <w:r>
        <w:rPr>
          <w:b/>
          <w:bCs/>
          <w:sz w:val="24"/>
          <w:szCs w:val="24"/>
        </w:rPr>
        <w:t xml:space="preserve"/>
      </w:r>
      <w:proofErr w:type="spellStart"/>
      <w:r>
        <w:rPr>
          <w:b/>
          <w:bCs/>
          <w:sz w:val="24"/>
          <w:szCs w:val="24"/>
        </w:rPr>
        <w:t/>
      </w:r>
      <w:proofErr w:type="spellEnd"/>
      <w:r w:rsidR="004B1DAA" w:rsidRPr="004E676B">
        <w:rPr>
          <w:b/>
          <w:bCs/>
          <w:sz w:val="24"/>
          <w:szCs w:val="24"/>
        </w:rPr>
        <w:t xml:space="preserve"/>
      </w:r>
      <w:r w:rsidR="004B1DAA" w:rsidRPr="004E676B">
        <w:rPr>
          <w:b/>
          <w:bCs/>
          <w:sz w:val="24"/>
          <w:szCs w:val="24"/>
          <w:vertAlign w:val="superscript"/>
        </w:rPr>
        <w:t/>
      </w:r>
    </w:p>
    <w:p w:rsidR="004B1DAA" w:rsidRPr="004E676B" w:rsidRDefault="00F0622B" w:rsidP="004B1DAA">
      <w:pPr>
        <w:pStyle w:val="Title"/>
        <w:spacing w:line="276" w:lineRule="auto"/>
        <w:jc w:val="center"/>
        <w:rPr>
          <w:b/>
          <w:bCs/>
          <w:sz w:val="24"/>
          <w:szCs w:val="24"/>
          <w:vertAlign w:val="superscript"/>
        </w:rPr>
      </w:pPr>
      <w:r>
        <w:rPr>
          <w:b/>
          <w:bCs/>
          <w:sz w:val="24"/>
          <w:szCs w:val="24"/>
        </w:rPr>
        <w:t xml:space="preserve"/>
      </w:r>
      <w:proofErr w:type="spellStart"/>
      <w:r>
        <w:rPr>
          <w:b/>
          <w:bCs/>
          <w:sz w:val="24"/>
          <w:szCs w:val="24"/>
        </w:rPr>
        <w:t/>
      </w:r>
      <w:proofErr w:type="spellEnd"/>
      <w:r>
        <w:rPr>
          <w:b/>
          <w:bCs/>
          <w:sz w:val="24"/>
          <w:szCs w:val="24"/>
        </w:rPr>
        <w:t xml:space="preserve"/>
      </w:r>
      <w:r w:rsidR="004B1DAA" w:rsidRPr="004E676B">
        <w:rPr>
          <w:b/>
          <w:bCs/>
          <w:sz w:val="24"/>
          <w:szCs w:val="24"/>
        </w:rPr>
        <w:t xml:space="preserve"/>
      </w:r>
      <w:proofErr w:type="spellStart"/>
      <w:r w:rsidR="004B1DAA" w:rsidRPr="004E676B">
        <w:rPr>
          <w:b/>
          <w:bCs/>
          <w:sz w:val="24"/>
          <w:szCs w:val="24"/>
        </w:rPr>
        <w:t/>
      </w:r>
      <w:proofErr w:type="spellEnd"/>
      <w:r w:rsidR="004B1DAA" w:rsidRPr="004E676B">
        <w:rPr>
          <w:b/>
          <w:bCs/>
          <w:sz w:val="24"/>
          <w:szCs w:val="24"/>
        </w:rPr>
        <w:t/>
      </w:r>
      <w:r w:rsidR="004B1DAA" w:rsidRPr="004E676B">
        <w:rPr>
          <w:b/>
          <w:bCs/>
          <w:sz w:val="24"/>
          <w:szCs w:val="24"/>
          <w:vertAlign w:val="superscript"/>
        </w:rPr>
        <w:t/>
      </w:r>
    </w:p>
    <w:p w:rsidR="004B1DAA" w:rsidRPr="004E676B" w:rsidRDefault="006732B9" w:rsidP="004B1DAA">
      <w:pPr>
        <w:pStyle w:val="Title"/>
        <w:spacing w:line="276" w:lineRule="auto"/>
        <w:jc w:val="center"/>
        <w:rPr>
          <w:b/>
          <w:bCs/>
          <w:i/>
          <w:iCs/>
          <w:sz w:val="24"/>
          <w:szCs w:val="24"/>
        </w:rPr>
      </w:pPr>
      <w:hyperlink r:id="rId7" w:history="1">
        <w:r w:rsidR="004B1DAA" w:rsidRPr="004E676B">
          <w:rPr>
            <w:rStyle w:val="Hyperlink"/>
            <w:b/>
            <w:bCs/>
            <w:i/>
            <w:iCs/>
            <w:sz w:val="24"/>
            <w:szCs w:val="24"/>
          </w:rPr>
          <w:t/>
        </w:r>
      </w:hyperlink>
      <w:r w:rsidR="004B1DAA" w:rsidRPr="004E676B">
        <w:rPr>
          <w:b/>
          <w:bCs/>
          <w:i/>
          <w:iCs/>
          <w:sz w:val="24"/>
          <w:szCs w:val="24"/>
        </w:rPr>
        <w:t xml:space="preserve"/>
      </w:r>
    </w:p>
    <w:p w:rsidR="004B1DAA" w:rsidRPr="002E611B" w:rsidRDefault="004B1DAA" w:rsidP="002E611B">
      <w:pPr>
        <w:spacing w:after="240"/>
        <w:jc w:val="center"/>
        <w:rPr>
          <w:color w:val="auto"/>
        </w:rPr>
      </w:pPr>
    </w:p>
    <w:p w:rsidR="004E676B" w:rsidRDefault="004E676B">
      <w:pPr>
        <w:pStyle w:val="Heading1"/>
        <w:spacing w:before="360" w:after="160"/>
        <w:rPr>
          <w:color w:val="auto"/>
        </w:rPr>
      </w:pPr>
      <w:bookmarkStart w:id="0" w:name="_GoBack"/>
      <w:bookmarkEnd w:id="0"/>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4E676B" w:rsidRDefault="004E676B">
      <w:pPr>
        <w:pStyle w:val="Heading1"/>
        <w:spacing w:before="360" w:after="160"/>
        <w:rPr>
          <w:color w:val="auto"/>
        </w:rPr>
      </w:pPr>
    </w:p>
    <w:p w:rsidR="00D84C92" w:rsidRPr="004E676B" w:rsidRDefault="004E676B">
      <w:pPr>
        <w:pStyle w:val="Heading1"/>
        <w:spacing w:before="360" w:after="160"/>
        <w:rPr>
          <w:color w:val="auto"/>
          <w:sz w:val="28"/>
          <w:szCs w:val="28"/>
        </w:rPr>
      </w:pPr>
      <w:r w:rsidRPr="004E676B">
        <w:rPr>
          <w:color w:val="auto"/>
          <w:sz w:val="28"/>
          <w:szCs w:val="28"/>
        </w:rPr>
        <w:lastRenderedPageBreak/>
        <w:t>ABSTRACT</w:t>
      </w:r>
    </w:p>
    <w:p w:rsidR="00D84C92" w:rsidRDefault="00D072C3" w:rsidP="002773DA">
      <w:pPr>
        <w:spacing w:before="240" w:after="240"/>
        <w:jc w:val="both"/>
      </w:pPr>
      <w:r>
        <w:t>The digital transformation of film promotion has introduced new imperatives for culturally embedded cinematic traditions, none more consequential than the Bu</w:t>
      </w:r>
      <w:r w:rsidR="002E611B">
        <w:t>ddhist film genre in Sri Lanka</w:t>
      </w:r>
      <w:r>
        <w:t xml:space="preserve"> a form deeply entangled with national identity, devotional practice, and vernacular aesthetics. This study investigates the role and relative effectiveness of social media platforms in the promotional campaigns of Sri Lankan Buddhist films produced and distributed between 2020 and 2025, a period shaped by pandemic-induced disruptions to theatrical release and a consequent acceleration of digital mediation. Drawing on a purposively constructed dataset of one hundred promotional campaign units (</w:t>
      </w:r>
      <w:r>
        <w:rPr>
          <w:i/>
          <w:iCs/>
        </w:rPr>
        <w:t>n</w:t>
      </w:r>
      <w:r>
        <w:t xml:space="preserve">=100), sourced from production houses, digital archives, and distribution networks, the research employs a mixed-methods design integrating systematic content analysis with structured stakeholder interviews. Quantitative findings indicate that Facebook constituted the primary promotional medium in 82% of sampled campaigns, followed by YouTube (74%), Instagram (63%), </w:t>
      </w:r>
      <w:proofErr w:type="spellStart"/>
      <w:r>
        <w:t>TikTok</w:t>
      </w:r>
      <w:proofErr w:type="spellEnd"/>
      <w:r>
        <w:t xml:space="preserve"> (41%), WhatsApp (38%), and Twitter/X (19%). Multi-platform deployment was observed in 67% of campaigns, with Facebook advertising absorbing an average of 34% of digital marketing budgets. Qualitative analysis of eight structured interviews yielded six thematic clusters: platform–community alignment; devotional tone versus algorithmic pressure; the role of community gatekeepers and informal networks; intergenerational platform divergence; the Buddhist religious calendar as promotional architecture; and infrastructural and digital literacy constraints. These patterns are interpreted through the theoretical</w:t>
      </w:r>
      <w:r w:rsidR="002E611B">
        <w:t xml:space="preserve"> lenses of platform affordances</w:t>
      </w:r>
      <w:r>
        <w:t>, d</w:t>
      </w:r>
      <w:r w:rsidR="002E611B">
        <w:t>igital religion</w:t>
      </w:r>
      <w:r>
        <w:t xml:space="preserve">, and postcolonial media </w:t>
      </w:r>
      <w:r w:rsidR="002E611B">
        <w:t>theory</w:t>
      </w:r>
      <w:r>
        <w:t xml:space="preserve">. The study argues that promotional effectiveness is not reducible to platform reach alone, but is conditioned by the intersection of audience demographics, content </w:t>
      </w:r>
      <w:proofErr w:type="spellStart"/>
      <w:r>
        <w:t>vernacularisation</w:t>
      </w:r>
      <w:proofErr w:type="spellEnd"/>
      <w:r>
        <w:t>, and the spiritual registers through which Buddhist cinematic texts are received and shared. Findings carry significant implications for filmmakers, cultural institutions, and media policy stakeholders operating at the intersection of religion, heritage cinema, and digital communication in South Asia.</w:t>
      </w:r>
    </w:p>
    <w:p w:rsidR="00D84C92" w:rsidRDefault="00D84C92" w:rsidP="002773DA">
      <w:pPr>
        <w:spacing w:before="240" w:after="240"/>
      </w:pPr>
    </w:p>
    <w:p w:rsidR="00D84C92" w:rsidRDefault="00D072C3" w:rsidP="002773DA">
      <w:pPr>
        <w:spacing w:before="160" w:after="160"/>
        <w:ind w:left="1260" w:hanging="1260"/>
        <w:jc w:val="both"/>
      </w:pPr>
      <w:r>
        <w:rPr>
          <w:b/>
          <w:bCs/>
        </w:rPr>
        <w:t xml:space="preserve">Keywords: </w:t>
      </w:r>
      <w:r>
        <w:t xml:space="preserve">Sri Lankan Buddhist cinema, social media promotion, platform affordances, digital religion, </w:t>
      </w:r>
      <w:proofErr w:type="spellStart"/>
      <w:r>
        <w:t>Theravāda</w:t>
      </w:r>
      <w:proofErr w:type="spellEnd"/>
      <w:r>
        <w:t xml:space="preserve"> media stu</w:t>
      </w:r>
      <w:r w:rsidR="002773DA">
        <w:t>dies</w:t>
      </w:r>
    </w:p>
    <w:p w:rsidR="002773DA" w:rsidRDefault="002773DA" w:rsidP="002773DA">
      <w:pPr>
        <w:spacing w:before="240" w:after="240"/>
        <w:ind w:left="1267" w:hanging="1267"/>
        <w:jc w:val="both"/>
      </w:pPr>
    </w:p>
    <w:p w:rsidR="00D84C92" w:rsidRPr="004E676B" w:rsidRDefault="004E676B">
      <w:pPr>
        <w:pStyle w:val="Heading2"/>
        <w:spacing w:before="280" w:after="120"/>
        <w:rPr>
          <w:i w:val="0"/>
          <w:iCs w:val="0"/>
          <w:color w:val="000000" w:themeColor="text1"/>
          <w:sz w:val="28"/>
          <w:szCs w:val="28"/>
        </w:rPr>
      </w:pPr>
      <w:r w:rsidRPr="004E676B">
        <w:rPr>
          <w:i w:val="0"/>
          <w:iCs w:val="0"/>
          <w:color w:val="000000" w:themeColor="text1"/>
          <w:sz w:val="28"/>
          <w:szCs w:val="28"/>
        </w:rPr>
        <w:t>1. INTRODUCTION</w:t>
      </w:r>
    </w:p>
    <w:p w:rsidR="00D84C92" w:rsidRDefault="00D072C3" w:rsidP="002773DA">
      <w:pPr>
        <w:spacing w:before="240" w:after="240"/>
        <w:jc w:val="both"/>
      </w:pPr>
      <w:r>
        <w:t>The convergence of digital platforms and religious media production has generated considerable scholarly interest in recent years, yet the specific intersection of Buddhist cinema and social media promotion in South Asian contexts remains a substantially under</w:t>
      </w:r>
      <w:r w:rsidR="004B1DAA">
        <w:t>explored domain</w:t>
      </w:r>
      <w:r>
        <w:t xml:space="preserve">. Sri Lanka presents a compelling case study: a nation in which </w:t>
      </w:r>
      <w:proofErr w:type="spellStart"/>
      <w:r>
        <w:t>Theravāda</w:t>
      </w:r>
      <w:proofErr w:type="spellEnd"/>
      <w:r>
        <w:t xml:space="preserve"> Buddhism constitutes not merely a religious tradition but a central structuring logic of cultural life, and in which the cinematic representation of Buddhist themes, figures, and narratives has historically commanded both popular audiences and st</w:t>
      </w:r>
      <w:r w:rsidR="00725AD2">
        <w:t>ate patronage (</w:t>
      </w:r>
      <w:proofErr w:type="spellStart"/>
      <w:r w:rsidR="00725AD2">
        <w:t>Dissanayake</w:t>
      </w:r>
      <w:proofErr w:type="spellEnd"/>
      <w:r w:rsidR="00725AD2">
        <w:t>, 1996</w:t>
      </w:r>
      <w:r>
        <w:t>). The period between 2020 and 2025 is of particular analytical significance, as the COVID-19 pandemic precipitated an abrupt and lasting realignment in film distribution and promotional practice, accelerating the migration of marketing activity from conventional press and broadcast media to digital social platforms (Lim, 2021).</w:t>
      </w:r>
    </w:p>
    <w:p w:rsidR="00D84C92" w:rsidRDefault="00D072C3" w:rsidP="002773DA">
      <w:pPr>
        <w:spacing w:before="240" w:after="240"/>
        <w:jc w:val="both"/>
      </w:pPr>
      <w:r>
        <w:t>Despite these structural shifts, no systematic empirical study has examined which social media platforms have most effectively served the promotional needs of Sri Lankan Buddhist films during this transitional period, nor how practitioners understand and navigate the tensions between platform logics and the devotional character of their content. This research addresses that lacuna. It does so by bringing together quantitative content analysis, which maps the distribution and frequency of platform usage across a sample of one hundred promotional campaigns, and qualitative interview data, which illuminates the interpretive frameworks, strategic calculations, and structural constraints that shape practitioners' platform choices. The study is thus positioned at the intersection of Buddhist media s</w:t>
      </w:r>
      <w:r w:rsidR="00725AD2">
        <w:t>tudies</w:t>
      </w:r>
      <w:r>
        <w:t xml:space="preserve">, platform theory (Van </w:t>
      </w:r>
      <w:proofErr w:type="spellStart"/>
      <w:r>
        <w:t>Dijck</w:t>
      </w:r>
      <w:proofErr w:type="spellEnd"/>
      <w:r>
        <w:t xml:space="preserve"> et al., 2018), and South Asian digital communication research.</w:t>
      </w:r>
    </w:p>
    <w:p w:rsidR="004E676B" w:rsidRDefault="004E676B" w:rsidP="002773DA">
      <w:pPr>
        <w:spacing w:before="240" w:after="240"/>
        <w:jc w:val="both"/>
      </w:pPr>
    </w:p>
    <w:p w:rsidR="00D84C92" w:rsidRPr="004E676B" w:rsidRDefault="004E676B" w:rsidP="002773DA">
      <w:pPr>
        <w:pStyle w:val="Heading2"/>
        <w:spacing w:before="280" w:after="120"/>
        <w:rPr>
          <w:i w:val="0"/>
          <w:iCs w:val="0"/>
          <w:color w:val="000000" w:themeColor="text1"/>
          <w:sz w:val="28"/>
          <w:szCs w:val="28"/>
        </w:rPr>
      </w:pPr>
      <w:r w:rsidRPr="004E676B">
        <w:rPr>
          <w:i w:val="0"/>
          <w:iCs w:val="0"/>
          <w:color w:val="000000" w:themeColor="text1"/>
          <w:sz w:val="28"/>
          <w:szCs w:val="28"/>
        </w:rPr>
        <w:lastRenderedPageBreak/>
        <w:t>2. METHODOLOGY</w:t>
      </w:r>
    </w:p>
    <w:p w:rsidR="00D84C92" w:rsidRDefault="00D072C3" w:rsidP="002773DA">
      <w:pPr>
        <w:spacing w:before="240" w:after="240"/>
        <w:jc w:val="both"/>
      </w:pPr>
      <w:r>
        <w:t>This study adopted a mixed-methods research design, integrating quantitative content analysis with qualitative structured interviewing. The dataset comprised one hundred promotional campaign units (</w:t>
      </w:r>
      <w:r>
        <w:rPr>
          <w:i/>
          <w:iCs/>
        </w:rPr>
        <w:t>n</w:t>
      </w:r>
      <w:r>
        <w:t xml:space="preserve">=100), assembled through purposive sampling across three principal source domains: digital archives maintained by Sri Lankan production companies; publicly accessible promotional content on social media platforms; and documentation provided by eight film distributors and producers who participated in semi-structured interviews of approximately sixty to ninety minutes each. Campaign units were defined as the complete ensemble of social media promotional </w:t>
      </w:r>
      <w:proofErr w:type="gramStart"/>
      <w:r>
        <w:t>materials  including</w:t>
      </w:r>
      <w:proofErr w:type="gramEnd"/>
      <w:r>
        <w:t xml:space="preserve"> posts, trailers, short-form video clips, livestreams, stories, and documented audience engagement metrics  associated with a single Buddhist-themed film release.</w:t>
      </w:r>
    </w:p>
    <w:p w:rsidR="00D84C92" w:rsidRDefault="00D072C3" w:rsidP="002773DA">
      <w:pPr>
        <w:spacing w:before="240" w:after="240"/>
        <w:jc w:val="both"/>
      </w:pPr>
      <w:r>
        <w:t xml:space="preserve">Inclusion criteria stipulated that each film must have been produced and theatrically or digitally released within Sri Lanka between January 2020 and December 2025, and must be classifiable as a Buddhist film according to the thematic taxonomy </w:t>
      </w:r>
      <w:r w:rsidR="00725AD2">
        <w:t>developed by</w:t>
      </w:r>
      <w:r>
        <w:t xml:space="preserve">, which encompasses devotional narratives, hagiographic accounts of the Buddha or historical monks, and films </w:t>
      </w:r>
      <w:proofErr w:type="spellStart"/>
      <w:r>
        <w:t>centring</w:t>
      </w:r>
      <w:proofErr w:type="spellEnd"/>
      <w:r>
        <w:t xml:space="preserve"> on monastic life or Buddhist ethical philosophy. Content analysis was conducted </w:t>
      </w:r>
      <w:r w:rsidR="002109EC">
        <w:t xml:space="preserve">for this research </w:t>
      </w:r>
      <w:r w:rsidR="002109EC" w:rsidRPr="002109EC">
        <w:t xml:space="preserve">(W. </w:t>
      </w:r>
      <w:proofErr w:type="spellStart"/>
      <w:r w:rsidR="002109EC" w:rsidRPr="002109EC">
        <w:t>Mahesha</w:t>
      </w:r>
      <w:proofErr w:type="spellEnd"/>
      <w:r w:rsidR="002109EC" w:rsidRPr="002109EC">
        <w:t xml:space="preserve"> </w:t>
      </w:r>
      <w:proofErr w:type="spellStart"/>
      <w:r w:rsidR="002109EC" w:rsidRPr="002109EC">
        <w:t>Piyumali</w:t>
      </w:r>
      <w:proofErr w:type="spellEnd"/>
      <w:r w:rsidR="002109EC" w:rsidRPr="002109EC">
        <w:t xml:space="preserve"> &amp; L. G. S. U. </w:t>
      </w:r>
      <w:proofErr w:type="spellStart"/>
      <w:r w:rsidR="002109EC" w:rsidRPr="002109EC">
        <w:t>Sandaruwan</w:t>
      </w:r>
      <w:proofErr w:type="spellEnd"/>
      <w:r w:rsidR="002109EC" w:rsidRPr="002109EC">
        <w:t>, 2025)</w:t>
      </w:r>
      <w:r w:rsidR="002109EC">
        <w:t>. U</w:t>
      </w:r>
      <w:r>
        <w:t xml:space="preserve">sing an adapted coding framework drawing on Bucher and Helmond's (2018) affordance theory, with codes capturing platform type, posting frequency, content format, estimated audience demographic, promotional function (awareness, engagement, or conversion), and qualitative sentiment. </w:t>
      </w:r>
      <w:proofErr w:type="spellStart"/>
      <w:r>
        <w:t>Intercoder</w:t>
      </w:r>
      <w:proofErr w:type="spellEnd"/>
      <w:r>
        <w:t xml:space="preserve"> reliability was established at Cohen's kappa = 0.83, indicating strong agreement. Qualitative data from the eight interviews were thematically </w:t>
      </w:r>
      <w:proofErr w:type="spellStart"/>
      <w:r>
        <w:t>analysed</w:t>
      </w:r>
      <w:proofErr w:type="spellEnd"/>
      <w:r>
        <w:t xml:space="preserve"> using the six-phase reflexive approach articulated by Braun and Clarke (2006), with member-checking conducted across all participants to ensure analytical credibility.</w:t>
      </w:r>
    </w:p>
    <w:p w:rsidR="00D84C92" w:rsidRPr="004E676B" w:rsidRDefault="004E676B">
      <w:pPr>
        <w:pStyle w:val="Heading2"/>
        <w:spacing w:before="280" w:after="120"/>
        <w:rPr>
          <w:i w:val="0"/>
          <w:iCs w:val="0"/>
          <w:color w:val="000000" w:themeColor="text1"/>
          <w:sz w:val="28"/>
          <w:szCs w:val="28"/>
        </w:rPr>
      </w:pPr>
      <w:r w:rsidRPr="004E676B">
        <w:rPr>
          <w:i w:val="0"/>
          <w:iCs w:val="0"/>
          <w:color w:val="000000" w:themeColor="text1"/>
          <w:sz w:val="28"/>
          <w:szCs w:val="28"/>
        </w:rPr>
        <w:t>3. FINDINGS</w:t>
      </w:r>
    </w:p>
    <w:p w:rsidR="00D84C92" w:rsidRPr="0032071A" w:rsidRDefault="00D072C3" w:rsidP="002773DA">
      <w:pPr>
        <w:spacing w:before="200" w:after="80"/>
        <w:rPr>
          <w:color w:val="000000" w:themeColor="text1"/>
        </w:rPr>
      </w:pPr>
      <w:r w:rsidRPr="0032071A">
        <w:rPr>
          <w:b/>
          <w:bCs/>
          <w:color w:val="000000" w:themeColor="text1"/>
        </w:rPr>
        <w:t>3.1 Quantitative Findings</w:t>
      </w:r>
    </w:p>
    <w:p w:rsidR="00D84C92" w:rsidRPr="0032071A" w:rsidRDefault="00D072C3" w:rsidP="002773DA">
      <w:pPr>
        <w:spacing w:before="240" w:after="240"/>
        <w:rPr>
          <w:color w:val="000000" w:themeColor="text1"/>
        </w:rPr>
      </w:pPr>
      <w:r w:rsidRPr="0032071A">
        <w:rPr>
          <w:b/>
          <w:bCs/>
          <w:color w:val="000000" w:themeColor="text1"/>
        </w:rPr>
        <w:t>3.1.1 Platform Adoption and Primary Channel Allocation</w:t>
      </w:r>
    </w:p>
    <w:p w:rsidR="00D84C92" w:rsidRDefault="00D072C3" w:rsidP="002773DA">
      <w:pPr>
        <w:spacing w:before="160" w:after="160"/>
        <w:jc w:val="both"/>
      </w:pPr>
      <w:r>
        <w:t xml:space="preserve">Table 1 presents the overall frequency of platform adoption across the full sample. Facebook was the most widely deployed platform, present in 82 of the 100 campaign units (82%), followed by YouTube (74%), Instagram (63%), </w:t>
      </w:r>
      <w:proofErr w:type="spellStart"/>
      <w:r>
        <w:t>TikTok</w:t>
      </w:r>
      <w:proofErr w:type="spellEnd"/>
      <w:r>
        <w:t xml:space="preserve"> (41%), WhatsApp (38%), and Twitter/X (19%). When respondents were asked to designate the platform occupying the primary promotional role in their campaign, Facebook was nominated in 58% of cases, YouTube in 22%, Instagram in 12%, </w:t>
      </w:r>
      <w:proofErr w:type="spellStart"/>
      <w:r>
        <w:t>TikTok</w:t>
      </w:r>
      <w:proofErr w:type="spellEnd"/>
      <w:r>
        <w:t xml:space="preserve"> in 5%, and a residual 3% cited other platforms or mixed strategies with no designated primary channel. These figures confirm Facebook's dominance not only in terms of reach but in terms of strategi</w:t>
      </w:r>
      <w:r w:rsidR="004B1DAA">
        <w:t>c centrality</w:t>
      </w:r>
      <w:r>
        <w:t>.</w:t>
      </w:r>
    </w:p>
    <w:p w:rsidR="00D84C92" w:rsidRDefault="00D072C3">
      <w:pPr>
        <w:spacing w:before="240" w:after="80"/>
      </w:pPr>
      <w:r>
        <w:rPr>
          <w:b/>
          <w:bCs/>
          <w:i/>
          <w:iCs/>
          <w:sz w:val="22"/>
          <w:szCs w:val="22"/>
        </w:rPr>
        <w:t>Table 1</w:t>
      </w:r>
    </w:p>
    <w:p w:rsidR="00D84C92" w:rsidRDefault="00D072C3" w:rsidP="002773DA">
      <w:pPr>
        <w:spacing w:before="240" w:after="80"/>
      </w:pPr>
      <w:r>
        <w:rPr>
          <w:b/>
          <w:bCs/>
          <w:i/>
          <w:iCs/>
          <w:sz w:val="22"/>
          <w:szCs w:val="22"/>
        </w:rPr>
        <w:t xml:space="preserve">Platform Adoption and Primary Channel Designation </w:t>
      </w:r>
      <w:proofErr w:type="gramStart"/>
      <w:r>
        <w:rPr>
          <w:b/>
          <w:bCs/>
          <w:i/>
          <w:iCs/>
          <w:sz w:val="22"/>
          <w:szCs w:val="22"/>
        </w:rPr>
        <w:t>Across</w:t>
      </w:r>
      <w:proofErr w:type="gramEnd"/>
      <w:r>
        <w:rPr>
          <w:b/>
          <w:bCs/>
          <w:i/>
          <w:iCs/>
          <w:sz w:val="22"/>
          <w:szCs w:val="22"/>
        </w:rPr>
        <w:t xml:space="preserve"> the Sample (n=100)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100"/>
        <w:gridCol w:w="1400"/>
        <w:gridCol w:w="2100"/>
        <w:gridCol w:w="1560"/>
      </w:tblGrid>
      <w:tr w:rsidR="00D84C92" w:rsidTr="005F39B8">
        <w:trPr>
          <w:tblHeader/>
        </w:trPr>
        <w:tc>
          <w:tcPr>
            <w:tcW w:w="22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xml:space="preserve">Campaigns </w:t>
            </w:r>
            <w:proofErr w:type="spellStart"/>
            <w:r w:rsidRPr="005F39B8">
              <w:rPr>
                <w:b/>
                <w:bCs/>
                <w:color w:val="000000" w:themeColor="text1"/>
                <w:sz w:val="20"/>
                <w:szCs w:val="20"/>
              </w:rPr>
              <w:t>Utilising</w:t>
            </w:r>
            <w:proofErr w:type="spellEnd"/>
            <w:r w:rsidRPr="005F39B8">
              <w:rPr>
                <w:b/>
                <w:bCs/>
                <w:color w:val="000000" w:themeColor="text1"/>
                <w:sz w:val="20"/>
                <w:szCs w:val="20"/>
              </w:rPr>
              <w:t xml:space="preserve"> Platform</w:t>
            </w:r>
          </w:p>
        </w:tc>
        <w:tc>
          <w:tcPr>
            <w:tcW w:w="14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Sample</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Designated as Primary Channel</w:t>
            </w:r>
          </w:p>
        </w:tc>
        <w:tc>
          <w:tcPr>
            <w:tcW w:w="15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Designated Primary</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Facebook</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82</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82%</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58</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58%</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YouTube</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74</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74%</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22</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22%</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Instagram</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63</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63%</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12</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12%</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proofErr w:type="spellStart"/>
            <w:r>
              <w:rPr>
                <w:sz w:val="20"/>
                <w:szCs w:val="20"/>
              </w:rPr>
              <w:t>TikTok</w:t>
            </w:r>
            <w:proofErr w:type="spellEnd"/>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41</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41%</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5</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5%</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WhatsApp</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38</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38%</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0</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0%</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Twitter/X</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19</w:t>
            </w:r>
          </w:p>
        </w:tc>
        <w:tc>
          <w:tcPr>
            <w:tcW w:w="14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19%</w:t>
            </w:r>
          </w:p>
        </w:tc>
        <w:tc>
          <w:tcPr>
            <w:tcW w:w="210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3</w:t>
            </w:r>
          </w:p>
        </w:tc>
        <w:tc>
          <w:tcPr>
            <w:tcW w:w="1560" w:type="dxa"/>
            <w:tcBorders>
              <w:top w:val="single" w:sz="4" w:space="0" w:color="2C3E6B"/>
              <w:left w:val="single" w:sz="4" w:space="0" w:color="2C3E6B"/>
              <w:bottom w:val="single" w:sz="4" w:space="0" w:color="2C3E6B"/>
              <w:right w:val="single" w:sz="4" w:space="0" w:color="2C3E6B"/>
            </w:tcBorders>
            <w:shd w:val="clear" w:color="auto" w:fill="auto"/>
            <w:tcMar>
              <w:top w:w="60" w:type="dxa"/>
              <w:left w:w="120" w:type="dxa"/>
              <w:bottom w:w="60" w:type="dxa"/>
              <w:right w:w="120" w:type="dxa"/>
            </w:tcMar>
          </w:tcPr>
          <w:p w:rsidR="00D84C92" w:rsidRDefault="00D072C3" w:rsidP="002773DA">
            <w:r>
              <w:rPr>
                <w:sz w:val="20"/>
                <w:szCs w:val="20"/>
              </w:rPr>
              <w:t>3%</w:t>
            </w:r>
          </w:p>
        </w:tc>
      </w:tr>
    </w:tbl>
    <w:p w:rsidR="00D84C92" w:rsidRDefault="00D072C3">
      <w:pPr>
        <w:spacing w:before="60" w:after="200"/>
        <w:rPr>
          <w:sz w:val="20"/>
          <w:szCs w:val="20"/>
        </w:rPr>
      </w:pPr>
      <w:r>
        <w:rPr>
          <w:i/>
          <w:iCs/>
          <w:sz w:val="20"/>
          <w:szCs w:val="20"/>
        </w:rPr>
        <w:t xml:space="preserve">Note. </w:t>
      </w:r>
      <w:r>
        <w:rPr>
          <w:sz w:val="20"/>
          <w:szCs w:val="20"/>
        </w:rPr>
        <w:t xml:space="preserve">WhatsApp was not nominated as a primary channel by any respondent, reflecting </w:t>
      </w:r>
      <w:proofErr w:type="gramStart"/>
      <w:r>
        <w:rPr>
          <w:sz w:val="20"/>
          <w:szCs w:val="20"/>
        </w:rPr>
        <w:t>its</w:t>
      </w:r>
      <w:proofErr w:type="gramEnd"/>
      <w:r>
        <w:rPr>
          <w:sz w:val="20"/>
          <w:szCs w:val="20"/>
        </w:rPr>
        <w:t xml:space="preserve"> positioning as a secondary dissemination mechanism rather than a formal promotional vehicle.</w:t>
      </w:r>
    </w:p>
    <w:p w:rsidR="00AF17A6" w:rsidRDefault="00AF17A6">
      <w:pPr>
        <w:spacing w:before="60" w:after="200"/>
      </w:pPr>
    </w:p>
    <w:p w:rsidR="00D84C92" w:rsidRDefault="00D072C3" w:rsidP="002773DA">
      <w:pPr>
        <w:spacing w:before="240" w:after="240"/>
      </w:pPr>
      <w:r>
        <w:rPr>
          <w:b/>
          <w:bCs/>
        </w:rPr>
        <w:lastRenderedPageBreak/>
        <w:t>3.1.2 Multi-Platform Campaign Structure</w:t>
      </w:r>
    </w:p>
    <w:p w:rsidR="00D84C92" w:rsidRDefault="00D072C3" w:rsidP="002773DA">
      <w:pPr>
        <w:spacing w:before="240" w:after="240"/>
        <w:jc w:val="both"/>
      </w:pPr>
      <w:r>
        <w:t xml:space="preserve">Analysis of campaign architecture revealed that multi-platform deployment has become normative within Sri Lankan Buddhist film promotion. 67% of campaigns (n=67) employed three or more platforms simultaneously; 21% employed two platforms; and only 12% relied on a single platform exclusively. Among multi-platform campaigns, the most frequent dyadic combination was Facebook and YouTube, which co-occurred in 71% of all multi-platform campaigns. The triadic combination of Facebook, YouTube, and Instagram appeared in 54% of multi-platform campaigns, while the addition of </w:t>
      </w:r>
      <w:proofErr w:type="spellStart"/>
      <w:r>
        <w:t>TikTok</w:t>
      </w:r>
      <w:proofErr w:type="spellEnd"/>
      <w:r>
        <w:t xml:space="preserve"> to this triad was observed in 28% (Van </w:t>
      </w:r>
      <w:proofErr w:type="spellStart"/>
      <w:r>
        <w:t>Dijck</w:t>
      </w:r>
      <w:proofErr w:type="spellEnd"/>
      <w:r>
        <w:t xml:space="preserve"> et al., 2018).</w:t>
      </w:r>
    </w:p>
    <w:p w:rsidR="00D84C92" w:rsidRDefault="00D072C3" w:rsidP="002773DA">
      <w:pPr>
        <w:spacing w:before="240" w:after="80"/>
      </w:pPr>
      <w:r>
        <w:rPr>
          <w:b/>
          <w:bCs/>
          <w:i/>
          <w:iCs/>
          <w:sz w:val="22"/>
          <w:szCs w:val="22"/>
        </w:rPr>
        <w:t>Table 2</w:t>
      </w:r>
    </w:p>
    <w:p w:rsidR="00D84C92" w:rsidRDefault="00D072C3" w:rsidP="002773DA">
      <w:pPr>
        <w:spacing w:before="240" w:after="80"/>
      </w:pPr>
      <w:r>
        <w:rPr>
          <w:b/>
          <w:bCs/>
          <w:i/>
          <w:iCs/>
          <w:sz w:val="22"/>
          <w:szCs w:val="22"/>
        </w:rPr>
        <w:t>Multi-Platform Campaign Architecture (n=100)</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100"/>
        <w:gridCol w:w="2660"/>
      </w:tblGrid>
      <w:tr w:rsidR="00D84C92" w:rsidTr="005F39B8">
        <w:trPr>
          <w:tblHeader/>
        </w:trPr>
        <w:tc>
          <w:tcPr>
            <w:tcW w:w="36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Number of Platforms Deployed</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Number of Campaigns</w:t>
            </w:r>
          </w:p>
        </w:tc>
        <w:tc>
          <w:tcPr>
            <w:tcW w:w="26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Sample</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Single platform only</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12</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12%</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Two platforms</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21</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21%</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Three platforms</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34</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34%</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Four platforms</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24</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24%</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Five or more platforms</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9</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9%</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Facebook + YouTube (dyad)</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71</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71% of multi-platform</w:t>
            </w:r>
          </w:p>
        </w:tc>
      </w:tr>
      <w:tr w:rsidR="00D84C92" w:rsidTr="005F39B8">
        <w:tc>
          <w:tcPr>
            <w:tcW w:w="3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Facebook + YouTube + Instagram (triad)</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54</w:t>
            </w:r>
          </w:p>
        </w:tc>
        <w:tc>
          <w:tcPr>
            <w:tcW w:w="26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Default="00D072C3" w:rsidP="002773DA">
            <w:r>
              <w:rPr>
                <w:sz w:val="20"/>
                <w:szCs w:val="20"/>
              </w:rPr>
              <w:t>54% of multi-platform</w:t>
            </w:r>
          </w:p>
        </w:tc>
      </w:tr>
    </w:tbl>
    <w:p w:rsidR="00D84C92" w:rsidRDefault="00D072C3" w:rsidP="002773DA">
      <w:pPr>
        <w:spacing w:before="240" w:after="240"/>
      </w:pPr>
      <w:r>
        <w:rPr>
          <w:i/>
          <w:iCs/>
          <w:sz w:val="20"/>
          <w:szCs w:val="20"/>
        </w:rPr>
        <w:t xml:space="preserve">Note. </w:t>
      </w:r>
      <w:r>
        <w:rPr>
          <w:sz w:val="20"/>
          <w:szCs w:val="20"/>
        </w:rPr>
        <w:t>Percentages for dyadic/triadic combinations are calculated as a proportion of the 88 multi-platform campaigns.</w:t>
      </w:r>
    </w:p>
    <w:p w:rsidR="00D84C92" w:rsidRDefault="00D072C3" w:rsidP="002773DA">
      <w:pPr>
        <w:spacing w:before="240" w:after="240"/>
      </w:pPr>
      <w:r>
        <w:rPr>
          <w:b/>
          <w:bCs/>
        </w:rPr>
        <w:t>3.1.3 Self-Reported Promotional Effectiveness</w:t>
      </w:r>
    </w:p>
    <w:p w:rsidR="00D84C92" w:rsidRDefault="00D072C3" w:rsidP="002773DA">
      <w:pPr>
        <w:spacing w:before="240" w:after="240"/>
        <w:jc w:val="both"/>
      </w:pPr>
      <w:r>
        <w:t xml:space="preserve">Respondents rated the effectiveness of each platform they deployed using a four-point scale (highly effective / moderately effective / minimally effective / ineffective). Table 3 reports the percentage of campaigns in which each platform was rated as highly effective, among those campaigns where the platform was used. YouTube registered the highest effectiveness rating (81%), followed closely by Facebook (78%), Instagram (58%), WhatsApp (47%), </w:t>
      </w:r>
      <w:proofErr w:type="spellStart"/>
      <w:r>
        <w:t>TikTok</w:t>
      </w:r>
      <w:proofErr w:type="spellEnd"/>
      <w:r>
        <w:t xml:space="preserve"> (43%), and Twitter/X (26%). The comparatively high effectiveness rating for YouTube, despite its second-place adoption ranking, reflects the alignment between YouTube's long-form content architecture and the narrative depth characteristic o</w:t>
      </w:r>
      <w:r w:rsidR="004B1DAA">
        <w:t>f Buddhist cinema</w:t>
      </w:r>
      <w:r>
        <w:t>.</w:t>
      </w:r>
    </w:p>
    <w:p w:rsidR="00D84C92" w:rsidRDefault="00D072C3" w:rsidP="002773DA">
      <w:pPr>
        <w:spacing w:before="240" w:after="80"/>
      </w:pPr>
      <w:r>
        <w:rPr>
          <w:b/>
          <w:bCs/>
          <w:i/>
          <w:iCs/>
          <w:sz w:val="22"/>
          <w:szCs w:val="22"/>
        </w:rPr>
        <w:t>Table 3</w:t>
      </w:r>
    </w:p>
    <w:p w:rsidR="00D84C92" w:rsidRDefault="00D072C3" w:rsidP="002773DA">
      <w:pPr>
        <w:spacing w:before="240" w:after="240"/>
      </w:pPr>
      <w:r>
        <w:rPr>
          <w:b/>
          <w:bCs/>
          <w:i/>
          <w:iCs/>
          <w:sz w:val="22"/>
          <w:szCs w:val="22"/>
        </w:rPr>
        <w:t>Self-Reported Promotional Effectiveness by Platform (Rated 'Highly Effective')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600"/>
        <w:gridCol w:w="2160"/>
      </w:tblGrid>
      <w:tr w:rsidR="00D84C92" w:rsidTr="005F39B8">
        <w:trPr>
          <w:tblHeader/>
        </w:trPr>
        <w:tc>
          <w:tcPr>
            <w:tcW w:w="22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4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Campaigns Using Platform (n)</w:t>
            </w:r>
          </w:p>
        </w:tc>
        <w:tc>
          <w:tcPr>
            <w:tcW w:w="26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Rated Highly Effective (n)</w:t>
            </w:r>
          </w:p>
        </w:tc>
        <w:tc>
          <w:tcPr>
            <w:tcW w:w="21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Highly Effective</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w:t>
            </w:r>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82</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64</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78%</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w:t>
            </w:r>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74</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60</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81%</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Instagram</w:t>
            </w:r>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63</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37</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58%</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41</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18</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43%</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WhatsApp</w:t>
            </w:r>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38</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18</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47%</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Twitter/X</w:t>
            </w:r>
          </w:p>
        </w:tc>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19</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w:t>
            </w:r>
          </w:p>
        </w:tc>
        <w:tc>
          <w:tcPr>
            <w:tcW w:w="2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26%</w:t>
            </w:r>
          </w:p>
        </w:tc>
      </w:tr>
    </w:tbl>
    <w:p w:rsidR="00D84C92" w:rsidRDefault="00D072C3" w:rsidP="00CF11FA">
      <w:pPr>
        <w:spacing w:before="240" w:after="240"/>
        <w:rPr>
          <w:sz w:val="20"/>
          <w:szCs w:val="20"/>
        </w:rPr>
      </w:pPr>
      <w:r>
        <w:rPr>
          <w:i/>
          <w:iCs/>
          <w:sz w:val="20"/>
          <w:szCs w:val="20"/>
        </w:rPr>
        <w:t xml:space="preserve">Note. </w:t>
      </w:r>
      <w:r>
        <w:rPr>
          <w:sz w:val="20"/>
          <w:szCs w:val="20"/>
        </w:rPr>
        <w:t>Effectiveness ratings were provided by campaign coordinators or film distributors via structured interview. Ratings reflect perceived reach and audience conversion rather than independently verified engagement metrics.</w:t>
      </w:r>
    </w:p>
    <w:p w:rsidR="00D84C92" w:rsidRDefault="00D072C3" w:rsidP="002773DA">
      <w:pPr>
        <w:spacing w:before="200" w:after="80"/>
      </w:pPr>
      <w:r>
        <w:rPr>
          <w:b/>
          <w:bCs/>
        </w:rPr>
        <w:lastRenderedPageBreak/>
        <w:t>3.1.4 Audience Demographic Reach by Platform</w:t>
      </w:r>
    </w:p>
    <w:p w:rsidR="00D84C92" w:rsidRDefault="00D072C3" w:rsidP="00CF11FA">
      <w:pPr>
        <w:spacing w:before="240" w:after="240"/>
        <w:jc w:val="both"/>
      </w:pPr>
      <w:r>
        <w:t xml:space="preserve">Content analysis of campaign metadata and distributor reports revealed distinct demographic profiles for each platform. Facebook's reach was concentrated in the 35–54 age bracket (reported as the dominant audience group in 64% of campaigns using the platform), consistent with the platform's established demographic in Sri Lanka. YouTube exhibited the broadest cross-generational reach, with significant engagement reported across both the 25–44 and 45–60+ brackets in 58% of campaigns. Instagram's audience was predominantly identified as urban, educated, and concentrated in the 22–35 age range in 71% of campaigns. </w:t>
      </w:r>
      <w:proofErr w:type="spellStart"/>
      <w:r>
        <w:t>TikTok's</w:t>
      </w:r>
      <w:proofErr w:type="spellEnd"/>
      <w:r>
        <w:t xml:space="preserve"> audience skewed markedly younger, with the 18–30 demographic constituting the dominant audience group in 76% of </w:t>
      </w:r>
      <w:proofErr w:type="spellStart"/>
      <w:r>
        <w:t>TikTok</w:t>
      </w:r>
      <w:proofErr w:type="spellEnd"/>
      <w:r>
        <w:t xml:space="preserve">-deploying campaigns. WhatsApp's reach was </w:t>
      </w:r>
      <w:proofErr w:type="spellStart"/>
      <w:r>
        <w:t>characterised</w:t>
      </w:r>
      <w:proofErr w:type="spellEnd"/>
      <w:r>
        <w:t xml:space="preserve"> as community-based and intergenerational, with a concentration in the 40–60+ bracket, mediated through temple communication networks, in 69% of relevant c</w:t>
      </w:r>
      <w:r w:rsidR="004B1DAA">
        <w:t>ampaigns</w:t>
      </w:r>
      <w:r>
        <w:t>.</w:t>
      </w:r>
    </w:p>
    <w:p w:rsidR="00D84C92" w:rsidRDefault="00D072C3" w:rsidP="002773DA">
      <w:pPr>
        <w:spacing w:before="240" w:after="80"/>
      </w:pPr>
      <w:r>
        <w:rPr>
          <w:b/>
          <w:bCs/>
          <w:i/>
          <w:iCs/>
          <w:sz w:val="22"/>
          <w:szCs w:val="22"/>
        </w:rPr>
        <w:t>Table 4</w:t>
      </w:r>
    </w:p>
    <w:p w:rsidR="00D84C92" w:rsidRDefault="00D072C3" w:rsidP="00CF11FA">
      <w:pPr>
        <w:spacing w:before="240" w:after="240"/>
      </w:pPr>
      <w:r>
        <w:rPr>
          <w:b/>
          <w:bCs/>
          <w:i/>
          <w:iCs/>
          <w:sz w:val="22"/>
          <w:szCs w:val="22"/>
        </w:rPr>
        <w:t>Dominant Audience Age Demographic by Platform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2000"/>
        <w:gridCol w:w="2700"/>
        <w:gridCol w:w="2960"/>
      </w:tblGrid>
      <w:tr w:rsidR="00D84C92" w:rsidTr="005F39B8">
        <w:trPr>
          <w:tblHeader/>
        </w:trPr>
        <w:tc>
          <w:tcPr>
            <w:tcW w:w="17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0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Dominant Age Bracket</w:t>
            </w:r>
          </w:p>
        </w:tc>
        <w:tc>
          <w:tcPr>
            <w:tcW w:w="27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Campaigns Reporting This Demographic</w:t>
            </w:r>
          </w:p>
        </w:tc>
        <w:tc>
          <w:tcPr>
            <w:tcW w:w="29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Urban/Rural Skew</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35–54</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64%</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Mixed</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25–54</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58%</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Mixed</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Instagram</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22–35</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71%</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Urban-skewed</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18–30</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76%</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Urban-skewed</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WhatsApp</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40–60+</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69%</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Mixed / Rural-inclusive</w:t>
            </w:r>
          </w:p>
        </w:tc>
      </w:tr>
      <w:tr w:rsidR="00D84C92" w:rsidTr="005F39B8">
        <w:tc>
          <w:tcPr>
            <w:tcW w:w="1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Twitter/X</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25–40</w:t>
            </w:r>
          </w:p>
        </w:tc>
        <w:tc>
          <w:tcPr>
            <w:tcW w:w="27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61%</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Urban-skewed</w:t>
            </w:r>
          </w:p>
        </w:tc>
      </w:tr>
    </w:tbl>
    <w:p w:rsidR="00D84C92" w:rsidRDefault="00D072C3" w:rsidP="00CF11FA">
      <w:pPr>
        <w:spacing w:before="240" w:after="240"/>
      </w:pPr>
      <w:r>
        <w:rPr>
          <w:i/>
          <w:iCs/>
          <w:sz w:val="20"/>
          <w:szCs w:val="20"/>
        </w:rPr>
        <w:t xml:space="preserve">Note. </w:t>
      </w:r>
      <w:r>
        <w:rPr>
          <w:sz w:val="20"/>
          <w:szCs w:val="20"/>
        </w:rPr>
        <w:t>Demographic classifications are based on distributor self-reports and platform-provided analytics summaries where available.</w:t>
      </w:r>
    </w:p>
    <w:p w:rsidR="00D84C92" w:rsidRDefault="00D072C3">
      <w:pPr>
        <w:spacing w:before="200" w:after="80"/>
      </w:pPr>
      <w:r>
        <w:rPr>
          <w:b/>
          <w:bCs/>
        </w:rPr>
        <w:t>3.1.5 Content Type Distribution by Platform</w:t>
      </w:r>
    </w:p>
    <w:p w:rsidR="00D84C92" w:rsidRDefault="00D072C3" w:rsidP="00CF11FA">
      <w:pPr>
        <w:spacing w:before="240" w:after="240"/>
        <w:jc w:val="both"/>
      </w:pPr>
      <w:r>
        <w:t xml:space="preserve">Systematic coding of the 100 campaigns identified the predominant content formats deployed on each platform. Facebook campaigns were </w:t>
      </w:r>
      <w:proofErr w:type="spellStart"/>
      <w:r>
        <w:t>characterised</w:t>
      </w:r>
      <w:proofErr w:type="spellEnd"/>
      <w:r>
        <w:t xml:space="preserve"> by devotional image posts (89%), event announcements (76%), full-length trailers (71%), and Facebook Live broadcast promotions (43%). YouTube campaigns were anchored by full-length trailers (94%), behind-the-scenes documentary content (62%), director and cast interview segments (48%), and thematically curated playlists (39%). Instagram campaigns employed static devotional imagery (87%), short-form Reels (74%), Stories-format daily countdowns (68%), and IGTV long-form content (31%). </w:t>
      </w:r>
      <w:proofErr w:type="spellStart"/>
      <w:r>
        <w:t>TikTok</w:t>
      </w:r>
      <w:proofErr w:type="spellEnd"/>
      <w:r>
        <w:t xml:space="preserve"> campaigns relied exclusively on short-form clips under sixty seconds (100%), with a minority employing challenge mechanics (23%) or collaborative duet formats (15%). WhatsApp promotion operated primarily through shared trailer links (91%), text-format announcements disseminated via Buddhist community broadcast lists (84%), and, in a minority of cases, voice note messages recorded by directors or cast members (31%).</w:t>
      </w:r>
    </w:p>
    <w:p w:rsidR="00D84C92" w:rsidRDefault="00D072C3" w:rsidP="002773DA">
      <w:pPr>
        <w:spacing w:before="240" w:after="80"/>
      </w:pPr>
      <w:r>
        <w:rPr>
          <w:b/>
          <w:bCs/>
          <w:i/>
          <w:iCs/>
          <w:sz w:val="22"/>
          <w:szCs w:val="22"/>
        </w:rPr>
        <w:t>Table 5</w:t>
      </w:r>
    </w:p>
    <w:p w:rsidR="00D84C92" w:rsidRDefault="00D072C3" w:rsidP="00CF11FA">
      <w:pPr>
        <w:spacing w:before="240" w:after="240"/>
      </w:pPr>
      <w:r>
        <w:rPr>
          <w:b/>
          <w:bCs/>
          <w:i/>
          <w:iCs/>
          <w:sz w:val="22"/>
          <w:szCs w:val="22"/>
        </w:rPr>
        <w:t>Predominant Promotional Content Formats by Platform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0"/>
        <w:gridCol w:w="2579"/>
        <w:gridCol w:w="1396"/>
        <w:gridCol w:w="2588"/>
        <w:gridCol w:w="1207"/>
      </w:tblGrid>
      <w:tr w:rsidR="00D84C92" w:rsidTr="005F39B8">
        <w:trPr>
          <w:tblHeader/>
        </w:trPr>
        <w:tc>
          <w:tcPr>
            <w:tcW w:w="16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6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Primary Content Format</w:t>
            </w:r>
          </w:p>
        </w:tc>
        <w:tc>
          <w:tcPr>
            <w:tcW w:w="14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Campaigns</w:t>
            </w:r>
          </w:p>
        </w:tc>
        <w:tc>
          <w:tcPr>
            <w:tcW w:w="26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Secondary Format</w:t>
            </w:r>
          </w:p>
        </w:tc>
        <w:tc>
          <w:tcPr>
            <w:tcW w:w="11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Campaigns</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Devotional image posts</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89%</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Full-length trailers</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71%</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Full-length trailers</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94%</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Behind-the-scenes documentary</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62%</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Instagram</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Static devotional imagery</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87%</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Short-form Reels</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74%</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Short-form clips (&lt;60 seconds)</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100%</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Challenge/interactive mechanics</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23%</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lastRenderedPageBreak/>
              <w:t>WhatsApp</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Forwarded trailer links</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91%</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Community broadcast text posts</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84%</w:t>
            </w:r>
          </w:p>
        </w:tc>
      </w:tr>
      <w:tr w:rsidR="00D84C92" w:rsidTr="005F39B8">
        <w:tc>
          <w:tcPr>
            <w:tcW w:w="1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Twitter/X</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Text-based event announcements</w:t>
            </w:r>
          </w:p>
        </w:tc>
        <w:tc>
          <w:tcPr>
            <w:tcW w:w="1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74%</w:t>
            </w:r>
          </w:p>
        </w:tc>
        <w:tc>
          <w:tcPr>
            <w:tcW w:w="26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Embedded trailer links</w:t>
            </w:r>
          </w:p>
        </w:tc>
        <w:tc>
          <w:tcPr>
            <w:tcW w:w="11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63%</w:t>
            </w:r>
          </w:p>
        </w:tc>
      </w:tr>
    </w:tbl>
    <w:p w:rsidR="00D84C92" w:rsidRDefault="00D072C3" w:rsidP="00CF11FA">
      <w:pPr>
        <w:spacing w:before="240" w:after="240"/>
      </w:pPr>
      <w:r>
        <w:rPr>
          <w:i/>
          <w:iCs/>
          <w:sz w:val="20"/>
          <w:szCs w:val="20"/>
        </w:rPr>
        <w:t xml:space="preserve">Note. </w:t>
      </w:r>
      <w:r>
        <w:rPr>
          <w:sz w:val="20"/>
          <w:szCs w:val="20"/>
        </w:rPr>
        <w:t>Multiple formats per campaign were possible; percentages reflect the proportion of campaigns using each format on each platform.</w:t>
      </w:r>
    </w:p>
    <w:p w:rsidR="00D84C92" w:rsidRDefault="00D072C3" w:rsidP="00CF11FA">
      <w:pPr>
        <w:spacing w:before="240" w:after="240"/>
      </w:pPr>
      <w:r>
        <w:rPr>
          <w:b/>
          <w:bCs/>
        </w:rPr>
        <w:t>3.1.6 Digital Marketing Budget Allocation</w:t>
      </w:r>
    </w:p>
    <w:p w:rsidR="00D84C92" w:rsidRDefault="00D072C3" w:rsidP="00CF11FA">
      <w:pPr>
        <w:spacing w:before="240" w:after="240"/>
        <w:jc w:val="both"/>
      </w:pPr>
      <w:r>
        <w:t xml:space="preserve">Of the 100 campaign units, 67 yielded usable budget allocation data (the remaining 33 either declined to disclose or operated with no formal advertising expenditure). Among the 67 disclosing campaigns, Facebook absorbed the largest average share of digital marketing budgets at 34%, followed by YouTube (28%), Instagram (19%), </w:t>
      </w:r>
      <w:proofErr w:type="spellStart"/>
      <w:r>
        <w:t>TikTok</w:t>
      </w:r>
      <w:proofErr w:type="spellEnd"/>
      <w:r>
        <w:t xml:space="preserve"> (9%), and residual allocations to Twitter/X and other platforms (10%). This distribution suggests that despite YouTube's slightly higher effectiveness rating, Facebook commands a disproportionate share of promotional investment, likely attributable to its combination of demographic reach, community infrastructure, and relatively lower cost-per-impression within the Sri Lankan advertising market (Lim, 2021).</w:t>
      </w:r>
    </w:p>
    <w:p w:rsidR="00D84C92" w:rsidRDefault="00D072C3" w:rsidP="002773DA">
      <w:pPr>
        <w:spacing w:before="240" w:after="80"/>
      </w:pPr>
      <w:r>
        <w:rPr>
          <w:b/>
          <w:bCs/>
          <w:i/>
          <w:iCs/>
          <w:sz w:val="22"/>
          <w:szCs w:val="22"/>
        </w:rPr>
        <w:t>Table 6</w:t>
      </w:r>
    </w:p>
    <w:p w:rsidR="00D84C92" w:rsidRDefault="00D072C3" w:rsidP="00CF11FA">
      <w:pPr>
        <w:spacing w:before="240" w:after="240"/>
      </w:pPr>
      <w:r>
        <w:rPr>
          <w:b/>
          <w:bCs/>
          <w:i/>
          <w:iCs/>
          <w:sz w:val="22"/>
          <w:szCs w:val="22"/>
        </w:rPr>
        <w:t>Average Digital Marketing Budget Allocation by Platform (n=67 disclosing campaigns)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100"/>
        <w:gridCol w:w="2000"/>
        <w:gridCol w:w="3260"/>
      </w:tblGrid>
      <w:tr w:rsidR="00D84C92" w:rsidTr="005F39B8">
        <w:trPr>
          <w:tblHeader/>
        </w:trPr>
        <w:tc>
          <w:tcPr>
            <w:tcW w:w="20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Average Budget Share (%)</w:t>
            </w:r>
          </w:p>
        </w:tc>
        <w:tc>
          <w:tcPr>
            <w:tcW w:w="20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Range (Min–Max)</w:t>
            </w:r>
          </w:p>
        </w:tc>
        <w:tc>
          <w:tcPr>
            <w:tcW w:w="32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Campaigns with Paid Promotion (n)</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34%</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18–61%</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59</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28%</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10–52%</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48</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Instagram</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19%</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5–38%</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41</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2–21%</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22</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Twitter/X</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1–14%</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14</w:t>
            </w:r>
          </w:p>
        </w:tc>
      </w:tr>
      <w:tr w:rsidR="00D84C92" w:rsidTr="005F39B8">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Other/Mixed</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w:t>
            </w:r>
          </w:p>
        </w:tc>
        <w:tc>
          <w:tcPr>
            <w:tcW w:w="20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0–12%</w:t>
            </w:r>
          </w:p>
        </w:tc>
        <w:tc>
          <w:tcPr>
            <w:tcW w:w="32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w:t>
            </w:r>
          </w:p>
        </w:tc>
      </w:tr>
    </w:tbl>
    <w:p w:rsidR="00D84C92" w:rsidRDefault="00D072C3" w:rsidP="00CF11FA">
      <w:pPr>
        <w:spacing w:before="240" w:after="240"/>
      </w:pPr>
      <w:r>
        <w:rPr>
          <w:i/>
          <w:iCs/>
          <w:sz w:val="20"/>
          <w:szCs w:val="20"/>
        </w:rPr>
        <w:t xml:space="preserve">Note. </w:t>
      </w:r>
      <w:r>
        <w:rPr>
          <w:sz w:val="20"/>
          <w:szCs w:val="20"/>
        </w:rPr>
        <w:t>Budget data was unavailable for 33 campaigns. Campaigns are predominantly independent productions with modest digital marketing budgets. Range figures reflect variability within the 67 disclosing campaigns.</w:t>
      </w:r>
    </w:p>
    <w:p w:rsidR="00D84C92" w:rsidRDefault="00D072C3" w:rsidP="00CF11FA">
      <w:pPr>
        <w:spacing w:before="240" w:after="240"/>
      </w:pPr>
      <w:r>
        <w:rPr>
          <w:b/>
          <w:bCs/>
        </w:rPr>
        <w:t>3.1.7 Promotional Activity and the Buddhist Religious Calendar</w:t>
      </w:r>
    </w:p>
    <w:p w:rsidR="002773DA" w:rsidRDefault="00D072C3" w:rsidP="00CF11FA">
      <w:pPr>
        <w:spacing w:before="240" w:after="240"/>
        <w:jc w:val="both"/>
      </w:pPr>
      <w:r>
        <w:t xml:space="preserve">A distinctive structural feature of Sri Lankan Buddhist film promotion is its alignment with the Buddhist lunar calendar rather than conventional film release cycles. 91% of campaigns reported intensifying promotional activity during the Vesak </w:t>
      </w:r>
      <w:proofErr w:type="spellStart"/>
      <w:r>
        <w:t>Poya</w:t>
      </w:r>
      <w:proofErr w:type="spellEnd"/>
      <w:r>
        <w:t xml:space="preserve"> full moon period (May), with 76% of those citing Facebook as the platform recording the highest traffic during this window. </w:t>
      </w:r>
      <w:proofErr w:type="spellStart"/>
      <w:r>
        <w:t>Poson</w:t>
      </w:r>
      <w:proofErr w:type="spellEnd"/>
      <w:r>
        <w:t xml:space="preserve"> </w:t>
      </w:r>
      <w:proofErr w:type="spellStart"/>
      <w:r>
        <w:t>Poya</w:t>
      </w:r>
      <w:proofErr w:type="spellEnd"/>
      <w:r>
        <w:t xml:space="preserve"> (June) was a secondary peak, with 67% of campaigns deploying targeted promotional content, and </w:t>
      </w:r>
      <w:proofErr w:type="spellStart"/>
      <w:r>
        <w:t>Unduvap</w:t>
      </w:r>
      <w:proofErr w:type="spellEnd"/>
      <w:r>
        <w:t xml:space="preserve"> </w:t>
      </w:r>
      <w:proofErr w:type="spellStart"/>
      <w:r>
        <w:t>Poya</w:t>
      </w:r>
      <w:proofErr w:type="spellEnd"/>
      <w:r>
        <w:t xml:space="preserve"> (December) was noted as a promotional occasion by 43% of campaigns. Platform-specific posting frequency data confirmed a measurable surge in </w:t>
      </w:r>
      <w:proofErr w:type="spellStart"/>
      <w:r>
        <w:t>TikTok</w:t>
      </w:r>
      <w:proofErr w:type="spellEnd"/>
      <w:r>
        <w:t xml:space="preserve"> activity during release weeks, with a mean 68% increase in posting frequency in the seven days following initial theatrical or digital release, suggesting a platform-specific role in generating immediate post-release audience momentum.</w:t>
      </w:r>
    </w:p>
    <w:p w:rsidR="00AF17A6" w:rsidRDefault="00AF17A6" w:rsidP="00CF11FA">
      <w:pPr>
        <w:spacing w:before="240" w:after="240"/>
        <w:jc w:val="both"/>
      </w:pPr>
    </w:p>
    <w:p w:rsidR="00AF17A6" w:rsidRDefault="00AF17A6" w:rsidP="00CF11FA">
      <w:pPr>
        <w:spacing w:before="240" w:after="240"/>
        <w:jc w:val="both"/>
      </w:pPr>
    </w:p>
    <w:p w:rsidR="00AF17A6" w:rsidRDefault="00AF17A6" w:rsidP="00CF11FA">
      <w:pPr>
        <w:spacing w:before="240" w:after="240"/>
        <w:jc w:val="both"/>
      </w:pPr>
    </w:p>
    <w:p w:rsidR="00D84C92" w:rsidRDefault="00D072C3" w:rsidP="002773DA">
      <w:pPr>
        <w:spacing w:before="160" w:after="160"/>
        <w:jc w:val="both"/>
      </w:pPr>
      <w:r>
        <w:rPr>
          <w:b/>
          <w:bCs/>
          <w:i/>
          <w:iCs/>
          <w:sz w:val="22"/>
          <w:szCs w:val="22"/>
        </w:rPr>
        <w:lastRenderedPageBreak/>
        <w:t>Table 7</w:t>
      </w:r>
    </w:p>
    <w:p w:rsidR="00D84C92" w:rsidRDefault="00D072C3" w:rsidP="00CF11FA">
      <w:pPr>
        <w:spacing w:before="240" w:after="240"/>
      </w:pPr>
      <w:r>
        <w:rPr>
          <w:b/>
          <w:bCs/>
          <w:i/>
          <w:iCs/>
          <w:sz w:val="22"/>
          <w:szCs w:val="22"/>
        </w:rPr>
        <w:t xml:space="preserve">Promotional Intensity </w:t>
      </w:r>
      <w:proofErr w:type="gramStart"/>
      <w:r>
        <w:rPr>
          <w:b/>
          <w:bCs/>
          <w:i/>
          <w:iCs/>
          <w:sz w:val="22"/>
          <w:szCs w:val="22"/>
        </w:rPr>
        <w:t>During</w:t>
      </w:r>
      <w:proofErr w:type="gramEnd"/>
      <w:r>
        <w:rPr>
          <w:b/>
          <w:bCs/>
          <w:i/>
          <w:iCs/>
          <w:sz w:val="22"/>
          <w:szCs w:val="22"/>
        </w:rPr>
        <w:t xml:space="preserve"> Key Buddhist Calendar Events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100"/>
        <w:gridCol w:w="1500"/>
        <w:gridCol w:w="3360"/>
      </w:tblGrid>
      <w:tr w:rsidR="00D84C92" w:rsidTr="005F39B8">
        <w:trPr>
          <w:tblHeader/>
        </w:trPr>
        <w:tc>
          <w:tcPr>
            <w:tcW w:w="24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Buddhist Calendar Event</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Campaigns Intensifying Promotion</w:t>
            </w:r>
          </w:p>
        </w:tc>
        <w:tc>
          <w:tcPr>
            <w:tcW w:w="15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 of Sample</w:t>
            </w:r>
          </w:p>
        </w:tc>
        <w:tc>
          <w:tcPr>
            <w:tcW w:w="33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Highest-Traffic Platform During Period</w:t>
            </w:r>
          </w:p>
        </w:tc>
      </w:tr>
      <w:tr w:rsidR="00D84C92" w:rsidTr="005F39B8">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 xml:space="preserve">Vesak </w:t>
            </w:r>
            <w:proofErr w:type="spellStart"/>
            <w:r w:rsidRPr="005F39B8">
              <w:rPr>
                <w:color w:val="000000" w:themeColor="text1"/>
                <w:sz w:val="20"/>
                <w:szCs w:val="20"/>
              </w:rPr>
              <w:t>Poya</w:t>
            </w:r>
            <w:proofErr w:type="spellEnd"/>
            <w:r w:rsidRPr="005F39B8">
              <w:rPr>
                <w:color w:val="000000" w:themeColor="text1"/>
                <w:sz w:val="20"/>
                <w:szCs w:val="20"/>
              </w:rPr>
              <w:t xml:space="preserve"> (May)</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91</w:t>
            </w:r>
          </w:p>
        </w:tc>
        <w:tc>
          <w:tcPr>
            <w:tcW w:w="15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91%</w:t>
            </w:r>
          </w:p>
        </w:tc>
        <w:tc>
          <w:tcPr>
            <w:tcW w:w="33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 (76% of intensifying campaigns)</w:t>
            </w:r>
          </w:p>
        </w:tc>
      </w:tr>
      <w:tr w:rsidR="00D84C92" w:rsidTr="005F39B8">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Poson</w:t>
            </w:r>
            <w:proofErr w:type="spellEnd"/>
            <w:r w:rsidRPr="005F39B8">
              <w:rPr>
                <w:color w:val="000000" w:themeColor="text1"/>
                <w:sz w:val="20"/>
                <w:szCs w:val="20"/>
              </w:rPr>
              <w:t xml:space="preserve"> </w:t>
            </w:r>
            <w:proofErr w:type="spellStart"/>
            <w:r w:rsidRPr="005F39B8">
              <w:rPr>
                <w:color w:val="000000" w:themeColor="text1"/>
                <w:sz w:val="20"/>
                <w:szCs w:val="20"/>
              </w:rPr>
              <w:t>Poya</w:t>
            </w:r>
            <w:proofErr w:type="spellEnd"/>
            <w:r w:rsidRPr="005F39B8">
              <w:rPr>
                <w:color w:val="000000" w:themeColor="text1"/>
                <w:sz w:val="20"/>
                <w:szCs w:val="20"/>
              </w:rPr>
              <w:t xml:space="preserve"> (June)</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67</w:t>
            </w:r>
          </w:p>
        </w:tc>
        <w:tc>
          <w:tcPr>
            <w:tcW w:w="15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67%</w:t>
            </w:r>
          </w:p>
        </w:tc>
        <w:tc>
          <w:tcPr>
            <w:tcW w:w="33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 (71%)</w:t>
            </w:r>
          </w:p>
        </w:tc>
      </w:tr>
      <w:tr w:rsidR="00D84C92" w:rsidTr="005F39B8">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Unduvap</w:t>
            </w:r>
            <w:proofErr w:type="spellEnd"/>
            <w:r w:rsidRPr="005F39B8">
              <w:rPr>
                <w:color w:val="000000" w:themeColor="text1"/>
                <w:sz w:val="20"/>
                <w:szCs w:val="20"/>
              </w:rPr>
              <w:t xml:space="preserve"> </w:t>
            </w:r>
            <w:proofErr w:type="spellStart"/>
            <w:r w:rsidRPr="005F39B8">
              <w:rPr>
                <w:color w:val="000000" w:themeColor="text1"/>
                <w:sz w:val="20"/>
                <w:szCs w:val="20"/>
              </w:rPr>
              <w:t>Poya</w:t>
            </w:r>
            <w:proofErr w:type="spellEnd"/>
            <w:r w:rsidRPr="005F39B8">
              <w:rPr>
                <w:color w:val="000000" w:themeColor="text1"/>
                <w:sz w:val="20"/>
                <w:szCs w:val="20"/>
              </w:rPr>
              <w:t xml:space="preserve"> (Dec.)</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43</w:t>
            </w:r>
          </w:p>
        </w:tc>
        <w:tc>
          <w:tcPr>
            <w:tcW w:w="15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43%</w:t>
            </w:r>
          </w:p>
        </w:tc>
        <w:tc>
          <w:tcPr>
            <w:tcW w:w="33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 (58%)</w:t>
            </w:r>
          </w:p>
        </w:tc>
      </w:tr>
      <w:tr w:rsidR="00D84C92" w:rsidTr="005F39B8">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Navam</w:t>
            </w:r>
            <w:proofErr w:type="spellEnd"/>
            <w:r w:rsidRPr="005F39B8">
              <w:rPr>
                <w:color w:val="000000" w:themeColor="text1"/>
                <w:sz w:val="20"/>
                <w:szCs w:val="20"/>
              </w:rPr>
              <w:t xml:space="preserve"> </w:t>
            </w:r>
            <w:proofErr w:type="spellStart"/>
            <w:r w:rsidRPr="005F39B8">
              <w:rPr>
                <w:color w:val="000000" w:themeColor="text1"/>
                <w:sz w:val="20"/>
                <w:szCs w:val="20"/>
              </w:rPr>
              <w:t>Poya</w:t>
            </w:r>
            <w:proofErr w:type="spellEnd"/>
            <w:r w:rsidRPr="005F39B8">
              <w:rPr>
                <w:color w:val="000000" w:themeColor="text1"/>
                <w:sz w:val="20"/>
                <w:szCs w:val="20"/>
              </w:rPr>
              <w:t xml:space="preserve"> (Feb.)</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31</w:t>
            </w:r>
          </w:p>
        </w:tc>
        <w:tc>
          <w:tcPr>
            <w:tcW w:w="15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31%</w:t>
            </w:r>
          </w:p>
        </w:tc>
        <w:tc>
          <w:tcPr>
            <w:tcW w:w="33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 (64%)</w:t>
            </w:r>
          </w:p>
        </w:tc>
      </w:tr>
      <w:tr w:rsidR="00D84C92" w:rsidTr="005F39B8">
        <w:tc>
          <w:tcPr>
            <w:tcW w:w="24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Film release week</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100</w:t>
            </w:r>
          </w:p>
        </w:tc>
        <w:tc>
          <w:tcPr>
            <w:tcW w:w="15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100%</w:t>
            </w:r>
          </w:p>
        </w:tc>
        <w:tc>
          <w:tcPr>
            <w:tcW w:w="33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r w:rsidRPr="005F39B8">
              <w:rPr>
                <w:color w:val="000000" w:themeColor="text1"/>
                <w:sz w:val="20"/>
                <w:szCs w:val="20"/>
              </w:rPr>
              <w:t xml:space="preserve"> posting surge (+68%)</w:t>
            </w:r>
          </w:p>
        </w:tc>
      </w:tr>
    </w:tbl>
    <w:p w:rsidR="00D84C92" w:rsidRDefault="00D072C3" w:rsidP="00CF11FA">
      <w:pPr>
        <w:spacing w:before="240" w:after="240"/>
        <w:rPr>
          <w:sz w:val="20"/>
          <w:szCs w:val="20"/>
        </w:rPr>
      </w:pPr>
      <w:r>
        <w:rPr>
          <w:i/>
          <w:iCs/>
          <w:sz w:val="20"/>
          <w:szCs w:val="20"/>
        </w:rPr>
        <w:t xml:space="preserve">Note. </w:t>
      </w:r>
      <w:r>
        <w:rPr>
          <w:sz w:val="20"/>
          <w:szCs w:val="20"/>
        </w:rPr>
        <w:t>Calendar promotional data was derived from content analysis of posting timestamps across the 100 campaigns. 'Highest-traffic platform' data draws on distributor self-reports.</w:t>
      </w:r>
    </w:p>
    <w:p w:rsidR="00D84C92" w:rsidRDefault="00D072C3" w:rsidP="002773DA">
      <w:pPr>
        <w:spacing w:before="200" w:after="80"/>
      </w:pPr>
      <w:r>
        <w:rPr>
          <w:b/>
          <w:bCs/>
        </w:rPr>
        <w:t>3.1.8 Geographic Reach and Language of Promotional Content</w:t>
      </w:r>
    </w:p>
    <w:p w:rsidR="00D84C92" w:rsidRDefault="00D072C3" w:rsidP="00CF11FA">
      <w:pPr>
        <w:spacing w:before="240" w:after="240"/>
        <w:jc w:val="both"/>
      </w:pPr>
      <w:r>
        <w:t xml:space="preserve">Campaigns demonstrated strong promotional concentration in the Western Province, with the Colombo metropolitan area reached by 94% of campaigns. Reach diminished progressively in more geographically peripheral provinces: Southern Province (78%), Central Province (72%), </w:t>
      </w:r>
      <w:proofErr w:type="spellStart"/>
      <w:r>
        <w:t>Sabaragamuwa</w:t>
      </w:r>
      <w:proofErr w:type="spellEnd"/>
      <w:r>
        <w:t xml:space="preserve"> Province (61%), North Western Province (58%), Northern Province (41%), and Eastern Province (38%). Respondents attributed this geographic attenuation to a combination of platform connectivity constraints and linguistic barriers, the latter reflected in content language data: Sinhala-language promotional content was present in 94% of campaigns, English in 47%, Tamil in only 22%, and bilingual Sinhala/English content in 38% of campaigns. The underrepresentation of Tamil-language promotional material is consistent with broader patterns of ethno-linguistic segmentation in Sri Lankan m</w:t>
      </w:r>
      <w:r w:rsidR="00725AD2">
        <w:t>edia practice (</w:t>
      </w:r>
      <w:proofErr w:type="spellStart"/>
      <w:r w:rsidR="00725AD2">
        <w:t>Dissanayake</w:t>
      </w:r>
      <w:proofErr w:type="spellEnd"/>
      <w:r w:rsidR="00725AD2">
        <w:t>, 1996</w:t>
      </w:r>
      <w:r>
        <w:t>).</w:t>
      </w:r>
    </w:p>
    <w:p w:rsidR="00D84C92" w:rsidRDefault="00D072C3" w:rsidP="00CF11FA">
      <w:pPr>
        <w:spacing w:before="240" w:after="240"/>
      </w:pPr>
      <w:r>
        <w:rPr>
          <w:b/>
          <w:bCs/>
        </w:rPr>
        <w:t>3.1.9 Audience Sentiment Analysis</w:t>
      </w:r>
    </w:p>
    <w:p w:rsidR="00D84C92" w:rsidRDefault="00D072C3" w:rsidP="00CF11FA">
      <w:pPr>
        <w:spacing w:before="240" w:after="240"/>
        <w:jc w:val="both"/>
      </w:pPr>
      <w:r>
        <w:t xml:space="preserve">Sentiment analysis of publicly accessible audience responses across </w:t>
      </w:r>
      <w:proofErr w:type="gramStart"/>
      <w:r>
        <w:t>platforms  conducted</w:t>
      </w:r>
      <w:proofErr w:type="gramEnd"/>
      <w:r>
        <w:t xml:space="preserve"> on a subsample of 50 campaigns  revealed platform-specific patterns of audience reception. YouTube exhibited the most positive sentiment profile, with 81% positive comments, 14% neutral, and 5% negative. Facebook followed with 74% positive, 18% neutral, and 8% negative. Instagram registered 69% positive, 24% neutral, and 7% negative sentiment, while </w:t>
      </w:r>
      <w:proofErr w:type="spellStart"/>
      <w:r>
        <w:t>TikTok</w:t>
      </w:r>
      <w:proofErr w:type="spellEnd"/>
      <w:r>
        <w:t xml:space="preserve">, consistent with the reservations expressed by practitioners about tonal fit, recorded the lowest positive sentiment at 57%, with 28% neutral and 15% negative audience responses. The relatively elevated negative and neutral sentiment on </w:t>
      </w:r>
      <w:proofErr w:type="spellStart"/>
      <w:r>
        <w:t>TikTok</w:t>
      </w:r>
      <w:proofErr w:type="spellEnd"/>
      <w:r>
        <w:t xml:space="preserve"> is attributed to the platform's broader, non-specialist audience composition, which includes viewers who encounter Buddhist film content without prior devotional en</w:t>
      </w:r>
      <w:r w:rsidR="004B1DAA">
        <w:t>gagement</w:t>
      </w:r>
      <w:r>
        <w:t>.</w:t>
      </w:r>
    </w:p>
    <w:p w:rsidR="00D84C92" w:rsidRDefault="00D072C3" w:rsidP="002773DA">
      <w:pPr>
        <w:spacing w:before="240" w:after="80"/>
      </w:pPr>
      <w:r>
        <w:rPr>
          <w:b/>
          <w:bCs/>
          <w:i/>
          <w:iCs/>
          <w:sz w:val="22"/>
          <w:szCs w:val="22"/>
        </w:rPr>
        <w:t>Table 8</w:t>
      </w:r>
    </w:p>
    <w:p w:rsidR="00D84C92" w:rsidRDefault="00D072C3" w:rsidP="00CF11FA">
      <w:pPr>
        <w:spacing w:before="240" w:after="240"/>
      </w:pPr>
      <w:r>
        <w:rPr>
          <w:b/>
          <w:bCs/>
          <w:i/>
          <w:iCs/>
          <w:sz w:val="22"/>
          <w:szCs w:val="22"/>
        </w:rPr>
        <w:t>Audience Sentiment Analysis by Platform (Subsample, n=50 Campaigns)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100"/>
        <w:gridCol w:w="2100"/>
        <w:gridCol w:w="2960"/>
      </w:tblGrid>
      <w:tr w:rsidR="00D84C92" w:rsidTr="005F39B8">
        <w:trPr>
          <w:tblHeader/>
        </w:trPr>
        <w:tc>
          <w:tcPr>
            <w:tcW w:w="22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Platform</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Positive Sentiment (%)</w:t>
            </w:r>
          </w:p>
        </w:tc>
        <w:tc>
          <w:tcPr>
            <w:tcW w:w="210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Neutral Sentiment (%)</w:t>
            </w:r>
          </w:p>
        </w:tc>
        <w:tc>
          <w:tcPr>
            <w:tcW w:w="2960" w:type="dxa"/>
            <w:tcBorders>
              <w:top w:val="single" w:sz="6" w:space="0" w:color="2C3E6B"/>
              <w:left w:val="single" w:sz="6" w:space="0" w:color="2C3E6B"/>
              <w:bottom w:val="single" w:sz="6" w:space="0" w:color="2C3E6B"/>
              <w:right w:val="single" w:sz="6" w:space="0" w:color="2C3E6B"/>
            </w:tcBorders>
            <w:shd w:val="clear" w:color="auto" w:fill="FFFFFF" w:themeFill="background1"/>
            <w:tcMar>
              <w:top w:w="80" w:type="dxa"/>
              <w:left w:w="120" w:type="dxa"/>
              <w:bottom w:w="80" w:type="dxa"/>
              <w:right w:w="120" w:type="dxa"/>
            </w:tcMar>
          </w:tcPr>
          <w:p w:rsidR="00D84C92" w:rsidRPr="005F39B8" w:rsidRDefault="00D072C3" w:rsidP="002773DA">
            <w:pPr>
              <w:rPr>
                <w:color w:val="000000" w:themeColor="text1"/>
              </w:rPr>
            </w:pPr>
            <w:r w:rsidRPr="005F39B8">
              <w:rPr>
                <w:b/>
                <w:bCs/>
                <w:color w:val="000000" w:themeColor="text1"/>
                <w:sz w:val="20"/>
                <w:szCs w:val="20"/>
              </w:rPr>
              <w:t>Negative Sentiment (%)</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YouTube</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81%</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14%</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Facebook</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74%</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18%</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8%</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Instagram</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69%</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24%</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7%</w:t>
            </w:r>
          </w:p>
        </w:tc>
      </w:tr>
      <w:tr w:rsidR="00D84C92" w:rsidTr="005F39B8">
        <w:tc>
          <w:tcPr>
            <w:tcW w:w="22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proofErr w:type="spellStart"/>
            <w:r w:rsidRPr="005F39B8">
              <w:rPr>
                <w:color w:val="000000" w:themeColor="text1"/>
                <w:sz w:val="20"/>
                <w:szCs w:val="20"/>
              </w:rPr>
              <w:t>TikTok</w:t>
            </w:r>
            <w:proofErr w:type="spellEnd"/>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57%</w:t>
            </w:r>
          </w:p>
        </w:tc>
        <w:tc>
          <w:tcPr>
            <w:tcW w:w="210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28%</w:t>
            </w:r>
          </w:p>
        </w:tc>
        <w:tc>
          <w:tcPr>
            <w:tcW w:w="2960" w:type="dxa"/>
            <w:tcBorders>
              <w:top w:val="single" w:sz="4" w:space="0" w:color="2C3E6B"/>
              <w:left w:val="single" w:sz="4" w:space="0" w:color="2C3E6B"/>
              <w:bottom w:val="single" w:sz="4" w:space="0" w:color="2C3E6B"/>
              <w:right w:val="single" w:sz="4" w:space="0" w:color="2C3E6B"/>
            </w:tcBorders>
            <w:shd w:val="clear" w:color="auto" w:fill="FFFFFF" w:themeFill="background1"/>
            <w:tcMar>
              <w:top w:w="60" w:type="dxa"/>
              <w:left w:w="120" w:type="dxa"/>
              <w:bottom w:w="60" w:type="dxa"/>
              <w:right w:w="120" w:type="dxa"/>
            </w:tcMar>
          </w:tcPr>
          <w:p w:rsidR="00D84C92" w:rsidRPr="005F39B8" w:rsidRDefault="00D072C3" w:rsidP="002773DA">
            <w:pPr>
              <w:rPr>
                <w:color w:val="000000" w:themeColor="text1"/>
              </w:rPr>
            </w:pPr>
            <w:r w:rsidRPr="005F39B8">
              <w:rPr>
                <w:color w:val="000000" w:themeColor="text1"/>
                <w:sz w:val="20"/>
                <w:szCs w:val="20"/>
              </w:rPr>
              <w:t>15%</w:t>
            </w:r>
          </w:p>
        </w:tc>
      </w:tr>
    </w:tbl>
    <w:p w:rsidR="00D84C92" w:rsidRDefault="00D072C3" w:rsidP="00CF11FA">
      <w:pPr>
        <w:spacing w:before="240" w:after="240"/>
      </w:pPr>
      <w:r>
        <w:rPr>
          <w:i/>
          <w:iCs/>
          <w:sz w:val="20"/>
          <w:szCs w:val="20"/>
        </w:rPr>
        <w:t xml:space="preserve">Note. </w:t>
      </w:r>
      <w:r>
        <w:rPr>
          <w:sz w:val="20"/>
          <w:szCs w:val="20"/>
        </w:rPr>
        <w:t>Sentiment coding was conducted via a three-category scheme (positive / neutral / negative) applied to publicly visible comments and reactions. Twitter/X and WhatsApp were excluded from this analysis due to insufficient publicly accessible comment data.</w:t>
      </w:r>
    </w:p>
    <w:p w:rsidR="00D84C92" w:rsidRDefault="00D072C3" w:rsidP="00CF11FA">
      <w:pPr>
        <w:spacing w:before="240" w:after="240"/>
      </w:pPr>
      <w:r>
        <w:rPr>
          <w:b/>
          <w:bCs/>
        </w:rPr>
        <w:lastRenderedPageBreak/>
        <w:t>3.2 Qualitative Findings</w:t>
      </w:r>
    </w:p>
    <w:p w:rsidR="00D84C92" w:rsidRDefault="00D072C3" w:rsidP="00CF11FA">
      <w:pPr>
        <w:spacing w:before="240" w:after="240"/>
        <w:jc w:val="both"/>
      </w:pPr>
      <w:r>
        <w:t xml:space="preserve">Thematic analysis of the eight structured interviews yielded six principal themes, which are presented below. Direct quotations are attributed using </w:t>
      </w:r>
      <w:proofErr w:type="spellStart"/>
      <w:r>
        <w:t>pseudonymised</w:t>
      </w:r>
      <w:proofErr w:type="spellEnd"/>
      <w:r>
        <w:t xml:space="preserve"> participant identifiers indicating gender and approximate professional role.</w:t>
      </w:r>
    </w:p>
    <w:p w:rsidR="00D84C92" w:rsidRDefault="00D072C3" w:rsidP="00CF11FA">
      <w:pPr>
        <w:spacing w:before="240" w:after="240"/>
      </w:pPr>
      <w:r>
        <w:rPr>
          <w:b/>
          <w:bCs/>
        </w:rPr>
        <w:t>Theme 1: Platform–Community Alignment</w:t>
      </w:r>
    </w:p>
    <w:p w:rsidR="00D84C92" w:rsidRDefault="00D072C3" w:rsidP="002773DA">
      <w:pPr>
        <w:spacing w:before="160" w:after="160"/>
        <w:jc w:val="both"/>
      </w:pPr>
      <w:r>
        <w:t xml:space="preserve">The most consistently articulated theme across all eight interviews was what participants described as the organic compatibility between Facebook's community architecture and the </w:t>
      </w:r>
      <w:proofErr w:type="spellStart"/>
      <w:r>
        <w:t>organisational</w:t>
      </w:r>
      <w:proofErr w:type="spellEnd"/>
      <w:r>
        <w:t xml:space="preserve"> ecology of Sri Lankan Buddhist lay networks. Participants observed that Facebook groups maintained by temples, the All Ceylon Buddhist Congress, and provincial Buddhist cultural societies function as ready-made distribution nodes for film promotional content, effectively extending the reach of a given campaign into communities that promotional teams could not otherwise access.</w:t>
      </w:r>
    </w:p>
    <w:p w:rsidR="00D84C92" w:rsidRDefault="00D072C3" w:rsidP="00CF11FA">
      <w:pPr>
        <w:spacing w:before="240" w:after="240"/>
        <w:jc w:val="both"/>
      </w:pPr>
      <w:r>
        <w:t xml:space="preserve">One distributor (male, 52) stated: </w:t>
      </w:r>
      <w:r>
        <w:rPr>
          <w:i/>
          <w:iCs/>
        </w:rPr>
        <w:t>"Facebook is where our people are. When we share something, within an hour it is inside the temple WhatsApp groups. Facebook is the starting point; everything else follows."</w:t>
      </w:r>
      <w:r>
        <w:t xml:space="preserve"> A producer (male, 61) similarly observed: </w:t>
      </w:r>
      <w:r>
        <w:rPr>
          <w:i/>
          <w:iCs/>
        </w:rPr>
        <w:t>"You do not have to build the community on Facebook. The community is already there. You are simply entering a room that is already full."</w:t>
      </w:r>
      <w:r>
        <w:t xml:space="preserve"> This theme </w:t>
      </w:r>
      <w:r w:rsidR="004B1DAA">
        <w:t>aligns with</w:t>
      </w:r>
      <w:r>
        <w:t xml:space="preserve"> analysis of digital Buddhist community infrastructure in South Asia, which identifies social media </w:t>
      </w:r>
      <w:proofErr w:type="gramStart"/>
      <w:r>
        <w:t>platforms  Facebook</w:t>
      </w:r>
      <w:proofErr w:type="gramEnd"/>
      <w:r>
        <w:t xml:space="preserve"> particularly  as extensions of pre-existing lay devotional networks.</w:t>
      </w:r>
    </w:p>
    <w:p w:rsidR="00D84C92" w:rsidRDefault="00D072C3" w:rsidP="00CF11FA">
      <w:pPr>
        <w:spacing w:before="240" w:after="240"/>
      </w:pPr>
      <w:r>
        <w:rPr>
          <w:b/>
          <w:bCs/>
        </w:rPr>
        <w:t xml:space="preserve">Theme 2: Devotional Tone </w:t>
      </w:r>
      <w:proofErr w:type="gramStart"/>
      <w:r>
        <w:rPr>
          <w:b/>
          <w:bCs/>
        </w:rPr>
        <w:t>Versus</w:t>
      </w:r>
      <w:proofErr w:type="gramEnd"/>
      <w:r>
        <w:rPr>
          <w:b/>
          <w:bCs/>
        </w:rPr>
        <w:t xml:space="preserve"> Algorithmic Pressure</w:t>
      </w:r>
    </w:p>
    <w:p w:rsidR="00D84C92" w:rsidRDefault="00D072C3" w:rsidP="002773DA">
      <w:pPr>
        <w:spacing w:before="160" w:after="160"/>
        <w:jc w:val="both"/>
      </w:pPr>
      <w:r>
        <w:t xml:space="preserve">Six of the eight participants expressed significant tension between maintaining the solemnity and contemplative character expected of Buddhist cinematic content and the entertainment-oriented algorithmic demands of platforms such as </w:t>
      </w:r>
      <w:proofErr w:type="spellStart"/>
      <w:r>
        <w:t>TikTok</w:t>
      </w:r>
      <w:proofErr w:type="spellEnd"/>
      <w:r>
        <w:t xml:space="preserve"> and, to a lesser extent, Instagram. This tension was articulated with particular clarity by a female director (44): </w:t>
      </w:r>
      <w:r>
        <w:rPr>
          <w:i/>
          <w:iCs/>
        </w:rPr>
        <w:t>"</w:t>
      </w:r>
      <w:proofErr w:type="spellStart"/>
      <w:r>
        <w:rPr>
          <w:i/>
          <w:iCs/>
        </w:rPr>
        <w:t>TikTok</w:t>
      </w:r>
      <w:proofErr w:type="spellEnd"/>
      <w:r>
        <w:rPr>
          <w:i/>
          <w:iCs/>
        </w:rPr>
        <w:t xml:space="preserve"> wants you to be fast, entertaining, sometimes funny, always surprising. Buddhist films are slow. They are meant to allow the viewer to sit with something. We are fighting the algorithm every time we post."</w:t>
      </w:r>
    </w:p>
    <w:p w:rsidR="00D84C92" w:rsidRDefault="00D072C3" w:rsidP="00CF11FA">
      <w:pPr>
        <w:spacing w:before="240" w:after="240"/>
        <w:jc w:val="both"/>
      </w:pPr>
      <w:r>
        <w:t xml:space="preserve">A second participant (male producer, 38) extended this observation to the content design level: </w:t>
      </w:r>
      <w:r>
        <w:rPr>
          <w:i/>
          <w:iCs/>
        </w:rPr>
        <w:t xml:space="preserve">"On </w:t>
      </w:r>
      <w:proofErr w:type="spellStart"/>
      <w:r>
        <w:rPr>
          <w:i/>
          <w:iCs/>
        </w:rPr>
        <w:t>TikTok</w:t>
      </w:r>
      <w:proofErr w:type="spellEnd"/>
      <w:r>
        <w:rPr>
          <w:i/>
          <w:iCs/>
        </w:rPr>
        <w:t xml:space="preserve"> we had to make a thirty-second clip that was engaging enough to stop the scroll, but that still respected the film. You cannot show the Buddha dancing. You cannot use a trending sound. So what do you do? Mostly we used chanting as the audio, beautiful visuals. It worked for some audiences, but not the platform's core demographic."</w:t>
      </w:r>
      <w:r>
        <w:t xml:space="preserve"> This theme resonates with Hoover's (2021) </w:t>
      </w:r>
      <w:proofErr w:type="spellStart"/>
      <w:r>
        <w:t>theorisation</w:t>
      </w:r>
      <w:proofErr w:type="spellEnd"/>
      <w:r>
        <w:t xml:space="preserve"> of the confrontation between digital distraction cultures and contemplative religious engagement, which he argues produces structural friction rather than synthesis.</w:t>
      </w:r>
    </w:p>
    <w:p w:rsidR="00D84C92" w:rsidRDefault="00D072C3" w:rsidP="00CF11FA">
      <w:pPr>
        <w:spacing w:before="240" w:after="240"/>
      </w:pPr>
      <w:r>
        <w:rPr>
          <w:b/>
          <w:bCs/>
        </w:rPr>
        <w:t>Theme 3: Community Gatekeepers and Informal Networks</w:t>
      </w:r>
    </w:p>
    <w:p w:rsidR="00D84C92" w:rsidRDefault="00D072C3" w:rsidP="002773DA">
      <w:pPr>
        <w:spacing w:before="160" w:after="160"/>
        <w:jc w:val="both"/>
      </w:pPr>
      <w:r>
        <w:t xml:space="preserve">All eight participants independently identified the amplifying role of specific institutional and individual </w:t>
      </w:r>
      <w:proofErr w:type="gramStart"/>
      <w:r>
        <w:t>actors  described</w:t>
      </w:r>
      <w:proofErr w:type="gramEnd"/>
      <w:r>
        <w:t xml:space="preserve"> collectively here as community gatekeepers  in shaping the reach and legitimacy of Buddhist film promotional content. These gatekeepers included prominent monks with large WhatsApp broadcast subscriber lists, lay Buddhist leaders with significant Facebook followings, and the digital communications teams of major Buddhist </w:t>
      </w:r>
      <w:proofErr w:type="spellStart"/>
      <w:r>
        <w:t>organisations</w:t>
      </w:r>
      <w:proofErr w:type="spellEnd"/>
      <w:r>
        <w:t xml:space="preserve"> such as the All Ceylon Buddhist Congress and the Young Men's Buddhist Association.</w:t>
      </w:r>
    </w:p>
    <w:p w:rsidR="00D84C92" w:rsidRDefault="00D072C3" w:rsidP="00CF11FA">
      <w:pPr>
        <w:spacing w:before="240" w:after="240"/>
        <w:jc w:val="both"/>
      </w:pPr>
      <w:r>
        <w:t xml:space="preserve">The producer (male, 38) recounted: </w:t>
      </w:r>
      <w:r>
        <w:rPr>
          <w:i/>
          <w:iCs/>
        </w:rPr>
        <w:t xml:space="preserve">"When a senior </w:t>
      </w:r>
      <w:proofErr w:type="spellStart"/>
      <w:r>
        <w:rPr>
          <w:i/>
          <w:iCs/>
        </w:rPr>
        <w:t>thero</w:t>
      </w:r>
      <w:proofErr w:type="spellEnd"/>
      <w:r>
        <w:rPr>
          <w:i/>
          <w:iCs/>
        </w:rPr>
        <w:t xml:space="preserve"> shared our trailer on his WhatsApp broadcast, we received approximately five thousand views before eight in the morning. No advertising budget can buy what that single share delivered. It is not reach; it is trust."</w:t>
      </w:r>
      <w:r>
        <w:t xml:space="preserve"> A distributor (female, 46) elaborated: </w:t>
      </w:r>
      <w:r>
        <w:rPr>
          <w:i/>
          <w:iCs/>
        </w:rPr>
        <w:t>"The Buddhist community responds to endorsement. If a respected monk has seen the film and shared it, people will see it. If it has not been endorsed by anyone they respect, the most sophisticated campaign will not move them."</w:t>
      </w:r>
      <w:r>
        <w:t xml:space="preserve"> This finding underscores the limitations of platform-centric promotional models that do not account for the role of trusted relational networks in devotional media consumption (Campbell, 2020).</w:t>
      </w:r>
    </w:p>
    <w:p w:rsidR="00AF17A6" w:rsidRDefault="00AF17A6" w:rsidP="00CF11FA">
      <w:pPr>
        <w:spacing w:before="240" w:after="240"/>
        <w:jc w:val="both"/>
      </w:pPr>
    </w:p>
    <w:p w:rsidR="00D84C92" w:rsidRDefault="00D072C3" w:rsidP="00CF11FA">
      <w:pPr>
        <w:spacing w:before="240" w:after="240"/>
      </w:pPr>
      <w:r>
        <w:rPr>
          <w:b/>
          <w:bCs/>
        </w:rPr>
        <w:lastRenderedPageBreak/>
        <w:t>Theme 4: Intergenerational Platform Divergence</w:t>
      </w:r>
    </w:p>
    <w:p w:rsidR="00D84C92" w:rsidRDefault="00D072C3" w:rsidP="00CF11FA">
      <w:pPr>
        <w:spacing w:before="240" w:after="240"/>
        <w:jc w:val="both"/>
      </w:pPr>
      <w:r>
        <w:t xml:space="preserve">Seven of the eight participants articulated a clear generational bifurcation in platform preferences, which they navigated through differentiated content strategies. Older audiences (approximately 40 and above) were described as concentrated on Facebook and WhatsApp, while younger audiences (approximately 18–30) were seen as primarily reachable through Instagram and </w:t>
      </w:r>
      <w:proofErr w:type="spellStart"/>
      <w:r>
        <w:t>TikTok</w:t>
      </w:r>
      <w:proofErr w:type="spellEnd"/>
      <w:r>
        <w:t>. YouTube was perceived as the only genuinely cross-generational platform, valued for its capacity to host full-length trailers that could function as substantive devotional content in their own right.</w:t>
      </w:r>
    </w:p>
    <w:p w:rsidR="00D84C92" w:rsidRDefault="00D072C3" w:rsidP="00CF11FA">
      <w:pPr>
        <w:spacing w:before="240" w:after="240"/>
        <w:jc w:val="both"/>
      </w:pPr>
      <w:r>
        <w:t xml:space="preserve">This divergence was captured vividly by a distributor (female, 39): </w:t>
      </w:r>
      <w:r>
        <w:rPr>
          <w:i/>
          <w:iCs/>
        </w:rPr>
        <w:t xml:space="preserve">"For my father, it is Facebook. For my nephew, it is Instagram. For my niece, it is </w:t>
      </w:r>
      <w:proofErr w:type="spellStart"/>
      <w:r>
        <w:rPr>
          <w:i/>
          <w:iCs/>
        </w:rPr>
        <w:t>TikTok</w:t>
      </w:r>
      <w:proofErr w:type="spellEnd"/>
      <w:r>
        <w:rPr>
          <w:i/>
          <w:iCs/>
        </w:rPr>
        <w:t xml:space="preserve">. Three different films, almost, in how we must show </w:t>
      </w:r>
      <w:proofErr w:type="gramStart"/>
      <w:r>
        <w:rPr>
          <w:i/>
          <w:iCs/>
        </w:rPr>
        <w:t>it  the</w:t>
      </w:r>
      <w:proofErr w:type="gramEnd"/>
      <w:r>
        <w:rPr>
          <w:i/>
          <w:iCs/>
        </w:rPr>
        <w:t xml:space="preserve"> same film, but told three different ways for three different screens."</w:t>
      </w:r>
      <w:r>
        <w:t xml:space="preserve"> A production company representative (male, 33) noted that this necessitated not merely platform-specific posting but platform-specific content production: </w:t>
      </w:r>
      <w:r>
        <w:rPr>
          <w:i/>
          <w:iCs/>
        </w:rPr>
        <w:t>"We are not re-cutting one trailer for different platforms. We are making three or four entirely different pieces of content, each reflecting what that platform and that audience expects."</w:t>
      </w:r>
      <w:r>
        <w:t xml:space="preserve"> This finding complicates simple reach-</w:t>
      </w:r>
      <w:proofErr w:type="spellStart"/>
      <w:r>
        <w:t>maximisation</w:t>
      </w:r>
      <w:proofErr w:type="spellEnd"/>
      <w:r>
        <w:t xml:space="preserve"> models by revealing the production cost implications of genuine multi-platform promotional strategy (Bucher &amp; Helmond, 2018).</w:t>
      </w:r>
    </w:p>
    <w:p w:rsidR="00D84C92" w:rsidRDefault="00D072C3" w:rsidP="00CF11FA">
      <w:pPr>
        <w:spacing w:before="240" w:after="240"/>
      </w:pPr>
      <w:r>
        <w:rPr>
          <w:b/>
          <w:bCs/>
        </w:rPr>
        <w:t>Theme 5: The Buddhist Religious Calendar as Promotional Architecture</w:t>
      </w:r>
    </w:p>
    <w:p w:rsidR="00D84C92" w:rsidRDefault="00D072C3" w:rsidP="00CF11FA">
      <w:pPr>
        <w:spacing w:before="240" w:after="240"/>
        <w:jc w:val="both"/>
      </w:pPr>
      <w:r>
        <w:t xml:space="preserve">All eight participants described the Buddhist lunar </w:t>
      </w:r>
      <w:proofErr w:type="gramStart"/>
      <w:r>
        <w:t>calendar  rather</w:t>
      </w:r>
      <w:proofErr w:type="gramEnd"/>
      <w:r>
        <w:t xml:space="preserve"> than conventional theatrical release windows or film marketing cycles  as the primary structural logic governing promotional timing decisions. Vesak and </w:t>
      </w:r>
      <w:proofErr w:type="spellStart"/>
      <w:r>
        <w:t>Poson</w:t>
      </w:r>
      <w:proofErr w:type="spellEnd"/>
      <w:r>
        <w:t xml:space="preserve"> were universally identified as the highest-impact promotional periods, described variously as the Buddhist cinematic equivalent of Christmas and Easter in the Western film market.</w:t>
      </w:r>
    </w:p>
    <w:p w:rsidR="00D84C92" w:rsidRDefault="00D072C3" w:rsidP="00CF11FA">
      <w:pPr>
        <w:spacing w:before="240" w:after="240"/>
        <w:jc w:val="both"/>
      </w:pPr>
      <w:r>
        <w:t xml:space="preserve">The producer (male, 61) stated: </w:t>
      </w:r>
      <w:r>
        <w:rPr>
          <w:i/>
          <w:iCs/>
        </w:rPr>
        <w:t xml:space="preserve">"We do not plan around the box office calendar. We plan around the </w:t>
      </w:r>
      <w:proofErr w:type="spellStart"/>
      <w:r>
        <w:rPr>
          <w:i/>
          <w:iCs/>
        </w:rPr>
        <w:t>poya</w:t>
      </w:r>
      <w:proofErr w:type="spellEnd"/>
      <w:r>
        <w:rPr>
          <w:i/>
          <w:iCs/>
        </w:rPr>
        <w:t xml:space="preserve"> calendar. If your film is not in the market three weeks before Vesak, you have missed your moment."</w:t>
      </w:r>
      <w:r>
        <w:t xml:space="preserve"> A distributor (male, 52) elaborated on the platform-specific logic of calendar-aligned promotion: </w:t>
      </w:r>
      <w:r>
        <w:rPr>
          <w:i/>
          <w:iCs/>
        </w:rPr>
        <w:t xml:space="preserve">"During Vesak, Facebook traffic among Buddhist communities doubles, perhaps triples. People are sharing </w:t>
      </w:r>
      <w:proofErr w:type="spellStart"/>
      <w:r>
        <w:rPr>
          <w:i/>
          <w:iCs/>
        </w:rPr>
        <w:t>bana</w:t>
      </w:r>
      <w:proofErr w:type="spellEnd"/>
      <w:r>
        <w:rPr>
          <w:i/>
          <w:iCs/>
        </w:rPr>
        <w:t xml:space="preserve">, sharing </w:t>
      </w:r>
      <w:proofErr w:type="spellStart"/>
      <w:r>
        <w:rPr>
          <w:i/>
          <w:iCs/>
        </w:rPr>
        <w:t>Dhamma</w:t>
      </w:r>
      <w:proofErr w:type="spellEnd"/>
      <w:r>
        <w:rPr>
          <w:i/>
          <w:iCs/>
        </w:rPr>
        <w:t>, sharing puja photographs. If your film promotion is in that stream, it feels natural. It belongs. If you post the same content on a random day in October, it feels like an advertisement."</w:t>
      </w:r>
      <w:r>
        <w:t xml:space="preserve"> This theme reveals that promotional calendar architecture in Sri Lankan Buddhist film is fundamentally shaped by devotional temporality rather than commercial </w:t>
      </w:r>
      <w:proofErr w:type="gramStart"/>
      <w:r>
        <w:t>logic  a</w:t>
      </w:r>
      <w:proofErr w:type="gramEnd"/>
      <w:r>
        <w:t xml:space="preserve"> finding with significant implications for media planning practice (Hoover, 2021).</w:t>
      </w:r>
    </w:p>
    <w:p w:rsidR="00D84C92" w:rsidRDefault="00D072C3" w:rsidP="00CF11FA">
      <w:pPr>
        <w:spacing w:before="240" w:after="240"/>
      </w:pPr>
      <w:r>
        <w:rPr>
          <w:b/>
          <w:bCs/>
        </w:rPr>
        <w:t>Theme 6: Infrastructural and Digital Literacy Constraints</w:t>
      </w:r>
    </w:p>
    <w:p w:rsidR="00D84C92" w:rsidRDefault="00D072C3" w:rsidP="00CF11FA">
      <w:pPr>
        <w:spacing w:before="240" w:after="240"/>
        <w:jc w:val="both"/>
      </w:pPr>
      <w:r>
        <w:t xml:space="preserve">Five of the eight participants identified digital literacy gaps among older target audiences as a significant constraint on platform effectiveness, particularly on platforms requiring active engagement or navigation beyond passive consumption. Rural and provincial connectivity issues were noted by six respondents as a structural barrier to effective reach in the Northern, Eastern, and </w:t>
      </w:r>
      <w:proofErr w:type="spellStart"/>
      <w:r>
        <w:t>Uva</w:t>
      </w:r>
      <w:proofErr w:type="spellEnd"/>
      <w:r>
        <w:t xml:space="preserve"> provinces.</w:t>
      </w:r>
    </w:p>
    <w:p w:rsidR="00D84C92" w:rsidRDefault="00D072C3" w:rsidP="00CF11FA">
      <w:pPr>
        <w:spacing w:before="240" w:after="240"/>
        <w:jc w:val="both"/>
      </w:pPr>
      <w:r>
        <w:t xml:space="preserve">A distributor (female, 57) observed: </w:t>
      </w:r>
      <w:r>
        <w:rPr>
          <w:i/>
          <w:iCs/>
        </w:rPr>
        <w:t xml:space="preserve">"Our most devoted </w:t>
      </w:r>
      <w:proofErr w:type="gramStart"/>
      <w:r>
        <w:rPr>
          <w:i/>
          <w:iCs/>
        </w:rPr>
        <w:t>audiences  the</w:t>
      </w:r>
      <w:proofErr w:type="gramEnd"/>
      <w:r>
        <w:rPr>
          <w:i/>
          <w:iCs/>
        </w:rPr>
        <w:t xml:space="preserve"> people who truly want to see a Buddhist film  are often in their fifties and sixties. Many of them struggle with apps. WhatsApp they know because their children set it up for them. YouTube sometimes. </w:t>
      </w:r>
      <w:proofErr w:type="spellStart"/>
      <w:r>
        <w:rPr>
          <w:i/>
          <w:iCs/>
        </w:rPr>
        <w:t>TikTok</w:t>
      </w:r>
      <w:proofErr w:type="spellEnd"/>
      <w:r>
        <w:rPr>
          <w:i/>
          <w:iCs/>
        </w:rPr>
        <w:t>, almost never."</w:t>
      </w:r>
      <w:r>
        <w:t xml:space="preserve"> A production company representative (male, 33) raised concerns about algorithmic suppression of religious content: </w:t>
      </w:r>
      <w:r>
        <w:rPr>
          <w:i/>
          <w:iCs/>
        </w:rPr>
        <w:t xml:space="preserve">"We have had posts removed on Instagram and had reach cut on </w:t>
      </w:r>
      <w:proofErr w:type="spellStart"/>
      <w:r>
        <w:rPr>
          <w:i/>
          <w:iCs/>
        </w:rPr>
        <w:t>TikTok</w:t>
      </w:r>
      <w:proofErr w:type="spellEnd"/>
      <w:r>
        <w:rPr>
          <w:i/>
          <w:iCs/>
        </w:rPr>
        <w:t xml:space="preserve"> without any explanation. We believe it is the algorithm treating religious content as sensitive. But we cannot confirm this. It creates uncertainty."</w:t>
      </w:r>
      <w:r>
        <w:t xml:space="preserve"> These constraints align with Lim's (2021) observations regarding algorithmic enclosure and the differential visibility of culturally specific content within platform governance regimes.</w:t>
      </w:r>
    </w:p>
    <w:p w:rsidR="00D84C92" w:rsidRPr="00AF17A6" w:rsidRDefault="00AF17A6" w:rsidP="00CF11FA">
      <w:pPr>
        <w:pStyle w:val="Heading2"/>
        <w:spacing w:before="240" w:after="240"/>
        <w:rPr>
          <w:i w:val="0"/>
          <w:iCs w:val="0"/>
          <w:color w:val="000000" w:themeColor="text1"/>
          <w:sz w:val="28"/>
          <w:szCs w:val="28"/>
        </w:rPr>
      </w:pPr>
      <w:r w:rsidRPr="00AF17A6">
        <w:rPr>
          <w:i w:val="0"/>
          <w:iCs w:val="0"/>
          <w:color w:val="000000" w:themeColor="text1"/>
          <w:sz w:val="28"/>
          <w:szCs w:val="28"/>
        </w:rPr>
        <w:t>4. DISCUSSION</w:t>
      </w:r>
    </w:p>
    <w:p w:rsidR="00D84C92" w:rsidRDefault="00D072C3" w:rsidP="00CF11FA">
      <w:pPr>
        <w:spacing w:before="240" w:after="240"/>
        <w:jc w:val="both"/>
      </w:pPr>
      <w:r>
        <w:t xml:space="preserve">The convergence of quantitative and qualitative findings in this study produces a multidimensional portrait of social media promotion in Sri Lankan Buddhist cinema that substantially exceeds what either methodological strand could have yielded in isolation. The quantitative data establishes the architecture of platform </w:t>
      </w:r>
      <w:proofErr w:type="gramStart"/>
      <w:r>
        <w:t>usage  its</w:t>
      </w:r>
      <w:proofErr w:type="gramEnd"/>
      <w:r>
        <w:t xml:space="preserve"> </w:t>
      </w:r>
      <w:r>
        <w:lastRenderedPageBreak/>
        <w:t>frequency, budget allocation, demographic reach, and sentiment outcomes  while the qualitative data illuminates the strategic reasoning, cultural negotiations, and structural constraints that animate those patterns.</w:t>
      </w:r>
    </w:p>
    <w:p w:rsidR="00D84C92" w:rsidRDefault="00D072C3" w:rsidP="00CF11FA">
      <w:pPr>
        <w:spacing w:before="240" w:after="240"/>
        <w:jc w:val="both"/>
      </w:pPr>
      <w:r>
        <w:t xml:space="preserve">Facebook's statistical dominance (82% adoption, 34% budget share, 78% highly effective rating) is rendered interpretively coherent by the qualitative finding that it functions not as a neutral broadcast channel but as an extension of pre-existing Buddhist community infrastructure. This reading </w:t>
      </w:r>
      <w:r w:rsidR="004B1DAA">
        <w:t>aligns with</w:t>
      </w:r>
      <w:r>
        <w:t xml:space="preserve"> analysis of digitally mediated lay Buddhist sociality in Sri Lanka, and with Campbell's (2020) broader </w:t>
      </w:r>
      <w:proofErr w:type="spellStart"/>
      <w:r>
        <w:t>theorisation</w:t>
      </w:r>
      <w:proofErr w:type="spellEnd"/>
      <w:r>
        <w:t xml:space="preserve"> of digital religion as a practice embedded in existing relational and institutional structures rather than a transformation of them.</w:t>
      </w:r>
    </w:p>
    <w:p w:rsidR="00D84C92" w:rsidRDefault="00D072C3" w:rsidP="00CF11FA">
      <w:pPr>
        <w:spacing w:before="240" w:after="240"/>
        <w:jc w:val="both"/>
      </w:pPr>
      <w:r>
        <w:t xml:space="preserve">YouTube's highest effectiveness rating (81%), despite its secondary adoption ranking, reflects the structural alignment between long-form content architecture and the narrative depth, contemplative pacing, and instructional tradition of </w:t>
      </w:r>
      <w:proofErr w:type="spellStart"/>
      <w:r>
        <w:t>Theravāda</w:t>
      </w:r>
      <w:proofErr w:type="spellEnd"/>
      <w:r>
        <w:t xml:space="preserve"> Buddhist storytelling  a</w:t>
      </w:r>
      <w:r w:rsidR="004B1DAA">
        <w:t xml:space="preserve"> relationship that</w:t>
      </w:r>
      <w:r>
        <w:t xml:space="preserve"> has </w:t>
      </w:r>
      <w:proofErr w:type="spellStart"/>
      <w:r>
        <w:t>theorised</w:t>
      </w:r>
      <w:proofErr w:type="spellEnd"/>
      <w:r>
        <w:t xml:space="preserve"> as the affinity between Buddhist cinematic temporality and the deep-viewing culture of platform video. The finding that YouTube commands the second-largest average budget share (28%) despite lower adoption rates further indicates that practitioners who do deploy it invest heavily, </w:t>
      </w:r>
      <w:proofErr w:type="spellStart"/>
      <w:r>
        <w:t>recognising</w:t>
      </w:r>
      <w:proofErr w:type="spellEnd"/>
      <w:r>
        <w:t xml:space="preserve"> its capacity for substantive devotional engagement.</w:t>
      </w:r>
    </w:p>
    <w:p w:rsidR="00D84C92" w:rsidRDefault="00D072C3" w:rsidP="00CF11FA">
      <w:pPr>
        <w:spacing w:before="240" w:after="240"/>
        <w:jc w:val="both"/>
      </w:pPr>
      <w:r>
        <w:t xml:space="preserve">The ambivalence expressed toward </w:t>
      </w:r>
      <w:proofErr w:type="spellStart"/>
      <w:proofErr w:type="gramStart"/>
      <w:r>
        <w:t>TikTok</w:t>
      </w:r>
      <w:proofErr w:type="spellEnd"/>
      <w:r>
        <w:t xml:space="preserve">  adopted</w:t>
      </w:r>
      <w:proofErr w:type="gramEnd"/>
      <w:r>
        <w:t xml:space="preserve"> by 41% of campaigns yet carrying the lowest effectiveness rating (43%) and highest negative sentiment share (15%)  </w:t>
      </w:r>
      <w:proofErr w:type="spellStart"/>
      <w:r>
        <w:t>crystallises</w:t>
      </w:r>
      <w:proofErr w:type="spellEnd"/>
      <w:r>
        <w:t xml:space="preserve"> a tension between algorithmic culture and devotional aesthetics that is likely to intensify as </w:t>
      </w:r>
      <w:proofErr w:type="spellStart"/>
      <w:r>
        <w:t>TikTok's</w:t>
      </w:r>
      <w:proofErr w:type="spellEnd"/>
      <w:r>
        <w:t xml:space="preserve"> Sri Lankan user ba</w:t>
      </w:r>
      <w:r w:rsidR="004B1DAA">
        <w:t xml:space="preserve">se grows. </w:t>
      </w:r>
      <w:r>
        <w:t xml:space="preserve"> </w:t>
      </w:r>
      <w:r w:rsidR="004B1DAA">
        <w:t>This</w:t>
      </w:r>
      <w:r>
        <w:t xml:space="preserve"> similar dynamic in Indian Buddhist content creation, where the platform's momentum-oriented design principles produce what he </w:t>
      </w:r>
      <w:proofErr w:type="spellStart"/>
      <w:r>
        <w:t>characterises</w:t>
      </w:r>
      <w:proofErr w:type="spellEnd"/>
      <w:r>
        <w:t xml:space="preserve"> as a structural dissonance with contemplative religious experience. The finding that </w:t>
      </w:r>
      <w:proofErr w:type="spellStart"/>
      <w:r>
        <w:t>TikTok</w:t>
      </w:r>
      <w:proofErr w:type="spellEnd"/>
      <w:r>
        <w:t xml:space="preserve"> adoption surges in the immediate post-release week, and that positive uses concentrate on visually striking devotional imagery with chanting audio tracks, suggests an emerging accommodation strategy that warrants longitudinal investigation.</w:t>
      </w:r>
    </w:p>
    <w:p w:rsidR="00D84C92" w:rsidRDefault="00D072C3" w:rsidP="00CF11FA">
      <w:pPr>
        <w:spacing w:before="240" w:after="240"/>
        <w:jc w:val="both"/>
      </w:pPr>
      <w:r>
        <w:t xml:space="preserve">The identification of the Buddhist religious calendar as a primary promotional </w:t>
      </w:r>
      <w:proofErr w:type="gramStart"/>
      <w:r>
        <w:t>architecture  rather</w:t>
      </w:r>
      <w:proofErr w:type="gramEnd"/>
      <w:r>
        <w:t xml:space="preserve"> than conventional theatrical release logic  is perhaps the study's most distinctive structural finding. It implies that effective promotional strategy in this genre requires not merely platform literacy but cultural and devotional calendrical knowledge, and that promotional agencies without deep familiarity with the Buddhist community are likely to mistime campaigns in ways that significantly reduce their impact (Hoover, 2021). The alignment of Vesak-period promotional intensity (91% of campaigns) with Facebook's highest-traffic window further suggests a resonance between devotional temporality and platform-community activity patterns that constitutes a structural promotional opportunity specific to Sri Lanka.</w:t>
      </w:r>
    </w:p>
    <w:p w:rsidR="00D84C92" w:rsidRPr="00AF17A6" w:rsidRDefault="00AF17A6" w:rsidP="00CF11FA">
      <w:pPr>
        <w:pStyle w:val="Heading2"/>
        <w:spacing w:before="240" w:after="240"/>
        <w:rPr>
          <w:i w:val="0"/>
          <w:iCs w:val="0"/>
          <w:color w:val="000000" w:themeColor="text1"/>
          <w:sz w:val="28"/>
          <w:szCs w:val="28"/>
        </w:rPr>
      </w:pPr>
      <w:r w:rsidRPr="00AF17A6">
        <w:rPr>
          <w:i w:val="0"/>
          <w:iCs w:val="0"/>
          <w:color w:val="000000" w:themeColor="text1"/>
          <w:sz w:val="28"/>
          <w:szCs w:val="28"/>
        </w:rPr>
        <w:t>5. CONCLUSION</w:t>
      </w:r>
    </w:p>
    <w:p w:rsidR="00D84C92" w:rsidRDefault="00D072C3" w:rsidP="00CF11FA">
      <w:pPr>
        <w:spacing w:before="240" w:after="240"/>
        <w:jc w:val="both"/>
      </w:pPr>
      <w:r>
        <w:t>This study has established, through systematic empirical analysis of one hundred promotional campaigns (</w:t>
      </w:r>
      <w:r>
        <w:rPr>
          <w:i/>
          <w:iCs/>
        </w:rPr>
        <w:t>n</w:t>
      </w:r>
      <w:r>
        <w:t>=100) and eight structured stakeholder interviews, that social media has become the defining infrastructure of Buddhist film promotion in Sri Lanka, with Facebook (82% adoption, 34% average budget share), YouTube (74%, 28%), and Instagram (63%, 19%) constituting the dominant triad of platforms. Multi-platform integration is now normative (67% of campaigns deploy three or more platforms), and promotional timing is governed by the Buddhist lunar calendar rather than conventional commercial release logic.</w:t>
      </w:r>
    </w:p>
    <w:p w:rsidR="00D84C92" w:rsidRDefault="00D072C3" w:rsidP="00CF11FA">
      <w:pPr>
        <w:spacing w:before="240" w:after="240"/>
        <w:jc w:val="both"/>
      </w:pPr>
      <w:r>
        <w:t xml:space="preserve">Qualitative analysis reveals that these quantitative patterns are not merely market-determined but are shaped by cultural, devotional, and infrastructural variables: the pre-existence of Buddhist community networks on Facebook, the narrative affinity between YouTube and Buddhist storytelling tradition, the tonal dissonance between </w:t>
      </w:r>
      <w:proofErr w:type="spellStart"/>
      <w:r>
        <w:t>TikTok's</w:t>
      </w:r>
      <w:proofErr w:type="spellEnd"/>
      <w:r>
        <w:t xml:space="preserve"> algorithmic entertainment culture and devotional content expectations, the amplifying role of community gatekeepers, and the structural constraints of rural connectivity and digital literacy gaps. Collectively, these findings argue for a model of Buddhist film promotion that is platform-literate, devotionally calibrated, culturally embedded, and calendar-sensitive.</w:t>
      </w:r>
    </w:p>
    <w:p w:rsidR="00D84C92" w:rsidRDefault="00D072C3" w:rsidP="00CF11FA">
      <w:pPr>
        <w:spacing w:before="240" w:after="240"/>
        <w:jc w:val="both"/>
      </w:pPr>
      <w:r>
        <w:t>The study makes substantive contributions to the intersecting fields of Buddhist me</w:t>
      </w:r>
      <w:r w:rsidR="004B1DAA">
        <w:t>dia studies</w:t>
      </w:r>
      <w:r>
        <w:t xml:space="preserve">, platform theory (Bucher &amp; Helmond, 2018; Van </w:t>
      </w:r>
      <w:proofErr w:type="spellStart"/>
      <w:r>
        <w:t>Dijck</w:t>
      </w:r>
      <w:proofErr w:type="spellEnd"/>
      <w:r>
        <w:t xml:space="preserve"> et al., 2018), digital religion (Campbell, 2020; Hoover, 2021), and South Asian postcolonial medi</w:t>
      </w:r>
      <w:r w:rsidR="00725AD2">
        <w:t>a scholarship (</w:t>
      </w:r>
      <w:proofErr w:type="spellStart"/>
      <w:r w:rsidR="00725AD2">
        <w:t>Dissanayake</w:t>
      </w:r>
      <w:proofErr w:type="spellEnd"/>
      <w:r w:rsidR="00725AD2">
        <w:t>, 1996</w:t>
      </w:r>
      <w:r>
        <w:t xml:space="preserve">). Future research should pursue longitudinal analysis to track the continued evolution of </w:t>
      </w:r>
      <w:proofErr w:type="spellStart"/>
      <w:r>
        <w:t>TikTok's</w:t>
      </w:r>
      <w:proofErr w:type="spellEnd"/>
      <w:r>
        <w:t xml:space="preserve"> role as its Sri Lankan user base matures into the primary devotional </w:t>
      </w:r>
      <w:r>
        <w:lastRenderedPageBreak/>
        <w:t xml:space="preserve">cinema demographic, and should extend the sample to include diaspora promotional practices in order to capture the transnational dimensions of Sri Lankan Buddhist cinematic culture. Comparative analysis across South and Southeast Asian Buddhist film </w:t>
      </w:r>
      <w:proofErr w:type="gramStart"/>
      <w:r>
        <w:t>markets  including</w:t>
      </w:r>
      <w:proofErr w:type="gramEnd"/>
      <w:r>
        <w:t xml:space="preserve"> those of Thailand, Myanmar, and Cambodia  would further illuminate the extent to which the findings presented here reflect specifically Sri Lankan conditions or a broader regional dynamic.</w:t>
      </w:r>
    </w:p>
    <w:p w:rsidR="00D84C92" w:rsidRPr="00AF17A6" w:rsidRDefault="00AF17A6" w:rsidP="00CF11FA">
      <w:pPr>
        <w:pStyle w:val="Heading1"/>
        <w:spacing w:before="240" w:after="240"/>
        <w:rPr>
          <w:color w:val="000000" w:themeColor="text1"/>
          <w:sz w:val="28"/>
          <w:szCs w:val="28"/>
        </w:rPr>
      </w:pPr>
      <w:r w:rsidRPr="00AF17A6">
        <w:rPr>
          <w:color w:val="000000" w:themeColor="text1"/>
          <w:sz w:val="28"/>
          <w:szCs w:val="28"/>
        </w:rPr>
        <w:t>REFERENCES</w:t>
      </w:r>
    </w:p>
    <w:p w:rsidR="00D84C92" w:rsidRPr="00757254" w:rsidRDefault="00D072C3" w:rsidP="00757254">
      <w:pPr>
        <w:pStyle w:val="ListParagraph"/>
        <w:numPr>
          <w:ilvl w:val="0"/>
          <w:numId w:val="2"/>
        </w:numPr>
        <w:spacing w:before="80" w:after="80"/>
        <w:rPr>
          <w:sz w:val="22"/>
          <w:szCs w:val="22"/>
        </w:rPr>
      </w:pPr>
      <w:r w:rsidRPr="00757254">
        <w:rPr>
          <w:sz w:val="22"/>
          <w:szCs w:val="22"/>
        </w:rPr>
        <w:t xml:space="preserve">Braun, V., &amp; Clarke, V. (2006). Using thematic analysis in psychology. Qualitative Research in Psychology, 3(2), 77–101. </w:t>
      </w:r>
      <w:hyperlink r:id="rId8" w:history="1">
        <w:r w:rsidR="002109EC" w:rsidRPr="00757254">
          <w:rPr>
            <w:rStyle w:val="Hyperlink"/>
            <w:sz w:val="22"/>
            <w:szCs w:val="22"/>
          </w:rPr>
          <w:t>https://doi.org/10.1191/1478088706qp063oa</w:t>
        </w:r>
      </w:hyperlink>
    </w:p>
    <w:p w:rsidR="00D84C92" w:rsidRPr="00757254" w:rsidRDefault="00D072C3" w:rsidP="00757254">
      <w:pPr>
        <w:pStyle w:val="ListParagraph"/>
        <w:numPr>
          <w:ilvl w:val="0"/>
          <w:numId w:val="2"/>
        </w:numPr>
        <w:spacing w:before="80" w:after="80"/>
        <w:rPr>
          <w:sz w:val="22"/>
          <w:szCs w:val="22"/>
        </w:rPr>
      </w:pPr>
      <w:r w:rsidRPr="00757254">
        <w:rPr>
          <w:sz w:val="22"/>
          <w:szCs w:val="22"/>
        </w:rPr>
        <w:t xml:space="preserve">Bucher, T., &amp; Helmond, A. (2018). The affordances of social media platforms. In J. Burgess, A. Marwick, &amp; T. </w:t>
      </w:r>
      <w:proofErr w:type="spellStart"/>
      <w:r w:rsidRPr="00757254">
        <w:rPr>
          <w:sz w:val="22"/>
          <w:szCs w:val="22"/>
        </w:rPr>
        <w:t>Poell</w:t>
      </w:r>
      <w:proofErr w:type="spellEnd"/>
      <w:r w:rsidRPr="00757254">
        <w:rPr>
          <w:sz w:val="22"/>
          <w:szCs w:val="22"/>
        </w:rPr>
        <w:t xml:space="preserve"> (Eds.), The SAGE handbook of social media (pp. 233–253). SAGE. </w:t>
      </w:r>
      <w:hyperlink r:id="rId9" w:history="1">
        <w:r w:rsidR="002109EC" w:rsidRPr="00757254">
          <w:rPr>
            <w:rStyle w:val="Hyperlink"/>
            <w:sz w:val="22"/>
            <w:szCs w:val="22"/>
          </w:rPr>
          <w:t>https://doi.org/10.4135/9781473984066.n14</w:t>
        </w:r>
      </w:hyperlink>
    </w:p>
    <w:p w:rsidR="00D84C92" w:rsidRPr="00757254" w:rsidRDefault="00D072C3" w:rsidP="00757254">
      <w:pPr>
        <w:pStyle w:val="ListParagraph"/>
        <w:numPr>
          <w:ilvl w:val="0"/>
          <w:numId w:val="2"/>
        </w:numPr>
        <w:spacing w:before="80" w:after="80"/>
        <w:rPr>
          <w:sz w:val="22"/>
          <w:szCs w:val="22"/>
        </w:rPr>
      </w:pPr>
      <w:r w:rsidRPr="00757254">
        <w:rPr>
          <w:sz w:val="22"/>
          <w:szCs w:val="22"/>
        </w:rPr>
        <w:t xml:space="preserve">Campbell, H. A. (2020). Digital religion: Understanding religious practice in new media worlds (2nd </w:t>
      </w:r>
      <w:proofErr w:type="gramStart"/>
      <w:r w:rsidRPr="00757254">
        <w:rPr>
          <w:sz w:val="22"/>
          <w:szCs w:val="22"/>
        </w:rPr>
        <w:t>ed</w:t>
      </w:r>
      <w:proofErr w:type="gramEnd"/>
      <w:r w:rsidRPr="00757254">
        <w:rPr>
          <w:sz w:val="22"/>
          <w:szCs w:val="22"/>
        </w:rPr>
        <w:t xml:space="preserve">.). Routledge. </w:t>
      </w:r>
      <w:hyperlink r:id="rId10" w:history="1">
        <w:r w:rsidR="002109EC" w:rsidRPr="00757254">
          <w:rPr>
            <w:rStyle w:val="Hyperlink"/>
            <w:sz w:val="22"/>
            <w:szCs w:val="22"/>
          </w:rPr>
          <w:t>https://doi.org/10.4324/9780429295683</w:t>
        </w:r>
      </w:hyperlink>
    </w:p>
    <w:p w:rsidR="00D84C92" w:rsidRDefault="00725AD2" w:rsidP="00757254">
      <w:pPr>
        <w:pStyle w:val="ListParagraph"/>
        <w:numPr>
          <w:ilvl w:val="0"/>
          <w:numId w:val="2"/>
        </w:numPr>
        <w:spacing w:before="80" w:after="80"/>
      </w:pPr>
      <w:proofErr w:type="spellStart"/>
      <w:r w:rsidRPr="00757254">
        <w:rPr>
          <w:sz w:val="22"/>
          <w:szCs w:val="22"/>
        </w:rPr>
        <w:t>Dissanayake</w:t>
      </w:r>
      <w:proofErr w:type="spellEnd"/>
      <w:r w:rsidRPr="00757254">
        <w:rPr>
          <w:sz w:val="22"/>
          <w:szCs w:val="22"/>
        </w:rPr>
        <w:t>, W. (1996</w:t>
      </w:r>
      <w:r w:rsidR="00D072C3" w:rsidRPr="00757254">
        <w:rPr>
          <w:sz w:val="22"/>
          <w:szCs w:val="22"/>
        </w:rPr>
        <w:t xml:space="preserve">). </w:t>
      </w:r>
      <w:r w:rsidRPr="00757254">
        <w:rPr>
          <w:sz w:val="22"/>
          <w:szCs w:val="22"/>
        </w:rPr>
        <w:t>Asian Cinema and the American Cultural Imaginary. Sage Journals</w:t>
      </w:r>
      <w:r w:rsidR="00D072C3" w:rsidRPr="00757254">
        <w:rPr>
          <w:sz w:val="22"/>
          <w:szCs w:val="22"/>
        </w:rPr>
        <w:t>.</w:t>
      </w:r>
    </w:p>
    <w:p w:rsidR="00D84C92" w:rsidRDefault="00D072C3" w:rsidP="00757254">
      <w:pPr>
        <w:pStyle w:val="ListParagraph"/>
        <w:numPr>
          <w:ilvl w:val="0"/>
          <w:numId w:val="2"/>
        </w:numPr>
        <w:spacing w:before="80" w:after="80"/>
      </w:pPr>
      <w:r w:rsidRPr="00757254">
        <w:rPr>
          <w:sz w:val="22"/>
          <w:szCs w:val="22"/>
        </w:rPr>
        <w:t>Hoover, S. M. (2021). Religion in the age of digital distractibility: Media, faith, and identity. University of Chicago Press.</w:t>
      </w:r>
    </w:p>
    <w:p w:rsidR="00D84C92" w:rsidRPr="00757254" w:rsidRDefault="00D072C3" w:rsidP="00757254">
      <w:pPr>
        <w:pStyle w:val="ListParagraph"/>
        <w:numPr>
          <w:ilvl w:val="0"/>
          <w:numId w:val="2"/>
        </w:numPr>
        <w:spacing w:before="80" w:after="80"/>
        <w:rPr>
          <w:sz w:val="22"/>
          <w:szCs w:val="22"/>
        </w:rPr>
      </w:pPr>
      <w:r w:rsidRPr="00757254">
        <w:rPr>
          <w:sz w:val="22"/>
          <w:szCs w:val="22"/>
        </w:rPr>
        <w:t xml:space="preserve">Lim, M. (2021). Algorithmic enclaves: Emotions and discourse of othering in the social media ecology. Pacific Affairs, 94(3), 587–607. </w:t>
      </w:r>
      <w:hyperlink r:id="rId11" w:history="1">
        <w:r w:rsidR="00725AD2" w:rsidRPr="00757254">
          <w:rPr>
            <w:rStyle w:val="Hyperlink"/>
            <w:sz w:val="22"/>
            <w:szCs w:val="22"/>
          </w:rPr>
          <w:t>https://doi.org/10.4337/9781035301447.vol1.00019</w:t>
        </w:r>
      </w:hyperlink>
    </w:p>
    <w:p w:rsidR="002109EC" w:rsidRDefault="002109EC" w:rsidP="00757254">
      <w:pPr>
        <w:pStyle w:val="ListParagraph"/>
        <w:numPr>
          <w:ilvl w:val="0"/>
          <w:numId w:val="2"/>
        </w:numPr>
        <w:spacing w:before="80" w:after="80"/>
      </w:pPr>
      <w:r w:rsidRPr="002109EC">
        <w:t xml:space="preserve">W. </w:t>
      </w:r>
      <w:proofErr w:type="spellStart"/>
      <w:r w:rsidRPr="002109EC">
        <w:t>Mahesha</w:t>
      </w:r>
      <w:proofErr w:type="spellEnd"/>
      <w:r w:rsidRPr="002109EC">
        <w:t xml:space="preserve"> </w:t>
      </w:r>
      <w:proofErr w:type="spellStart"/>
      <w:r w:rsidRPr="002109EC">
        <w:t>Piyumali</w:t>
      </w:r>
      <w:proofErr w:type="spellEnd"/>
      <w:r w:rsidRPr="002109EC">
        <w:t xml:space="preserve">, &amp; L. G. S. U. </w:t>
      </w:r>
      <w:proofErr w:type="spellStart"/>
      <w:r w:rsidRPr="002109EC">
        <w:t>Sandaruwan</w:t>
      </w:r>
      <w:proofErr w:type="spellEnd"/>
      <w:r w:rsidRPr="002109EC">
        <w:t xml:space="preserve">. (2025). </w:t>
      </w:r>
      <w:proofErr w:type="gramStart"/>
      <w:r w:rsidRPr="002109EC">
        <w:t>Exploring</w:t>
      </w:r>
      <w:proofErr w:type="gramEnd"/>
      <w:r w:rsidRPr="002109EC">
        <w:t xml:space="preserve"> the evolution of cinematic representations: A comprehensive analysis of gender dynamics in the aftermath of the #</w:t>
      </w:r>
      <w:proofErr w:type="spellStart"/>
      <w:r w:rsidRPr="002109EC">
        <w:t>MeToo</w:t>
      </w:r>
      <w:proofErr w:type="spellEnd"/>
      <w:r w:rsidRPr="002109EC">
        <w:t xml:space="preserve"> movement in Hollywood. </w:t>
      </w:r>
      <w:proofErr w:type="spellStart"/>
      <w:r w:rsidRPr="002109EC">
        <w:t>Kalyani</w:t>
      </w:r>
      <w:proofErr w:type="spellEnd"/>
      <w:r w:rsidRPr="002109EC">
        <w:t xml:space="preserve"> Journal of the University of </w:t>
      </w:r>
      <w:proofErr w:type="spellStart"/>
      <w:r w:rsidRPr="002109EC">
        <w:t>Kelaniya</w:t>
      </w:r>
      <w:proofErr w:type="spellEnd"/>
      <w:r w:rsidRPr="002109EC">
        <w:t xml:space="preserve">, 36(1), 8–38. </w:t>
      </w:r>
      <w:hyperlink r:id="rId12" w:history="1">
        <w:r w:rsidRPr="00741CE6">
          <w:rPr>
            <w:rStyle w:val="Hyperlink"/>
          </w:rPr>
          <w:t>https://doi.org/10.4038/kalyani.v36i1.63</w:t>
        </w:r>
      </w:hyperlink>
    </w:p>
    <w:p w:rsidR="00D84C92" w:rsidRPr="00757254" w:rsidRDefault="00D072C3" w:rsidP="00757254">
      <w:pPr>
        <w:pStyle w:val="ListParagraph"/>
        <w:numPr>
          <w:ilvl w:val="0"/>
          <w:numId w:val="2"/>
        </w:numPr>
        <w:spacing w:before="80" w:after="80"/>
        <w:rPr>
          <w:sz w:val="22"/>
          <w:szCs w:val="22"/>
        </w:rPr>
      </w:pPr>
      <w:r w:rsidRPr="00757254">
        <w:rPr>
          <w:sz w:val="22"/>
          <w:szCs w:val="22"/>
        </w:rPr>
        <w:t xml:space="preserve">Van </w:t>
      </w:r>
      <w:proofErr w:type="spellStart"/>
      <w:r w:rsidRPr="00757254">
        <w:rPr>
          <w:sz w:val="22"/>
          <w:szCs w:val="22"/>
        </w:rPr>
        <w:t>Dijck</w:t>
      </w:r>
      <w:proofErr w:type="spellEnd"/>
      <w:r w:rsidRPr="00757254">
        <w:rPr>
          <w:sz w:val="22"/>
          <w:szCs w:val="22"/>
        </w:rPr>
        <w:t xml:space="preserve">, J., </w:t>
      </w:r>
      <w:proofErr w:type="spellStart"/>
      <w:r w:rsidRPr="00757254">
        <w:rPr>
          <w:sz w:val="22"/>
          <w:szCs w:val="22"/>
        </w:rPr>
        <w:t>Poell</w:t>
      </w:r>
      <w:proofErr w:type="spellEnd"/>
      <w:r w:rsidRPr="00757254">
        <w:rPr>
          <w:sz w:val="22"/>
          <w:szCs w:val="22"/>
        </w:rPr>
        <w:t xml:space="preserve">, T., &amp; De Waal, M. (2018). The platform society: Public values in a connective world. Oxford University Press. </w:t>
      </w:r>
      <w:hyperlink r:id="rId13" w:history="1">
        <w:r w:rsidR="002109EC" w:rsidRPr="00757254">
          <w:rPr>
            <w:rStyle w:val="Hyperlink"/>
            <w:sz w:val="22"/>
            <w:szCs w:val="22"/>
          </w:rPr>
          <w:t>https://doi.org/10.1093/oso/9780190889760.001.0001</w:t>
        </w:r>
      </w:hyperlink>
    </w:p>
    <w:p w:rsidR="002109EC" w:rsidRDefault="002109EC">
      <w:pPr>
        <w:spacing w:before="80" w:after="80" w:line="360" w:lineRule="auto"/>
        <w:ind w:left="720" w:hanging="720"/>
      </w:pPr>
    </w:p>
    <w:p w:rsidR="00D84C92" w:rsidRDefault="00D84C92">
      <w:pPr>
        <w:spacing w:before="80"/>
        <w:jc w:val="both"/>
      </w:pPr>
    </w:p>
    <w:sectPr w:rsidR="00D84C92" w:rsidSect="002773DA">
      <w:footerReference w:type="default" r:id="rId14"/>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2B9" w:rsidRDefault="006732B9">
      <w:r>
        <w:separator/>
      </w:r>
    </w:p>
  </w:endnote>
  <w:endnote w:type="continuationSeparator" w:id="0">
    <w:p w:rsidR="006732B9" w:rsidRDefault="0067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skoola Pota">
    <w:panose1 w:val="020B0502040204020203"/>
    <w:charset w:val="00"/>
    <w:family w:val="auto"/>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92" w:rsidRDefault="00D84C9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2B9" w:rsidRDefault="006732B9">
      <w:r>
        <w:separator/>
      </w:r>
    </w:p>
  </w:footnote>
  <w:footnote w:type="continuationSeparator" w:id="0">
    <w:p w:rsidR="006732B9" w:rsidRDefault="0067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04499"/>
    <w:multiLevelType w:val="hybridMultilevel"/>
    <w:tmpl w:val="E9E2026C"/>
    <w:lvl w:ilvl="0" w:tplc="585AF1F6">
      <w:start w:val="1"/>
      <w:numFmt w:val="bullet"/>
      <w:lvlText w:val="●"/>
      <w:lvlJc w:val="left"/>
      <w:pPr>
        <w:ind w:left="720" w:hanging="360"/>
      </w:pPr>
    </w:lvl>
    <w:lvl w:ilvl="1" w:tplc="FC60A18E">
      <w:start w:val="1"/>
      <w:numFmt w:val="bullet"/>
      <w:lvlText w:val="○"/>
      <w:lvlJc w:val="left"/>
      <w:pPr>
        <w:ind w:left="1440" w:hanging="360"/>
      </w:pPr>
    </w:lvl>
    <w:lvl w:ilvl="2" w:tplc="35544CBA">
      <w:start w:val="1"/>
      <w:numFmt w:val="bullet"/>
      <w:lvlText w:val="■"/>
      <w:lvlJc w:val="left"/>
      <w:pPr>
        <w:ind w:left="2160" w:hanging="360"/>
      </w:pPr>
    </w:lvl>
    <w:lvl w:ilvl="3" w:tplc="E168EE70">
      <w:start w:val="1"/>
      <w:numFmt w:val="bullet"/>
      <w:lvlText w:val="●"/>
      <w:lvlJc w:val="left"/>
      <w:pPr>
        <w:ind w:left="2880" w:hanging="360"/>
      </w:pPr>
    </w:lvl>
    <w:lvl w:ilvl="4" w:tplc="C144C18C">
      <w:start w:val="1"/>
      <w:numFmt w:val="bullet"/>
      <w:lvlText w:val="○"/>
      <w:lvlJc w:val="left"/>
      <w:pPr>
        <w:ind w:left="3600" w:hanging="360"/>
      </w:pPr>
    </w:lvl>
    <w:lvl w:ilvl="5" w:tplc="BDA85D62">
      <w:start w:val="1"/>
      <w:numFmt w:val="bullet"/>
      <w:lvlText w:val="■"/>
      <w:lvlJc w:val="left"/>
      <w:pPr>
        <w:ind w:left="4320" w:hanging="360"/>
      </w:pPr>
    </w:lvl>
    <w:lvl w:ilvl="6" w:tplc="16A86E68">
      <w:start w:val="1"/>
      <w:numFmt w:val="bullet"/>
      <w:lvlText w:val="●"/>
      <w:lvlJc w:val="left"/>
      <w:pPr>
        <w:ind w:left="5040" w:hanging="360"/>
      </w:pPr>
    </w:lvl>
    <w:lvl w:ilvl="7" w:tplc="15EE9534">
      <w:start w:val="1"/>
      <w:numFmt w:val="bullet"/>
      <w:lvlText w:val="●"/>
      <w:lvlJc w:val="left"/>
      <w:pPr>
        <w:ind w:left="5760" w:hanging="360"/>
      </w:pPr>
    </w:lvl>
    <w:lvl w:ilvl="8" w:tplc="9800E576">
      <w:start w:val="1"/>
      <w:numFmt w:val="bullet"/>
      <w:lvlText w:val="●"/>
      <w:lvlJc w:val="left"/>
      <w:pPr>
        <w:ind w:left="6480" w:hanging="360"/>
      </w:pPr>
    </w:lvl>
  </w:abstractNum>
  <w:abstractNum w:abstractNumId="1" w15:restartNumberingAfterBreak="0">
    <w:nsid w:val="4C441289"/>
    <w:multiLevelType w:val="hybridMultilevel"/>
    <w:tmpl w:val="6958E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92"/>
    <w:rsid w:val="002109EC"/>
    <w:rsid w:val="002773DA"/>
    <w:rsid w:val="002E611B"/>
    <w:rsid w:val="0032071A"/>
    <w:rsid w:val="003925D5"/>
    <w:rsid w:val="004B1DAA"/>
    <w:rsid w:val="004E676B"/>
    <w:rsid w:val="005F39B8"/>
    <w:rsid w:val="006732B9"/>
    <w:rsid w:val="00725AD2"/>
    <w:rsid w:val="007571DE"/>
    <w:rsid w:val="00757254"/>
    <w:rsid w:val="008C22FA"/>
    <w:rsid w:val="00AF17A6"/>
    <w:rsid w:val="00CF11FA"/>
    <w:rsid w:val="00D072C3"/>
    <w:rsid w:val="00D84C92"/>
    <w:rsid w:val="00F0622B"/>
    <w:rsid w:val="00F613C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E6EF"/>
  <w15:docId w15:val="{FD5A25E2-776B-49D8-94E8-8A5036B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si-L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200"/>
      <w:outlineLvl w:val="0"/>
    </w:pPr>
    <w:rPr>
      <w:b/>
      <w:bCs/>
      <w:color w:val="1A2D5A"/>
      <w:sz w:val="26"/>
      <w:szCs w:val="26"/>
    </w:rPr>
  </w:style>
  <w:style w:type="paragraph" w:styleId="Heading2">
    <w:name w:val="heading 2"/>
    <w:qFormat/>
    <w:pPr>
      <w:spacing w:before="300" w:after="160"/>
      <w:outlineLvl w:val="1"/>
    </w:pPr>
    <w:rPr>
      <w:b/>
      <w:bCs/>
      <w:i/>
      <w:iCs/>
      <w:color w:val="2C3E6B"/>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B1DAA"/>
    <w:pPr>
      <w:tabs>
        <w:tab w:val="center" w:pos="4680"/>
        <w:tab w:val="right" w:pos="9360"/>
      </w:tabs>
    </w:pPr>
  </w:style>
  <w:style w:type="character" w:customStyle="1" w:styleId="HeaderChar">
    <w:name w:val="Header Char"/>
    <w:basedOn w:val="DefaultParagraphFont"/>
    <w:link w:val="Header"/>
    <w:uiPriority w:val="99"/>
    <w:rsid w:val="004B1DAA"/>
  </w:style>
  <w:style w:type="paragraph" w:styleId="Footer">
    <w:name w:val="footer"/>
    <w:basedOn w:val="Normal"/>
    <w:link w:val="FooterChar"/>
    <w:uiPriority w:val="99"/>
    <w:unhideWhenUsed/>
    <w:rsid w:val="004B1DAA"/>
    <w:pPr>
      <w:tabs>
        <w:tab w:val="center" w:pos="4680"/>
        <w:tab w:val="right" w:pos="9360"/>
      </w:tabs>
    </w:pPr>
  </w:style>
  <w:style w:type="character" w:customStyle="1" w:styleId="FooterChar">
    <w:name w:val="Footer Char"/>
    <w:basedOn w:val="DefaultParagraphFont"/>
    <w:link w:val="Footer"/>
    <w:uiPriority w:val="99"/>
    <w:rsid w:val="004B1DAA"/>
  </w:style>
  <w:style w:type="character" w:customStyle="1" w:styleId="TitleChar">
    <w:name w:val="Title Char"/>
    <w:basedOn w:val="DefaultParagraphFont"/>
    <w:link w:val="Title"/>
    <w:rsid w:val="004B1DAA"/>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97762">
      <w:bodyDiv w:val="1"/>
      <w:marLeft w:val="0"/>
      <w:marRight w:val="0"/>
      <w:marTop w:val="0"/>
      <w:marBottom w:val="0"/>
      <w:divBdr>
        <w:top w:val="none" w:sz="0" w:space="0" w:color="auto"/>
        <w:left w:val="none" w:sz="0" w:space="0" w:color="auto"/>
        <w:bottom w:val="none" w:sz="0" w:space="0" w:color="auto"/>
        <w:right w:val="none" w:sz="0" w:space="0" w:color="auto"/>
      </w:divBdr>
    </w:div>
    <w:div w:id="1392848800">
      <w:bodyDiv w:val="1"/>
      <w:marLeft w:val="0"/>
      <w:marRight w:val="0"/>
      <w:marTop w:val="0"/>
      <w:marBottom w:val="0"/>
      <w:divBdr>
        <w:top w:val="none" w:sz="0" w:space="0" w:color="auto"/>
        <w:left w:val="none" w:sz="0" w:space="0" w:color="auto"/>
        <w:bottom w:val="none" w:sz="0" w:space="0" w:color="auto"/>
        <w:right w:val="none" w:sz="0" w:space="0" w:color="auto"/>
      </w:divBdr>
      <w:divsChild>
        <w:div w:id="1215853578">
          <w:marLeft w:val="-720"/>
          <w:marRight w:val="0"/>
          <w:marTop w:val="0"/>
          <w:marBottom w:val="0"/>
          <w:divBdr>
            <w:top w:val="none" w:sz="0" w:space="0" w:color="auto"/>
            <w:left w:val="none" w:sz="0" w:space="0" w:color="auto"/>
            <w:bottom w:val="none" w:sz="0" w:space="0" w:color="auto"/>
            <w:right w:val="none" w:sz="0" w:space="0" w:color="auto"/>
          </w:divBdr>
        </w:div>
      </w:divsChild>
    </w:div>
    <w:div w:id="2025201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doi.org/10.1093/oso/9780190889760.001.0001" TargetMode="External"/><Relationship Id="rId3" Type="http://schemas.openxmlformats.org/officeDocument/2006/relationships/settings" Target="settings.xml"/><Relationship Id="rId7" Type="http://schemas.openxmlformats.org/officeDocument/2006/relationships/hyperlink" Target="mailto:hedsumeda95@gmail.com" TargetMode="External"/><Relationship Id="rId12" Type="http://schemas.openxmlformats.org/officeDocument/2006/relationships/hyperlink" Target="https://doi.org/10.4038/kalyani.v36i1.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37/9781035301447.vol1.000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324/9780429295683" TargetMode="External"/><Relationship Id="rId4" Type="http://schemas.openxmlformats.org/officeDocument/2006/relationships/webSettings" Target="webSettings.xml"/><Relationship Id="rId9" Type="http://schemas.openxmlformats.org/officeDocument/2006/relationships/hyperlink" Target="https://doi.org/10.4135/9781473984066.n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5118</Words>
  <Characters>29178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13</cp:revision>
  <dcterms:created xsi:type="dcterms:W3CDTF">2026-06-15T08:22:00Z</dcterms:created>
  <dcterms:modified xsi:type="dcterms:W3CDTF">2026-06-25T09:16:00Z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aac46ce1-d5b0-48bd-9d49-848b4b0985e5</vt:lpwstr>
  </property>
</Properties>
</file>