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BFB76" w14:textId="79B67B26" w:rsidR="008E40CC" w:rsidRPr="00F90FC9" w:rsidRDefault="008E40CC" w:rsidP="00D84D70">
      <w:pPr>
        <w:spacing w:after="0" w:line="360" w:lineRule="auto"/>
        <w:jc w:val="center"/>
        <w:rPr>
          <w:rFonts w:ascii="Times New Roman" w:hAnsi="Times New Roman" w:cs="Times New Roman"/>
          <w:b/>
          <w:bCs/>
          <w:sz w:val="28"/>
          <w:szCs w:val="28"/>
          <w:u w:val="single"/>
        </w:rPr>
      </w:pPr>
      <w:r w:rsidRPr="00F90FC9">
        <w:rPr>
          <w:rFonts w:ascii="Times New Roman" w:hAnsi="Times New Roman" w:cs="Times New Roman"/>
          <w:b/>
          <w:bCs/>
          <w:sz w:val="28"/>
          <w:szCs w:val="28"/>
          <w:u w:val="single"/>
        </w:rPr>
        <w:t>CONSTITUTIONAL AMENDMENTS IN REACTION TO WORLDWIDE EPIDEMICS: A LEGAL ANALYSIS</w:t>
      </w:r>
    </w:p>
    <w:p w14:paraId="425CBDE0" w14:textId="4F8E4C7C" w:rsidR="008E40CC" w:rsidRPr="008E40CC" w:rsidRDefault="008E40CC" w:rsidP="00D84D70">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
      </w:r>
      <w:r>
        <w:rPr>
          <w:rStyle w:val="FootnoteReference"/>
          <w:rFonts w:ascii="Times New Roman" w:hAnsi="Times New Roman" w:cs="Times New Roman"/>
          <w:b/>
          <w:bCs/>
          <w:sz w:val="28"/>
          <w:szCs w:val="28"/>
        </w:rPr>
        <w:footnoteReference w:id="1"/>
      </w:r>
    </w:p>
    <w:p w14:paraId="00815B2A" w14:textId="7D931632" w:rsidR="006B55F0" w:rsidRPr="00445C55" w:rsidRDefault="008E40CC" w:rsidP="00D84D70">
      <w:pPr>
        <w:spacing w:after="0" w:line="360" w:lineRule="auto"/>
        <w:jc w:val="both"/>
        <w:rPr>
          <w:rFonts w:ascii="Times New Roman" w:hAnsi="Times New Roman" w:cs="Times New Roman"/>
        </w:rPr>
      </w:pPr>
      <w:r w:rsidRPr="00C566D1">
        <w:rPr>
          <w:rFonts w:ascii="Times New Roman" w:hAnsi="Times New Roman" w:cs="Times New Roman"/>
          <w:b/>
          <w:bCs/>
          <w:sz w:val="28"/>
          <w:szCs w:val="28"/>
          <w:u w:val="single"/>
        </w:rPr>
        <w:t>ABSTRACT:</w:t>
      </w:r>
      <w:r w:rsidRPr="008E40CC">
        <w:rPr>
          <w:rFonts w:ascii="Times New Roman" w:hAnsi="Times New Roman" w:cs="Times New Roman"/>
          <w:sz w:val="28"/>
          <w:szCs w:val="28"/>
        </w:rPr>
        <w:t xml:space="preserve"> </w:t>
      </w:r>
      <w:r w:rsidRPr="00445C55">
        <w:rPr>
          <w:rFonts w:ascii="Times New Roman" w:hAnsi="Times New Roman" w:cs="Times New Roman"/>
          <w:sz w:val="22"/>
          <w:szCs w:val="22"/>
        </w:rPr>
        <w:t xml:space="preserve">Worldwide pandemics like COVID-19 have presented constitutional governance with previously unheard-of difficulties. Governments have had to respond quickly to public health catastrophes, frequently using emergency powers, restricting fundamental rights, and changing how democratic institutions operate. The validity, proportionality, and long-term effects of such constitutional changes have all been hotly debated in light of these answers. This essay examines the ways in which several constitutional frameworks—including those of South Africa, Australia, the United States, India, and the United Kingdom—reacted to the COVID-19 pandemic. It draws attention </w:t>
      </w:r>
      <w:r w:rsidRPr="00445C55">
        <w:rPr>
          <w:rFonts w:ascii="Times New Roman" w:hAnsi="Times New Roman" w:cs="Times New Roman"/>
        </w:rPr>
        <w:t>to the legal frameworks in use, the degree of civil rights limits, and the function of judicial review. For example, India used colonial-era laws like the Epidemic Diseases Act, 1897, and the Disaster Management Act, 2005, to consolidate authority without openly announcing a constitutional emergency, whereas the United States relied on state-level police authorities. During this time, courts—especially in South Africa and India—played a variety of roles in defending fundamental rights, at times assertive, at other times respectful. The study also looks at important constitutional conflicts that surfaced, such as the conflict between privacy and public health in the setting of digital monitoring, presidential overreach, eroded federal values, and poor congressional oversight. Calls for constitutional reform, including the codification of health emergencies, the reinforcement of judicial review, and the improvement of accountability and transparency in times of crisis, have resulted from these developments. This study makes the case that constitutional democracies must adapt to future pandemic demands while upholding the rule of law by examining international case studies and legal principles. It comes to the conclusion that, even while short-term restrictions on rights might be required in an emergency, these actions must be legal, reasonable, time-bound, and subject to strong judicial and democratic safeguards.</w:t>
      </w:r>
    </w:p>
    <w:p w14:paraId="64C345D1" w14:textId="77777777" w:rsidR="00D84D70" w:rsidRDefault="00D84D70" w:rsidP="00D84D70">
      <w:pPr>
        <w:spacing w:after="0" w:line="360" w:lineRule="auto"/>
        <w:jc w:val="both"/>
        <w:rPr>
          <w:rFonts w:ascii="Times New Roman" w:hAnsi="Times New Roman" w:cs="Times New Roman"/>
          <w:b/>
          <w:bCs/>
          <w:sz w:val="28"/>
          <w:szCs w:val="28"/>
          <w:u w:val="single"/>
        </w:rPr>
      </w:pPr>
    </w:p>
    <w:p w14:paraId="0EEB0347" w14:textId="14784387" w:rsidR="006B55F0" w:rsidRPr="00445C55" w:rsidRDefault="008E40CC" w:rsidP="00D84D70">
      <w:pPr>
        <w:spacing w:after="0" w:line="360" w:lineRule="auto"/>
        <w:jc w:val="both"/>
      </w:pPr>
      <w:r w:rsidRPr="006D2FFE">
        <w:rPr>
          <w:rFonts w:ascii="Times New Roman" w:hAnsi="Times New Roman" w:cs="Times New Roman"/>
          <w:b/>
          <w:bCs/>
          <w:sz w:val="28"/>
          <w:szCs w:val="28"/>
          <w:u w:val="single"/>
        </w:rPr>
        <w:t>KEYWORDS:</w:t>
      </w:r>
      <w:r w:rsidRPr="006B55F0">
        <w:rPr>
          <w:rFonts w:ascii="Times New Roman" w:hAnsi="Times New Roman" w:cs="Times New Roman"/>
          <w:sz w:val="28"/>
          <w:szCs w:val="28"/>
        </w:rPr>
        <w:t xml:space="preserve"> </w:t>
      </w:r>
      <w:r w:rsidR="006B55F0" w:rsidRPr="006B55F0">
        <w:rPr>
          <w:sz w:val="28"/>
          <w:szCs w:val="28"/>
        </w:rPr>
        <w:t xml:space="preserve"> </w:t>
      </w:r>
      <w:r w:rsidR="006B55F0" w:rsidRPr="00445C55">
        <w:rPr>
          <w:rFonts w:ascii="Times New Roman" w:hAnsi="Times New Roman" w:cs="Times New Roman"/>
        </w:rPr>
        <w:t>Constitutional Law, Global Pandemics, Emergency Powers, COVID-19, Public Health and Rights,  Executive Overreach,</w:t>
      </w:r>
      <w:r w:rsidR="006B55F0" w:rsidRPr="00445C55">
        <w:t xml:space="preserve"> Judicial Oversight, </w:t>
      </w:r>
      <w:r w:rsidR="006B55F0" w:rsidRPr="00445C55">
        <w:rPr>
          <w:rFonts w:ascii="Times New Roman" w:hAnsi="Times New Roman" w:cs="Times New Roman"/>
        </w:rPr>
        <w:t>Federalism</w:t>
      </w:r>
      <w:r w:rsidR="006B55F0" w:rsidRPr="00445C55">
        <w:t xml:space="preserve">, </w:t>
      </w:r>
      <w:r w:rsidR="006B55F0" w:rsidRPr="00445C55">
        <w:rPr>
          <w:rFonts w:ascii="Times New Roman" w:hAnsi="Times New Roman" w:cs="Times New Roman"/>
        </w:rPr>
        <w:t xml:space="preserve">Fundamental </w:t>
      </w:r>
      <w:proofErr w:type="gramStart"/>
      <w:r w:rsidR="006B55F0" w:rsidRPr="00445C55">
        <w:rPr>
          <w:rFonts w:ascii="Times New Roman" w:hAnsi="Times New Roman" w:cs="Times New Roman"/>
        </w:rPr>
        <w:t>Rights..</w:t>
      </w:r>
      <w:proofErr w:type="gramEnd"/>
      <w:r w:rsidR="006B55F0" w:rsidRPr="00445C55">
        <w:rPr>
          <w:rFonts w:ascii="Times New Roman" w:hAnsi="Times New Roman" w:cs="Times New Roman"/>
        </w:rPr>
        <w:t xml:space="preserve">, </w:t>
      </w:r>
    </w:p>
    <w:p w14:paraId="1465DCA7" w14:textId="5180C92B" w:rsidR="00DB18C6" w:rsidRPr="00445C55" w:rsidRDefault="006D2FFE" w:rsidP="00D84D70">
      <w:pPr>
        <w:spacing w:after="0" w:line="360" w:lineRule="auto"/>
        <w:jc w:val="both"/>
        <w:rPr>
          <w:rFonts w:ascii="Times New Roman" w:hAnsi="Times New Roman" w:cs="Times New Roman"/>
        </w:rPr>
      </w:pPr>
      <w:r w:rsidRPr="006D2FFE">
        <w:rPr>
          <w:rFonts w:ascii="Times New Roman" w:hAnsi="Times New Roman" w:cs="Times New Roman"/>
          <w:b/>
          <w:bCs/>
          <w:sz w:val="28"/>
          <w:szCs w:val="28"/>
          <w:u w:val="single"/>
        </w:rPr>
        <w:lastRenderedPageBreak/>
        <w:t>INTRODUCTION:</w:t>
      </w:r>
      <w:r w:rsidR="00BB47E2">
        <w:rPr>
          <w:rFonts w:ascii="Times New Roman" w:hAnsi="Times New Roman" w:cs="Times New Roman"/>
          <w:b/>
          <w:bCs/>
          <w:sz w:val="32"/>
          <w:szCs w:val="32"/>
        </w:rPr>
        <w:t xml:space="preserve"> </w:t>
      </w:r>
      <w:r w:rsidR="00BB47E2" w:rsidRPr="00445C55">
        <w:rPr>
          <w:rFonts w:ascii="Times New Roman" w:hAnsi="Times New Roman" w:cs="Times New Roman"/>
          <w:sz w:val="22"/>
          <w:szCs w:val="22"/>
        </w:rPr>
        <w:t xml:space="preserve">The global government was rocked by the COVID-19 pandemic, which began in late 2019 and quickly escalated into a worldwide </w:t>
      </w:r>
      <w:r w:rsidR="00BB47E2" w:rsidRPr="00445C55">
        <w:rPr>
          <w:rFonts w:ascii="Times New Roman" w:hAnsi="Times New Roman" w:cs="Times New Roman"/>
        </w:rPr>
        <w:t xml:space="preserve">health emergency by early 2020. Governments were forced to take drastic and immediate action to contain the epidemic and lessen its catastrophic socioeconomic effects, and public health institutions were pushed to their breaking point. They frequently used emergency powers in the process, pushing the limits of legal standards, constitutional frameworks, and democratic ideals. The constitutional balance between individual liberties, state power, and institutional responsibility was severely strained as countries rushed to save lives. Although pandemics have historically had significant sociopolitical effects, COVID-19 was exceptional in the scope and velocity of its governance-related effects. </w:t>
      </w:r>
      <w:r w:rsidR="00DB18C6" w:rsidRPr="00445C55">
        <w:rPr>
          <w:rFonts w:ascii="Times New Roman" w:hAnsi="Times New Roman" w:cs="Times New Roman"/>
        </w:rPr>
        <w:t xml:space="preserve">Significant constitutional issues were brought up by the actions taken by the states, including lockdowns, travel restrictions, quarantines, prohibitions on assembly and worship, digital surveillance, and the closure of legislatures and courts. In the name of public health, how far may the government go in restricting fundamental rights? What safeguards ought to be in place in the event of a medical emergency? Are the provisions in the present constitution sufficient to deal with pandemics? This study aims to investigate these questions. The contrast between the need for prompt governmental action and the preservation of civil liberties was one of the main issues during the pandemic. Emergency powers are intended to be uncommon, short-lived, and subject to institutional and legal restraints in constitutional democracies. </w:t>
      </w:r>
    </w:p>
    <w:p w14:paraId="7F778FAE" w14:textId="77777777" w:rsidR="006B27BF" w:rsidRDefault="006B27BF" w:rsidP="00D84D70">
      <w:pPr>
        <w:spacing w:after="0" w:line="360" w:lineRule="auto"/>
        <w:jc w:val="both"/>
        <w:rPr>
          <w:rFonts w:ascii="Times New Roman" w:hAnsi="Times New Roman" w:cs="Times New Roman"/>
        </w:rPr>
      </w:pPr>
    </w:p>
    <w:p w14:paraId="17008824" w14:textId="6F573420" w:rsidR="002755F0" w:rsidRPr="002755F0" w:rsidRDefault="00160416" w:rsidP="00D84D70">
      <w:pPr>
        <w:spacing w:after="0" w:line="360" w:lineRule="auto"/>
        <w:jc w:val="both"/>
        <w:rPr>
          <w:rFonts w:ascii="Times New Roman" w:hAnsi="Times New Roman" w:cs="Times New Roman"/>
          <w:sz w:val="28"/>
          <w:szCs w:val="28"/>
        </w:rPr>
      </w:pPr>
      <w:proofErr w:type="gramStart"/>
      <w:r w:rsidRPr="00445C55">
        <w:rPr>
          <w:rFonts w:ascii="Times New Roman" w:hAnsi="Times New Roman" w:cs="Times New Roman"/>
        </w:rPr>
        <w:t>However</w:t>
      </w:r>
      <w:proofErr w:type="gramEnd"/>
      <w:r w:rsidRPr="00445C55">
        <w:rPr>
          <w:rFonts w:ascii="Times New Roman" w:hAnsi="Times New Roman" w:cs="Times New Roman"/>
        </w:rPr>
        <w:t xml:space="preserve"> during COVID-19, </w:t>
      </w:r>
      <w:proofErr w:type="spellStart"/>
      <w:proofErr w:type="gramStart"/>
      <w:r w:rsidRPr="00445C55">
        <w:rPr>
          <w:rFonts w:ascii="Times New Roman" w:hAnsi="Times New Roman" w:cs="Times New Roman"/>
        </w:rPr>
        <w:t>a</w:t>
      </w:r>
      <w:proofErr w:type="spellEnd"/>
      <w:proofErr w:type="gramEnd"/>
      <w:r w:rsidRPr="00445C55">
        <w:rPr>
          <w:rFonts w:ascii="Times New Roman" w:hAnsi="Times New Roman" w:cs="Times New Roman"/>
        </w:rPr>
        <w:t xml:space="preserve"> executive discretion evolved in many nations, largely at the expense of judicial and legislative supervision. While some governments behaved in accordance with the constitution, others came under fire for going too far and using the pandemic as an excuse to suppress dissent, impede transparency, or strengthen political control. Although this legal stress test was felt worldwide, the way it was implemented varied by the political and judicial systems of each nation. For instance, the federal structure of the US Constitution delegated a large portion of the pandemic response to state governments, utilizing the classic "police powers" established in Jacobson v. Massachusetts (1905). However, this decentralized strategy resulted in disparities in public health results, legal disputes, and fragmentation. </w:t>
      </w:r>
      <w:r w:rsidR="006A4B8D" w:rsidRPr="00445C55">
        <w:rPr>
          <w:rFonts w:ascii="Times New Roman" w:hAnsi="Times New Roman" w:cs="Times New Roman"/>
        </w:rPr>
        <w:t xml:space="preserve">Since it lacked a defined constitution, the UK was forced to rely on the Coronavirus Act 2020, which sparked worries about unbridled executive power and little parliamentary oversight. Countries with robust social rights safeguards, such as South Africa, on the other hand, structured their responses within the constitutional norms of proportionality </w:t>
      </w:r>
      <w:r w:rsidR="006A4B8D" w:rsidRPr="00445C55">
        <w:rPr>
          <w:rFonts w:ascii="Times New Roman" w:hAnsi="Times New Roman" w:cs="Times New Roman"/>
        </w:rPr>
        <w:lastRenderedPageBreak/>
        <w:t xml:space="preserve">and dignity, with courts actively examining whether government actions were lawful. India's constitutional reaction was especially intricate. The central government used the Epidemic Diseases Act of 1897 and the Disaster Management Act of 2005 to impose a statewide lockdown in the absence of a formal declaration of emergency under Article 352. </w:t>
      </w:r>
      <w:r w:rsidR="00155FF0" w:rsidRPr="00445C55">
        <w:rPr>
          <w:rFonts w:ascii="Times New Roman" w:hAnsi="Times New Roman" w:cs="Times New Roman"/>
        </w:rPr>
        <w:t xml:space="preserve">These colonial-era laws, which have not been discussed or changed in contemporary democracies, served as the foundation for Article 19's restrictions on the freedom of movement, trade, and assembly and Article 21's concerns over the right to life and dignity. More proactive interventions, like the </w:t>
      </w:r>
      <w:proofErr w:type="spellStart"/>
      <w:r w:rsidR="00155FF0" w:rsidRPr="00445C55">
        <w:rPr>
          <w:rFonts w:ascii="Times New Roman" w:hAnsi="Times New Roman" w:cs="Times New Roman"/>
        </w:rPr>
        <w:t>suo</w:t>
      </w:r>
      <w:proofErr w:type="spellEnd"/>
      <w:r w:rsidR="00155FF0" w:rsidRPr="00445C55">
        <w:rPr>
          <w:rFonts w:ascii="Times New Roman" w:hAnsi="Times New Roman" w:cs="Times New Roman"/>
        </w:rPr>
        <w:t xml:space="preserve"> motu case involving oxygen supply and migrant welfare, eventually replaced the judiciary's initial reticence. However, the crisis revealed serious weaknesses in India's legal framework for handling a medical emergency, especially with regard to federalism, data privacy, and safeguards for migrants. A new dimension to constitutional discourse was also brought forth by the digitization of health surveillance through data collecting and contact tracing apps. As governments implemented aggressive technical solutions without sufficient legal safeguards or permission frameworks, privacy concerns increased in many countries. </w:t>
      </w:r>
      <w:r w:rsidR="002755F0" w:rsidRPr="00445C55">
        <w:rPr>
          <w:rFonts w:ascii="Times New Roman" w:hAnsi="Times New Roman" w:cs="Times New Roman"/>
        </w:rPr>
        <w:t>It addresses these changes using a comparative constitutional methodology, assessing the constitutional responses to the epidemic by nations with varying legal systems and governance frameworks. It evaluates how well-suited the current frameworks were, how they were modified or interpreted, and what may be learned for pandemics in the future. In the process, normative issues like constitutionalism, democratic resilience, and striking a balance between individual freedom and the common good during times of global crisis are also examined.</w:t>
      </w:r>
    </w:p>
    <w:p w14:paraId="4DCDFADD" w14:textId="77777777" w:rsidR="00D84D70" w:rsidRDefault="00D84D70" w:rsidP="00D84D70">
      <w:pPr>
        <w:spacing w:after="0" w:line="360" w:lineRule="auto"/>
        <w:jc w:val="both"/>
        <w:rPr>
          <w:rFonts w:ascii="Times New Roman" w:hAnsi="Times New Roman" w:cs="Times New Roman"/>
          <w:b/>
          <w:bCs/>
          <w:sz w:val="28"/>
          <w:szCs w:val="28"/>
        </w:rPr>
      </w:pPr>
    </w:p>
    <w:p w14:paraId="0181B88B" w14:textId="325A5079" w:rsidR="00155FF0" w:rsidRPr="00C566D1" w:rsidRDefault="00285A22" w:rsidP="00D84D70">
      <w:pPr>
        <w:spacing w:after="0" w:line="360" w:lineRule="auto"/>
        <w:jc w:val="both"/>
        <w:rPr>
          <w:rFonts w:ascii="Times New Roman" w:hAnsi="Times New Roman" w:cs="Times New Roman"/>
          <w:b/>
          <w:bCs/>
          <w:sz w:val="28"/>
          <w:szCs w:val="28"/>
          <w:u w:val="single"/>
        </w:rPr>
      </w:pPr>
      <w:r w:rsidRPr="00C566D1">
        <w:rPr>
          <w:rFonts w:ascii="Times New Roman" w:hAnsi="Times New Roman" w:cs="Times New Roman"/>
          <w:b/>
          <w:bCs/>
          <w:sz w:val="28"/>
          <w:szCs w:val="28"/>
          <w:u w:val="single"/>
        </w:rPr>
        <w:t>CONSTITUTIONAL RESPONSES TO COVID-19: GLOBAL OVERVIEW</w:t>
      </w:r>
    </w:p>
    <w:p w14:paraId="40BE8CC1" w14:textId="77777777" w:rsidR="004E7257" w:rsidRPr="00445C55" w:rsidRDefault="00D82D84" w:rsidP="00D84D70">
      <w:pPr>
        <w:spacing w:after="0" w:line="360" w:lineRule="auto"/>
        <w:jc w:val="both"/>
        <w:rPr>
          <w:rFonts w:ascii="Times New Roman" w:hAnsi="Times New Roman" w:cs="Times New Roman"/>
        </w:rPr>
      </w:pPr>
      <w:r w:rsidRPr="00445C55">
        <w:rPr>
          <w:rFonts w:ascii="Times New Roman" w:hAnsi="Times New Roman" w:cs="Times New Roman"/>
        </w:rPr>
        <w:t xml:space="preserve">The COVID-19 epidemic sparked an unprecedented worldwide reaction, putting national constitutional systems to the test in terms of their adaptation and resilience. Governments were compelled to implement emergency measures in response to a quickly spreading virus and serious public health consequences; many of these actions had a substantial impact on federal institutions, civil liberties, the separation of powers, and the rule of law. Depending on institutional strength, emergency power codification, and legal traditions, different jurisdictions had different constitutional reactions to the pandemic. </w:t>
      </w:r>
    </w:p>
    <w:p w14:paraId="3FB72019" w14:textId="77777777" w:rsidR="006B27BF" w:rsidRDefault="006B27BF" w:rsidP="00D84D70">
      <w:pPr>
        <w:spacing w:after="0" w:line="360" w:lineRule="auto"/>
        <w:jc w:val="both"/>
        <w:rPr>
          <w:rFonts w:ascii="Times New Roman" w:hAnsi="Times New Roman" w:cs="Times New Roman"/>
        </w:rPr>
      </w:pPr>
    </w:p>
    <w:p w14:paraId="24BBF1FE" w14:textId="69FD912B" w:rsidR="004E7257" w:rsidRPr="00445C55" w:rsidRDefault="00D82D84" w:rsidP="00D84D70">
      <w:pPr>
        <w:spacing w:after="0" w:line="360" w:lineRule="auto"/>
        <w:jc w:val="both"/>
        <w:rPr>
          <w:rFonts w:ascii="Times New Roman" w:hAnsi="Times New Roman" w:cs="Times New Roman"/>
        </w:rPr>
      </w:pPr>
      <w:r w:rsidRPr="00445C55">
        <w:rPr>
          <w:rFonts w:ascii="Times New Roman" w:hAnsi="Times New Roman" w:cs="Times New Roman"/>
        </w:rPr>
        <w:t xml:space="preserve">In the US, public health emergencies are not specifically covered by the constitution. Rather, the governments' "police powers," which enable them to implement policies to safeguard </w:t>
      </w:r>
      <w:r w:rsidRPr="00445C55">
        <w:rPr>
          <w:rFonts w:ascii="Times New Roman" w:hAnsi="Times New Roman" w:cs="Times New Roman"/>
        </w:rPr>
        <w:lastRenderedPageBreak/>
        <w:t xml:space="preserve">welfare, safety, and health, played a major role in the pandemic response. </w:t>
      </w:r>
      <w:r w:rsidR="00BB2D8C" w:rsidRPr="00445C55">
        <w:rPr>
          <w:rFonts w:ascii="Times New Roman" w:hAnsi="Times New Roman" w:cs="Times New Roman"/>
        </w:rPr>
        <w:t>Jacobson v. Massachusetts (1905)</w:t>
      </w:r>
      <w:r w:rsidR="009F0A6D" w:rsidRPr="00445C55">
        <w:rPr>
          <w:rStyle w:val="FootnoteReference"/>
          <w:rFonts w:ascii="Times New Roman" w:hAnsi="Times New Roman" w:cs="Times New Roman"/>
        </w:rPr>
        <w:footnoteReference w:id="2"/>
      </w:r>
      <w:r w:rsidR="00BB2D8C" w:rsidRPr="00445C55">
        <w:rPr>
          <w:rFonts w:ascii="Times New Roman" w:hAnsi="Times New Roman" w:cs="Times New Roman"/>
        </w:rPr>
        <w:t>, in which the U.S. Supreme Court affirmed a state-mandated smallpox vaccination statute, served as the precedent for this strategy. But the dispersed federal structure resulted in inconsistent reactions and ambiguous laws, particularly with regard to mask requirements, lockdowns, and company closures. While it did not have the power to enforce consistent regulations, the federal government did play a supporting role. As demonstrated by the 2020 case Roman Catholic Diocese v. Cuomo,</w:t>
      </w:r>
      <w:r w:rsidR="007735F8" w:rsidRPr="00445C55">
        <w:rPr>
          <w:rStyle w:val="FootnoteReference"/>
          <w:rFonts w:ascii="Times New Roman" w:hAnsi="Times New Roman" w:cs="Times New Roman"/>
        </w:rPr>
        <w:footnoteReference w:id="3"/>
      </w:r>
      <w:r w:rsidR="00BB2D8C" w:rsidRPr="00445C55">
        <w:rPr>
          <w:rFonts w:ascii="Times New Roman" w:hAnsi="Times New Roman" w:cs="Times New Roman"/>
        </w:rPr>
        <w:t xml:space="preserve"> in which limitations on religious meetings were overturned, significant constitutional discussions centered on the First Amendment (freedom of religion and assembly).</w:t>
      </w:r>
    </w:p>
    <w:p w14:paraId="59FD6AF8" w14:textId="77777777" w:rsidR="006B27BF" w:rsidRDefault="006B27BF" w:rsidP="00D84D70">
      <w:pPr>
        <w:spacing w:after="0" w:line="360" w:lineRule="auto"/>
        <w:jc w:val="both"/>
        <w:rPr>
          <w:rFonts w:ascii="Times New Roman" w:hAnsi="Times New Roman" w:cs="Times New Roman"/>
        </w:rPr>
      </w:pPr>
    </w:p>
    <w:p w14:paraId="314C6BFB" w14:textId="3DF4235D" w:rsidR="00E31B92" w:rsidRPr="00445C55" w:rsidRDefault="00BB2D8C" w:rsidP="00D84D70">
      <w:pPr>
        <w:spacing w:after="0" w:line="360" w:lineRule="auto"/>
        <w:jc w:val="both"/>
        <w:rPr>
          <w:rFonts w:ascii="Times New Roman" w:hAnsi="Times New Roman" w:cs="Times New Roman"/>
        </w:rPr>
      </w:pPr>
      <w:r w:rsidRPr="00445C55">
        <w:rPr>
          <w:rFonts w:ascii="Times New Roman" w:hAnsi="Times New Roman" w:cs="Times New Roman"/>
        </w:rPr>
        <w:t xml:space="preserve">The UK implemented emergency measures under the Coronavirus Act 2020 because it lacked a codified constitution. This statute gave the executive broad authority to impose travel restrictions, hold people in custody, and manage public assemblies. </w:t>
      </w:r>
      <w:r w:rsidR="00561A4A" w:rsidRPr="00445C55">
        <w:rPr>
          <w:rFonts w:ascii="Times New Roman" w:hAnsi="Times New Roman" w:cs="Times New Roman"/>
        </w:rPr>
        <w:t>The main issue was Parliament's limited ability to regulate the exercise of these powers. Civil society organizations expressed concern about the impact on rights including the freedom of assembly and protest, the absence of time-bound provisions, and the lack of legislative monitoring. Although judicial review was still possible, courts were first hesitant to get involved, citing public health concerns as justification.</w:t>
      </w:r>
    </w:p>
    <w:p w14:paraId="691AA335" w14:textId="77777777" w:rsidR="006B27BF" w:rsidRDefault="006B27BF" w:rsidP="00D84D70">
      <w:pPr>
        <w:spacing w:after="0" w:line="360" w:lineRule="auto"/>
        <w:jc w:val="both"/>
        <w:rPr>
          <w:rFonts w:ascii="Times New Roman" w:hAnsi="Times New Roman" w:cs="Times New Roman"/>
        </w:rPr>
      </w:pPr>
    </w:p>
    <w:p w14:paraId="18159089" w14:textId="053F5132" w:rsidR="00C52B38" w:rsidRPr="00445C55" w:rsidRDefault="00561A4A" w:rsidP="00D84D70">
      <w:pPr>
        <w:spacing w:after="0" w:line="360" w:lineRule="auto"/>
        <w:jc w:val="both"/>
        <w:rPr>
          <w:rFonts w:ascii="Times New Roman" w:hAnsi="Times New Roman" w:cs="Times New Roman"/>
        </w:rPr>
      </w:pPr>
      <w:r w:rsidRPr="00445C55">
        <w:rPr>
          <w:rFonts w:ascii="Times New Roman" w:hAnsi="Times New Roman" w:cs="Times New Roman"/>
        </w:rPr>
        <w:t>In Australia, emergency measures were enforced by the federal Health Minister using the Biosecurity Act 2015. State governments also enforced border closures and lockdowns, which sparked constitutional disputes. In Palmer v. Western Australia (2021)</w:t>
      </w:r>
      <w:r w:rsidR="00DC0426" w:rsidRPr="00445C55">
        <w:rPr>
          <w:rStyle w:val="FootnoteReference"/>
          <w:rFonts w:ascii="Times New Roman" w:hAnsi="Times New Roman" w:cs="Times New Roman"/>
        </w:rPr>
        <w:footnoteReference w:id="4"/>
      </w:r>
      <w:r w:rsidRPr="00445C55">
        <w:rPr>
          <w:rFonts w:ascii="Times New Roman" w:hAnsi="Times New Roman" w:cs="Times New Roman"/>
        </w:rPr>
        <w:t>, the High Court acknowledged the validity of limitations in the interest of public health and affirmed these measures. Nonetheless, the crisis exposed conflicts between the federal government and the states.</w:t>
      </w:r>
      <w:r w:rsidR="00C52B38" w:rsidRPr="00445C55">
        <w:rPr>
          <w:rFonts w:ascii="Times New Roman" w:hAnsi="Times New Roman" w:cs="Times New Roman"/>
        </w:rPr>
        <w:t xml:space="preserve"> fought on occasion over movement limits and epidemic resource management.</w:t>
      </w:r>
    </w:p>
    <w:p w14:paraId="4ECF6B0C" w14:textId="77777777" w:rsidR="006B27BF" w:rsidRDefault="006B27BF" w:rsidP="00D84D70">
      <w:pPr>
        <w:spacing w:after="0" w:line="360" w:lineRule="auto"/>
        <w:jc w:val="both"/>
        <w:rPr>
          <w:rFonts w:ascii="Times New Roman" w:hAnsi="Times New Roman" w:cs="Times New Roman"/>
        </w:rPr>
      </w:pPr>
    </w:p>
    <w:p w14:paraId="37191C98" w14:textId="28D00152" w:rsidR="00413123" w:rsidRPr="00445C55" w:rsidRDefault="00410CD3" w:rsidP="00D84D70">
      <w:pPr>
        <w:spacing w:after="0" w:line="360" w:lineRule="auto"/>
        <w:jc w:val="both"/>
        <w:rPr>
          <w:rFonts w:ascii="Times New Roman" w:hAnsi="Times New Roman" w:cs="Times New Roman"/>
        </w:rPr>
      </w:pPr>
      <w:r w:rsidRPr="00445C55">
        <w:rPr>
          <w:rFonts w:ascii="Times New Roman" w:hAnsi="Times New Roman" w:cs="Times New Roman"/>
        </w:rPr>
        <w:t xml:space="preserve">A justiciable right to health is guaranteed by Section 27 of the South African Constitution. Strict lockdowns were implemented after the government proclaimed a National State of Disaster. Courts were proactive in making sure that government acts were proportionate and constitutional. According to the High Court's ruling in De Beer v. Minister of Cooperative Governance, some lockdown rules were declared unreasonable and excessive. Transparency </w:t>
      </w:r>
      <w:r w:rsidRPr="00445C55">
        <w:rPr>
          <w:rFonts w:ascii="Times New Roman" w:hAnsi="Times New Roman" w:cs="Times New Roman"/>
        </w:rPr>
        <w:lastRenderedPageBreak/>
        <w:t>and accountability are two constitutional norms that the government must uphold, especially in times of emergency, the judiciary stressed.</w:t>
      </w:r>
    </w:p>
    <w:p w14:paraId="769F47C5" w14:textId="77777777" w:rsidR="006B27BF" w:rsidRDefault="006B27BF" w:rsidP="00D84D70">
      <w:pPr>
        <w:spacing w:after="0" w:line="360" w:lineRule="auto"/>
        <w:jc w:val="both"/>
        <w:rPr>
          <w:rFonts w:ascii="Times New Roman" w:hAnsi="Times New Roman" w:cs="Times New Roman"/>
          <w:b/>
          <w:bCs/>
          <w:sz w:val="32"/>
          <w:szCs w:val="32"/>
        </w:rPr>
      </w:pPr>
    </w:p>
    <w:p w14:paraId="1086321B" w14:textId="568874CC" w:rsidR="003423C8" w:rsidRPr="00445C55" w:rsidRDefault="00EB18CA" w:rsidP="00D84D70">
      <w:pPr>
        <w:spacing w:after="0" w:line="360" w:lineRule="auto"/>
        <w:jc w:val="both"/>
        <w:rPr>
          <w:rFonts w:ascii="Times New Roman" w:hAnsi="Times New Roman" w:cs="Times New Roman"/>
          <w:b/>
          <w:bCs/>
          <w:sz w:val="28"/>
          <w:szCs w:val="28"/>
        </w:rPr>
      </w:pPr>
      <w:r w:rsidRPr="00EB18CA">
        <w:rPr>
          <w:rFonts w:ascii="Times New Roman" w:hAnsi="Times New Roman" w:cs="Times New Roman"/>
          <w:b/>
          <w:bCs/>
          <w:sz w:val="32"/>
          <w:szCs w:val="32"/>
          <w:u w:val="single"/>
        </w:rPr>
        <w:t xml:space="preserve">INDIAN CONSTITUTIONAL RESPONSE TO COVID-19: </w:t>
      </w:r>
      <w:r w:rsidR="00097F1C" w:rsidRPr="00445C55">
        <w:rPr>
          <w:rFonts w:ascii="Times New Roman" w:hAnsi="Times New Roman" w:cs="Times New Roman"/>
        </w:rPr>
        <w:t>In response to the COVID-19 epidemic, India did not formally declare an emergency under Article 352, which was a hallmark of its constitutional response. In order to enforce health precautions, impose nationwide lockdowns, and limit movement, the government instead turned to common laws, particularly the Epidemic Diseases Act of 1897 and the Disaster Management Act of 2005. Despite lacking specific provisions on accountability, federalism, or fundamental rights, these laws—especially the Epidemic Diseases Act from the colonial era—became the cornerstone of pandemic governance. The freedoms of mobility, assembly, and occupation guaranteed by Article 19 of the Constitution were all severely curtailed by the lockdown that was declared on March 24, 2020. Even though the limitations were warranted for the sake of public health, they brought up constitutional issues, especially with regard to procedural justice and proportionality.</w:t>
      </w:r>
      <w:r w:rsidR="00250336" w:rsidRPr="00445C55">
        <w:rPr>
          <w:rFonts w:ascii="Times New Roman" w:hAnsi="Times New Roman" w:cs="Times New Roman"/>
        </w:rPr>
        <w:t xml:space="preserve"> Public discussion also focused on the right to life under Article 21, particularly during the migrant crisis when thousands of workers were left stranded without access to food, shelter, or transportation. </w:t>
      </w:r>
    </w:p>
    <w:p w14:paraId="7C2ACEDD" w14:textId="77777777" w:rsidR="006B27BF" w:rsidRDefault="006B27BF" w:rsidP="00D84D70">
      <w:pPr>
        <w:spacing w:after="0" w:line="360" w:lineRule="auto"/>
        <w:jc w:val="both"/>
        <w:rPr>
          <w:rFonts w:ascii="Times New Roman" w:hAnsi="Times New Roman" w:cs="Times New Roman"/>
        </w:rPr>
      </w:pPr>
    </w:p>
    <w:p w14:paraId="053236DE" w14:textId="57914C59" w:rsidR="002D726D" w:rsidRPr="00445C55" w:rsidRDefault="00250336" w:rsidP="00D84D70">
      <w:pPr>
        <w:spacing w:after="0" w:line="360" w:lineRule="auto"/>
        <w:jc w:val="both"/>
        <w:rPr>
          <w:rFonts w:ascii="Times New Roman" w:hAnsi="Times New Roman" w:cs="Times New Roman"/>
        </w:rPr>
      </w:pPr>
      <w:r w:rsidRPr="00445C55">
        <w:rPr>
          <w:rFonts w:ascii="Times New Roman" w:hAnsi="Times New Roman" w:cs="Times New Roman"/>
        </w:rPr>
        <w:t xml:space="preserve">Their predicament was brought to the notice of the judiciary by public interest lawsuits such as </w:t>
      </w:r>
      <w:proofErr w:type="spellStart"/>
      <w:r w:rsidRPr="00445C55">
        <w:rPr>
          <w:rFonts w:ascii="Times New Roman" w:hAnsi="Times New Roman" w:cs="Times New Roman"/>
        </w:rPr>
        <w:t>Alakh</w:t>
      </w:r>
      <w:proofErr w:type="spellEnd"/>
      <w:r w:rsidRPr="00445C55">
        <w:rPr>
          <w:rFonts w:ascii="Times New Roman" w:hAnsi="Times New Roman" w:cs="Times New Roman"/>
        </w:rPr>
        <w:t xml:space="preserve"> Alok Srivastava v. Union of India.</w:t>
      </w:r>
      <w:r w:rsidR="003423C8" w:rsidRPr="00445C55">
        <w:rPr>
          <w:rFonts w:ascii="Times New Roman" w:hAnsi="Times New Roman" w:cs="Times New Roman"/>
        </w:rPr>
        <w:t xml:space="preserve"> </w:t>
      </w:r>
      <w:r w:rsidRPr="00445C55">
        <w:rPr>
          <w:rFonts w:ascii="Times New Roman" w:hAnsi="Times New Roman" w:cs="Times New Roman"/>
        </w:rPr>
        <w:t xml:space="preserve">Concerns were also raised about federalism. Despite being a State topic under List II of the Seventh Schedule, "health" was primarily under the </w:t>
      </w:r>
      <w:r w:rsidR="003423C8" w:rsidRPr="00445C55">
        <w:rPr>
          <w:rFonts w:ascii="Times New Roman" w:hAnsi="Times New Roman" w:cs="Times New Roman"/>
        </w:rPr>
        <w:t>Centre’s</w:t>
      </w:r>
      <w:r w:rsidRPr="00445C55">
        <w:rPr>
          <w:rFonts w:ascii="Times New Roman" w:hAnsi="Times New Roman" w:cs="Times New Roman"/>
        </w:rPr>
        <w:t xml:space="preserve"> jurisdiction thanks to the Disaster Management Act. As a result, there were conflicts between the Union and the States on roles, duties, and the distribution of resources. Furthermore, privacy issues were brought up by digital monitoring tools such as the Aarogya Setu App, particularly after the 2017 Puttaswamy v. Union of India</w:t>
      </w:r>
      <w:r w:rsidR="007E50A6" w:rsidRPr="00445C55">
        <w:rPr>
          <w:rStyle w:val="FootnoteReference"/>
          <w:rFonts w:ascii="Times New Roman" w:hAnsi="Times New Roman" w:cs="Times New Roman"/>
        </w:rPr>
        <w:footnoteReference w:id="5"/>
      </w:r>
      <w:r w:rsidRPr="00445C55">
        <w:rPr>
          <w:rFonts w:ascii="Times New Roman" w:hAnsi="Times New Roman" w:cs="Times New Roman"/>
        </w:rPr>
        <w:t xml:space="preserve"> ruling, which established the right to privacy as a fundamental right.</w:t>
      </w:r>
      <w:r w:rsidR="002D726D" w:rsidRPr="00445C55">
        <w:rPr>
          <w:rFonts w:ascii="Times New Roman" w:hAnsi="Times New Roman" w:cs="Times New Roman"/>
        </w:rPr>
        <w:t xml:space="preserve"> Initial phases of the judiciary took a measured stance and respected governmental choices. But as the situation worsened, courts started keeping a close eye on migrant aid, oxygen distribution, and vaccine policies. The necessity for a contemporary, rights-based public health law and more constitutional clarity during national health emergencies was made clear by India's pandemic response.</w:t>
      </w:r>
    </w:p>
    <w:p w14:paraId="4917B40E" w14:textId="77777777" w:rsidR="006B27BF" w:rsidRDefault="006B27BF" w:rsidP="00D84D70">
      <w:pPr>
        <w:spacing w:after="0" w:line="360" w:lineRule="auto"/>
        <w:jc w:val="both"/>
        <w:rPr>
          <w:rFonts w:ascii="Times New Roman" w:hAnsi="Times New Roman" w:cs="Times New Roman"/>
          <w:b/>
          <w:bCs/>
          <w:sz w:val="32"/>
          <w:szCs w:val="32"/>
        </w:rPr>
      </w:pPr>
    </w:p>
    <w:p w14:paraId="23BE4757" w14:textId="1C63D86F" w:rsidR="0054462E" w:rsidRDefault="00803694" w:rsidP="00D84D70">
      <w:pPr>
        <w:spacing w:after="0" w:line="360" w:lineRule="auto"/>
        <w:jc w:val="both"/>
        <w:rPr>
          <w:rFonts w:ascii="Times New Roman" w:hAnsi="Times New Roman" w:cs="Times New Roman"/>
        </w:rPr>
      </w:pPr>
      <w:r w:rsidRPr="00EB18CA">
        <w:rPr>
          <w:rFonts w:ascii="Times New Roman" w:hAnsi="Times New Roman" w:cs="Times New Roman"/>
          <w:b/>
          <w:bCs/>
          <w:sz w:val="32"/>
          <w:szCs w:val="32"/>
          <w:u w:val="single"/>
        </w:rPr>
        <w:lastRenderedPageBreak/>
        <w:t>JUDICIAL ROLE:</w:t>
      </w:r>
      <w:r w:rsidRPr="00474F01">
        <w:rPr>
          <w:rFonts w:ascii="Times New Roman" w:hAnsi="Times New Roman" w:cs="Times New Roman"/>
          <w:b/>
          <w:bCs/>
          <w:sz w:val="32"/>
          <w:szCs w:val="32"/>
        </w:rPr>
        <w:t xml:space="preserve"> </w:t>
      </w:r>
      <w:r w:rsidR="00294A5D" w:rsidRPr="00445C55">
        <w:rPr>
          <w:rFonts w:ascii="Times New Roman" w:hAnsi="Times New Roman" w:cs="Times New Roman"/>
        </w:rPr>
        <w:t>During the COVID-19 epidemic, India's judiciary had a dynamic but changing role. In the early phases of the crisis, the courts first took a cautious and deferential stance, refraining from interfering with presidential decisions. This constraint was predicated on the idea that, rather than court involvement, expert judgment and prompt action were necessary for policymaking in a health emergency. However, the judiciary progressively took on a more active role as the epidemic worsened and constitutional issues emerged, particularly with relation to migrant workers' rights, healthcare access, and vaccine distribution transparency. In order to safeguard fundamental rights under Articles 14, 19, and 21, the Supreme Court and a number of High Courts started hearing public interest litigations (PILs), keeping an eye on government acts, and issuing directives.</w:t>
      </w:r>
      <w:r w:rsidR="00081432" w:rsidRPr="00445C55">
        <w:rPr>
          <w:rFonts w:ascii="Times New Roman" w:hAnsi="Times New Roman" w:cs="Times New Roman"/>
        </w:rPr>
        <w:t xml:space="preserve"> The Supreme Court considered vaccine programs and oxygen shortages in the historic </w:t>
      </w:r>
      <w:proofErr w:type="spellStart"/>
      <w:r w:rsidR="00081432" w:rsidRPr="00445C55">
        <w:rPr>
          <w:rFonts w:ascii="Times New Roman" w:hAnsi="Times New Roman" w:cs="Times New Roman"/>
        </w:rPr>
        <w:t>suo</w:t>
      </w:r>
      <w:proofErr w:type="spellEnd"/>
      <w:r w:rsidR="00081432" w:rsidRPr="00445C55">
        <w:rPr>
          <w:rFonts w:ascii="Times New Roman" w:hAnsi="Times New Roman" w:cs="Times New Roman"/>
        </w:rPr>
        <w:t xml:space="preserve"> motu decision "In Re: Distribution of Essential Supplies and Services During Pandemic" (2021). It underlined that the right to health and access to basic medical treatment are part of the right to life under Article 21. The Court also questioned the justification for inconsistent procurement practices and disparate vaccine prices.</w:t>
      </w:r>
    </w:p>
    <w:p w14:paraId="1EE63BA3" w14:textId="77777777" w:rsidR="006B27BF" w:rsidRDefault="006B27BF" w:rsidP="00D84D70">
      <w:pPr>
        <w:spacing w:after="0" w:line="360" w:lineRule="auto"/>
        <w:jc w:val="both"/>
        <w:rPr>
          <w:rFonts w:ascii="Times New Roman" w:hAnsi="Times New Roman" w:cs="Times New Roman"/>
        </w:rPr>
      </w:pPr>
    </w:p>
    <w:p w14:paraId="7ADE2EA6" w14:textId="114F0101" w:rsidR="00CF76F6" w:rsidRDefault="00081432" w:rsidP="00D84D70">
      <w:pPr>
        <w:spacing w:after="0" w:line="360" w:lineRule="auto"/>
        <w:jc w:val="both"/>
        <w:rPr>
          <w:rFonts w:ascii="Times New Roman" w:hAnsi="Times New Roman" w:cs="Times New Roman"/>
          <w:sz w:val="28"/>
          <w:szCs w:val="28"/>
        </w:rPr>
      </w:pPr>
      <w:r w:rsidRPr="00445C55">
        <w:rPr>
          <w:rFonts w:ascii="Times New Roman" w:hAnsi="Times New Roman" w:cs="Times New Roman"/>
        </w:rPr>
        <w:t xml:space="preserve">The Court previously addressed the predicament of migrant </w:t>
      </w:r>
      <w:r w:rsidR="009B2CD7" w:rsidRPr="00445C55">
        <w:rPr>
          <w:rFonts w:ascii="Times New Roman" w:hAnsi="Times New Roman" w:cs="Times New Roman"/>
        </w:rPr>
        <w:t>labourers</w:t>
      </w:r>
      <w:r w:rsidRPr="00445C55">
        <w:rPr>
          <w:rFonts w:ascii="Times New Roman" w:hAnsi="Times New Roman" w:cs="Times New Roman"/>
        </w:rPr>
        <w:t xml:space="preserve"> in cases such as </w:t>
      </w:r>
      <w:proofErr w:type="spellStart"/>
      <w:r w:rsidRPr="00445C55">
        <w:rPr>
          <w:rFonts w:ascii="Times New Roman" w:hAnsi="Times New Roman" w:cs="Times New Roman"/>
        </w:rPr>
        <w:t>Alakh</w:t>
      </w:r>
      <w:proofErr w:type="spellEnd"/>
      <w:r w:rsidRPr="00445C55">
        <w:rPr>
          <w:rFonts w:ascii="Times New Roman" w:hAnsi="Times New Roman" w:cs="Times New Roman"/>
        </w:rPr>
        <w:t xml:space="preserve"> Alok Srivastava v. Union of India, ordering the government to provide for their transportation, food, and lodging during the lockdown.</w:t>
      </w:r>
      <w:r w:rsidR="0054462E">
        <w:rPr>
          <w:rFonts w:ascii="Times New Roman" w:hAnsi="Times New Roman" w:cs="Times New Roman"/>
        </w:rPr>
        <w:t xml:space="preserve"> </w:t>
      </w:r>
      <w:r w:rsidRPr="00445C55">
        <w:rPr>
          <w:rFonts w:ascii="Times New Roman" w:hAnsi="Times New Roman" w:cs="Times New Roman"/>
        </w:rPr>
        <w:t xml:space="preserve">However, the court came under fire for failing to hold the executive branch responsible during the first few months and for rejecting petitions without providing a thorough justification. </w:t>
      </w:r>
      <w:r w:rsidR="00CF76F6" w:rsidRPr="00445C55">
        <w:rPr>
          <w:rFonts w:ascii="Times New Roman" w:hAnsi="Times New Roman" w:cs="Times New Roman"/>
        </w:rPr>
        <w:t>Certain High Courts, like those in Delhi and Allahabad, took a more active stance when dealing with medical malpractice, hospital conditions, and delays in cremation. All things considered, the judiciary's changing position emphasizes the fine line that must be drawn between duty and deference during national emergencies, highlighting its function as a constitutional watchdog.</w:t>
      </w:r>
    </w:p>
    <w:p w14:paraId="584F6528" w14:textId="77777777" w:rsidR="006B27BF" w:rsidRDefault="006B27BF" w:rsidP="00D84D70">
      <w:pPr>
        <w:spacing w:after="0" w:line="360" w:lineRule="auto"/>
        <w:jc w:val="both"/>
        <w:rPr>
          <w:rFonts w:ascii="Times New Roman" w:hAnsi="Times New Roman" w:cs="Times New Roman"/>
          <w:b/>
          <w:bCs/>
          <w:sz w:val="32"/>
          <w:szCs w:val="32"/>
        </w:rPr>
      </w:pPr>
    </w:p>
    <w:p w14:paraId="2A5D61A2" w14:textId="0A694912" w:rsidR="001D0E5D" w:rsidRPr="0054462E" w:rsidRDefault="00803694" w:rsidP="00D84D70">
      <w:pPr>
        <w:spacing w:after="0" w:line="360" w:lineRule="auto"/>
        <w:jc w:val="both"/>
        <w:rPr>
          <w:rFonts w:ascii="Times New Roman" w:hAnsi="Times New Roman" w:cs="Times New Roman"/>
        </w:rPr>
      </w:pPr>
      <w:r w:rsidRPr="00EB18CA">
        <w:rPr>
          <w:rFonts w:ascii="Times New Roman" w:hAnsi="Times New Roman" w:cs="Times New Roman"/>
          <w:b/>
          <w:bCs/>
          <w:sz w:val="32"/>
          <w:szCs w:val="32"/>
          <w:u w:val="single"/>
        </w:rPr>
        <w:t>LONG-TERM CONSTITUTIONAL IMPACT OF COVID-19:</w:t>
      </w:r>
      <w:r w:rsidR="00482641">
        <w:rPr>
          <w:rFonts w:ascii="Times New Roman" w:hAnsi="Times New Roman" w:cs="Times New Roman"/>
          <w:b/>
          <w:bCs/>
          <w:sz w:val="32"/>
          <w:szCs w:val="32"/>
        </w:rPr>
        <w:t xml:space="preserve"> </w:t>
      </w:r>
      <w:r w:rsidR="001D0E5D" w:rsidRPr="0054462E">
        <w:rPr>
          <w:rFonts w:ascii="Times New Roman" w:hAnsi="Times New Roman" w:cs="Times New Roman"/>
        </w:rPr>
        <w:t>The COVID-19 pandemic had a substantial impact on constitutional frameworks worldwide in addition to posing challenges to public health systems. Although emergency actions were required to stop the virus's spread, their long-term effects raise serious questions regarding the distribution of power, the extent of rights, and the durability of democratic institutions. Constitutional democracies were put to the test by the pandemic, which revealed their weaknesses and areas in need of improvement.</w:t>
      </w:r>
    </w:p>
    <w:p w14:paraId="6FDF4970" w14:textId="4EBB4C14" w:rsidR="007554B8" w:rsidRPr="0054462E" w:rsidRDefault="007C375E" w:rsidP="00D84D70">
      <w:pPr>
        <w:spacing w:after="0" w:line="360" w:lineRule="auto"/>
        <w:jc w:val="both"/>
        <w:rPr>
          <w:rFonts w:ascii="Times New Roman" w:hAnsi="Times New Roman" w:cs="Times New Roman"/>
        </w:rPr>
      </w:pPr>
      <w:r w:rsidRPr="00A077A9">
        <w:rPr>
          <w:rFonts w:ascii="Times New Roman" w:hAnsi="Times New Roman" w:cs="Times New Roman"/>
          <w:b/>
          <w:bCs/>
          <w:sz w:val="28"/>
          <w:szCs w:val="28"/>
        </w:rPr>
        <w:lastRenderedPageBreak/>
        <w:t xml:space="preserve">Expansion of Executive Power: </w:t>
      </w:r>
      <w:r w:rsidR="007554B8" w:rsidRPr="0054462E">
        <w:rPr>
          <w:rFonts w:ascii="Times New Roman" w:hAnsi="Times New Roman" w:cs="Times New Roman"/>
        </w:rPr>
        <w:t xml:space="preserve">The extension of executive power has been one of the most important constitutional effects. The executive branch took on unprecedented authority in many jurisdictions, frequently excluding legislators and consolidating decision-making. In India, even though "public health" is a state topic, the Disaster Management Act of 2005 granted the central government broad authority to limit state activities. In nations such as the United Kingdom, where the Coronavirus Act 2020 permitted the executive to rule with no parliamentary scrutiny, similar centralization took place. The worry is that if interim powers are accepted, the balance of the constitution may change. </w:t>
      </w:r>
      <w:proofErr w:type="gramStart"/>
      <w:r w:rsidR="007554B8" w:rsidRPr="0054462E">
        <w:rPr>
          <w:rFonts w:ascii="Times New Roman" w:hAnsi="Times New Roman" w:cs="Times New Roman"/>
        </w:rPr>
        <w:t>This phenomena</w:t>
      </w:r>
      <w:proofErr w:type="gramEnd"/>
      <w:r w:rsidR="007554B8" w:rsidRPr="0054462E">
        <w:rPr>
          <w:rFonts w:ascii="Times New Roman" w:hAnsi="Times New Roman" w:cs="Times New Roman"/>
        </w:rPr>
        <w:t>, which is frequently referred to as "executive aggrandizement," could weaken the function of checks and balances unless explicit deadlines, supervision procedures, and accountability structures are put in place.</w:t>
      </w:r>
    </w:p>
    <w:p w14:paraId="3E15CFAF" w14:textId="77777777" w:rsidR="006B27BF" w:rsidRPr="00A077A9" w:rsidRDefault="006B27BF" w:rsidP="00D84D70">
      <w:pPr>
        <w:spacing w:after="0" w:line="360" w:lineRule="auto"/>
        <w:jc w:val="both"/>
        <w:rPr>
          <w:rFonts w:ascii="Times New Roman" w:hAnsi="Times New Roman" w:cs="Times New Roman"/>
          <w:b/>
          <w:bCs/>
          <w:sz w:val="28"/>
          <w:szCs w:val="28"/>
        </w:rPr>
      </w:pPr>
    </w:p>
    <w:p w14:paraId="29397C53" w14:textId="018A9F81" w:rsidR="00102516" w:rsidRPr="0054462E" w:rsidRDefault="00BB7C94" w:rsidP="00D84D70">
      <w:pPr>
        <w:spacing w:after="0" w:line="360" w:lineRule="auto"/>
        <w:jc w:val="both"/>
        <w:rPr>
          <w:rFonts w:ascii="Times New Roman" w:hAnsi="Times New Roman" w:cs="Times New Roman"/>
        </w:rPr>
      </w:pPr>
      <w:r w:rsidRPr="00A077A9">
        <w:rPr>
          <w:rFonts w:ascii="Times New Roman" w:hAnsi="Times New Roman" w:cs="Times New Roman"/>
          <w:b/>
          <w:bCs/>
          <w:sz w:val="28"/>
          <w:szCs w:val="28"/>
        </w:rPr>
        <w:t>Fundamental Rights and Civil Liberties:</w:t>
      </w:r>
      <w:r w:rsidRPr="0054462E">
        <w:rPr>
          <w:rFonts w:ascii="Times New Roman" w:hAnsi="Times New Roman" w:cs="Times New Roman"/>
          <w:b/>
          <w:bCs/>
        </w:rPr>
        <w:t xml:space="preserve"> </w:t>
      </w:r>
      <w:r w:rsidR="00102516" w:rsidRPr="0054462E">
        <w:rPr>
          <w:rFonts w:ascii="Times New Roman" w:hAnsi="Times New Roman" w:cs="Times New Roman"/>
        </w:rPr>
        <w:t>The pandemic resulted in significant restrictions on freedom of travel, assembly, occupation, education, and even religion. Though many of these were justified on public health grounds, their length and sometimes arbitrary character has sparked discussion over the proportionality and constitutionality of emergency restrictions. The migrant crisis, internet shutdowns, and mandated health surveillance in India exposed flaws in Article 21's execution. Globally, this has resulted in greater support for enhancing social and economic rights, particularly the right to health and social security, as enforceable constitutional guarantees.</w:t>
      </w:r>
    </w:p>
    <w:p w14:paraId="10ED784F" w14:textId="77777777" w:rsidR="006B27BF" w:rsidRDefault="006B27BF" w:rsidP="00D84D70">
      <w:pPr>
        <w:spacing w:after="0" w:line="360" w:lineRule="auto"/>
        <w:jc w:val="both"/>
        <w:rPr>
          <w:rFonts w:ascii="Times New Roman" w:hAnsi="Times New Roman" w:cs="Times New Roman"/>
          <w:b/>
          <w:bCs/>
        </w:rPr>
      </w:pPr>
    </w:p>
    <w:p w14:paraId="21AE145A" w14:textId="65CD52C7" w:rsidR="00244577" w:rsidRPr="0054462E" w:rsidRDefault="00720C9B" w:rsidP="00D84D70">
      <w:pPr>
        <w:spacing w:after="0" w:line="360" w:lineRule="auto"/>
        <w:jc w:val="both"/>
        <w:rPr>
          <w:rFonts w:ascii="Times New Roman" w:hAnsi="Times New Roman" w:cs="Times New Roman"/>
        </w:rPr>
      </w:pPr>
      <w:r w:rsidRPr="000C09C1">
        <w:rPr>
          <w:rFonts w:ascii="Times New Roman" w:hAnsi="Times New Roman" w:cs="Times New Roman"/>
          <w:b/>
          <w:bCs/>
          <w:sz w:val="28"/>
          <w:szCs w:val="28"/>
        </w:rPr>
        <w:t xml:space="preserve">Digital Surveillance and Privacy: </w:t>
      </w:r>
      <w:r w:rsidR="00244577" w:rsidRPr="0054462E">
        <w:rPr>
          <w:rFonts w:ascii="Times New Roman" w:hAnsi="Times New Roman" w:cs="Times New Roman"/>
        </w:rPr>
        <w:t>The use of contact-tracing apps, health data gathering, and mobility monitoring highlighted the importance of data privacy and informational autonomy. Many countries, notably India (Aarogya Setu App), have deployed such monitoring systems without a valid data protection law or user consent procedures. This raises concerns about long-term state surveillance, possible exploitation of personal data, and a breach of the right to privacy, as acknowledged in Justice K.S. Puttaswamy v. Union of India (2017). As a result, several legal scholars are advocating for a Digital Bill of Rights or constitutional provisions for data privacy to prevent the misuse of emergency digital technologies in non-emergency situations.</w:t>
      </w:r>
    </w:p>
    <w:p w14:paraId="3BD56666" w14:textId="77777777" w:rsidR="006B27BF" w:rsidRDefault="006B27BF" w:rsidP="00D84D70">
      <w:pPr>
        <w:spacing w:after="0" w:line="360" w:lineRule="auto"/>
        <w:jc w:val="both"/>
        <w:rPr>
          <w:rFonts w:ascii="Times New Roman" w:hAnsi="Times New Roman" w:cs="Times New Roman"/>
          <w:b/>
          <w:bCs/>
        </w:rPr>
      </w:pPr>
    </w:p>
    <w:p w14:paraId="3C41559C" w14:textId="012D2447" w:rsidR="002A4E63" w:rsidRPr="0054462E" w:rsidRDefault="009017E2" w:rsidP="00D84D70">
      <w:pPr>
        <w:spacing w:after="0" w:line="360" w:lineRule="auto"/>
        <w:jc w:val="both"/>
        <w:rPr>
          <w:rFonts w:ascii="Times New Roman" w:hAnsi="Times New Roman" w:cs="Times New Roman"/>
        </w:rPr>
      </w:pPr>
      <w:r w:rsidRPr="000C09C1">
        <w:rPr>
          <w:rFonts w:ascii="Times New Roman" w:hAnsi="Times New Roman" w:cs="Times New Roman"/>
          <w:b/>
          <w:bCs/>
          <w:sz w:val="28"/>
          <w:szCs w:val="28"/>
        </w:rPr>
        <w:t xml:space="preserve">Judicial Role and Institutional Trust: </w:t>
      </w:r>
      <w:r w:rsidR="002A4E63" w:rsidRPr="0054462E">
        <w:rPr>
          <w:rFonts w:ascii="Times New Roman" w:hAnsi="Times New Roman" w:cs="Times New Roman"/>
        </w:rPr>
        <w:t xml:space="preserve">Initially, many courts took a hands-off attitude, noting the importance of executive flexibility. However, as time passed, courts became more assertive, assessing pandemic measures, establishing proportionality, and imposing remedies </w:t>
      </w:r>
      <w:r w:rsidR="002A4E63" w:rsidRPr="0054462E">
        <w:rPr>
          <w:rFonts w:ascii="Times New Roman" w:hAnsi="Times New Roman" w:cs="Times New Roman"/>
        </w:rPr>
        <w:lastRenderedPageBreak/>
        <w:t>in circumstances such as oxygen shortages in India. This change emphasizes the significance of an independent judiciary as a constitutional safeguard, particularly when other branches are weakened or compromised during a crisis.</w:t>
      </w:r>
    </w:p>
    <w:p w14:paraId="0B0D7D25" w14:textId="77777777" w:rsidR="006B27BF" w:rsidRDefault="006B27BF" w:rsidP="00D84D70">
      <w:pPr>
        <w:spacing w:after="0" w:line="360" w:lineRule="auto"/>
        <w:jc w:val="both"/>
        <w:rPr>
          <w:rFonts w:ascii="Times New Roman" w:hAnsi="Times New Roman" w:cs="Times New Roman"/>
          <w:b/>
          <w:bCs/>
          <w:sz w:val="32"/>
          <w:szCs w:val="32"/>
        </w:rPr>
      </w:pPr>
    </w:p>
    <w:p w14:paraId="4D93F280" w14:textId="20FFC2D9" w:rsidR="00710359" w:rsidRPr="0054462E" w:rsidRDefault="00803694" w:rsidP="00D84D70">
      <w:pPr>
        <w:spacing w:after="0" w:line="360" w:lineRule="auto"/>
        <w:jc w:val="both"/>
        <w:rPr>
          <w:rFonts w:ascii="Times New Roman" w:hAnsi="Times New Roman" w:cs="Times New Roman"/>
        </w:rPr>
      </w:pPr>
      <w:r w:rsidRPr="00803694">
        <w:rPr>
          <w:rFonts w:ascii="Times New Roman" w:hAnsi="Times New Roman" w:cs="Times New Roman"/>
          <w:b/>
          <w:bCs/>
          <w:sz w:val="32"/>
          <w:szCs w:val="32"/>
          <w:u w:val="single"/>
        </w:rPr>
        <w:t>RECOMMENDATIONS FOR STRENGTHENING THE CONSTITUTIONAL RESPONSE TO PANDEMICS:</w:t>
      </w:r>
      <w:r w:rsidRPr="00736353">
        <w:rPr>
          <w:rFonts w:ascii="Times New Roman" w:hAnsi="Times New Roman" w:cs="Times New Roman"/>
          <w:b/>
          <w:bCs/>
          <w:sz w:val="32"/>
          <w:szCs w:val="32"/>
        </w:rPr>
        <w:t xml:space="preserve"> </w:t>
      </w:r>
      <w:r w:rsidR="00710359" w:rsidRPr="0054462E">
        <w:rPr>
          <w:rFonts w:ascii="Times New Roman" w:hAnsi="Times New Roman" w:cs="Times New Roman"/>
        </w:rPr>
        <w:t>The COVID-19 outbreak has highlighted serious inadequacies in constitutional and legal systems around the world. To ensure a balanced, rights-based, and effective response to future public health emergencies, various recommendations for strengthening constitutional governance might be offered.</w:t>
      </w:r>
    </w:p>
    <w:p w14:paraId="0D65E2B7" w14:textId="77777777" w:rsidR="006B27BF" w:rsidRDefault="006B27BF" w:rsidP="00D84D70">
      <w:pPr>
        <w:spacing w:after="0" w:line="360" w:lineRule="auto"/>
        <w:jc w:val="both"/>
        <w:rPr>
          <w:rFonts w:ascii="Times New Roman" w:hAnsi="Times New Roman" w:cs="Times New Roman"/>
          <w:b/>
          <w:bCs/>
        </w:rPr>
      </w:pPr>
    </w:p>
    <w:p w14:paraId="28109174" w14:textId="1F86B1F6" w:rsidR="00D05073" w:rsidRPr="0054462E" w:rsidRDefault="003F7D57" w:rsidP="00D84D70">
      <w:pPr>
        <w:spacing w:after="0" w:line="360" w:lineRule="auto"/>
        <w:jc w:val="both"/>
        <w:rPr>
          <w:rFonts w:ascii="Times New Roman" w:hAnsi="Times New Roman" w:cs="Times New Roman"/>
        </w:rPr>
      </w:pPr>
      <w:r w:rsidRPr="00A077A9">
        <w:rPr>
          <w:rFonts w:ascii="Times New Roman" w:hAnsi="Times New Roman" w:cs="Times New Roman"/>
          <w:b/>
          <w:bCs/>
          <w:sz w:val="28"/>
          <w:szCs w:val="28"/>
        </w:rPr>
        <w:t>Codify public health emergencies:</w:t>
      </w:r>
      <w:r w:rsidRPr="00A077A9">
        <w:rPr>
          <w:rFonts w:ascii="Times New Roman" w:hAnsi="Times New Roman" w:cs="Times New Roman"/>
          <w:sz w:val="28"/>
          <w:szCs w:val="28"/>
        </w:rPr>
        <w:t xml:space="preserve"> </w:t>
      </w:r>
      <w:r w:rsidRPr="0054462E">
        <w:rPr>
          <w:rFonts w:ascii="Times New Roman" w:hAnsi="Times New Roman" w:cs="Times New Roman"/>
        </w:rPr>
        <w:t>Countries should have precise constitutional or legislative provisions that define public health emergencies, including the extent, duration, and limits of emergency authorities. This guarantees that decisions are clear, lawful, and accountable, as opposed to depending on antiquated or ambiguous regulations such as India's Epidemic Diseases Act of 1897.</w:t>
      </w:r>
    </w:p>
    <w:p w14:paraId="4BA1165C" w14:textId="77777777" w:rsidR="006B27BF" w:rsidRDefault="006B27BF" w:rsidP="00D84D70">
      <w:pPr>
        <w:spacing w:after="0" w:line="360" w:lineRule="auto"/>
        <w:jc w:val="both"/>
        <w:rPr>
          <w:rFonts w:ascii="Times New Roman" w:hAnsi="Times New Roman" w:cs="Times New Roman"/>
          <w:b/>
          <w:bCs/>
        </w:rPr>
      </w:pPr>
    </w:p>
    <w:p w14:paraId="2572B71C" w14:textId="18B750BD" w:rsidR="008F33B4" w:rsidRDefault="00F84325" w:rsidP="00D84D70">
      <w:pPr>
        <w:spacing w:after="0" w:line="360" w:lineRule="auto"/>
        <w:jc w:val="both"/>
        <w:rPr>
          <w:rFonts w:ascii="Times New Roman" w:hAnsi="Times New Roman" w:cs="Times New Roman"/>
        </w:rPr>
      </w:pPr>
      <w:r w:rsidRPr="00A077A9">
        <w:rPr>
          <w:rFonts w:ascii="Times New Roman" w:hAnsi="Times New Roman" w:cs="Times New Roman"/>
          <w:b/>
          <w:bCs/>
          <w:sz w:val="28"/>
          <w:szCs w:val="28"/>
        </w:rPr>
        <w:t>Strengthen judicial oversight:</w:t>
      </w:r>
      <w:r w:rsidRPr="00A077A9">
        <w:rPr>
          <w:rFonts w:ascii="Times New Roman" w:hAnsi="Times New Roman" w:cs="Times New Roman"/>
          <w:sz w:val="28"/>
          <w:szCs w:val="28"/>
        </w:rPr>
        <w:t xml:space="preserve"> </w:t>
      </w:r>
      <w:r w:rsidRPr="0054462E">
        <w:rPr>
          <w:rFonts w:ascii="Times New Roman" w:hAnsi="Times New Roman" w:cs="Times New Roman"/>
        </w:rPr>
        <w:t>Courts must take an active role in assessing executive actions during health crises to verify that emergency measures are proportional and required. Judicial scrutiny serves as an important check on executive overreach and safeguards fundamental rights even in extreme circumstances.</w:t>
      </w:r>
    </w:p>
    <w:p w14:paraId="22970307" w14:textId="77777777" w:rsidR="006B27BF" w:rsidRDefault="006B27BF" w:rsidP="00D84D70">
      <w:pPr>
        <w:spacing w:after="0" w:line="360" w:lineRule="auto"/>
        <w:jc w:val="both"/>
        <w:rPr>
          <w:rFonts w:ascii="Times New Roman" w:hAnsi="Times New Roman" w:cs="Times New Roman"/>
          <w:b/>
          <w:bCs/>
        </w:rPr>
      </w:pPr>
    </w:p>
    <w:p w14:paraId="4D696969" w14:textId="7DE3ADFF" w:rsidR="00F84325" w:rsidRPr="0054462E" w:rsidRDefault="00F84325" w:rsidP="00D84D70">
      <w:pPr>
        <w:spacing w:after="0" w:line="360" w:lineRule="auto"/>
        <w:jc w:val="both"/>
        <w:rPr>
          <w:rFonts w:ascii="Times New Roman" w:hAnsi="Times New Roman" w:cs="Times New Roman"/>
        </w:rPr>
      </w:pPr>
      <w:r w:rsidRPr="00A077A9">
        <w:rPr>
          <w:rFonts w:ascii="Times New Roman" w:hAnsi="Times New Roman" w:cs="Times New Roman"/>
          <w:b/>
          <w:bCs/>
          <w:sz w:val="28"/>
          <w:szCs w:val="28"/>
        </w:rPr>
        <w:t>Enhance federal coordination:</w:t>
      </w:r>
      <w:r w:rsidRPr="0054462E">
        <w:rPr>
          <w:rFonts w:ascii="Times New Roman" w:hAnsi="Times New Roman" w:cs="Times New Roman"/>
        </w:rPr>
        <w:t xml:space="preserve"> Federal systems must clearly define the roles and responsibilities of the Union and the States in public health. India's experience with COVID-19 shown how ambiguous federal roles caused tensions and inefficiencies. Strengthening intergovernmental collaboration through constitutional or institutional structures can help with pandemic management.</w:t>
      </w:r>
    </w:p>
    <w:p w14:paraId="6081FC61" w14:textId="77777777" w:rsidR="006B27BF" w:rsidRDefault="006B27BF" w:rsidP="00D84D70">
      <w:pPr>
        <w:spacing w:after="0" w:line="360" w:lineRule="auto"/>
        <w:jc w:val="both"/>
        <w:rPr>
          <w:rFonts w:ascii="Times New Roman" w:hAnsi="Times New Roman" w:cs="Times New Roman"/>
          <w:b/>
          <w:bCs/>
        </w:rPr>
      </w:pPr>
    </w:p>
    <w:p w14:paraId="63357AC7" w14:textId="165BF2E5" w:rsidR="00F31779" w:rsidRPr="0054462E" w:rsidRDefault="00057E1D" w:rsidP="00D84D70">
      <w:pPr>
        <w:spacing w:after="0" w:line="360" w:lineRule="auto"/>
        <w:jc w:val="both"/>
        <w:rPr>
          <w:rFonts w:ascii="Times New Roman" w:hAnsi="Times New Roman" w:cs="Times New Roman"/>
        </w:rPr>
      </w:pPr>
      <w:r w:rsidRPr="00A077A9">
        <w:rPr>
          <w:rFonts w:ascii="Times New Roman" w:hAnsi="Times New Roman" w:cs="Times New Roman"/>
          <w:b/>
          <w:bCs/>
          <w:sz w:val="28"/>
          <w:szCs w:val="28"/>
        </w:rPr>
        <w:t>Protect Digital and Privacy Rights:</w:t>
      </w:r>
      <w:r w:rsidRPr="00A077A9">
        <w:rPr>
          <w:rFonts w:ascii="Times New Roman" w:hAnsi="Times New Roman" w:cs="Times New Roman"/>
          <w:sz w:val="28"/>
          <w:szCs w:val="28"/>
        </w:rPr>
        <w:t xml:space="preserve"> </w:t>
      </w:r>
      <w:r w:rsidRPr="0054462E">
        <w:rPr>
          <w:rFonts w:ascii="Times New Roman" w:hAnsi="Times New Roman" w:cs="Times New Roman"/>
        </w:rPr>
        <w:t>Governments should establish data protection legislation to control surveillance tools like contact tracing apps. Such procedures must respect the right to privacy, obtain consent, and involve independent oversight to prevent personal data misuse.</w:t>
      </w:r>
    </w:p>
    <w:p w14:paraId="45F7E220" w14:textId="77777777" w:rsidR="006B27BF" w:rsidRDefault="006B27BF" w:rsidP="00D84D70">
      <w:pPr>
        <w:spacing w:after="0" w:line="360" w:lineRule="auto"/>
        <w:jc w:val="both"/>
        <w:rPr>
          <w:rFonts w:ascii="Times New Roman" w:hAnsi="Times New Roman" w:cs="Times New Roman"/>
          <w:b/>
          <w:bCs/>
        </w:rPr>
      </w:pPr>
    </w:p>
    <w:p w14:paraId="47DC7E66" w14:textId="75BBF020" w:rsidR="001C1C20" w:rsidRPr="0054462E" w:rsidRDefault="00057E1D" w:rsidP="00D84D70">
      <w:pPr>
        <w:spacing w:after="0" w:line="360" w:lineRule="auto"/>
        <w:jc w:val="both"/>
        <w:rPr>
          <w:rFonts w:ascii="Times New Roman" w:hAnsi="Times New Roman" w:cs="Times New Roman"/>
        </w:rPr>
      </w:pPr>
      <w:r w:rsidRPr="00A077A9">
        <w:rPr>
          <w:rFonts w:ascii="Times New Roman" w:hAnsi="Times New Roman" w:cs="Times New Roman"/>
          <w:b/>
          <w:bCs/>
          <w:sz w:val="28"/>
          <w:szCs w:val="28"/>
        </w:rPr>
        <w:t>Promote transparency and accountability</w:t>
      </w:r>
      <w:r w:rsidR="000D13A0" w:rsidRPr="00A077A9">
        <w:rPr>
          <w:rFonts w:ascii="Times New Roman" w:hAnsi="Times New Roman" w:cs="Times New Roman"/>
          <w:b/>
          <w:bCs/>
          <w:sz w:val="28"/>
          <w:szCs w:val="28"/>
        </w:rPr>
        <w:t>:</w:t>
      </w:r>
      <w:r w:rsidR="000D13A0" w:rsidRPr="00A077A9">
        <w:rPr>
          <w:rFonts w:ascii="Times New Roman" w:hAnsi="Times New Roman" w:cs="Times New Roman"/>
          <w:sz w:val="28"/>
          <w:szCs w:val="28"/>
        </w:rPr>
        <w:t xml:space="preserve"> </w:t>
      </w:r>
      <w:r w:rsidRPr="0054462E">
        <w:rPr>
          <w:rFonts w:ascii="Times New Roman" w:hAnsi="Times New Roman" w:cs="Times New Roman"/>
        </w:rPr>
        <w:t>Decision-making in an emergency must be available to public review. Laws should require regular parliamentary supervision, public reporting, and sunset clauses for all emergency legislation in order to prevent the irreversible deterioration of democratic standards.</w:t>
      </w:r>
      <w:r w:rsidR="000D13A0" w:rsidRPr="0054462E">
        <w:rPr>
          <w:rFonts w:ascii="Times New Roman" w:hAnsi="Times New Roman" w:cs="Times New Roman"/>
        </w:rPr>
        <w:t xml:space="preserve"> </w:t>
      </w:r>
      <w:r w:rsidRPr="0054462E">
        <w:rPr>
          <w:rFonts w:ascii="Times New Roman" w:hAnsi="Times New Roman" w:cs="Times New Roman"/>
        </w:rPr>
        <w:t>Constitutional frameworks must adapt to be prepared, principled, and people-centric in order to protect both public health and democratic principles during future pandemics.</w:t>
      </w:r>
    </w:p>
    <w:p w14:paraId="2148E9D5" w14:textId="77777777" w:rsidR="006B27BF" w:rsidRDefault="006B27BF" w:rsidP="00D84D70">
      <w:pPr>
        <w:spacing w:after="0" w:line="360" w:lineRule="auto"/>
        <w:jc w:val="both"/>
        <w:rPr>
          <w:rFonts w:ascii="Times New Roman" w:hAnsi="Times New Roman" w:cs="Times New Roman"/>
          <w:b/>
          <w:bCs/>
          <w:sz w:val="32"/>
          <w:szCs w:val="32"/>
        </w:rPr>
      </w:pPr>
    </w:p>
    <w:p w14:paraId="26F7A7A5" w14:textId="51AAD20C" w:rsidR="00057E1D" w:rsidRPr="0054462E" w:rsidRDefault="00425D9B" w:rsidP="00D84D70">
      <w:pPr>
        <w:spacing w:after="0" w:line="360" w:lineRule="auto"/>
        <w:jc w:val="both"/>
        <w:rPr>
          <w:rFonts w:ascii="Times New Roman" w:hAnsi="Times New Roman" w:cs="Times New Roman"/>
        </w:rPr>
      </w:pPr>
      <w:r w:rsidRPr="00A077A9">
        <w:rPr>
          <w:rFonts w:ascii="Times New Roman" w:hAnsi="Times New Roman" w:cs="Times New Roman"/>
          <w:b/>
          <w:bCs/>
          <w:sz w:val="32"/>
          <w:szCs w:val="32"/>
          <w:u w:val="single"/>
        </w:rPr>
        <w:t>CONCLUSION:</w:t>
      </w:r>
      <w:r w:rsidRPr="00425D9B">
        <w:rPr>
          <w:rFonts w:ascii="Times New Roman" w:hAnsi="Times New Roman" w:cs="Times New Roman"/>
          <w:b/>
          <w:bCs/>
          <w:sz w:val="32"/>
          <w:szCs w:val="32"/>
        </w:rPr>
        <w:t xml:space="preserve"> </w:t>
      </w:r>
      <w:r w:rsidR="00E60D2B" w:rsidRPr="0054462E">
        <w:rPr>
          <w:rFonts w:ascii="Times New Roman" w:hAnsi="Times New Roman" w:cs="Times New Roman"/>
        </w:rPr>
        <w:t>The COVID-19 outbreak has emerged as a watershed constitutional event for democracies around the world. It demonstrated the strengths and weaknesses of current legal and institutional frameworks for managing public health emergencies while upholding constitutional values. Across countries, whether with codified or unwritten constitutions, federal or unitary systems, governments responded with unprecedented measures that had a substantial impact on civil freedoms, democratic processes, and institutional power balances. The pandemic reaction in India brought to light significant constitutional issues like as an overreliance on old colonial-era legislation, tensions in the federal system, suspension of fundamental rights, digital surveillance without privacy safeguards, and initial judicial hesitation.</w:t>
      </w:r>
      <w:r w:rsidR="001F47E1" w:rsidRPr="0054462E">
        <w:rPr>
          <w:rFonts w:ascii="Times New Roman" w:hAnsi="Times New Roman" w:cs="Times New Roman"/>
        </w:rPr>
        <w:t xml:space="preserve"> Similar tendencies were noticed worldwide, while the particular legislative remedies differed depending on each country's constitutional system. In the United States, state autonomy characterized the pandemic response; in the United Kingdom, unfettered executive discretion caused concerns; South Africa stressed proportionality and rights protections through active judicial engagement; and Australia's federal lockdown policy was upheld by the courts. In the early stages of the crisis, a consistent trend across countries was the growth of executive power while legislative and judicial functions were limited. While emergency measures were frequently required, their long-term normalization poses a significant threat to democratic governance and individual rights.</w:t>
      </w:r>
      <w:r w:rsidR="00C90F28" w:rsidRPr="0054462E">
        <w:rPr>
          <w:rFonts w:ascii="Times New Roman" w:hAnsi="Times New Roman" w:cs="Times New Roman"/>
        </w:rPr>
        <w:t xml:space="preserve"> There is an urgent need to reconsider and change constitutional structures to ensure that emergency responses are lawful, rights-respecting, transparent, and accountable. Moving ahead, constitutional frameworks must include clearer health-emergency language, increased federal cooperation, strong judicial scrutiny, and digital rights protections.</w:t>
      </w:r>
      <w:r w:rsidR="001C1C20" w:rsidRPr="0054462E">
        <w:rPr>
          <w:rFonts w:ascii="Times New Roman" w:hAnsi="Times New Roman" w:cs="Times New Roman"/>
        </w:rPr>
        <w:t xml:space="preserve"> </w:t>
      </w:r>
      <w:r w:rsidR="00C90F28" w:rsidRPr="0054462E">
        <w:rPr>
          <w:rFonts w:ascii="Times New Roman" w:hAnsi="Times New Roman" w:cs="Times New Roman"/>
        </w:rPr>
        <w:t>Pandemics will eventually pass, but constitutional values must persist. A resilient constitution is one that adjusts wisely, balancing security with liberty and urgency with accountability, to defend all people's dignity and rights, particularly during times of crisis.</w:t>
      </w:r>
    </w:p>
    <w:p w14:paraId="4C28CD6D" w14:textId="77777777" w:rsidR="00F84325" w:rsidRPr="0054462E" w:rsidRDefault="00F84325" w:rsidP="00D84D70">
      <w:pPr>
        <w:spacing w:after="0" w:line="360" w:lineRule="auto"/>
        <w:jc w:val="both"/>
        <w:rPr>
          <w:rFonts w:ascii="Times New Roman" w:hAnsi="Times New Roman" w:cs="Times New Roman"/>
        </w:rPr>
      </w:pPr>
    </w:p>
    <w:p w14:paraId="6DA5F355" w14:textId="77777777" w:rsidR="00720C9B" w:rsidRPr="00244577" w:rsidRDefault="00720C9B" w:rsidP="00D84D70">
      <w:pPr>
        <w:spacing w:after="0" w:line="360" w:lineRule="auto"/>
        <w:jc w:val="both"/>
        <w:rPr>
          <w:rFonts w:ascii="Times New Roman" w:hAnsi="Times New Roman" w:cs="Times New Roman"/>
          <w:sz w:val="28"/>
          <w:szCs w:val="28"/>
        </w:rPr>
      </w:pPr>
    </w:p>
    <w:p w14:paraId="64F29929" w14:textId="77777777" w:rsidR="00BB7C94" w:rsidRPr="00102516" w:rsidRDefault="00BB7C94" w:rsidP="00D84D70">
      <w:pPr>
        <w:spacing w:after="0" w:line="360" w:lineRule="auto"/>
        <w:jc w:val="both"/>
        <w:rPr>
          <w:rFonts w:ascii="Times New Roman" w:hAnsi="Times New Roman" w:cs="Times New Roman"/>
          <w:sz w:val="28"/>
          <w:szCs w:val="28"/>
        </w:rPr>
      </w:pPr>
    </w:p>
    <w:p w14:paraId="0CD7E972" w14:textId="38B0808E" w:rsidR="00081432" w:rsidRPr="007554B8" w:rsidRDefault="00081432" w:rsidP="00D84D70">
      <w:pPr>
        <w:spacing w:after="0" w:line="360" w:lineRule="auto"/>
        <w:jc w:val="both"/>
        <w:rPr>
          <w:rFonts w:ascii="Times New Roman" w:hAnsi="Times New Roman" w:cs="Times New Roman"/>
        </w:rPr>
      </w:pPr>
    </w:p>
    <w:p w14:paraId="0C34F6A6" w14:textId="52237768" w:rsidR="00294A5D" w:rsidRPr="007554B8" w:rsidRDefault="00294A5D" w:rsidP="00D84D70">
      <w:pPr>
        <w:spacing w:after="0" w:line="360" w:lineRule="auto"/>
        <w:jc w:val="both"/>
        <w:rPr>
          <w:rFonts w:ascii="Times New Roman" w:hAnsi="Times New Roman" w:cs="Times New Roman"/>
          <w:sz w:val="28"/>
          <w:szCs w:val="28"/>
        </w:rPr>
      </w:pPr>
    </w:p>
    <w:p w14:paraId="4CA90F64" w14:textId="66E7076F" w:rsidR="00097F1C" w:rsidRPr="007554B8" w:rsidRDefault="00097F1C" w:rsidP="00D84D70">
      <w:pPr>
        <w:spacing w:after="0" w:line="360" w:lineRule="auto"/>
        <w:jc w:val="both"/>
        <w:rPr>
          <w:rFonts w:ascii="Times New Roman" w:hAnsi="Times New Roman" w:cs="Times New Roman"/>
          <w:sz w:val="28"/>
          <w:szCs w:val="28"/>
        </w:rPr>
      </w:pPr>
    </w:p>
    <w:p w14:paraId="11DEE081" w14:textId="600BBBCA" w:rsidR="00D82D84" w:rsidRPr="00D82D84" w:rsidRDefault="00D82D84" w:rsidP="00D84D70">
      <w:pPr>
        <w:spacing w:after="0" w:line="360" w:lineRule="auto"/>
        <w:jc w:val="both"/>
        <w:rPr>
          <w:rFonts w:ascii="Times New Roman" w:hAnsi="Times New Roman" w:cs="Times New Roman"/>
          <w:sz w:val="28"/>
          <w:szCs w:val="28"/>
        </w:rPr>
      </w:pPr>
    </w:p>
    <w:p w14:paraId="2120292E" w14:textId="77777777" w:rsidR="00F378FA" w:rsidRPr="00D82D84" w:rsidRDefault="00F378FA" w:rsidP="00D84D70">
      <w:pPr>
        <w:spacing w:after="0" w:line="360" w:lineRule="auto"/>
        <w:jc w:val="both"/>
        <w:rPr>
          <w:rFonts w:ascii="Times New Roman" w:hAnsi="Times New Roman" w:cs="Times New Roman"/>
          <w:sz w:val="28"/>
          <w:szCs w:val="28"/>
        </w:rPr>
      </w:pPr>
    </w:p>
    <w:p w14:paraId="12AA37E5" w14:textId="68914AB1" w:rsidR="006A4B8D" w:rsidRPr="00D82D84" w:rsidRDefault="006A4B8D" w:rsidP="00D84D70">
      <w:pPr>
        <w:spacing w:after="0" w:line="360" w:lineRule="auto"/>
        <w:jc w:val="both"/>
        <w:rPr>
          <w:rFonts w:ascii="Times New Roman" w:hAnsi="Times New Roman" w:cs="Times New Roman"/>
          <w:sz w:val="28"/>
          <w:szCs w:val="28"/>
        </w:rPr>
      </w:pPr>
    </w:p>
    <w:p w14:paraId="35FFD3F3" w14:textId="272F0CC8" w:rsidR="00160416" w:rsidRPr="00160416" w:rsidRDefault="00160416" w:rsidP="00D84D70">
      <w:pPr>
        <w:spacing w:after="0" w:line="360" w:lineRule="auto"/>
        <w:jc w:val="both"/>
        <w:rPr>
          <w:rFonts w:ascii="Times New Roman" w:hAnsi="Times New Roman" w:cs="Times New Roman"/>
          <w:sz w:val="28"/>
          <w:szCs w:val="28"/>
        </w:rPr>
      </w:pPr>
    </w:p>
    <w:p w14:paraId="2E469ED3" w14:textId="77777777" w:rsidR="00160416" w:rsidRPr="00D82D84" w:rsidRDefault="00160416" w:rsidP="00D84D70">
      <w:pPr>
        <w:spacing w:after="0" w:line="360" w:lineRule="auto"/>
        <w:jc w:val="both"/>
        <w:rPr>
          <w:rFonts w:ascii="Times New Roman" w:hAnsi="Times New Roman" w:cs="Times New Roman"/>
          <w:sz w:val="28"/>
          <w:szCs w:val="28"/>
        </w:rPr>
      </w:pPr>
    </w:p>
    <w:p w14:paraId="3DF10D3B" w14:textId="22CEBF9F" w:rsidR="00BB47E2" w:rsidRPr="00BB47E2" w:rsidRDefault="00BB47E2" w:rsidP="00D84D70">
      <w:pPr>
        <w:spacing w:after="0" w:line="360" w:lineRule="auto"/>
        <w:jc w:val="both"/>
        <w:rPr>
          <w:rFonts w:ascii="Times New Roman" w:hAnsi="Times New Roman" w:cs="Times New Roman"/>
          <w:sz w:val="28"/>
          <w:szCs w:val="28"/>
        </w:rPr>
      </w:pPr>
    </w:p>
    <w:p w14:paraId="666F10B9" w14:textId="68E96E1E" w:rsidR="006B55F0" w:rsidRPr="006B55F0" w:rsidRDefault="006B55F0" w:rsidP="00D84D70">
      <w:pPr>
        <w:spacing w:after="0" w:line="360" w:lineRule="auto"/>
        <w:jc w:val="both"/>
        <w:rPr>
          <w:rFonts w:ascii="Times New Roman" w:hAnsi="Times New Roman" w:cs="Times New Roman"/>
          <w:sz w:val="28"/>
          <w:szCs w:val="28"/>
        </w:rPr>
      </w:pPr>
    </w:p>
    <w:p w14:paraId="0D941CF1" w14:textId="4DE1836A" w:rsidR="008E40CC" w:rsidRPr="006B55F0" w:rsidRDefault="008E40CC" w:rsidP="00D84D70">
      <w:pPr>
        <w:spacing w:after="0" w:line="360" w:lineRule="auto"/>
        <w:jc w:val="both"/>
        <w:rPr>
          <w:rFonts w:ascii="Times New Roman" w:hAnsi="Times New Roman" w:cs="Times New Roman"/>
          <w:sz w:val="28"/>
          <w:szCs w:val="28"/>
        </w:rPr>
      </w:pPr>
    </w:p>
    <w:p w14:paraId="38B8460B" w14:textId="062709FE" w:rsidR="008E40CC" w:rsidRPr="008E40CC" w:rsidRDefault="008E40CC" w:rsidP="00D84D70">
      <w:pPr>
        <w:spacing w:after="0" w:line="360" w:lineRule="auto"/>
        <w:jc w:val="both"/>
      </w:pPr>
    </w:p>
    <w:p w14:paraId="547A654D" w14:textId="1063EF30" w:rsidR="008E40CC" w:rsidRPr="008E40CC" w:rsidRDefault="008E40CC" w:rsidP="00D84D70">
      <w:pPr>
        <w:spacing w:after="0" w:line="360" w:lineRule="auto"/>
        <w:jc w:val="both"/>
      </w:pPr>
    </w:p>
    <w:p w14:paraId="1A390FB9" w14:textId="77777777" w:rsidR="00752424" w:rsidRDefault="00752424" w:rsidP="00D84D70">
      <w:pPr>
        <w:spacing w:after="0" w:line="360" w:lineRule="auto"/>
        <w:jc w:val="both"/>
      </w:pPr>
    </w:p>
    <w:sectPr w:rsidR="007524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17DA7" w14:textId="77777777" w:rsidR="00DA1381" w:rsidRDefault="00DA1381" w:rsidP="008E40CC">
      <w:pPr>
        <w:spacing w:after="0" w:line="240" w:lineRule="auto"/>
      </w:pPr>
      <w:r>
        <w:separator/>
      </w:r>
    </w:p>
  </w:endnote>
  <w:endnote w:type="continuationSeparator" w:id="0">
    <w:p w14:paraId="0F292AFE" w14:textId="77777777" w:rsidR="00DA1381" w:rsidRDefault="00DA1381" w:rsidP="008E4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8A1C6" w14:textId="77777777" w:rsidR="00DA1381" w:rsidRDefault="00DA1381" w:rsidP="008E40CC">
      <w:pPr>
        <w:spacing w:after="0" w:line="240" w:lineRule="auto"/>
      </w:pPr>
      <w:r>
        <w:separator/>
      </w:r>
    </w:p>
  </w:footnote>
  <w:footnote w:type="continuationSeparator" w:id="0">
    <w:p w14:paraId="0C00B50C" w14:textId="77777777" w:rsidR="00DA1381" w:rsidRDefault="00DA1381" w:rsidP="008E40CC">
      <w:pPr>
        <w:spacing w:after="0" w:line="240" w:lineRule="auto"/>
      </w:pPr>
      <w:r>
        <w:continuationSeparator/>
      </w:r>
    </w:p>
  </w:footnote>
  <w:footnote w:id="1">
    <w:p w14:paraId="151A7321" w14:textId="1D3FB2A4" w:rsidR="008E40CC" w:rsidRPr="008E40CC" w:rsidRDefault="008E40CC">
      <w:pPr>
        <w:pStyle w:val="FootnoteText"/>
        <w:rPr>
          <w:lang w:val="en-US"/>
        </w:rPr>
      </w:pPr>
      <w:r>
        <w:rPr>
          <w:rStyle w:val="FootnoteReference"/>
        </w:rPr>
        <w:footnoteRef/>
      </w:r>
      <w:r>
        <w:t xml:space="preserve"> </w:t>
      </w:r>
      <w:r>
        <w:rPr>
          <w:lang w:val="en-US"/>
        </w:rPr>
        <w:t>2</w:t>
      </w:r>
      <w:r w:rsidRPr="008E40CC">
        <w:rPr>
          <w:vertAlign w:val="superscript"/>
          <w:lang w:val="en-US"/>
        </w:rPr>
        <w:t>ND</w:t>
      </w:r>
      <w:r>
        <w:rPr>
          <w:lang w:val="en-US"/>
        </w:rPr>
        <w:t xml:space="preserve"> Year LLM Constitutional Law and Legal Orders, Sathyabama Institute of Science and Technology, School of Law, </w:t>
      </w:r>
      <w:hyperlink r:id="rId1" w:history="1">
        <w:r w:rsidRPr="00872F5C">
          <w:rPr>
            <w:rStyle w:val="Hyperlink"/>
            <w:lang w:val="en-US"/>
          </w:rPr>
          <w:t>rku56283@gmail.com</w:t>
        </w:r>
      </w:hyperlink>
      <w:r>
        <w:rPr>
          <w:lang w:val="en-US"/>
        </w:rPr>
        <w:t>, 9677639118</w:t>
      </w:r>
    </w:p>
  </w:footnote>
  <w:footnote w:id="2">
    <w:p w14:paraId="4FA4E862" w14:textId="13111135" w:rsidR="009F0A6D" w:rsidRPr="009F0A6D" w:rsidRDefault="009F0A6D">
      <w:pPr>
        <w:pStyle w:val="FootnoteText"/>
        <w:rPr>
          <w:lang w:val="en-US"/>
        </w:rPr>
      </w:pPr>
      <w:r>
        <w:rPr>
          <w:rStyle w:val="FootnoteReference"/>
        </w:rPr>
        <w:footnoteRef/>
      </w:r>
      <w:r>
        <w:t xml:space="preserve"> </w:t>
      </w:r>
      <w:r w:rsidRPr="009F0A6D">
        <w:t>197 U.S. 11 (1905) – US SC</w:t>
      </w:r>
    </w:p>
  </w:footnote>
  <w:footnote w:id="3">
    <w:p w14:paraId="067606CB" w14:textId="79F24208" w:rsidR="007735F8" w:rsidRPr="007735F8" w:rsidRDefault="007735F8">
      <w:pPr>
        <w:pStyle w:val="FootnoteText"/>
        <w:rPr>
          <w:lang w:val="en-US"/>
        </w:rPr>
      </w:pPr>
      <w:r>
        <w:rPr>
          <w:rStyle w:val="FootnoteReference"/>
        </w:rPr>
        <w:footnoteRef/>
      </w:r>
      <w:r>
        <w:t xml:space="preserve"> </w:t>
      </w:r>
      <w:r w:rsidRPr="007735F8">
        <w:t>592 U.S. ___ (2020)</w:t>
      </w:r>
    </w:p>
  </w:footnote>
  <w:footnote w:id="4">
    <w:p w14:paraId="5E1D4928" w14:textId="072253BD" w:rsidR="00DC0426" w:rsidRDefault="00DC0426">
      <w:pPr>
        <w:pStyle w:val="FootnoteText"/>
      </w:pPr>
      <w:r>
        <w:rPr>
          <w:rStyle w:val="FootnoteReference"/>
        </w:rPr>
        <w:footnoteRef/>
      </w:r>
      <w:r>
        <w:t xml:space="preserve"> </w:t>
      </w:r>
      <w:r w:rsidR="007D0495" w:rsidRPr="007D0495">
        <w:t>[2021] HCA 5</w:t>
      </w:r>
    </w:p>
  </w:footnote>
  <w:footnote w:id="5">
    <w:p w14:paraId="0B3CB5CC" w14:textId="5FD3A6FD" w:rsidR="007E50A6" w:rsidRPr="007E50A6" w:rsidRDefault="007E50A6">
      <w:pPr>
        <w:pStyle w:val="FootnoteText"/>
        <w:rPr>
          <w:lang w:val="en-US"/>
        </w:rPr>
      </w:pPr>
      <w:r>
        <w:rPr>
          <w:rStyle w:val="FootnoteReference"/>
        </w:rPr>
        <w:footnoteRef/>
      </w:r>
      <w:r>
        <w:t xml:space="preserve"> </w:t>
      </w:r>
      <w:r w:rsidRPr="007E50A6">
        <w:t>10 SCC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A6AAE"/>
    <w:multiLevelType w:val="hybridMultilevel"/>
    <w:tmpl w:val="BBD6A44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CD41404"/>
    <w:multiLevelType w:val="hybridMultilevel"/>
    <w:tmpl w:val="1DA6B10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7486761">
    <w:abstractNumId w:val="1"/>
  </w:num>
  <w:num w:numId="2" w16cid:durableId="1487236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0CC"/>
    <w:rsid w:val="000044DC"/>
    <w:rsid w:val="000466B1"/>
    <w:rsid w:val="00057E1D"/>
    <w:rsid w:val="00081432"/>
    <w:rsid w:val="00097F1C"/>
    <w:rsid w:val="000C09C1"/>
    <w:rsid w:val="000D13A0"/>
    <w:rsid w:val="00102516"/>
    <w:rsid w:val="00124B30"/>
    <w:rsid w:val="00155FF0"/>
    <w:rsid w:val="00160416"/>
    <w:rsid w:val="001C1C20"/>
    <w:rsid w:val="001C3C80"/>
    <w:rsid w:val="001D0E5D"/>
    <w:rsid w:val="001D241C"/>
    <w:rsid w:val="001F47E1"/>
    <w:rsid w:val="00244577"/>
    <w:rsid w:val="00250336"/>
    <w:rsid w:val="00252358"/>
    <w:rsid w:val="002755F0"/>
    <w:rsid w:val="00285A22"/>
    <w:rsid w:val="002931EA"/>
    <w:rsid w:val="00294A5D"/>
    <w:rsid w:val="002A2953"/>
    <w:rsid w:val="002A4E63"/>
    <w:rsid w:val="002D726D"/>
    <w:rsid w:val="003013E5"/>
    <w:rsid w:val="003423C8"/>
    <w:rsid w:val="00392676"/>
    <w:rsid w:val="003B0C5B"/>
    <w:rsid w:val="003D6A58"/>
    <w:rsid w:val="003F7D57"/>
    <w:rsid w:val="00410CD3"/>
    <w:rsid w:val="00413123"/>
    <w:rsid w:val="00425D9B"/>
    <w:rsid w:val="00434345"/>
    <w:rsid w:val="00445C55"/>
    <w:rsid w:val="00474F01"/>
    <w:rsid w:val="00482641"/>
    <w:rsid w:val="004B20FC"/>
    <w:rsid w:val="004E7257"/>
    <w:rsid w:val="0050349B"/>
    <w:rsid w:val="0054462E"/>
    <w:rsid w:val="00561A4A"/>
    <w:rsid w:val="0058653F"/>
    <w:rsid w:val="005A23B7"/>
    <w:rsid w:val="005E3863"/>
    <w:rsid w:val="006615A1"/>
    <w:rsid w:val="0067045B"/>
    <w:rsid w:val="006A4B8D"/>
    <w:rsid w:val="006B27BF"/>
    <w:rsid w:val="006B55F0"/>
    <w:rsid w:val="006D2FFE"/>
    <w:rsid w:val="00710359"/>
    <w:rsid w:val="00720C9B"/>
    <w:rsid w:val="00736353"/>
    <w:rsid w:val="007466E7"/>
    <w:rsid w:val="00752424"/>
    <w:rsid w:val="007554B8"/>
    <w:rsid w:val="007735F8"/>
    <w:rsid w:val="0077486C"/>
    <w:rsid w:val="007C375E"/>
    <w:rsid w:val="007D0495"/>
    <w:rsid w:val="007E50A6"/>
    <w:rsid w:val="007F6366"/>
    <w:rsid w:val="00803694"/>
    <w:rsid w:val="0088059B"/>
    <w:rsid w:val="00884B22"/>
    <w:rsid w:val="008E40CC"/>
    <w:rsid w:val="008F33B4"/>
    <w:rsid w:val="009017E2"/>
    <w:rsid w:val="0094762B"/>
    <w:rsid w:val="009B2CD7"/>
    <w:rsid w:val="009B3C0F"/>
    <w:rsid w:val="009B6619"/>
    <w:rsid w:val="009F0A6D"/>
    <w:rsid w:val="00A077A9"/>
    <w:rsid w:val="00A357E5"/>
    <w:rsid w:val="00AE551D"/>
    <w:rsid w:val="00B318AF"/>
    <w:rsid w:val="00BB2D8C"/>
    <w:rsid w:val="00BB47E2"/>
    <w:rsid w:val="00BB7C94"/>
    <w:rsid w:val="00BC4A15"/>
    <w:rsid w:val="00BD5C52"/>
    <w:rsid w:val="00C52B38"/>
    <w:rsid w:val="00C566D1"/>
    <w:rsid w:val="00C90F28"/>
    <w:rsid w:val="00C96656"/>
    <w:rsid w:val="00CF348A"/>
    <w:rsid w:val="00CF76F6"/>
    <w:rsid w:val="00D05073"/>
    <w:rsid w:val="00D82D84"/>
    <w:rsid w:val="00D84D70"/>
    <w:rsid w:val="00DA1381"/>
    <w:rsid w:val="00DB18C6"/>
    <w:rsid w:val="00DB7BFF"/>
    <w:rsid w:val="00DC0426"/>
    <w:rsid w:val="00E22D7F"/>
    <w:rsid w:val="00E31B92"/>
    <w:rsid w:val="00E37F97"/>
    <w:rsid w:val="00E60D2B"/>
    <w:rsid w:val="00EB18CA"/>
    <w:rsid w:val="00F31779"/>
    <w:rsid w:val="00F378FA"/>
    <w:rsid w:val="00F84325"/>
    <w:rsid w:val="00F90FC9"/>
    <w:rsid w:val="00FA6406"/>
    <w:rsid w:val="00FF38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EB346"/>
  <w15:chartTrackingRefBased/>
  <w15:docId w15:val="{CA07833D-3901-41AB-BB8E-6BBDC53D3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0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40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40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40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40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40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0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0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0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0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40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40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40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40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40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0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0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0CC"/>
    <w:rPr>
      <w:rFonts w:eastAsiaTheme="majorEastAsia" w:cstheme="majorBidi"/>
      <w:color w:val="272727" w:themeColor="text1" w:themeTint="D8"/>
    </w:rPr>
  </w:style>
  <w:style w:type="paragraph" w:styleId="Title">
    <w:name w:val="Title"/>
    <w:basedOn w:val="Normal"/>
    <w:next w:val="Normal"/>
    <w:link w:val="TitleChar"/>
    <w:uiPriority w:val="10"/>
    <w:qFormat/>
    <w:rsid w:val="008E4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0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0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0CC"/>
    <w:pPr>
      <w:spacing w:before="160"/>
      <w:jc w:val="center"/>
    </w:pPr>
    <w:rPr>
      <w:i/>
      <w:iCs/>
      <w:color w:val="404040" w:themeColor="text1" w:themeTint="BF"/>
    </w:rPr>
  </w:style>
  <w:style w:type="character" w:customStyle="1" w:styleId="QuoteChar">
    <w:name w:val="Quote Char"/>
    <w:basedOn w:val="DefaultParagraphFont"/>
    <w:link w:val="Quote"/>
    <w:uiPriority w:val="29"/>
    <w:rsid w:val="008E40CC"/>
    <w:rPr>
      <w:i/>
      <w:iCs/>
      <w:color w:val="404040" w:themeColor="text1" w:themeTint="BF"/>
    </w:rPr>
  </w:style>
  <w:style w:type="paragraph" w:styleId="ListParagraph">
    <w:name w:val="List Paragraph"/>
    <w:basedOn w:val="Normal"/>
    <w:uiPriority w:val="34"/>
    <w:qFormat/>
    <w:rsid w:val="008E40CC"/>
    <w:pPr>
      <w:ind w:left="720"/>
      <w:contextualSpacing/>
    </w:pPr>
  </w:style>
  <w:style w:type="character" w:styleId="IntenseEmphasis">
    <w:name w:val="Intense Emphasis"/>
    <w:basedOn w:val="DefaultParagraphFont"/>
    <w:uiPriority w:val="21"/>
    <w:qFormat/>
    <w:rsid w:val="008E40CC"/>
    <w:rPr>
      <w:i/>
      <w:iCs/>
      <w:color w:val="2F5496" w:themeColor="accent1" w:themeShade="BF"/>
    </w:rPr>
  </w:style>
  <w:style w:type="paragraph" w:styleId="IntenseQuote">
    <w:name w:val="Intense Quote"/>
    <w:basedOn w:val="Normal"/>
    <w:next w:val="Normal"/>
    <w:link w:val="IntenseQuoteChar"/>
    <w:uiPriority w:val="30"/>
    <w:qFormat/>
    <w:rsid w:val="008E40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40CC"/>
    <w:rPr>
      <w:i/>
      <w:iCs/>
      <w:color w:val="2F5496" w:themeColor="accent1" w:themeShade="BF"/>
    </w:rPr>
  </w:style>
  <w:style w:type="character" w:styleId="IntenseReference">
    <w:name w:val="Intense Reference"/>
    <w:basedOn w:val="DefaultParagraphFont"/>
    <w:uiPriority w:val="32"/>
    <w:qFormat/>
    <w:rsid w:val="008E40CC"/>
    <w:rPr>
      <w:b/>
      <w:bCs/>
      <w:smallCaps/>
      <w:color w:val="2F5496" w:themeColor="accent1" w:themeShade="BF"/>
      <w:spacing w:val="5"/>
    </w:rPr>
  </w:style>
  <w:style w:type="paragraph" w:styleId="FootnoteText">
    <w:name w:val="footnote text"/>
    <w:basedOn w:val="Normal"/>
    <w:link w:val="FootnoteTextChar"/>
    <w:uiPriority w:val="99"/>
    <w:semiHidden/>
    <w:unhideWhenUsed/>
    <w:rsid w:val="008E40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0CC"/>
    <w:rPr>
      <w:sz w:val="20"/>
      <w:szCs w:val="20"/>
    </w:rPr>
  </w:style>
  <w:style w:type="character" w:styleId="FootnoteReference">
    <w:name w:val="footnote reference"/>
    <w:basedOn w:val="DefaultParagraphFont"/>
    <w:uiPriority w:val="99"/>
    <w:semiHidden/>
    <w:unhideWhenUsed/>
    <w:rsid w:val="008E40CC"/>
    <w:rPr>
      <w:vertAlign w:val="superscript"/>
    </w:rPr>
  </w:style>
  <w:style w:type="character" w:styleId="Hyperlink">
    <w:name w:val="Hyperlink"/>
    <w:basedOn w:val="DefaultParagraphFont"/>
    <w:uiPriority w:val="99"/>
    <w:unhideWhenUsed/>
    <w:rsid w:val="008E40CC"/>
    <w:rPr>
      <w:color w:val="0563C1" w:themeColor="hyperlink"/>
      <w:u w:val="single"/>
    </w:rPr>
  </w:style>
  <w:style w:type="character" w:styleId="UnresolvedMention">
    <w:name w:val="Unresolved Mention"/>
    <w:basedOn w:val="DefaultParagraphFont"/>
    <w:uiPriority w:val="99"/>
    <w:semiHidden/>
    <w:unhideWhenUsed/>
    <w:rsid w:val="008E40CC"/>
    <w:rPr>
      <w:color w:val="605E5C"/>
      <w:shd w:val="clear" w:color="auto" w:fill="E1DFDD"/>
    </w:rPr>
  </w:style>
  <w:style w:type="paragraph" w:styleId="NormalWeb">
    <w:name w:val="Normal (Web)"/>
    <w:basedOn w:val="Normal"/>
    <w:uiPriority w:val="99"/>
    <w:semiHidden/>
    <w:unhideWhenUsed/>
    <w:rsid w:val="006B55F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8391">
      <w:bodyDiv w:val="1"/>
      <w:marLeft w:val="0"/>
      <w:marRight w:val="0"/>
      <w:marTop w:val="0"/>
      <w:marBottom w:val="0"/>
      <w:divBdr>
        <w:top w:val="none" w:sz="0" w:space="0" w:color="auto"/>
        <w:left w:val="none" w:sz="0" w:space="0" w:color="auto"/>
        <w:bottom w:val="none" w:sz="0" w:space="0" w:color="auto"/>
        <w:right w:val="none" w:sz="0" w:space="0" w:color="auto"/>
      </w:divBdr>
    </w:div>
    <w:div w:id="19674743">
      <w:bodyDiv w:val="1"/>
      <w:marLeft w:val="0"/>
      <w:marRight w:val="0"/>
      <w:marTop w:val="0"/>
      <w:marBottom w:val="0"/>
      <w:divBdr>
        <w:top w:val="none" w:sz="0" w:space="0" w:color="auto"/>
        <w:left w:val="none" w:sz="0" w:space="0" w:color="auto"/>
        <w:bottom w:val="none" w:sz="0" w:space="0" w:color="auto"/>
        <w:right w:val="none" w:sz="0" w:space="0" w:color="auto"/>
      </w:divBdr>
    </w:div>
    <w:div w:id="27031642">
      <w:bodyDiv w:val="1"/>
      <w:marLeft w:val="0"/>
      <w:marRight w:val="0"/>
      <w:marTop w:val="0"/>
      <w:marBottom w:val="0"/>
      <w:divBdr>
        <w:top w:val="none" w:sz="0" w:space="0" w:color="auto"/>
        <w:left w:val="none" w:sz="0" w:space="0" w:color="auto"/>
        <w:bottom w:val="none" w:sz="0" w:space="0" w:color="auto"/>
        <w:right w:val="none" w:sz="0" w:space="0" w:color="auto"/>
      </w:divBdr>
    </w:div>
    <w:div w:id="58794228">
      <w:bodyDiv w:val="1"/>
      <w:marLeft w:val="0"/>
      <w:marRight w:val="0"/>
      <w:marTop w:val="0"/>
      <w:marBottom w:val="0"/>
      <w:divBdr>
        <w:top w:val="none" w:sz="0" w:space="0" w:color="auto"/>
        <w:left w:val="none" w:sz="0" w:space="0" w:color="auto"/>
        <w:bottom w:val="none" w:sz="0" w:space="0" w:color="auto"/>
        <w:right w:val="none" w:sz="0" w:space="0" w:color="auto"/>
      </w:divBdr>
    </w:div>
    <w:div w:id="92286006">
      <w:bodyDiv w:val="1"/>
      <w:marLeft w:val="0"/>
      <w:marRight w:val="0"/>
      <w:marTop w:val="0"/>
      <w:marBottom w:val="0"/>
      <w:divBdr>
        <w:top w:val="none" w:sz="0" w:space="0" w:color="auto"/>
        <w:left w:val="none" w:sz="0" w:space="0" w:color="auto"/>
        <w:bottom w:val="none" w:sz="0" w:space="0" w:color="auto"/>
        <w:right w:val="none" w:sz="0" w:space="0" w:color="auto"/>
      </w:divBdr>
    </w:div>
    <w:div w:id="160052593">
      <w:bodyDiv w:val="1"/>
      <w:marLeft w:val="0"/>
      <w:marRight w:val="0"/>
      <w:marTop w:val="0"/>
      <w:marBottom w:val="0"/>
      <w:divBdr>
        <w:top w:val="none" w:sz="0" w:space="0" w:color="auto"/>
        <w:left w:val="none" w:sz="0" w:space="0" w:color="auto"/>
        <w:bottom w:val="none" w:sz="0" w:space="0" w:color="auto"/>
        <w:right w:val="none" w:sz="0" w:space="0" w:color="auto"/>
      </w:divBdr>
    </w:div>
    <w:div w:id="201868657">
      <w:bodyDiv w:val="1"/>
      <w:marLeft w:val="0"/>
      <w:marRight w:val="0"/>
      <w:marTop w:val="0"/>
      <w:marBottom w:val="0"/>
      <w:divBdr>
        <w:top w:val="none" w:sz="0" w:space="0" w:color="auto"/>
        <w:left w:val="none" w:sz="0" w:space="0" w:color="auto"/>
        <w:bottom w:val="none" w:sz="0" w:space="0" w:color="auto"/>
        <w:right w:val="none" w:sz="0" w:space="0" w:color="auto"/>
      </w:divBdr>
    </w:div>
    <w:div w:id="269632513">
      <w:bodyDiv w:val="1"/>
      <w:marLeft w:val="0"/>
      <w:marRight w:val="0"/>
      <w:marTop w:val="0"/>
      <w:marBottom w:val="0"/>
      <w:divBdr>
        <w:top w:val="none" w:sz="0" w:space="0" w:color="auto"/>
        <w:left w:val="none" w:sz="0" w:space="0" w:color="auto"/>
        <w:bottom w:val="none" w:sz="0" w:space="0" w:color="auto"/>
        <w:right w:val="none" w:sz="0" w:space="0" w:color="auto"/>
      </w:divBdr>
    </w:div>
    <w:div w:id="271940037">
      <w:bodyDiv w:val="1"/>
      <w:marLeft w:val="0"/>
      <w:marRight w:val="0"/>
      <w:marTop w:val="0"/>
      <w:marBottom w:val="0"/>
      <w:divBdr>
        <w:top w:val="none" w:sz="0" w:space="0" w:color="auto"/>
        <w:left w:val="none" w:sz="0" w:space="0" w:color="auto"/>
        <w:bottom w:val="none" w:sz="0" w:space="0" w:color="auto"/>
        <w:right w:val="none" w:sz="0" w:space="0" w:color="auto"/>
      </w:divBdr>
    </w:div>
    <w:div w:id="316880167">
      <w:bodyDiv w:val="1"/>
      <w:marLeft w:val="0"/>
      <w:marRight w:val="0"/>
      <w:marTop w:val="0"/>
      <w:marBottom w:val="0"/>
      <w:divBdr>
        <w:top w:val="none" w:sz="0" w:space="0" w:color="auto"/>
        <w:left w:val="none" w:sz="0" w:space="0" w:color="auto"/>
        <w:bottom w:val="none" w:sz="0" w:space="0" w:color="auto"/>
        <w:right w:val="none" w:sz="0" w:space="0" w:color="auto"/>
      </w:divBdr>
    </w:div>
    <w:div w:id="389497004">
      <w:bodyDiv w:val="1"/>
      <w:marLeft w:val="0"/>
      <w:marRight w:val="0"/>
      <w:marTop w:val="0"/>
      <w:marBottom w:val="0"/>
      <w:divBdr>
        <w:top w:val="none" w:sz="0" w:space="0" w:color="auto"/>
        <w:left w:val="none" w:sz="0" w:space="0" w:color="auto"/>
        <w:bottom w:val="none" w:sz="0" w:space="0" w:color="auto"/>
        <w:right w:val="none" w:sz="0" w:space="0" w:color="auto"/>
      </w:divBdr>
    </w:div>
    <w:div w:id="392780860">
      <w:bodyDiv w:val="1"/>
      <w:marLeft w:val="0"/>
      <w:marRight w:val="0"/>
      <w:marTop w:val="0"/>
      <w:marBottom w:val="0"/>
      <w:divBdr>
        <w:top w:val="none" w:sz="0" w:space="0" w:color="auto"/>
        <w:left w:val="none" w:sz="0" w:space="0" w:color="auto"/>
        <w:bottom w:val="none" w:sz="0" w:space="0" w:color="auto"/>
        <w:right w:val="none" w:sz="0" w:space="0" w:color="auto"/>
      </w:divBdr>
    </w:div>
    <w:div w:id="394862272">
      <w:bodyDiv w:val="1"/>
      <w:marLeft w:val="0"/>
      <w:marRight w:val="0"/>
      <w:marTop w:val="0"/>
      <w:marBottom w:val="0"/>
      <w:divBdr>
        <w:top w:val="none" w:sz="0" w:space="0" w:color="auto"/>
        <w:left w:val="none" w:sz="0" w:space="0" w:color="auto"/>
        <w:bottom w:val="none" w:sz="0" w:space="0" w:color="auto"/>
        <w:right w:val="none" w:sz="0" w:space="0" w:color="auto"/>
      </w:divBdr>
    </w:div>
    <w:div w:id="403072004">
      <w:bodyDiv w:val="1"/>
      <w:marLeft w:val="0"/>
      <w:marRight w:val="0"/>
      <w:marTop w:val="0"/>
      <w:marBottom w:val="0"/>
      <w:divBdr>
        <w:top w:val="none" w:sz="0" w:space="0" w:color="auto"/>
        <w:left w:val="none" w:sz="0" w:space="0" w:color="auto"/>
        <w:bottom w:val="none" w:sz="0" w:space="0" w:color="auto"/>
        <w:right w:val="none" w:sz="0" w:space="0" w:color="auto"/>
      </w:divBdr>
    </w:div>
    <w:div w:id="488441479">
      <w:bodyDiv w:val="1"/>
      <w:marLeft w:val="0"/>
      <w:marRight w:val="0"/>
      <w:marTop w:val="0"/>
      <w:marBottom w:val="0"/>
      <w:divBdr>
        <w:top w:val="none" w:sz="0" w:space="0" w:color="auto"/>
        <w:left w:val="none" w:sz="0" w:space="0" w:color="auto"/>
        <w:bottom w:val="none" w:sz="0" w:space="0" w:color="auto"/>
        <w:right w:val="none" w:sz="0" w:space="0" w:color="auto"/>
      </w:divBdr>
    </w:div>
    <w:div w:id="500511956">
      <w:bodyDiv w:val="1"/>
      <w:marLeft w:val="0"/>
      <w:marRight w:val="0"/>
      <w:marTop w:val="0"/>
      <w:marBottom w:val="0"/>
      <w:divBdr>
        <w:top w:val="none" w:sz="0" w:space="0" w:color="auto"/>
        <w:left w:val="none" w:sz="0" w:space="0" w:color="auto"/>
        <w:bottom w:val="none" w:sz="0" w:space="0" w:color="auto"/>
        <w:right w:val="none" w:sz="0" w:space="0" w:color="auto"/>
      </w:divBdr>
    </w:div>
    <w:div w:id="528761614">
      <w:bodyDiv w:val="1"/>
      <w:marLeft w:val="0"/>
      <w:marRight w:val="0"/>
      <w:marTop w:val="0"/>
      <w:marBottom w:val="0"/>
      <w:divBdr>
        <w:top w:val="none" w:sz="0" w:space="0" w:color="auto"/>
        <w:left w:val="none" w:sz="0" w:space="0" w:color="auto"/>
        <w:bottom w:val="none" w:sz="0" w:space="0" w:color="auto"/>
        <w:right w:val="none" w:sz="0" w:space="0" w:color="auto"/>
      </w:divBdr>
    </w:div>
    <w:div w:id="551964716">
      <w:bodyDiv w:val="1"/>
      <w:marLeft w:val="0"/>
      <w:marRight w:val="0"/>
      <w:marTop w:val="0"/>
      <w:marBottom w:val="0"/>
      <w:divBdr>
        <w:top w:val="none" w:sz="0" w:space="0" w:color="auto"/>
        <w:left w:val="none" w:sz="0" w:space="0" w:color="auto"/>
        <w:bottom w:val="none" w:sz="0" w:space="0" w:color="auto"/>
        <w:right w:val="none" w:sz="0" w:space="0" w:color="auto"/>
      </w:divBdr>
    </w:div>
    <w:div w:id="569578548">
      <w:bodyDiv w:val="1"/>
      <w:marLeft w:val="0"/>
      <w:marRight w:val="0"/>
      <w:marTop w:val="0"/>
      <w:marBottom w:val="0"/>
      <w:divBdr>
        <w:top w:val="none" w:sz="0" w:space="0" w:color="auto"/>
        <w:left w:val="none" w:sz="0" w:space="0" w:color="auto"/>
        <w:bottom w:val="none" w:sz="0" w:space="0" w:color="auto"/>
        <w:right w:val="none" w:sz="0" w:space="0" w:color="auto"/>
      </w:divBdr>
    </w:div>
    <w:div w:id="575557242">
      <w:bodyDiv w:val="1"/>
      <w:marLeft w:val="0"/>
      <w:marRight w:val="0"/>
      <w:marTop w:val="0"/>
      <w:marBottom w:val="0"/>
      <w:divBdr>
        <w:top w:val="none" w:sz="0" w:space="0" w:color="auto"/>
        <w:left w:val="none" w:sz="0" w:space="0" w:color="auto"/>
        <w:bottom w:val="none" w:sz="0" w:space="0" w:color="auto"/>
        <w:right w:val="none" w:sz="0" w:space="0" w:color="auto"/>
      </w:divBdr>
    </w:div>
    <w:div w:id="580337998">
      <w:bodyDiv w:val="1"/>
      <w:marLeft w:val="0"/>
      <w:marRight w:val="0"/>
      <w:marTop w:val="0"/>
      <w:marBottom w:val="0"/>
      <w:divBdr>
        <w:top w:val="none" w:sz="0" w:space="0" w:color="auto"/>
        <w:left w:val="none" w:sz="0" w:space="0" w:color="auto"/>
        <w:bottom w:val="none" w:sz="0" w:space="0" w:color="auto"/>
        <w:right w:val="none" w:sz="0" w:space="0" w:color="auto"/>
      </w:divBdr>
    </w:div>
    <w:div w:id="614139832">
      <w:bodyDiv w:val="1"/>
      <w:marLeft w:val="0"/>
      <w:marRight w:val="0"/>
      <w:marTop w:val="0"/>
      <w:marBottom w:val="0"/>
      <w:divBdr>
        <w:top w:val="none" w:sz="0" w:space="0" w:color="auto"/>
        <w:left w:val="none" w:sz="0" w:space="0" w:color="auto"/>
        <w:bottom w:val="none" w:sz="0" w:space="0" w:color="auto"/>
        <w:right w:val="none" w:sz="0" w:space="0" w:color="auto"/>
      </w:divBdr>
    </w:div>
    <w:div w:id="618604554">
      <w:bodyDiv w:val="1"/>
      <w:marLeft w:val="0"/>
      <w:marRight w:val="0"/>
      <w:marTop w:val="0"/>
      <w:marBottom w:val="0"/>
      <w:divBdr>
        <w:top w:val="none" w:sz="0" w:space="0" w:color="auto"/>
        <w:left w:val="none" w:sz="0" w:space="0" w:color="auto"/>
        <w:bottom w:val="none" w:sz="0" w:space="0" w:color="auto"/>
        <w:right w:val="none" w:sz="0" w:space="0" w:color="auto"/>
      </w:divBdr>
    </w:div>
    <w:div w:id="693456615">
      <w:bodyDiv w:val="1"/>
      <w:marLeft w:val="0"/>
      <w:marRight w:val="0"/>
      <w:marTop w:val="0"/>
      <w:marBottom w:val="0"/>
      <w:divBdr>
        <w:top w:val="none" w:sz="0" w:space="0" w:color="auto"/>
        <w:left w:val="none" w:sz="0" w:space="0" w:color="auto"/>
        <w:bottom w:val="none" w:sz="0" w:space="0" w:color="auto"/>
        <w:right w:val="none" w:sz="0" w:space="0" w:color="auto"/>
      </w:divBdr>
    </w:div>
    <w:div w:id="737442051">
      <w:bodyDiv w:val="1"/>
      <w:marLeft w:val="0"/>
      <w:marRight w:val="0"/>
      <w:marTop w:val="0"/>
      <w:marBottom w:val="0"/>
      <w:divBdr>
        <w:top w:val="none" w:sz="0" w:space="0" w:color="auto"/>
        <w:left w:val="none" w:sz="0" w:space="0" w:color="auto"/>
        <w:bottom w:val="none" w:sz="0" w:space="0" w:color="auto"/>
        <w:right w:val="none" w:sz="0" w:space="0" w:color="auto"/>
      </w:divBdr>
    </w:div>
    <w:div w:id="744109561">
      <w:bodyDiv w:val="1"/>
      <w:marLeft w:val="0"/>
      <w:marRight w:val="0"/>
      <w:marTop w:val="0"/>
      <w:marBottom w:val="0"/>
      <w:divBdr>
        <w:top w:val="none" w:sz="0" w:space="0" w:color="auto"/>
        <w:left w:val="none" w:sz="0" w:space="0" w:color="auto"/>
        <w:bottom w:val="none" w:sz="0" w:space="0" w:color="auto"/>
        <w:right w:val="none" w:sz="0" w:space="0" w:color="auto"/>
      </w:divBdr>
    </w:div>
    <w:div w:id="832985588">
      <w:bodyDiv w:val="1"/>
      <w:marLeft w:val="0"/>
      <w:marRight w:val="0"/>
      <w:marTop w:val="0"/>
      <w:marBottom w:val="0"/>
      <w:divBdr>
        <w:top w:val="none" w:sz="0" w:space="0" w:color="auto"/>
        <w:left w:val="none" w:sz="0" w:space="0" w:color="auto"/>
        <w:bottom w:val="none" w:sz="0" w:space="0" w:color="auto"/>
        <w:right w:val="none" w:sz="0" w:space="0" w:color="auto"/>
      </w:divBdr>
    </w:div>
    <w:div w:id="856118018">
      <w:bodyDiv w:val="1"/>
      <w:marLeft w:val="0"/>
      <w:marRight w:val="0"/>
      <w:marTop w:val="0"/>
      <w:marBottom w:val="0"/>
      <w:divBdr>
        <w:top w:val="none" w:sz="0" w:space="0" w:color="auto"/>
        <w:left w:val="none" w:sz="0" w:space="0" w:color="auto"/>
        <w:bottom w:val="none" w:sz="0" w:space="0" w:color="auto"/>
        <w:right w:val="none" w:sz="0" w:space="0" w:color="auto"/>
      </w:divBdr>
    </w:div>
    <w:div w:id="871574631">
      <w:bodyDiv w:val="1"/>
      <w:marLeft w:val="0"/>
      <w:marRight w:val="0"/>
      <w:marTop w:val="0"/>
      <w:marBottom w:val="0"/>
      <w:divBdr>
        <w:top w:val="none" w:sz="0" w:space="0" w:color="auto"/>
        <w:left w:val="none" w:sz="0" w:space="0" w:color="auto"/>
        <w:bottom w:val="none" w:sz="0" w:space="0" w:color="auto"/>
        <w:right w:val="none" w:sz="0" w:space="0" w:color="auto"/>
      </w:divBdr>
    </w:div>
    <w:div w:id="922181398">
      <w:bodyDiv w:val="1"/>
      <w:marLeft w:val="0"/>
      <w:marRight w:val="0"/>
      <w:marTop w:val="0"/>
      <w:marBottom w:val="0"/>
      <w:divBdr>
        <w:top w:val="none" w:sz="0" w:space="0" w:color="auto"/>
        <w:left w:val="none" w:sz="0" w:space="0" w:color="auto"/>
        <w:bottom w:val="none" w:sz="0" w:space="0" w:color="auto"/>
        <w:right w:val="none" w:sz="0" w:space="0" w:color="auto"/>
      </w:divBdr>
    </w:div>
    <w:div w:id="963734068">
      <w:bodyDiv w:val="1"/>
      <w:marLeft w:val="0"/>
      <w:marRight w:val="0"/>
      <w:marTop w:val="0"/>
      <w:marBottom w:val="0"/>
      <w:divBdr>
        <w:top w:val="none" w:sz="0" w:space="0" w:color="auto"/>
        <w:left w:val="none" w:sz="0" w:space="0" w:color="auto"/>
        <w:bottom w:val="none" w:sz="0" w:space="0" w:color="auto"/>
        <w:right w:val="none" w:sz="0" w:space="0" w:color="auto"/>
      </w:divBdr>
    </w:div>
    <w:div w:id="1017734614">
      <w:bodyDiv w:val="1"/>
      <w:marLeft w:val="0"/>
      <w:marRight w:val="0"/>
      <w:marTop w:val="0"/>
      <w:marBottom w:val="0"/>
      <w:divBdr>
        <w:top w:val="none" w:sz="0" w:space="0" w:color="auto"/>
        <w:left w:val="none" w:sz="0" w:space="0" w:color="auto"/>
        <w:bottom w:val="none" w:sz="0" w:space="0" w:color="auto"/>
        <w:right w:val="none" w:sz="0" w:space="0" w:color="auto"/>
      </w:divBdr>
    </w:div>
    <w:div w:id="1058013339">
      <w:bodyDiv w:val="1"/>
      <w:marLeft w:val="0"/>
      <w:marRight w:val="0"/>
      <w:marTop w:val="0"/>
      <w:marBottom w:val="0"/>
      <w:divBdr>
        <w:top w:val="none" w:sz="0" w:space="0" w:color="auto"/>
        <w:left w:val="none" w:sz="0" w:space="0" w:color="auto"/>
        <w:bottom w:val="none" w:sz="0" w:space="0" w:color="auto"/>
        <w:right w:val="none" w:sz="0" w:space="0" w:color="auto"/>
      </w:divBdr>
    </w:div>
    <w:div w:id="1119030952">
      <w:bodyDiv w:val="1"/>
      <w:marLeft w:val="0"/>
      <w:marRight w:val="0"/>
      <w:marTop w:val="0"/>
      <w:marBottom w:val="0"/>
      <w:divBdr>
        <w:top w:val="none" w:sz="0" w:space="0" w:color="auto"/>
        <w:left w:val="none" w:sz="0" w:space="0" w:color="auto"/>
        <w:bottom w:val="none" w:sz="0" w:space="0" w:color="auto"/>
        <w:right w:val="none" w:sz="0" w:space="0" w:color="auto"/>
      </w:divBdr>
    </w:div>
    <w:div w:id="1138104628">
      <w:bodyDiv w:val="1"/>
      <w:marLeft w:val="0"/>
      <w:marRight w:val="0"/>
      <w:marTop w:val="0"/>
      <w:marBottom w:val="0"/>
      <w:divBdr>
        <w:top w:val="none" w:sz="0" w:space="0" w:color="auto"/>
        <w:left w:val="none" w:sz="0" w:space="0" w:color="auto"/>
        <w:bottom w:val="none" w:sz="0" w:space="0" w:color="auto"/>
        <w:right w:val="none" w:sz="0" w:space="0" w:color="auto"/>
      </w:divBdr>
    </w:div>
    <w:div w:id="1165974011">
      <w:bodyDiv w:val="1"/>
      <w:marLeft w:val="0"/>
      <w:marRight w:val="0"/>
      <w:marTop w:val="0"/>
      <w:marBottom w:val="0"/>
      <w:divBdr>
        <w:top w:val="none" w:sz="0" w:space="0" w:color="auto"/>
        <w:left w:val="none" w:sz="0" w:space="0" w:color="auto"/>
        <w:bottom w:val="none" w:sz="0" w:space="0" w:color="auto"/>
        <w:right w:val="none" w:sz="0" w:space="0" w:color="auto"/>
      </w:divBdr>
    </w:div>
    <w:div w:id="1195116323">
      <w:bodyDiv w:val="1"/>
      <w:marLeft w:val="0"/>
      <w:marRight w:val="0"/>
      <w:marTop w:val="0"/>
      <w:marBottom w:val="0"/>
      <w:divBdr>
        <w:top w:val="none" w:sz="0" w:space="0" w:color="auto"/>
        <w:left w:val="none" w:sz="0" w:space="0" w:color="auto"/>
        <w:bottom w:val="none" w:sz="0" w:space="0" w:color="auto"/>
        <w:right w:val="none" w:sz="0" w:space="0" w:color="auto"/>
      </w:divBdr>
    </w:div>
    <w:div w:id="1195926171">
      <w:bodyDiv w:val="1"/>
      <w:marLeft w:val="0"/>
      <w:marRight w:val="0"/>
      <w:marTop w:val="0"/>
      <w:marBottom w:val="0"/>
      <w:divBdr>
        <w:top w:val="none" w:sz="0" w:space="0" w:color="auto"/>
        <w:left w:val="none" w:sz="0" w:space="0" w:color="auto"/>
        <w:bottom w:val="none" w:sz="0" w:space="0" w:color="auto"/>
        <w:right w:val="none" w:sz="0" w:space="0" w:color="auto"/>
      </w:divBdr>
    </w:div>
    <w:div w:id="1234438656">
      <w:bodyDiv w:val="1"/>
      <w:marLeft w:val="0"/>
      <w:marRight w:val="0"/>
      <w:marTop w:val="0"/>
      <w:marBottom w:val="0"/>
      <w:divBdr>
        <w:top w:val="none" w:sz="0" w:space="0" w:color="auto"/>
        <w:left w:val="none" w:sz="0" w:space="0" w:color="auto"/>
        <w:bottom w:val="none" w:sz="0" w:space="0" w:color="auto"/>
        <w:right w:val="none" w:sz="0" w:space="0" w:color="auto"/>
      </w:divBdr>
    </w:div>
    <w:div w:id="1256598353">
      <w:bodyDiv w:val="1"/>
      <w:marLeft w:val="0"/>
      <w:marRight w:val="0"/>
      <w:marTop w:val="0"/>
      <w:marBottom w:val="0"/>
      <w:divBdr>
        <w:top w:val="none" w:sz="0" w:space="0" w:color="auto"/>
        <w:left w:val="none" w:sz="0" w:space="0" w:color="auto"/>
        <w:bottom w:val="none" w:sz="0" w:space="0" w:color="auto"/>
        <w:right w:val="none" w:sz="0" w:space="0" w:color="auto"/>
      </w:divBdr>
    </w:div>
    <w:div w:id="1331565905">
      <w:bodyDiv w:val="1"/>
      <w:marLeft w:val="0"/>
      <w:marRight w:val="0"/>
      <w:marTop w:val="0"/>
      <w:marBottom w:val="0"/>
      <w:divBdr>
        <w:top w:val="none" w:sz="0" w:space="0" w:color="auto"/>
        <w:left w:val="none" w:sz="0" w:space="0" w:color="auto"/>
        <w:bottom w:val="none" w:sz="0" w:space="0" w:color="auto"/>
        <w:right w:val="none" w:sz="0" w:space="0" w:color="auto"/>
      </w:divBdr>
    </w:div>
    <w:div w:id="1388795938">
      <w:bodyDiv w:val="1"/>
      <w:marLeft w:val="0"/>
      <w:marRight w:val="0"/>
      <w:marTop w:val="0"/>
      <w:marBottom w:val="0"/>
      <w:divBdr>
        <w:top w:val="none" w:sz="0" w:space="0" w:color="auto"/>
        <w:left w:val="none" w:sz="0" w:space="0" w:color="auto"/>
        <w:bottom w:val="none" w:sz="0" w:space="0" w:color="auto"/>
        <w:right w:val="none" w:sz="0" w:space="0" w:color="auto"/>
      </w:divBdr>
    </w:div>
    <w:div w:id="1435059079">
      <w:bodyDiv w:val="1"/>
      <w:marLeft w:val="0"/>
      <w:marRight w:val="0"/>
      <w:marTop w:val="0"/>
      <w:marBottom w:val="0"/>
      <w:divBdr>
        <w:top w:val="none" w:sz="0" w:space="0" w:color="auto"/>
        <w:left w:val="none" w:sz="0" w:space="0" w:color="auto"/>
        <w:bottom w:val="none" w:sz="0" w:space="0" w:color="auto"/>
        <w:right w:val="none" w:sz="0" w:space="0" w:color="auto"/>
      </w:divBdr>
    </w:div>
    <w:div w:id="1487938914">
      <w:bodyDiv w:val="1"/>
      <w:marLeft w:val="0"/>
      <w:marRight w:val="0"/>
      <w:marTop w:val="0"/>
      <w:marBottom w:val="0"/>
      <w:divBdr>
        <w:top w:val="none" w:sz="0" w:space="0" w:color="auto"/>
        <w:left w:val="none" w:sz="0" w:space="0" w:color="auto"/>
        <w:bottom w:val="none" w:sz="0" w:space="0" w:color="auto"/>
        <w:right w:val="none" w:sz="0" w:space="0" w:color="auto"/>
      </w:divBdr>
    </w:div>
    <w:div w:id="1517843900">
      <w:bodyDiv w:val="1"/>
      <w:marLeft w:val="0"/>
      <w:marRight w:val="0"/>
      <w:marTop w:val="0"/>
      <w:marBottom w:val="0"/>
      <w:divBdr>
        <w:top w:val="none" w:sz="0" w:space="0" w:color="auto"/>
        <w:left w:val="none" w:sz="0" w:space="0" w:color="auto"/>
        <w:bottom w:val="none" w:sz="0" w:space="0" w:color="auto"/>
        <w:right w:val="none" w:sz="0" w:space="0" w:color="auto"/>
      </w:divBdr>
    </w:div>
    <w:div w:id="1612785888">
      <w:bodyDiv w:val="1"/>
      <w:marLeft w:val="0"/>
      <w:marRight w:val="0"/>
      <w:marTop w:val="0"/>
      <w:marBottom w:val="0"/>
      <w:divBdr>
        <w:top w:val="none" w:sz="0" w:space="0" w:color="auto"/>
        <w:left w:val="none" w:sz="0" w:space="0" w:color="auto"/>
        <w:bottom w:val="none" w:sz="0" w:space="0" w:color="auto"/>
        <w:right w:val="none" w:sz="0" w:space="0" w:color="auto"/>
      </w:divBdr>
    </w:div>
    <w:div w:id="1626617220">
      <w:bodyDiv w:val="1"/>
      <w:marLeft w:val="0"/>
      <w:marRight w:val="0"/>
      <w:marTop w:val="0"/>
      <w:marBottom w:val="0"/>
      <w:divBdr>
        <w:top w:val="none" w:sz="0" w:space="0" w:color="auto"/>
        <w:left w:val="none" w:sz="0" w:space="0" w:color="auto"/>
        <w:bottom w:val="none" w:sz="0" w:space="0" w:color="auto"/>
        <w:right w:val="none" w:sz="0" w:space="0" w:color="auto"/>
      </w:divBdr>
    </w:div>
    <w:div w:id="1643542389">
      <w:bodyDiv w:val="1"/>
      <w:marLeft w:val="0"/>
      <w:marRight w:val="0"/>
      <w:marTop w:val="0"/>
      <w:marBottom w:val="0"/>
      <w:divBdr>
        <w:top w:val="none" w:sz="0" w:space="0" w:color="auto"/>
        <w:left w:val="none" w:sz="0" w:space="0" w:color="auto"/>
        <w:bottom w:val="none" w:sz="0" w:space="0" w:color="auto"/>
        <w:right w:val="none" w:sz="0" w:space="0" w:color="auto"/>
      </w:divBdr>
    </w:div>
    <w:div w:id="1655183890">
      <w:bodyDiv w:val="1"/>
      <w:marLeft w:val="0"/>
      <w:marRight w:val="0"/>
      <w:marTop w:val="0"/>
      <w:marBottom w:val="0"/>
      <w:divBdr>
        <w:top w:val="none" w:sz="0" w:space="0" w:color="auto"/>
        <w:left w:val="none" w:sz="0" w:space="0" w:color="auto"/>
        <w:bottom w:val="none" w:sz="0" w:space="0" w:color="auto"/>
        <w:right w:val="none" w:sz="0" w:space="0" w:color="auto"/>
      </w:divBdr>
    </w:div>
    <w:div w:id="1678725632">
      <w:bodyDiv w:val="1"/>
      <w:marLeft w:val="0"/>
      <w:marRight w:val="0"/>
      <w:marTop w:val="0"/>
      <w:marBottom w:val="0"/>
      <w:divBdr>
        <w:top w:val="none" w:sz="0" w:space="0" w:color="auto"/>
        <w:left w:val="none" w:sz="0" w:space="0" w:color="auto"/>
        <w:bottom w:val="none" w:sz="0" w:space="0" w:color="auto"/>
        <w:right w:val="none" w:sz="0" w:space="0" w:color="auto"/>
      </w:divBdr>
    </w:div>
    <w:div w:id="1720787061">
      <w:bodyDiv w:val="1"/>
      <w:marLeft w:val="0"/>
      <w:marRight w:val="0"/>
      <w:marTop w:val="0"/>
      <w:marBottom w:val="0"/>
      <w:divBdr>
        <w:top w:val="none" w:sz="0" w:space="0" w:color="auto"/>
        <w:left w:val="none" w:sz="0" w:space="0" w:color="auto"/>
        <w:bottom w:val="none" w:sz="0" w:space="0" w:color="auto"/>
        <w:right w:val="none" w:sz="0" w:space="0" w:color="auto"/>
      </w:divBdr>
    </w:div>
    <w:div w:id="1743481088">
      <w:bodyDiv w:val="1"/>
      <w:marLeft w:val="0"/>
      <w:marRight w:val="0"/>
      <w:marTop w:val="0"/>
      <w:marBottom w:val="0"/>
      <w:divBdr>
        <w:top w:val="none" w:sz="0" w:space="0" w:color="auto"/>
        <w:left w:val="none" w:sz="0" w:space="0" w:color="auto"/>
        <w:bottom w:val="none" w:sz="0" w:space="0" w:color="auto"/>
        <w:right w:val="none" w:sz="0" w:space="0" w:color="auto"/>
      </w:divBdr>
    </w:div>
    <w:div w:id="1751268193">
      <w:bodyDiv w:val="1"/>
      <w:marLeft w:val="0"/>
      <w:marRight w:val="0"/>
      <w:marTop w:val="0"/>
      <w:marBottom w:val="0"/>
      <w:divBdr>
        <w:top w:val="none" w:sz="0" w:space="0" w:color="auto"/>
        <w:left w:val="none" w:sz="0" w:space="0" w:color="auto"/>
        <w:bottom w:val="none" w:sz="0" w:space="0" w:color="auto"/>
        <w:right w:val="none" w:sz="0" w:space="0" w:color="auto"/>
      </w:divBdr>
    </w:div>
    <w:div w:id="1760060497">
      <w:bodyDiv w:val="1"/>
      <w:marLeft w:val="0"/>
      <w:marRight w:val="0"/>
      <w:marTop w:val="0"/>
      <w:marBottom w:val="0"/>
      <w:divBdr>
        <w:top w:val="none" w:sz="0" w:space="0" w:color="auto"/>
        <w:left w:val="none" w:sz="0" w:space="0" w:color="auto"/>
        <w:bottom w:val="none" w:sz="0" w:space="0" w:color="auto"/>
        <w:right w:val="none" w:sz="0" w:space="0" w:color="auto"/>
      </w:divBdr>
    </w:div>
    <w:div w:id="1779837469">
      <w:bodyDiv w:val="1"/>
      <w:marLeft w:val="0"/>
      <w:marRight w:val="0"/>
      <w:marTop w:val="0"/>
      <w:marBottom w:val="0"/>
      <w:divBdr>
        <w:top w:val="none" w:sz="0" w:space="0" w:color="auto"/>
        <w:left w:val="none" w:sz="0" w:space="0" w:color="auto"/>
        <w:bottom w:val="none" w:sz="0" w:space="0" w:color="auto"/>
        <w:right w:val="none" w:sz="0" w:space="0" w:color="auto"/>
      </w:divBdr>
    </w:div>
    <w:div w:id="1793863392">
      <w:bodyDiv w:val="1"/>
      <w:marLeft w:val="0"/>
      <w:marRight w:val="0"/>
      <w:marTop w:val="0"/>
      <w:marBottom w:val="0"/>
      <w:divBdr>
        <w:top w:val="none" w:sz="0" w:space="0" w:color="auto"/>
        <w:left w:val="none" w:sz="0" w:space="0" w:color="auto"/>
        <w:bottom w:val="none" w:sz="0" w:space="0" w:color="auto"/>
        <w:right w:val="none" w:sz="0" w:space="0" w:color="auto"/>
      </w:divBdr>
    </w:div>
    <w:div w:id="1802534078">
      <w:bodyDiv w:val="1"/>
      <w:marLeft w:val="0"/>
      <w:marRight w:val="0"/>
      <w:marTop w:val="0"/>
      <w:marBottom w:val="0"/>
      <w:divBdr>
        <w:top w:val="none" w:sz="0" w:space="0" w:color="auto"/>
        <w:left w:val="none" w:sz="0" w:space="0" w:color="auto"/>
        <w:bottom w:val="none" w:sz="0" w:space="0" w:color="auto"/>
        <w:right w:val="none" w:sz="0" w:space="0" w:color="auto"/>
      </w:divBdr>
    </w:div>
    <w:div w:id="1828787393">
      <w:bodyDiv w:val="1"/>
      <w:marLeft w:val="0"/>
      <w:marRight w:val="0"/>
      <w:marTop w:val="0"/>
      <w:marBottom w:val="0"/>
      <w:divBdr>
        <w:top w:val="none" w:sz="0" w:space="0" w:color="auto"/>
        <w:left w:val="none" w:sz="0" w:space="0" w:color="auto"/>
        <w:bottom w:val="none" w:sz="0" w:space="0" w:color="auto"/>
        <w:right w:val="none" w:sz="0" w:space="0" w:color="auto"/>
      </w:divBdr>
    </w:div>
    <w:div w:id="1928924285">
      <w:bodyDiv w:val="1"/>
      <w:marLeft w:val="0"/>
      <w:marRight w:val="0"/>
      <w:marTop w:val="0"/>
      <w:marBottom w:val="0"/>
      <w:divBdr>
        <w:top w:val="none" w:sz="0" w:space="0" w:color="auto"/>
        <w:left w:val="none" w:sz="0" w:space="0" w:color="auto"/>
        <w:bottom w:val="none" w:sz="0" w:space="0" w:color="auto"/>
        <w:right w:val="none" w:sz="0" w:space="0" w:color="auto"/>
      </w:divBdr>
    </w:div>
    <w:div w:id="1973707514">
      <w:bodyDiv w:val="1"/>
      <w:marLeft w:val="0"/>
      <w:marRight w:val="0"/>
      <w:marTop w:val="0"/>
      <w:marBottom w:val="0"/>
      <w:divBdr>
        <w:top w:val="none" w:sz="0" w:space="0" w:color="auto"/>
        <w:left w:val="none" w:sz="0" w:space="0" w:color="auto"/>
        <w:bottom w:val="none" w:sz="0" w:space="0" w:color="auto"/>
        <w:right w:val="none" w:sz="0" w:space="0" w:color="auto"/>
      </w:divBdr>
    </w:div>
    <w:div w:id="1996296171">
      <w:bodyDiv w:val="1"/>
      <w:marLeft w:val="0"/>
      <w:marRight w:val="0"/>
      <w:marTop w:val="0"/>
      <w:marBottom w:val="0"/>
      <w:divBdr>
        <w:top w:val="none" w:sz="0" w:space="0" w:color="auto"/>
        <w:left w:val="none" w:sz="0" w:space="0" w:color="auto"/>
        <w:bottom w:val="none" w:sz="0" w:space="0" w:color="auto"/>
        <w:right w:val="none" w:sz="0" w:space="0" w:color="auto"/>
      </w:divBdr>
    </w:div>
    <w:div w:id="2010522330">
      <w:bodyDiv w:val="1"/>
      <w:marLeft w:val="0"/>
      <w:marRight w:val="0"/>
      <w:marTop w:val="0"/>
      <w:marBottom w:val="0"/>
      <w:divBdr>
        <w:top w:val="none" w:sz="0" w:space="0" w:color="auto"/>
        <w:left w:val="none" w:sz="0" w:space="0" w:color="auto"/>
        <w:bottom w:val="none" w:sz="0" w:space="0" w:color="auto"/>
        <w:right w:val="none" w:sz="0" w:space="0" w:color="auto"/>
      </w:divBdr>
    </w:div>
    <w:div w:id="2055303928">
      <w:bodyDiv w:val="1"/>
      <w:marLeft w:val="0"/>
      <w:marRight w:val="0"/>
      <w:marTop w:val="0"/>
      <w:marBottom w:val="0"/>
      <w:divBdr>
        <w:top w:val="none" w:sz="0" w:space="0" w:color="auto"/>
        <w:left w:val="none" w:sz="0" w:space="0" w:color="auto"/>
        <w:bottom w:val="none" w:sz="0" w:space="0" w:color="auto"/>
        <w:right w:val="none" w:sz="0" w:space="0" w:color="auto"/>
      </w:divBdr>
    </w:div>
    <w:div w:id="2095660397">
      <w:bodyDiv w:val="1"/>
      <w:marLeft w:val="0"/>
      <w:marRight w:val="0"/>
      <w:marTop w:val="0"/>
      <w:marBottom w:val="0"/>
      <w:divBdr>
        <w:top w:val="none" w:sz="0" w:space="0" w:color="auto"/>
        <w:left w:val="none" w:sz="0" w:space="0" w:color="auto"/>
        <w:bottom w:val="none" w:sz="0" w:space="0" w:color="auto"/>
        <w:right w:val="none" w:sz="0" w:space="0" w:color="auto"/>
      </w:divBdr>
    </w:div>
    <w:div w:id="2111578735">
      <w:bodyDiv w:val="1"/>
      <w:marLeft w:val="0"/>
      <w:marRight w:val="0"/>
      <w:marTop w:val="0"/>
      <w:marBottom w:val="0"/>
      <w:divBdr>
        <w:top w:val="none" w:sz="0" w:space="0" w:color="auto"/>
        <w:left w:val="none" w:sz="0" w:space="0" w:color="auto"/>
        <w:bottom w:val="none" w:sz="0" w:space="0" w:color="auto"/>
        <w:right w:val="none" w:sz="0" w:space="0" w:color="auto"/>
      </w:divBdr>
    </w:div>
    <w:div w:id="213667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rku5628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E50B5-7071-4287-831C-157A829E0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10</Pages>
  <Words>3388</Words>
  <Characters>19313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Sriram Ponnambalam</dc:creator>
  <cp:keywords/>
  <dc:description/>
  <cp:lastModifiedBy>Sriram Ponnambalam</cp:lastModifiedBy>
  <cp:revision>140</cp:revision>
  <dcterms:created xsi:type="dcterms:W3CDTF">2025-06-29T07:35:00Z</dcterms:created>
  <dcterms:modified xsi:type="dcterms:W3CDTF">2025-06-29T15:35:00Z</dcterms:modified>
</cp:coreProperties>
</file>