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DFB8" w14:textId="7C0F74F4" w:rsidR="00E91426" w:rsidRPr="00C5615F" w:rsidRDefault="00693CB9" w:rsidP="00693CB9">
      <w:pPr>
        <w:spacing w:line="240" w:lineRule="auto"/>
        <w:ind w:left="360"/>
        <w:jc w:val="center"/>
        <w:rPr>
          <w:rFonts w:ascii="Times New Roman" w:hAnsi="Times New Roman" w:cs="Times New Roman"/>
          <w:b/>
          <w:bCs/>
          <w:color w:val="000000" w:themeColor="text1"/>
        </w:rPr>
      </w:pPr>
      <w:r w:rsidRPr="00C5615F">
        <w:rPr>
          <w:rFonts w:ascii="Times New Roman" w:hAnsi="Times New Roman" w:cs="Times New Roman"/>
          <w:b/>
          <w:bCs/>
          <w:color w:val="000000" w:themeColor="text1"/>
        </w:rPr>
        <w:t xml:space="preserve">FINANCIAL TECHNOLOGY ADOPTION AND SUPPLY CHAIN PERFORMANCE OF SELECTED FEDERAL MINISTRIES, </w:t>
      </w:r>
      <w:r w:rsidR="005E6BD4" w:rsidRPr="00C5615F">
        <w:rPr>
          <w:rFonts w:ascii="Times New Roman" w:hAnsi="Times New Roman" w:cs="Times New Roman"/>
          <w:b/>
          <w:bCs/>
          <w:color w:val="000000" w:themeColor="text1"/>
        </w:rPr>
        <w:br/>
      </w:r>
      <w:r w:rsidRPr="00C5615F">
        <w:rPr>
          <w:rFonts w:ascii="Times New Roman" w:hAnsi="Times New Roman" w:cs="Times New Roman"/>
          <w:b/>
          <w:bCs/>
          <w:color w:val="000000" w:themeColor="text1"/>
        </w:rPr>
        <w:t>DEPARTMENTS, AND AGENCIES IN NIGERIA</w:t>
      </w:r>
    </w:p>
    <w:p w14:paraId="6BCB2CEF" w14:textId="77777777" w:rsidR="00722106" w:rsidRPr="00C5615F" w:rsidRDefault="00722106" w:rsidP="00EE0CA1">
      <w:pPr>
        <w:spacing w:after="0" w:line="240" w:lineRule="auto"/>
        <w:ind w:left="426"/>
        <w:jc w:val="center"/>
        <w:rPr>
          <w:rFonts w:ascii="Times New Roman" w:hAnsi="Times New Roman" w:cs="Times New Roman"/>
          <w:b/>
          <w:bCs/>
          <w:color w:val="000000" w:themeColor="text1"/>
        </w:rPr>
      </w:pPr>
    </w:p>
    <w:p w14:paraId="7BB87435" w14:textId="11B2977F" w:rsidR="00EE0CA1" w:rsidRPr="00C5615F" w:rsidRDefault="0080706B" w:rsidP="00EE0CA1">
      <w:pPr>
        <w:spacing w:after="0" w:line="240" w:lineRule="auto"/>
        <w:ind w:left="426"/>
        <w:jc w:val="center"/>
        <w:rPr>
          <w:rFonts w:ascii="Times New Roman" w:hAnsi="Times New Roman" w:cs="Times New Roman"/>
          <w:b/>
          <w:bCs/>
          <w:color w:val="000000" w:themeColor="text1"/>
        </w:rPr>
      </w:pPr>
      <w:r w:rsidRPr="00C5615F">
        <w:rPr>
          <w:rFonts w:ascii="Times New Roman" w:hAnsi="Times New Roman" w:cs="Times New Roman"/>
          <w:b/>
          <w:bCs/>
          <w:color w:val="000000" w:themeColor="text1"/>
          <w:vertAlign w:val="superscript"/>
        </w:rPr>
        <w:t>1</w:t>
      </w:r>
      <w:r w:rsidR="00EE0CA1" w:rsidRPr="00C5615F">
        <w:rPr>
          <w:rFonts w:ascii="Times New Roman" w:hAnsi="Times New Roman" w:cs="Times New Roman"/>
          <w:b/>
          <w:bCs/>
          <w:color w:val="000000" w:themeColor="text1"/>
        </w:rPr>
        <w:t>OBI-JOHNSON Goodness Chinyere</w:t>
      </w:r>
    </w:p>
    <w:p w14:paraId="69928B49" w14:textId="77777777" w:rsidR="00EE0CA1" w:rsidRPr="005E1515" w:rsidRDefault="00EE0CA1" w:rsidP="00EE0CA1">
      <w:pPr>
        <w:spacing w:after="0" w:line="240" w:lineRule="auto"/>
        <w:ind w:left="426"/>
        <w:jc w:val="center"/>
        <w:rPr>
          <w:rFonts w:ascii="Times New Roman" w:hAnsi="Times New Roman" w:cs="Times New Roman"/>
          <w:color w:val="000000" w:themeColor="text1"/>
        </w:rPr>
      </w:pPr>
      <w:hyperlink r:id="rId8" w:history="1">
        <w:r w:rsidRPr="005E1515">
          <w:rPr>
            <w:rStyle w:val="Hyperlink"/>
            <w:rFonts w:ascii="Times New Roman" w:hAnsi="Times New Roman" w:cs="Times New Roman"/>
            <w:color w:val="000000" w:themeColor="text1"/>
            <w:u w:val="none"/>
          </w:rPr>
          <w:t>goodobij@gmail.com</w:t>
        </w:r>
      </w:hyperlink>
    </w:p>
    <w:p w14:paraId="35F65C3E" w14:textId="77777777" w:rsidR="00EE0CA1" w:rsidRPr="005E1515" w:rsidRDefault="00EE0CA1" w:rsidP="00EE0CA1">
      <w:pPr>
        <w:spacing w:after="0" w:line="240" w:lineRule="auto"/>
        <w:ind w:left="426"/>
        <w:jc w:val="center"/>
        <w:rPr>
          <w:rFonts w:ascii="Times New Roman" w:hAnsi="Times New Roman" w:cs="Times New Roman"/>
          <w:color w:val="000000" w:themeColor="text1"/>
        </w:rPr>
      </w:pPr>
      <w:r w:rsidRPr="005E1515">
        <w:rPr>
          <w:rFonts w:ascii="Times New Roman" w:hAnsi="Times New Roman" w:cs="Times New Roman"/>
          <w:color w:val="000000" w:themeColor="text1"/>
        </w:rPr>
        <w:t>+2348023274424</w:t>
      </w:r>
    </w:p>
    <w:p w14:paraId="08109640" w14:textId="77777777" w:rsidR="006C719B" w:rsidRPr="005E1515" w:rsidRDefault="006C719B" w:rsidP="006C719B">
      <w:pPr>
        <w:spacing w:after="0" w:line="240" w:lineRule="auto"/>
        <w:ind w:left="709" w:firstLine="10"/>
        <w:jc w:val="center"/>
        <w:rPr>
          <w:rFonts w:ascii="Times New Roman" w:hAnsi="Times New Roman" w:cs="Times New Roman"/>
          <w:color w:val="000000" w:themeColor="text1"/>
          <w:sz w:val="12"/>
          <w:szCs w:val="12"/>
        </w:rPr>
      </w:pPr>
    </w:p>
    <w:p w14:paraId="36AF16AD" w14:textId="12ADDBE2" w:rsidR="00F600AE" w:rsidRPr="00C5615F" w:rsidRDefault="0080706B" w:rsidP="00F600AE">
      <w:pPr>
        <w:spacing w:after="0" w:line="240" w:lineRule="auto"/>
        <w:ind w:left="709"/>
        <w:jc w:val="center"/>
        <w:rPr>
          <w:rFonts w:ascii="Times New Roman" w:hAnsi="Times New Roman" w:cs="Times New Roman"/>
          <w:b/>
          <w:bCs/>
          <w:color w:val="000000" w:themeColor="text1"/>
        </w:rPr>
      </w:pPr>
      <w:r w:rsidRPr="00C5615F">
        <w:rPr>
          <w:rFonts w:ascii="Times New Roman" w:hAnsi="Times New Roman" w:cs="Times New Roman"/>
          <w:b/>
          <w:bCs/>
          <w:color w:val="000000" w:themeColor="text1"/>
          <w:vertAlign w:val="superscript"/>
        </w:rPr>
        <w:t>2</w:t>
      </w:r>
      <w:r w:rsidR="00F600AE" w:rsidRPr="00C5615F">
        <w:rPr>
          <w:rFonts w:ascii="Times New Roman" w:hAnsi="Times New Roman" w:cs="Times New Roman"/>
          <w:b/>
          <w:bCs/>
          <w:color w:val="000000" w:themeColor="text1"/>
        </w:rPr>
        <w:t xml:space="preserve">Prof. SULEIMAN A. S. </w:t>
      </w:r>
      <w:proofErr w:type="spellStart"/>
      <w:r w:rsidR="00F600AE" w:rsidRPr="00C5615F">
        <w:rPr>
          <w:rFonts w:ascii="Times New Roman" w:hAnsi="Times New Roman" w:cs="Times New Roman"/>
          <w:b/>
          <w:bCs/>
          <w:color w:val="000000" w:themeColor="text1"/>
        </w:rPr>
        <w:t>Aruwa</w:t>
      </w:r>
      <w:proofErr w:type="spellEnd"/>
    </w:p>
    <w:p w14:paraId="7605C7AE" w14:textId="77777777" w:rsidR="00F600AE" w:rsidRPr="00C5615F" w:rsidRDefault="00F600AE" w:rsidP="00F600AE">
      <w:pPr>
        <w:spacing w:after="0" w:line="240" w:lineRule="auto"/>
        <w:ind w:left="709"/>
        <w:jc w:val="center"/>
        <w:rPr>
          <w:rFonts w:ascii="Times New Roman" w:hAnsi="Times New Roman" w:cs="Times New Roman"/>
          <w:color w:val="000000" w:themeColor="text1"/>
        </w:rPr>
      </w:pPr>
      <w:hyperlink r:id="rId9" w:history="1">
        <w:r w:rsidRPr="00C5615F">
          <w:rPr>
            <w:rStyle w:val="Hyperlink"/>
            <w:rFonts w:ascii="Times New Roman" w:hAnsi="Times New Roman" w:cs="Times New Roman"/>
            <w:color w:val="000000" w:themeColor="text1"/>
            <w:u w:val="none"/>
          </w:rPr>
          <w:t>sasaruwa@gmail.com</w:t>
        </w:r>
      </w:hyperlink>
      <w:r w:rsidRPr="00C5615F">
        <w:rPr>
          <w:rFonts w:ascii="Times New Roman" w:hAnsi="Times New Roman" w:cs="Times New Roman"/>
          <w:color w:val="000000" w:themeColor="text1"/>
        </w:rPr>
        <w:t> </w:t>
      </w:r>
    </w:p>
    <w:p w14:paraId="56CA606F" w14:textId="77777777" w:rsidR="00F600AE" w:rsidRPr="00C5615F" w:rsidRDefault="00F600AE" w:rsidP="00F600AE">
      <w:pPr>
        <w:spacing w:after="0" w:line="240" w:lineRule="auto"/>
        <w:ind w:left="709"/>
        <w:jc w:val="center"/>
        <w:rPr>
          <w:rFonts w:ascii="Times New Roman" w:hAnsi="Times New Roman" w:cs="Times New Roman"/>
          <w:color w:val="000000" w:themeColor="text1"/>
        </w:rPr>
      </w:pPr>
      <w:r w:rsidRPr="00C5615F">
        <w:rPr>
          <w:rFonts w:ascii="Times New Roman" w:hAnsi="Times New Roman" w:cs="Times New Roman"/>
          <w:color w:val="000000" w:themeColor="text1"/>
        </w:rPr>
        <w:t>+2348034511107</w:t>
      </w:r>
    </w:p>
    <w:p w14:paraId="0558090F" w14:textId="77777777" w:rsidR="00F600AE" w:rsidRPr="00C5615F" w:rsidRDefault="00F600AE" w:rsidP="00EE0CA1">
      <w:pPr>
        <w:spacing w:after="0" w:line="240" w:lineRule="auto"/>
        <w:ind w:left="709" w:firstLine="10"/>
        <w:jc w:val="center"/>
        <w:rPr>
          <w:rFonts w:ascii="Times New Roman" w:hAnsi="Times New Roman" w:cs="Times New Roman"/>
          <w:color w:val="000000" w:themeColor="text1"/>
          <w:sz w:val="4"/>
          <w:szCs w:val="4"/>
        </w:rPr>
      </w:pPr>
    </w:p>
    <w:p w14:paraId="51E62A41" w14:textId="4C069F8A" w:rsidR="009C7304" w:rsidRPr="00C5615F" w:rsidRDefault="009C7304" w:rsidP="009C7304">
      <w:pPr>
        <w:spacing w:after="0" w:line="240" w:lineRule="auto"/>
        <w:ind w:left="709"/>
        <w:jc w:val="center"/>
        <w:rPr>
          <w:rFonts w:ascii="Times New Roman" w:hAnsi="Times New Roman" w:cs="Times New Roman"/>
        </w:rPr>
      </w:pPr>
      <w:r w:rsidRPr="00C5615F">
        <w:rPr>
          <w:rFonts w:ascii="Times New Roman" w:hAnsi="Times New Roman" w:cs="Times New Roman"/>
          <w:vertAlign w:val="superscript"/>
        </w:rPr>
        <w:t>1</w:t>
      </w:r>
      <w:r w:rsidR="006B0739" w:rsidRPr="00C5615F">
        <w:rPr>
          <w:rFonts w:ascii="Times New Roman" w:hAnsi="Times New Roman" w:cs="Times New Roman"/>
          <w:vertAlign w:val="superscript"/>
        </w:rPr>
        <w:t xml:space="preserve"> </w:t>
      </w:r>
      <w:r w:rsidR="006B0739" w:rsidRPr="00C5615F">
        <w:rPr>
          <w:rFonts w:ascii="Times New Roman" w:hAnsi="Times New Roman" w:cs="Times New Roman"/>
        </w:rPr>
        <w:t>PhD</w:t>
      </w:r>
      <w:r w:rsidRPr="00C5615F">
        <w:rPr>
          <w:rFonts w:ascii="Times New Roman" w:hAnsi="Times New Roman" w:cs="Times New Roman"/>
        </w:rPr>
        <w:t xml:space="preserve"> Procurement Management Student</w:t>
      </w:r>
      <w:r w:rsidR="00AF2345" w:rsidRPr="00C5615F">
        <w:rPr>
          <w:rFonts w:ascii="Times New Roman" w:hAnsi="Times New Roman" w:cs="Times New Roman"/>
        </w:rPr>
        <w:t>,</w:t>
      </w:r>
    </w:p>
    <w:p w14:paraId="05EFD0B1" w14:textId="046F2CE5" w:rsidR="009C7304" w:rsidRPr="00C5615F" w:rsidRDefault="009C7304" w:rsidP="009C7304">
      <w:pPr>
        <w:spacing w:after="0" w:line="240" w:lineRule="auto"/>
        <w:ind w:left="709"/>
        <w:jc w:val="center"/>
        <w:rPr>
          <w:rFonts w:ascii="Times New Roman" w:hAnsi="Times New Roman" w:cs="Times New Roman"/>
        </w:rPr>
      </w:pPr>
      <w:r w:rsidRPr="00C5615F">
        <w:rPr>
          <w:rFonts w:ascii="Times New Roman" w:hAnsi="Times New Roman" w:cs="Times New Roman"/>
          <w:vertAlign w:val="superscript"/>
        </w:rPr>
        <w:t xml:space="preserve">1 </w:t>
      </w:r>
      <w:r w:rsidR="006B0739" w:rsidRPr="00C5615F">
        <w:rPr>
          <w:rFonts w:ascii="Times New Roman" w:hAnsi="Times New Roman" w:cs="Times New Roman"/>
          <w:vertAlign w:val="superscript"/>
        </w:rPr>
        <w:t xml:space="preserve">2 </w:t>
      </w:r>
      <w:r w:rsidR="006B0739" w:rsidRPr="00C5615F">
        <w:rPr>
          <w:rFonts w:ascii="Times New Roman" w:hAnsi="Times New Roman" w:cs="Times New Roman"/>
        </w:rPr>
        <w:t>Institute</w:t>
      </w:r>
      <w:r w:rsidRPr="00C5615F">
        <w:rPr>
          <w:rFonts w:ascii="Times New Roman" w:hAnsi="Times New Roman" w:cs="Times New Roman"/>
        </w:rPr>
        <w:t xml:space="preserve"> of Governance and Development Studies, </w:t>
      </w:r>
    </w:p>
    <w:p w14:paraId="5C25B7F1" w14:textId="77777777" w:rsidR="009C7304" w:rsidRPr="00C5615F" w:rsidRDefault="009C7304" w:rsidP="009C7304">
      <w:pPr>
        <w:spacing w:after="0" w:line="360" w:lineRule="auto"/>
        <w:ind w:left="709"/>
        <w:jc w:val="center"/>
        <w:rPr>
          <w:rFonts w:ascii="Times New Roman" w:hAnsi="Times New Roman" w:cs="Times New Roman"/>
          <w:b/>
          <w:bCs/>
          <w:color w:val="000000" w:themeColor="text1"/>
        </w:rPr>
      </w:pPr>
      <w:r w:rsidRPr="00C5615F">
        <w:rPr>
          <w:rFonts w:ascii="Times New Roman" w:hAnsi="Times New Roman" w:cs="Times New Roman"/>
        </w:rPr>
        <w:t>Nasarawa State University, Keffi-Nigeria.</w:t>
      </w:r>
    </w:p>
    <w:p w14:paraId="21AE18EE" w14:textId="77777777" w:rsidR="00326652" w:rsidRPr="00C5615F" w:rsidRDefault="00326652" w:rsidP="00CF54C6">
      <w:pPr>
        <w:pStyle w:val="Heading1"/>
        <w:spacing w:before="0"/>
        <w:ind w:firstLine="709"/>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ABSTRACT</w:t>
      </w:r>
    </w:p>
    <w:p w14:paraId="398C7523" w14:textId="72458A0D" w:rsidR="00F73254" w:rsidRPr="00F73254" w:rsidRDefault="00321960" w:rsidP="009D4E75">
      <w:pPr>
        <w:spacing w:line="240" w:lineRule="auto"/>
        <w:ind w:left="709"/>
        <w:jc w:val="both"/>
        <w:rPr>
          <w:rFonts w:ascii="Times New Roman" w:hAnsi="Times New Roman" w:cs="Times New Roman"/>
          <w:i/>
          <w:iCs/>
          <w:color w:val="000000" w:themeColor="text1"/>
        </w:rPr>
      </w:pPr>
      <w:r w:rsidRPr="00321960">
        <w:rPr>
          <w:rFonts w:ascii="Times New Roman" w:hAnsi="Times New Roman" w:cs="Times New Roman"/>
          <w:i/>
          <w:iCs/>
          <w:color w:val="000000" w:themeColor="text1"/>
        </w:rPr>
        <w:t xml:space="preserve">The persistent reliance on manual Requisition-to-Pay (R2P) </w:t>
      </w:r>
      <w:r w:rsidR="0069091E" w:rsidRPr="0069091E">
        <w:rPr>
          <w:rFonts w:ascii="Times New Roman" w:hAnsi="Times New Roman" w:cs="Times New Roman"/>
          <w:i/>
          <w:iCs/>
          <w:color w:val="000000" w:themeColor="text1"/>
        </w:rPr>
        <w:t>processes</w:t>
      </w:r>
      <w:r w:rsidR="0069091E">
        <w:rPr>
          <w:rFonts w:ascii="Times New Roman" w:hAnsi="Times New Roman" w:cs="Times New Roman"/>
          <w:i/>
          <w:iCs/>
          <w:color w:val="000000" w:themeColor="text1"/>
        </w:rPr>
        <w:t xml:space="preserve"> </w:t>
      </w:r>
      <w:r w:rsidRPr="00321960">
        <w:rPr>
          <w:rFonts w:ascii="Times New Roman" w:hAnsi="Times New Roman" w:cs="Times New Roman"/>
          <w:i/>
          <w:iCs/>
          <w:color w:val="000000" w:themeColor="text1"/>
        </w:rPr>
        <w:t>within Nigerian Federal MDAs has institutionalized transactional friction, manifesting in chronic contractor payment delays and stifled operational liquidity. This study examined the impact of Financial Technology (</w:t>
      </w:r>
      <w:r w:rsidR="00B75489">
        <w:rPr>
          <w:rFonts w:ascii="Times New Roman" w:hAnsi="Times New Roman" w:cs="Times New Roman"/>
          <w:i/>
          <w:iCs/>
          <w:color w:val="000000" w:themeColor="text1"/>
        </w:rPr>
        <w:t>FinTech</w:t>
      </w:r>
      <w:r w:rsidRPr="00321960">
        <w:rPr>
          <w:rFonts w:ascii="Times New Roman" w:hAnsi="Times New Roman" w:cs="Times New Roman"/>
          <w:i/>
          <w:iCs/>
          <w:color w:val="000000" w:themeColor="text1"/>
        </w:rPr>
        <w:t xml:space="preserve">) adoption focusing on Electronic Payment and Remittance Systems (EPRS), Digital Supply Chain Finance (DSCF), Blockchain-Based Smart Contracts (BBSC), and Big Data Analytics &amp; AI Risk Assessment (BDAR) on Supply Chain Performance (SUCP) at selected Nigerian Federal MDAs. Using a descriptive survey research design, data were collected from 188 strategic stakeholders across five key organizations (Central Bank of Nigeria (CBN), the Bureau of Public Procurement (BPP), the Federal Medical Centre (FMC), Abuja, the National Health Insurance Authority (NHIA), and the Federal Ministry of Works) via a structured questionnaire, achieving a 78.7% response rate. Partial Least Squares Structural Equation </w:t>
      </w:r>
      <w:proofErr w:type="spellStart"/>
      <w:r w:rsidRPr="00321960">
        <w:rPr>
          <w:rFonts w:ascii="Times New Roman" w:hAnsi="Times New Roman" w:cs="Times New Roman"/>
          <w:i/>
          <w:iCs/>
          <w:color w:val="000000" w:themeColor="text1"/>
        </w:rPr>
        <w:t>Modeling</w:t>
      </w:r>
      <w:proofErr w:type="spellEnd"/>
      <w:r w:rsidRPr="00321960">
        <w:rPr>
          <w:rFonts w:ascii="Times New Roman" w:hAnsi="Times New Roman" w:cs="Times New Roman"/>
          <w:i/>
          <w:iCs/>
          <w:color w:val="000000" w:themeColor="text1"/>
        </w:rPr>
        <w:t xml:space="preserve"> (PLS-SEM) was employed for analysis. </w:t>
      </w:r>
      <w:r w:rsidR="007C0B60" w:rsidRPr="007C0B60">
        <w:rPr>
          <w:rFonts w:ascii="Times New Roman" w:hAnsi="Times New Roman" w:cs="Times New Roman"/>
          <w:i/>
          <w:iCs/>
          <w:color w:val="000000" w:themeColor="text1"/>
        </w:rPr>
        <w:t>The findings revealed that Big Data Analytics &amp; AI Risk Assessment (BDAR) (β = 0.336, p &lt; 0.001), Blockchain-Based Smart Contracts (BBSC) (β = 0.310, p &lt; 0.001), and Electronic Payment and Remittance Systems (EPRS) (β = 0.173, p = 0.028) significantly and positively affect supply chain performance. However, Digital Supply Chain Finance (DSCF) showed no significant effect (β = 0.139, p = 0.086), suggesting that such financing models are yet to mature within the Nigerian public sector landscape.</w:t>
      </w:r>
      <w:r w:rsidR="007C0B60">
        <w:rPr>
          <w:rFonts w:ascii="Times New Roman" w:hAnsi="Times New Roman" w:cs="Times New Roman"/>
          <w:i/>
          <w:iCs/>
          <w:color w:val="000000" w:themeColor="text1"/>
        </w:rPr>
        <w:t xml:space="preserve"> </w:t>
      </w:r>
      <w:r w:rsidR="00F73254" w:rsidRPr="00F73254">
        <w:rPr>
          <w:rFonts w:ascii="Times New Roman" w:hAnsi="Times New Roman" w:cs="Times New Roman"/>
          <w:i/>
          <w:iCs/>
          <w:color w:val="000000" w:themeColor="text1"/>
        </w:rPr>
        <w:t>The study concluded that technological synergy is critical for institutional resilience, explaining 79.2% of the variance in performance. Aligning with Nigeria's Digital Economy Strategy (2020–2030), these findings underscore</w:t>
      </w:r>
      <w:r w:rsidR="000867EE">
        <w:rPr>
          <w:rFonts w:ascii="Times New Roman" w:hAnsi="Times New Roman" w:cs="Times New Roman"/>
          <w:i/>
          <w:iCs/>
          <w:color w:val="000000" w:themeColor="text1"/>
        </w:rPr>
        <w:t>d</w:t>
      </w:r>
      <w:r w:rsidR="00F73254" w:rsidRPr="00F73254">
        <w:rPr>
          <w:rFonts w:ascii="Times New Roman" w:hAnsi="Times New Roman" w:cs="Times New Roman"/>
          <w:i/>
          <w:iCs/>
          <w:color w:val="000000" w:themeColor="text1"/>
        </w:rPr>
        <w:t xml:space="preserve"> the urgent need for accelerated </w:t>
      </w:r>
      <w:r w:rsidR="00B75489">
        <w:rPr>
          <w:rFonts w:ascii="Times New Roman" w:hAnsi="Times New Roman" w:cs="Times New Roman"/>
          <w:i/>
          <w:iCs/>
          <w:color w:val="000000" w:themeColor="text1"/>
        </w:rPr>
        <w:t>FinTech</w:t>
      </w:r>
      <w:r w:rsidR="00F73254" w:rsidRPr="00F73254">
        <w:rPr>
          <w:rFonts w:ascii="Times New Roman" w:hAnsi="Times New Roman" w:cs="Times New Roman"/>
          <w:i/>
          <w:iCs/>
          <w:color w:val="000000" w:themeColor="text1"/>
        </w:rPr>
        <w:t xml:space="preserve"> integration in public sector procurement to drive efficiency, transparency, and inclusive economic growth. Recommendations include prioritizing investment in AI-driven predictive analytics and implementing blockchain for automated, immutable contract execution to minimize errors and build </w:t>
      </w:r>
      <w:proofErr w:type="spellStart"/>
      <w:r w:rsidR="00F73254" w:rsidRPr="00F73254">
        <w:rPr>
          <w:rFonts w:ascii="Times New Roman" w:hAnsi="Times New Roman" w:cs="Times New Roman"/>
          <w:i/>
          <w:iCs/>
          <w:color w:val="000000" w:themeColor="text1"/>
        </w:rPr>
        <w:t>trustless</w:t>
      </w:r>
      <w:proofErr w:type="spellEnd"/>
      <w:r w:rsidR="00F73254" w:rsidRPr="00F73254">
        <w:rPr>
          <w:rFonts w:ascii="Times New Roman" w:hAnsi="Times New Roman" w:cs="Times New Roman"/>
          <w:i/>
          <w:iCs/>
          <w:color w:val="000000" w:themeColor="text1"/>
        </w:rPr>
        <w:t xml:space="preserve"> systems.</w:t>
      </w:r>
    </w:p>
    <w:p w14:paraId="3A8EB416" w14:textId="5526129C" w:rsidR="00BD30BD" w:rsidRPr="00BD30BD" w:rsidRDefault="00BD30BD" w:rsidP="00BD30BD">
      <w:pPr>
        <w:spacing w:line="240" w:lineRule="auto"/>
        <w:ind w:left="709"/>
        <w:jc w:val="both"/>
        <w:rPr>
          <w:rFonts w:ascii="Times New Roman" w:hAnsi="Times New Roman" w:cs="Times New Roman"/>
          <w:color w:val="000000" w:themeColor="text1"/>
        </w:rPr>
      </w:pPr>
      <w:r w:rsidRPr="00BD30BD">
        <w:rPr>
          <w:rFonts w:ascii="Times New Roman" w:hAnsi="Times New Roman" w:cs="Times New Roman"/>
          <w:b/>
          <w:bCs/>
          <w:color w:val="000000" w:themeColor="text1"/>
        </w:rPr>
        <w:t>Keywords:</w:t>
      </w:r>
      <w:r w:rsidRPr="00BD30BD">
        <w:rPr>
          <w:rFonts w:ascii="Times New Roman" w:hAnsi="Times New Roman" w:cs="Times New Roman"/>
          <w:color w:val="000000" w:themeColor="text1"/>
        </w:rPr>
        <w:t xml:space="preserve"> </w:t>
      </w:r>
      <w:r w:rsidR="00B75489">
        <w:rPr>
          <w:rFonts w:ascii="Times New Roman" w:hAnsi="Times New Roman" w:cs="Times New Roman"/>
          <w:i/>
          <w:iCs/>
          <w:color w:val="000000" w:themeColor="text1"/>
        </w:rPr>
        <w:t>FinTech</w:t>
      </w:r>
      <w:r w:rsidRPr="00BD30BD">
        <w:rPr>
          <w:rFonts w:ascii="Times New Roman" w:hAnsi="Times New Roman" w:cs="Times New Roman"/>
          <w:i/>
          <w:iCs/>
          <w:color w:val="000000" w:themeColor="text1"/>
        </w:rPr>
        <w:t xml:space="preserve"> adoption, supply chain performance, blockchain, big data analytics, electronic payment</w:t>
      </w:r>
      <w:r w:rsidR="005617A2" w:rsidRPr="00C5615F">
        <w:rPr>
          <w:rFonts w:ascii="Times New Roman" w:hAnsi="Times New Roman" w:cs="Times New Roman"/>
          <w:i/>
          <w:iCs/>
          <w:color w:val="000000" w:themeColor="text1"/>
        </w:rPr>
        <w:t>s.</w:t>
      </w:r>
    </w:p>
    <w:p w14:paraId="55052A3B" w14:textId="6471EEF0" w:rsidR="00BA03F6" w:rsidRPr="00C5615F" w:rsidRDefault="00E91426" w:rsidP="00D74768">
      <w:pPr>
        <w:pStyle w:val="Heading1"/>
        <w:ind w:firstLine="709"/>
        <w:rPr>
          <w:rFonts w:ascii="Times New Roman" w:hAnsi="Times New Roman" w:cs="Times New Roman"/>
          <w:color w:val="000000" w:themeColor="text1"/>
          <w:sz w:val="24"/>
          <w:szCs w:val="24"/>
        </w:rPr>
      </w:pPr>
      <w:r w:rsidRPr="00C5615F">
        <w:rPr>
          <w:rFonts w:ascii="Times New Roman" w:hAnsi="Times New Roman" w:cs="Times New Roman"/>
          <w:b/>
          <w:bCs/>
          <w:color w:val="000000" w:themeColor="text1"/>
          <w:sz w:val="24"/>
          <w:szCs w:val="24"/>
        </w:rPr>
        <w:t xml:space="preserve">1.0 </w:t>
      </w:r>
      <w:r w:rsidR="00BA03F6" w:rsidRPr="00C5615F">
        <w:rPr>
          <w:rFonts w:ascii="Times New Roman" w:hAnsi="Times New Roman" w:cs="Times New Roman"/>
          <w:b/>
          <w:bCs/>
          <w:color w:val="000000" w:themeColor="text1"/>
          <w:sz w:val="24"/>
          <w:szCs w:val="24"/>
        </w:rPr>
        <w:t>INTRODUCTION</w:t>
      </w:r>
    </w:p>
    <w:p w14:paraId="35F5FE05" w14:textId="53FC7615" w:rsidR="000F2727" w:rsidRPr="00B62FE6" w:rsidRDefault="000778EF" w:rsidP="00B62FE6">
      <w:pPr>
        <w:spacing w:after="0" w:line="240" w:lineRule="auto"/>
        <w:ind w:left="709"/>
        <w:jc w:val="both"/>
        <w:rPr>
          <w:rFonts w:ascii="Times New Roman" w:hAnsi="Times New Roman" w:cs="Times New Roman"/>
          <w:color w:val="000000" w:themeColor="text1"/>
        </w:rPr>
      </w:pPr>
      <w:r w:rsidRPr="000778EF">
        <w:rPr>
          <w:rFonts w:ascii="Times New Roman" w:hAnsi="Times New Roman" w:cs="Times New Roman"/>
          <w:color w:val="000000" w:themeColor="text1"/>
        </w:rPr>
        <w:t>Financial Technology (</w:t>
      </w:r>
      <w:r w:rsidR="00B75489">
        <w:rPr>
          <w:rFonts w:ascii="Times New Roman" w:hAnsi="Times New Roman" w:cs="Times New Roman"/>
          <w:color w:val="000000" w:themeColor="text1"/>
        </w:rPr>
        <w:t>FinTech</w:t>
      </w:r>
      <w:r w:rsidRPr="000778EF">
        <w:rPr>
          <w:rFonts w:ascii="Times New Roman" w:hAnsi="Times New Roman" w:cs="Times New Roman"/>
          <w:color w:val="000000" w:themeColor="text1"/>
        </w:rPr>
        <w:t xml:space="preserve">) adoption has evolved from a peripheral software upgrade into a fundamental restructuring of institutional architectures. Globally, top-tier economies have demonstrated that the integration of digital financial tools is a primary driver of rapid economic transformation. In China, Kang and Li (2025) observed that digital-driven productivity functions as a composite strategic resource, utilizing complex network </w:t>
      </w:r>
      <w:proofErr w:type="spellStart"/>
      <w:r w:rsidRPr="000778EF">
        <w:rPr>
          <w:rFonts w:ascii="Times New Roman" w:hAnsi="Times New Roman" w:cs="Times New Roman"/>
          <w:color w:val="000000" w:themeColor="text1"/>
        </w:rPr>
        <w:t>modeling</w:t>
      </w:r>
      <w:proofErr w:type="spellEnd"/>
      <w:r w:rsidRPr="000778EF">
        <w:rPr>
          <w:rFonts w:ascii="Times New Roman" w:hAnsi="Times New Roman" w:cs="Times New Roman"/>
          <w:color w:val="000000" w:themeColor="text1"/>
        </w:rPr>
        <w:t xml:space="preserve"> to demonstrate how platform connectivity flattens supply chain risks for manufacturing firms through improved </w:t>
      </w:r>
      <w:proofErr w:type="spellStart"/>
      <w:r w:rsidRPr="000778EF">
        <w:rPr>
          <w:rFonts w:ascii="Times New Roman" w:hAnsi="Times New Roman" w:cs="Times New Roman"/>
          <w:color w:val="000000" w:themeColor="text1"/>
        </w:rPr>
        <w:t>defense</w:t>
      </w:r>
      <w:proofErr w:type="spellEnd"/>
      <w:r w:rsidRPr="000778EF">
        <w:rPr>
          <w:rFonts w:ascii="Times New Roman" w:hAnsi="Times New Roman" w:cs="Times New Roman"/>
          <w:color w:val="000000" w:themeColor="text1"/>
        </w:rPr>
        <w:t xml:space="preserve"> and recovery </w:t>
      </w:r>
      <w:r w:rsidRPr="000778EF">
        <w:rPr>
          <w:rFonts w:ascii="Times New Roman" w:hAnsi="Times New Roman" w:cs="Times New Roman"/>
          <w:color w:val="000000" w:themeColor="text1"/>
        </w:rPr>
        <w:lastRenderedPageBreak/>
        <w:t>mechanisms.</w:t>
      </w:r>
      <w:r w:rsidRPr="002C2EDB">
        <w:rPr>
          <w:rFonts w:ascii="Times New Roman" w:hAnsi="Times New Roman" w:cs="Times New Roman"/>
          <w:color w:val="000000" w:themeColor="text1"/>
        </w:rPr>
        <w:t xml:space="preserve"> </w:t>
      </w:r>
      <w:r w:rsidRPr="000778EF">
        <w:rPr>
          <w:rFonts w:ascii="Times New Roman" w:hAnsi="Times New Roman" w:cs="Times New Roman"/>
          <w:color w:val="000000" w:themeColor="text1"/>
        </w:rPr>
        <w:t>Similarly, Li</w:t>
      </w:r>
      <w:r w:rsidR="00875420" w:rsidRPr="002C2EDB">
        <w:rPr>
          <w:rFonts w:ascii="Times New Roman" w:hAnsi="Times New Roman" w:cs="Times New Roman"/>
          <w:color w:val="000000" w:themeColor="text1"/>
        </w:rPr>
        <w:t xml:space="preserve"> et al.</w:t>
      </w:r>
      <w:r w:rsidRPr="000778EF">
        <w:rPr>
          <w:rFonts w:ascii="Times New Roman" w:hAnsi="Times New Roman" w:cs="Times New Roman"/>
          <w:color w:val="000000" w:themeColor="text1"/>
        </w:rPr>
        <w:t xml:space="preserve"> (2024) established that digital finance strengthens supply chain resilience by alleviating financing constraints and fostering technological innovation, thereby enabling firms to better withstand external shocks. </w:t>
      </w:r>
      <w:r w:rsidR="00B62FE6" w:rsidRPr="002C2EDB">
        <w:rPr>
          <w:rFonts w:ascii="Times New Roman" w:hAnsi="Times New Roman" w:cs="Times New Roman"/>
          <w:color w:val="000000" w:themeColor="text1"/>
        </w:rPr>
        <w:t>I</w:t>
      </w:r>
      <w:r w:rsidR="00BA03F6" w:rsidRPr="002C2EDB">
        <w:rPr>
          <w:rFonts w:ascii="Times New Roman" w:hAnsi="Times New Roman" w:cs="Times New Roman"/>
          <w:color w:val="000000" w:themeColor="text1"/>
        </w:rPr>
        <w:t xml:space="preserve">n the European context, </w:t>
      </w:r>
      <w:proofErr w:type="spellStart"/>
      <w:r w:rsidR="00BA03F6" w:rsidRPr="002C2EDB">
        <w:rPr>
          <w:rFonts w:ascii="Times New Roman" w:hAnsi="Times New Roman" w:cs="Times New Roman"/>
          <w:color w:val="000000" w:themeColor="text1"/>
        </w:rPr>
        <w:t>Fountis</w:t>
      </w:r>
      <w:proofErr w:type="spellEnd"/>
      <w:r w:rsidR="00BA03F6" w:rsidRPr="002C2EDB">
        <w:rPr>
          <w:rFonts w:ascii="Times New Roman" w:hAnsi="Times New Roman" w:cs="Times New Roman"/>
          <w:color w:val="000000" w:themeColor="text1"/>
        </w:rPr>
        <w:t xml:space="preserve"> and Mukherjee (2021) highlighted how </w:t>
      </w:r>
      <w:r w:rsidR="00B75489">
        <w:rPr>
          <w:rFonts w:ascii="Times New Roman" w:hAnsi="Times New Roman" w:cs="Times New Roman"/>
          <w:color w:val="000000" w:themeColor="text1"/>
        </w:rPr>
        <w:t>FinTech</w:t>
      </w:r>
      <w:r w:rsidR="00BA03F6" w:rsidRPr="002C2EDB">
        <w:rPr>
          <w:rFonts w:ascii="Times New Roman" w:hAnsi="Times New Roman" w:cs="Times New Roman"/>
          <w:color w:val="000000" w:themeColor="text1"/>
        </w:rPr>
        <w:t xml:space="preserve"> revolutionizes the sector’s supply chain by reducing processing times and minimizing operational waste, ensuring just-in-time delivery of financial services. These advancements are mirrored in North America, where Kayani et al. (2025) established that </w:t>
      </w:r>
      <w:r w:rsidR="00B75489">
        <w:rPr>
          <w:rFonts w:ascii="Times New Roman" w:hAnsi="Times New Roman" w:cs="Times New Roman"/>
          <w:color w:val="000000" w:themeColor="text1"/>
        </w:rPr>
        <w:t>FinTech</w:t>
      </w:r>
      <w:r w:rsidR="00BA03F6" w:rsidRPr="002C2EDB">
        <w:rPr>
          <w:rFonts w:ascii="Times New Roman" w:hAnsi="Times New Roman" w:cs="Times New Roman"/>
          <w:color w:val="000000" w:themeColor="text1"/>
        </w:rPr>
        <w:t xml:space="preserve"> adoption ensures a smooth supply of digital financial services, providing the </w:t>
      </w:r>
      <w:r w:rsidR="00BA03F6" w:rsidRPr="00C5615F">
        <w:rPr>
          <w:rFonts w:ascii="Times New Roman" w:hAnsi="Times New Roman" w:cs="Times New Roman"/>
          <w:color w:val="000000" w:themeColor="text1"/>
        </w:rPr>
        <w:t xml:space="preserve">operational flexibility needed to meet obligations without distress. As we transition to middle-income and emerging economies, the narrative remains consistent; in India, </w:t>
      </w:r>
      <w:proofErr w:type="spellStart"/>
      <w:r w:rsidR="00BA03F6" w:rsidRPr="00C5615F">
        <w:rPr>
          <w:rFonts w:ascii="Times New Roman" w:hAnsi="Times New Roman" w:cs="Times New Roman"/>
          <w:color w:val="000000" w:themeColor="text1"/>
        </w:rPr>
        <w:t>Chotia</w:t>
      </w:r>
      <w:proofErr w:type="spellEnd"/>
      <w:r w:rsidR="00BA03F6" w:rsidRPr="00C5615F">
        <w:rPr>
          <w:rFonts w:ascii="Times New Roman" w:hAnsi="Times New Roman" w:cs="Times New Roman"/>
          <w:color w:val="000000" w:themeColor="text1"/>
        </w:rPr>
        <w:t xml:space="preserve"> et al. (2025) found that roughly 87% of businesses utilize digital tools to evade financial obstacles and maximize cash flow, while in Jordan, Alkhawaldeh et al. (2023) demonstrated that </w:t>
      </w:r>
      <w:r w:rsidR="00B75489">
        <w:rPr>
          <w:rFonts w:ascii="Times New Roman" w:hAnsi="Times New Roman" w:cs="Times New Roman"/>
          <w:color w:val="000000" w:themeColor="text1"/>
        </w:rPr>
        <w:t>FinTech</w:t>
      </w:r>
      <w:r w:rsidR="00BA03F6" w:rsidRPr="00C5615F">
        <w:rPr>
          <w:rFonts w:ascii="Times New Roman" w:hAnsi="Times New Roman" w:cs="Times New Roman"/>
          <w:color w:val="000000" w:themeColor="text1"/>
        </w:rPr>
        <w:t xml:space="preserve"> adoption enhances performance by providing faster, cheaper, and more convenient services.</w:t>
      </w:r>
      <w:r w:rsidR="00495660" w:rsidRPr="00C5615F">
        <w:rPr>
          <w:rFonts w:ascii="Times New Roman" w:hAnsi="Times New Roman" w:cs="Times New Roman"/>
          <w:color w:val="000000" w:themeColor="text1"/>
        </w:rPr>
        <w:t xml:space="preserve"> </w:t>
      </w:r>
    </w:p>
    <w:p w14:paraId="72A9F16A" w14:textId="1454A04D" w:rsidR="00A607F3" w:rsidRPr="00C5615F" w:rsidRDefault="0065469A" w:rsidP="003C7DDE">
      <w:pPr>
        <w:spacing w:before="240" w:after="0"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Narrowing down to Africa, </w:t>
      </w:r>
      <w:r w:rsidR="00597971" w:rsidRPr="00C5615F">
        <w:rPr>
          <w:rFonts w:ascii="Times New Roman" w:hAnsi="Times New Roman" w:cs="Times New Roman"/>
          <w:color w:val="000000" w:themeColor="text1"/>
        </w:rPr>
        <w:t>i</w:t>
      </w:r>
      <w:r w:rsidR="00BA03F6" w:rsidRPr="00C5615F">
        <w:rPr>
          <w:rFonts w:ascii="Times New Roman" w:hAnsi="Times New Roman" w:cs="Times New Roman"/>
          <w:color w:val="000000" w:themeColor="text1"/>
        </w:rPr>
        <w:t xml:space="preserve">n Egypt, Khalil (2025) determined that automated remittance infrastructures drastically reduce transaction costs and settlement times, thereby improving financial performance. </w:t>
      </w:r>
      <w:r w:rsidR="0031128A">
        <w:rPr>
          <w:rFonts w:ascii="Times New Roman" w:hAnsi="Times New Roman" w:cs="Times New Roman"/>
          <w:color w:val="000000" w:themeColor="text1"/>
        </w:rPr>
        <w:t>I</w:t>
      </w:r>
      <w:r w:rsidR="00BA03F6" w:rsidRPr="00C5615F">
        <w:rPr>
          <w:rFonts w:ascii="Times New Roman" w:hAnsi="Times New Roman" w:cs="Times New Roman"/>
          <w:color w:val="000000" w:themeColor="text1"/>
        </w:rPr>
        <w:t xml:space="preserve">n Cameroon, </w:t>
      </w:r>
      <w:proofErr w:type="spellStart"/>
      <w:r w:rsidR="00BA03F6" w:rsidRPr="00C5615F">
        <w:rPr>
          <w:rFonts w:ascii="Times New Roman" w:hAnsi="Times New Roman" w:cs="Times New Roman"/>
          <w:color w:val="000000" w:themeColor="text1"/>
        </w:rPr>
        <w:t>Lontchi</w:t>
      </w:r>
      <w:proofErr w:type="spellEnd"/>
      <w:r w:rsidR="00BA03F6" w:rsidRPr="00C5615F">
        <w:rPr>
          <w:rFonts w:ascii="Times New Roman" w:hAnsi="Times New Roman" w:cs="Times New Roman"/>
          <w:color w:val="000000" w:themeColor="text1"/>
        </w:rPr>
        <w:t xml:space="preserve"> et al. (2023) revealed that </w:t>
      </w:r>
      <w:r w:rsidR="00B75489">
        <w:rPr>
          <w:rFonts w:ascii="Times New Roman" w:hAnsi="Times New Roman" w:cs="Times New Roman"/>
          <w:color w:val="000000" w:themeColor="text1"/>
        </w:rPr>
        <w:t>FinTech</w:t>
      </w:r>
      <w:r w:rsidR="00BA03F6" w:rsidRPr="00C5615F">
        <w:rPr>
          <w:rFonts w:ascii="Times New Roman" w:hAnsi="Times New Roman" w:cs="Times New Roman"/>
          <w:color w:val="000000" w:themeColor="text1"/>
        </w:rPr>
        <w:t xml:space="preserve"> has a positive and significant effect on firm performance by automatically documenting sales transactions and providing real-time financial data for better decision-making. </w:t>
      </w:r>
      <w:r w:rsidR="002D64E4" w:rsidRPr="00C5615F">
        <w:rPr>
          <w:rFonts w:ascii="Times New Roman" w:hAnsi="Times New Roman" w:cs="Times New Roman"/>
          <w:color w:val="000000" w:themeColor="text1"/>
        </w:rPr>
        <w:t>I</w:t>
      </w:r>
      <w:r w:rsidR="00BA03F6" w:rsidRPr="00C5615F">
        <w:rPr>
          <w:rFonts w:ascii="Times New Roman" w:hAnsi="Times New Roman" w:cs="Times New Roman"/>
          <w:color w:val="000000" w:themeColor="text1"/>
        </w:rPr>
        <w:t xml:space="preserve">n the Nigerian public sector, Abdulrazaq et al. (2023) empirically demonstrated that </w:t>
      </w:r>
      <w:r w:rsidR="00B75489">
        <w:rPr>
          <w:rFonts w:ascii="Times New Roman" w:hAnsi="Times New Roman" w:cs="Times New Roman"/>
          <w:color w:val="000000" w:themeColor="text1"/>
        </w:rPr>
        <w:t>FinTech</w:t>
      </w:r>
      <w:r w:rsidR="00BA03F6" w:rsidRPr="00C5615F">
        <w:rPr>
          <w:rFonts w:ascii="Times New Roman" w:hAnsi="Times New Roman" w:cs="Times New Roman"/>
          <w:color w:val="000000" w:themeColor="text1"/>
        </w:rPr>
        <w:t xml:space="preserve"> adoption significantly enhances the comfort and speed of operational procedures, shifting the competitive advantage toward agile digital frameworks. This local perspective is further strengthened by Akanbi and </w:t>
      </w:r>
      <w:proofErr w:type="spellStart"/>
      <w:r w:rsidR="00BA03F6" w:rsidRPr="00C5615F">
        <w:rPr>
          <w:rFonts w:ascii="Times New Roman" w:hAnsi="Times New Roman" w:cs="Times New Roman"/>
          <w:color w:val="000000" w:themeColor="text1"/>
        </w:rPr>
        <w:t>Gbadegesin</w:t>
      </w:r>
      <w:proofErr w:type="spellEnd"/>
      <w:r w:rsidR="00BA03F6" w:rsidRPr="00C5615F">
        <w:rPr>
          <w:rFonts w:ascii="Times New Roman" w:hAnsi="Times New Roman" w:cs="Times New Roman"/>
          <w:color w:val="000000" w:themeColor="text1"/>
        </w:rPr>
        <w:t xml:space="preserve"> (2025), who found that in Nigeria’s logistics sector, </w:t>
      </w:r>
      <w:r w:rsidR="00B75489">
        <w:rPr>
          <w:rFonts w:ascii="Times New Roman" w:hAnsi="Times New Roman" w:cs="Times New Roman"/>
          <w:color w:val="000000" w:themeColor="text1"/>
        </w:rPr>
        <w:t>FinTech</w:t>
      </w:r>
      <w:r w:rsidR="00BA03F6" w:rsidRPr="00C5615F">
        <w:rPr>
          <w:rFonts w:ascii="Times New Roman" w:hAnsi="Times New Roman" w:cs="Times New Roman"/>
          <w:color w:val="000000" w:themeColor="text1"/>
        </w:rPr>
        <w:t xml:space="preserve"> adoption</w:t>
      </w:r>
      <w:r w:rsidR="000069EB" w:rsidRPr="00C5615F">
        <w:rPr>
          <w:rFonts w:ascii="Times New Roman" w:hAnsi="Times New Roman" w:cs="Times New Roman"/>
          <w:color w:val="000000" w:themeColor="text1"/>
        </w:rPr>
        <w:t xml:space="preserve">, </w:t>
      </w:r>
      <w:r w:rsidR="00BA03F6" w:rsidRPr="00C5615F">
        <w:rPr>
          <w:rFonts w:ascii="Times New Roman" w:hAnsi="Times New Roman" w:cs="Times New Roman"/>
          <w:color w:val="000000" w:themeColor="text1"/>
        </w:rPr>
        <w:t>proxied by electronic financial transactions</w:t>
      </w:r>
      <w:r w:rsidR="00C977FA" w:rsidRPr="00C5615F">
        <w:rPr>
          <w:rFonts w:ascii="Times New Roman" w:hAnsi="Times New Roman" w:cs="Times New Roman"/>
          <w:color w:val="000000" w:themeColor="text1"/>
        </w:rPr>
        <w:t xml:space="preserve"> </w:t>
      </w:r>
      <w:r w:rsidR="00BA03F6" w:rsidRPr="00C5615F">
        <w:rPr>
          <w:rFonts w:ascii="Times New Roman" w:hAnsi="Times New Roman" w:cs="Times New Roman"/>
          <w:color w:val="000000" w:themeColor="text1"/>
        </w:rPr>
        <w:t>has a statistically significant positive impact on supply chain performance, accelerating the speed and transparency of institutional operations.</w:t>
      </w:r>
    </w:p>
    <w:p w14:paraId="71B72E18" w14:textId="00FE5E1E" w:rsidR="00A64324" w:rsidRPr="00C5615F" w:rsidRDefault="00BA03F6" w:rsidP="00935B7F">
      <w:pPr>
        <w:spacing w:before="240" w:after="0"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The conceptual core of this study rests on two pivotal variables: Financial Technology (</w:t>
      </w:r>
      <w:r w:rsidR="00B75489">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Adoption and Supply Chain Performance. </w:t>
      </w:r>
      <w:r w:rsidR="00B75489">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adoption is defined by Abdulrazaq et al. (2023) as the technological delivery of novel financial services that cross the boundaries of finance and innovation management to improve efficiency. Its significance lies in its ability to act as a multidimensional strategic resource; for instance, electronic payment systems mitigate systemic risks of contractor payment delays, while Digital Supply Chain Finance (SCF) stabilize</w:t>
      </w:r>
      <w:r w:rsidR="00FD6B13" w:rsidRPr="00C5615F">
        <w:rPr>
          <w:rFonts w:ascii="Times New Roman" w:hAnsi="Times New Roman" w:cs="Times New Roman"/>
          <w:color w:val="000000" w:themeColor="text1"/>
        </w:rPr>
        <w:t>d</w:t>
      </w:r>
      <w:r w:rsidRPr="00C5615F">
        <w:rPr>
          <w:rFonts w:ascii="Times New Roman" w:hAnsi="Times New Roman" w:cs="Times New Roman"/>
          <w:color w:val="000000" w:themeColor="text1"/>
        </w:rPr>
        <w:t xml:space="preserve"> the cash flow of upstream partners (Guan et al., 2025; Ali et al., 2025). Furthermore, Blockchain-based smart contracts provide the "</w:t>
      </w:r>
      <w:proofErr w:type="spellStart"/>
      <w:r w:rsidRPr="00C5615F">
        <w:rPr>
          <w:rFonts w:ascii="Times New Roman" w:hAnsi="Times New Roman" w:cs="Times New Roman"/>
          <w:color w:val="000000" w:themeColor="text1"/>
        </w:rPr>
        <w:t>trustless</w:t>
      </w:r>
      <w:proofErr w:type="spellEnd"/>
      <w:r w:rsidRPr="00C5615F">
        <w:rPr>
          <w:rFonts w:ascii="Times New Roman" w:hAnsi="Times New Roman" w:cs="Times New Roman"/>
          <w:color w:val="000000" w:themeColor="text1"/>
        </w:rPr>
        <w:t xml:space="preserve">" infrastructure necessary to restore fidelity to public sector transactions by automatically triggering payments upon verified milestones (Kim &amp; Shin, 2019; </w:t>
      </w:r>
      <w:proofErr w:type="spellStart"/>
      <w:r w:rsidRPr="00C5615F">
        <w:rPr>
          <w:rFonts w:ascii="Times New Roman" w:hAnsi="Times New Roman" w:cs="Times New Roman"/>
          <w:color w:val="000000" w:themeColor="text1"/>
        </w:rPr>
        <w:t>Basdekidou</w:t>
      </w:r>
      <w:proofErr w:type="spellEnd"/>
      <w:r w:rsidRPr="00C5615F">
        <w:rPr>
          <w:rFonts w:ascii="Times New Roman" w:hAnsi="Times New Roman" w:cs="Times New Roman"/>
          <w:color w:val="000000" w:themeColor="text1"/>
        </w:rPr>
        <w:t xml:space="preserve"> &amp; </w:t>
      </w:r>
      <w:proofErr w:type="spellStart"/>
      <w:r w:rsidRPr="00C5615F">
        <w:rPr>
          <w:rFonts w:ascii="Times New Roman" w:hAnsi="Times New Roman" w:cs="Times New Roman"/>
          <w:color w:val="000000" w:themeColor="text1"/>
        </w:rPr>
        <w:t>Papapanagos</w:t>
      </w:r>
      <w:proofErr w:type="spellEnd"/>
      <w:r w:rsidRPr="00C5615F">
        <w:rPr>
          <w:rFonts w:ascii="Times New Roman" w:hAnsi="Times New Roman" w:cs="Times New Roman"/>
          <w:color w:val="000000" w:themeColor="text1"/>
        </w:rPr>
        <w:t>, 2024). Complementing this, Big Data and AI empower practitioners to transition from reactive to predictive sourcing (Li, 2024; Ali et al., 2024).</w:t>
      </w:r>
      <w:r w:rsidR="00935B7F" w:rsidRPr="00C5615F">
        <w:rPr>
          <w:rFonts w:ascii="Times New Roman" w:hAnsi="Times New Roman" w:cs="Times New Roman"/>
          <w:color w:val="000000" w:themeColor="text1"/>
        </w:rPr>
        <w:t xml:space="preserve"> </w:t>
      </w:r>
      <w:r w:rsidRPr="00C5615F">
        <w:rPr>
          <w:rFonts w:ascii="Times New Roman" w:hAnsi="Times New Roman" w:cs="Times New Roman"/>
          <w:color w:val="000000" w:themeColor="text1"/>
        </w:rPr>
        <w:t>Supply Chain Performance, the dependent variable</w:t>
      </w:r>
      <w:r w:rsidR="006B2875" w:rsidRPr="00C5615F">
        <w:rPr>
          <w:rFonts w:ascii="Times New Roman" w:hAnsi="Times New Roman" w:cs="Times New Roman"/>
          <w:color w:val="000000" w:themeColor="text1"/>
        </w:rPr>
        <w:t xml:space="preserve"> in this study</w:t>
      </w:r>
      <w:r w:rsidRPr="00C5615F">
        <w:rPr>
          <w:rFonts w:ascii="Times New Roman" w:hAnsi="Times New Roman" w:cs="Times New Roman"/>
          <w:color w:val="000000" w:themeColor="text1"/>
        </w:rPr>
        <w:t>, is defined by Ahmadzadeh (2025) as a composite resource comprising operational efficiency and the successful delivery of public value. Its significance in the Nigerian Federal MDAs is rooted in its role as the backbone of institutional resilience, moving beyond manual tasks to a unified digital ecosystem. This performance is measured through procurement lead-time efficiency, cost-to-value optimization, and information transparency</w:t>
      </w:r>
      <w:r w:rsidR="00244710" w:rsidRPr="00C5615F">
        <w:rPr>
          <w:rFonts w:ascii="Times New Roman" w:hAnsi="Times New Roman" w:cs="Times New Roman"/>
          <w:color w:val="000000" w:themeColor="text1"/>
        </w:rPr>
        <w:t xml:space="preserve"> </w:t>
      </w:r>
      <w:r w:rsidRPr="00C5615F">
        <w:rPr>
          <w:rFonts w:ascii="Times New Roman" w:hAnsi="Times New Roman" w:cs="Times New Roman"/>
          <w:color w:val="000000" w:themeColor="text1"/>
        </w:rPr>
        <w:t xml:space="preserve">ensuring that public funds are utilized with the highest degree of economic efficiency as stipulated by the Public Procurement Act 2007 (Akanbi &amp; </w:t>
      </w:r>
      <w:proofErr w:type="spellStart"/>
      <w:r w:rsidRPr="00C5615F">
        <w:rPr>
          <w:rFonts w:ascii="Times New Roman" w:hAnsi="Times New Roman" w:cs="Times New Roman"/>
          <w:color w:val="000000" w:themeColor="text1"/>
        </w:rPr>
        <w:t>Gbadegesin</w:t>
      </w:r>
      <w:proofErr w:type="spellEnd"/>
      <w:r w:rsidRPr="00C5615F">
        <w:rPr>
          <w:rFonts w:ascii="Times New Roman" w:hAnsi="Times New Roman" w:cs="Times New Roman"/>
          <w:color w:val="000000" w:themeColor="text1"/>
        </w:rPr>
        <w:t xml:space="preserve">, 2025). </w:t>
      </w:r>
      <w:r w:rsidR="00177224" w:rsidRPr="00C5615F">
        <w:rPr>
          <w:rFonts w:ascii="Times New Roman" w:hAnsi="Times New Roman" w:cs="Times New Roman"/>
          <w:color w:val="000000" w:themeColor="text1"/>
        </w:rPr>
        <w:t>T</w:t>
      </w:r>
      <w:r w:rsidRPr="00C5615F">
        <w:rPr>
          <w:rFonts w:ascii="Times New Roman" w:hAnsi="Times New Roman" w:cs="Times New Roman"/>
          <w:color w:val="000000" w:themeColor="text1"/>
        </w:rPr>
        <w:t xml:space="preserve">he adoption of </w:t>
      </w:r>
      <w:r w:rsidR="00B75489">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is not merely a choice but a necessity for Federal MDAs to ensure strategic agility and resilience against macroeconomic shocks and institutional fragility (</w:t>
      </w:r>
      <w:proofErr w:type="spellStart"/>
      <w:r w:rsidRPr="00C5615F">
        <w:rPr>
          <w:rFonts w:ascii="Times New Roman" w:hAnsi="Times New Roman" w:cs="Times New Roman"/>
          <w:color w:val="000000" w:themeColor="text1"/>
        </w:rPr>
        <w:t>Ogbeta-Ogwu</w:t>
      </w:r>
      <w:proofErr w:type="spellEnd"/>
      <w:r w:rsidRPr="00C5615F">
        <w:rPr>
          <w:rFonts w:ascii="Times New Roman" w:hAnsi="Times New Roman" w:cs="Times New Roman"/>
          <w:color w:val="000000" w:themeColor="text1"/>
        </w:rPr>
        <w:t xml:space="preserve"> &amp; Chidi, 2025; Lou et al., 2025). </w:t>
      </w:r>
    </w:p>
    <w:p w14:paraId="2BA32BFE" w14:textId="6EB047AF" w:rsidR="00A86ED7" w:rsidRPr="002F7DA4" w:rsidRDefault="002F7DA4" w:rsidP="000B08AA">
      <w:pPr>
        <w:spacing w:before="240" w:after="0" w:line="240" w:lineRule="auto"/>
        <w:ind w:left="709"/>
        <w:jc w:val="both"/>
        <w:rPr>
          <w:rFonts w:ascii="Times New Roman" w:hAnsi="Times New Roman" w:cs="Times New Roman"/>
          <w:color w:val="000000" w:themeColor="text1"/>
        </w:rPr>
      </w:pPr>
      <w:r w:rsidRPr="002F7DA4">
        <w:rPr>
          <w:rFonts w:ascii="Times New Roman" w:hAnsi="Times New Roman" w:cs="Times New Roman"/>
          <w:color w:val="000000" w:themeColor="text1"/>
        </w:rPr>
        <w:t xml:space="preserve">The persistent reliance on manual Requisition-to-Pay (R2P) </w:t>
      </w:r>
      <w:r w:rsidR="00020B62" w:rsidRPr="00020B62">
        <w:rPr>
          <w:rFonts w:ascii="Times New Roman" w:hAnsi="Times New Roman" w:cs="Times New Roman"/>
          <w:color w:val="000000" w:themeColor="text1"/>
        </w:rPr>
        <w:t>processes</w:t>
      </w:r>
      <w:r w:rsidR="00885E03">
        <w:rPr>
          <w:rFonts w:ascii="Times New Roman" w:hAnsi="Times New Roman" w:cs="Times New Roman"/>
          <w:color w:val="000000" w:themeColor="text1"/>
        </w:rPr>
        <w:t xml:space="preserve"> </w:t>
      </w:r>
      <w:r w:rsidRPr="002F7DA4">
        <w:rPr>
          <w:rFonts w:ascii="Times New Roman" w:hAnsi="Times New Roman" w:cs="Times New Roman"/>
          <w:color w:val="000000" w:themeColor="text1"/>
        </w:rPr>
        <w:t>within Nigerian Federal Ministries, Departments, and Agencies (MDAs) has institutionalized transactional friction and information asymmetry. This has resulted in chronic contractor payment delays</w:t>
      </w:r>
      <w:r w:rsidR="00496E3E">
        <w:rPr>
          <w:rFonts w:ascii="Times New Roman" w:hAnsi="Times New Roman" w:cs="Times New Roman"/>
          <w:color w:val="000000" w:themeColor="text1"/>
        </w:rPr>
        <w:t xml:space="preserve">, </w:t>
      </w:r>
      <w:r w:rsidRPr="002F7DA4">
        <w:rPr>
          <w:rFonts w:ascii="Times New Roman" w:hAnsi="Times New Roman" w:cs="Times New Roman"/>
          <w:color w:val="000000" w:themeColor="text1"/>
        </w:rPr>
        <w:t>frequently spanning several months</w:t>
      </w:r>
      <w:r w:rsidR="00837133">
        <w:rPr>
          <w:rFonts w:ascii="Times New Roman" w:hAnsi="Times New Roman" w:cs="Times New Roman"/>
          <w:color w:val="000000" w:themeColor="text1"/>
        </w:rPr>
        <w:t xml:space="preserve"> </w:t>
      </w:r>
      <w:r w:rsidRPr="002F7DA4">
        <w:rPr>
          <w:rFonts w:ascii="Times New Roman" w:hAnsi="Times New Roman" w:cs="Times New Roman"/>
          <w:color w:val="000000" w:themeColor="text1"/>
        </w:rPr>
        <w:t>and severely constrained operational liquidity, as empirically documented in the Nigerian construction and public procurement literature (</w:t>
      </w:r>
      <w:proofErr w:type="spellStart"/>
      <w:r w:rsidRPr="002F7DA4">
        <w:rPr>
          <w:rFonts w:ascii="Times New Roman" w:hAnsi="Times New Roman" w:cs="Times New Roman"/>
          <w:color w:val="000000" w:themeColor="text1"/>
        </w:rPr>
        <w:t>Odenigbo</w:t>
      </w:r>
      <w:proofErr w:type="spellEnd"/>
      <w:r w:rsidRPr="002F7DA4">
        <w:rPr>
          <w:rFonts w:ascii="Times New Roman" w:hAnsi="Times New Roman" w:cs="Times New Roman"/>
          <w:color w:val="000000" w:themeColor="text1"/>
        </w:rPr>
        <w:t xml:space="preserve"> et al., 2020; Idowu &amp; </w:t>
      </w:r>
      <w:proofErr w:type="spellStart"/>
      <w:r w:rsidRPr="002F7DA4">
        <w:rPr>
          <w:rFonts w:ascii="Times New Roman" w:hAnsi="Times New Roman" w:cs="Times New Roman"/>
          <w:color w:val="000000" w:themeColor="text1"/>
        </w:rPr>
        <w:t>Aligamhe</w:t>
      </w:r>
      <w:proofErr w:type="spellEnd"/>
      <w:r w:rsidRPr="002F7DA4">
        <w:rPr>
          <w:rFonts w:ascii="Times New Roman" w:hAnsi="Times New Roman" w:cs="Times New Roman"/>
          <w:color w:val="000000" w:themeColor="text1"/>
        </w:rPr>
        <w:t>, 2023).</w:t>
      </w:r>
      <w:r>
        <w:rPr>
          <w:rFonts w:ascii="Times New Roman" w:hAnsi="Times New Roman" w:cs="Times New Roman"/>
          <w:color w:val="000000" w:themeColor="text1"/>
        </w:rPr>
        <w:t xml:space="preserve"> </w:t>
      </w:r>
      <w:r w:rsidR="00AC0FAF" w:rsidRPr="00C5615F">
        <w:rPr>
          <w:rFonts w:ascii="Times New Roman" w:hAnsi="Times New Roman" w:cs="Times New Roman"/>
          <w:color w:val="000000" w:themeColor="text1"/>
        </w:rPr>
        <w:t xml:space="preserve">Despite global shifts toward digitalization, a critical empirical gap exists: existing literature, such as Abdulrazaq et al. (2023) and Akanbi and </w:t>
      </w:r>
      <w:proofErr w:type="spellStart"/>
      <w:r w:rsidR="00AC0FAF" w:rsidRPr="00C5615F">
        <w:rPr>
          <w:rFonts w:ascii="Times New Roman" w:hAnsi="Times New Roman" w:cs="Times New Roman"/>
          <w:color w:val="000000" w:themeColor="text1"/>
        </w:rPr>
        <w:t>Gbadegesin</w:t>
      </w:r>
      <w:proofErr w:type="spellEnd"/>
      <w:r w:rsidR="00AC0FAF" w:rsidRPr="00C5615F">
        <w:rPr>
          <w:rFonts w:ascii="Times New Roman" w:hAnsi="Times New Roman" w:cs="Times New Roman"/>
          <w:color w:val="000000" w:themeColor="text1"/>
        </w:rPr>
        <w:t xml:space="preserve"> (2025), predominantly addresses general logistics and service delivery, neglecting the integrated supply chain performance of the public sector. Internationally, studies by Kim and Shin (2019) and Guan et al. (2025) examine</w:t>
      </w:r>
      <w:r w:rsidR="0034140E" w:rsidRPr="00C5615F">
        <w:rPr>
          <w:rFonts w:ascii="Times New Roman" w:hAnsi="Times New Roman" w:cs="Times New Roman"/>
          <w:color w:val="000000" w:themeColor="text1"/>
        </w:rPr>
        <w:t>d</w:t>
      </w:r>
      <w:r w:rsidR="00AC0FAF" w:rsidRPr="00C5615F">
        <w:rPr>
          <w:rFonts w:ascii="Times New Roman" w:hAnsi="Times New Roman" w:cs="Times New Roman"/>
          <w:color w:val="000000" w:themeColor="text1"/>
        </w:rPr>
        <w:t xml:space="preserve"> blockchain and financing in isolation, failing to explore their synchronized impact within bureaucratic frameworks. This study addresses these deficiencies by collectively examining electronic payments and Digital SCF to resolve liquidity crises, alongside Blockchain and AI to mitigate contract fraud and suboptimal supplier selection. </w:t>
      </w:r>
      <w:r w:rsidR="000B08AA" w:rsidRPr="000B08AA">
        <w:rPr>
          <w:rFonts w:ascii="Times New Roman" w:hAnsi="Times New Roman" w:cs="Times New Roman"/>
          <w:color w:val="000000" w:themeColor="text1"/>
        </w:rPr>
        <w:t>By aligning these interventions with Bureau of Public Procurement (BPP) standards, this research investigates how technological synergy optimizes lead-time efficiency, accountability, and institutional resilience. This effort directly supports Nigeria's Digital Economy Strategy (2020</w:t>
      </w:r>
      <w:r w:rsidR="0007751C">
        <w:rPr>
          <w:rFonts w:ascii="Times New Roman" w:hAnsi="Times New Roman" w:cs="Times New Roman"/>
          <w:color w:val="000000" w:themeColor="text1"/>
        </w:rPr>
        <w:t xml:space="preserve"> - </w:t>
      </w:r>
      <w:r w:rsidR="000B08AA" w:rsidRPr="000B08AA">
        <w:rPr>
          <w:rFonts w:ascii="Times New Roman" w:hAnsi="Times New Roman" w:cs="Times New Roman"/>
          <w:color w:val="000000" w:themeColor="text1"/>
        </w:rPr>
        <w:t>2030), which emphasizes digital transformation of government services, financial inclusion, and efficient public procurement as pillars of sustainable development.</w:t>
      </w:r>
      <w:r w:rsidR="000B08AA">
        <w:rPr>
          <w:rFonts w:ascii="Times New Roman" w:hAnsi="Times New Roman" w:cs="Times New Roman"/>
          <w:color w:val="000000" w:themeColor="text1"/>
        </w:rPr>
        <w:t xml:space="preserve"> </w:t>
      </w:r>
      <w:r w:rsidR="00642A3D" w:rsidRPr="00C5615F">
        <w:rPr>
          <w:rFonts w:ascii="Times New Roman" w:hAnsi="Times New Roman" w:cs="Times New Roman"/>
          <w:color w:val="000000" w:themeColor="text1"/>
        </w:rPr>
        <w:t>To achieve this, the following null hypotheses have been formulated to guide the investigation:</w:t>
      </w:r>
    </w:p>
    <w:p w14:paraId="3DAD4211" w14:textId="77777777" w:rsidR="00466D56" w:rsidRPr="00DC153D" w:rsidRDefault="00466D56" w:rsidP="00466D56">
      <w:pPr>
        <w:spacing w:before="240" w:after="0" w:line="240" w:lineRule="auto"/>
        <w:ind w:left="1276" w:hanging="567"/>
        <w:jc w:val="both"/>
        <w:rPr>
          <w:rFonts w:ascii="Times New Roman" w:hAnsi="Times New Roman" w:cs="Times New Roman"/>
          <w:color w:val="000000" w:themeColor="text1"/>
        </w:rPr>
      </w:pPr>
      <w:r w:rsidRPr="00DC153D">
        <w:rPr>
          <w:rFonts w:ascii="Times New Roman" w:hAnsi="Times New Roman" w:cs="Times New Roman"/>
          <w:b/>
          <w:bCs/>
          <w:color w:val="000000" w:themeColor="text1"/>
        </w:rPr>
        <w:t>H</w:t>
      </w:r>
      <w:r w:rsidRPr="00DC153D">
        <w:rPr>
          <w:rFonts w:ascii="Times New Roman" w:hAnsi="Times New Roman" w:cs="Times New Roman"/>
          <w:b/>
          <w:bCs/>
          <w:color w:val="000000" w:themeColor="text1"/>
          <w:vertAlign w:val="subscript"/>
        </w:rPr>
        <w:t>0</w:t>
      </w:r>
      <w:r>
        <w:rPr>
          <w:rFonts w:ascii="Times New Roman" w:hAnsi="Times New Roman" w:cs="Times New Roman"/>
          <w:b/>
          <w:bCs/>
          <w:color w:val="000000" w:themeColor="text1"/>
          <w:vertAlign w:val="subscript"/>
        </w:rPr>
        <w:t>1</w:t>
      </w:r>
      <w:r w:rsidRPr="00DC153D">
        <w:rPr>
          <w:rFonts w:ascii="Times New Roman" w:hAnsi="Times New Roman" w:cs="Times New Roman"/>
          <w:b/>
          <w:bCs/>
          <w:color w:val="000000" w:themeColor="text1"/>
        </w:rPr>
        <w:t>:</w:t>
      </w:r>
      <w:r w:rsidRPr="00DC153D">
        <w:rPr>
          <w:rFonts w:ascii="Times New Roman" w:hAnsi="Times New Roman" w:cs="Times New Roman"/>
          <w:color w:val="000000" w:themeColor="text1"/>
        </w:rPr>
        <w:t xml:space="preserve"> Big Data Analytics and AI Risk Assessment have no significant effect on the supply chain performance of Nigerian Federal MDAs.</w:t>
      </w:r>
    </w:p>
    <w:p w14:paraId="3ACC49B0" w14:textId="77777777" w:rsidR="00466D56" w:rsidRDefault="00466D56" w:rsidP="00466D56">
      <w:pPr>
        <w:spacing w:before="240" w:after="0" w:line="240" w:lineRule="auto"/>
        <w:ind w:left="1276" w:hanging="567"/>
        <w:jc w:val="both"/>
        <w:rPr>
          <w:rFonts w:ascii="Times New Roman" w:hAnsi="Times New Roman" w:cs="Times New Roman"/>
          <w:color w:val="000000" w:themeColor="text1"/>
        </w:rPr>
      </w:pPr>
      <w:r w:rsidRPr="00885847">
        <w:rPr>
          <w:rFonts w:ascii="Times New Roman" w:hAnsi="Times New Roman" w:cs="Times New Roman"/>
          <w:b/>
          <w:bCs/>
          <w:color w:val="000000" w:themeColor="text1"/>
        </w:rPr>
        <w:t>H</w:t>
      </w:r>
      <w:r w:rsidRPr="00885847">
        <w:rPr>
          <w:rFonts w:ascii="Times New Roman" w:hAnsi="Times New Roman" w:cs="Times New Roman"/>
          <w:b/>
          <w:bCs/>
          <w:color w:val="000000" w:themeColor="text1"/>
          <w:vertAlign w:val="subscript"/>
        </w:rPr>
        <w:t>0</w:t>
      </w:r>
      <w:r>
        <w:rPr>
          <w:rFonts w:ascii="Times New Roman" w:hAnsi="Times New Roman" w:cs="Times New Roman"/>
          <w:b/>
          <w:bCs/>
          <w:color w:val="000000" w:themeColor="text1"/>
          <w:vertAlign w:val="subscript"/>
        </w:rPr>
        <w:t>2</w:t>
      </w:r>
      <w:r w:rsidRPr="00885847">
        <w:rPr>
          <w:rFonts w:ascii="Times New Roman" w:hAnsi="Times New Roman" w:cs="Times New Roman"/>
          <w:b/>
          <w:bCs/>
          <w:color w:val="000000" w:themeColor="text1"/>
        </w:rPr>
        <w:t>:</w:t>
      </w:r>
      <w:r w:rsidRPr="00885847">
        <w:rPr>
          <w:rFonts w:ascii="Times New Roman" w:hAnsi="Times New Roman" w:cs="Times New Roman"/>
          <w:color w:val="000000" w:themeColor="text1"/>
        </w:rPr>
        <w:t xml:space="preserve"> Blockchain-Based Smart Contracts have no significant effect on the supply chain performance of Nigerian Federal MDAs.</w:t>
      </w:r>
    </w:p>
    <w:p w14:paraId="4A33B1AA" w14:textId="77777777" w:rsidR="00466D56" w:rsidRDefault="00466D56" w:rsidP="00466D56">
      <w:pPr>
        <w:spacing w:before="240" w:after="0" w:line="240" w:lineRule="auto"/>
        <w:ind w:left="1276" w:hanging="567"/>
        <w:jc w:val="both"/>
        <w:rPr>
          <w:rFonts w:ascii="Times New Roman" w:hAnsi="Times New Roman" w:cs="Times New Roman"/>
          <w:color w:val="000000" w:themeColor="text1"/>
        </w:rPr>
      </w:pPr>
      <w:r w:rsidRPr="00885847">
        <w:rPr>
          <w:rFonts w:ascii="Times New Roman" w:hAnsi="Times New Roman" w:cs="Times New Roman"/>
          <w:b/>
          <w:bCs/>
          <w:color w:val="000000" w:themeColor="text1"/>
        </w:rPr>
        <w:t>H</w:t>
      </w:r>
      <w:r w:rsidRPr="00885847">
        <w:rPr>
          <w:rFonts w:ascii="Times New Roman" w:hAnsi="Times New Roman" w:cs="Times New Roman"/>
          <w:b/>
          <w:bCs/>
          <w:color w:val="000000" w:themeColor="text1"/>
          <w:vertAlign w:val="subscript"/>
        </w:rPr>
        <w:t>0</w:t>
      </w:r>
      <w:r>
        <w:rPr>
          <w:rFonts w:ascii="Times New Roman" w:hAnsi="Times New Roman" w:cs="Times New Roman"/>
          <w:b/>
          <w:bCs/>
          <w:color w:val="000000" w:themeColor="text1"/>
          <w:vertAlign w:val="subscript"/>
        </w:rPr>
        <w:t>3</w:t>
      </w:r>
      <w:r w:rsidRPr="00885847">
        <w:rPr>
          <w:rFonts w:ascii="Times New Roman" w:hAnsi="Times New Roman" w:cs="Times New Roman"/>
          <w:b/>
          <w:bCs/>
          <w:color w:val="000000" w:themeColor="text1"/>
        </w:rPr>
        <w:t>:</w:t>
      </w:r>
      <w:r w:rsidRPr="00885847">
        <w:rPr>
          <w:rFonts w:ascii="Times New Roman" w:hAnsi="Times New Roman" w:cs="Times New Roman"/>
          <w:color w:val="000000" w:themeColor="text1"/>
        </w:rPr>
        <w:t xml:space="preserve"> Electronic Payment and Remittance Systems have no significant effect on the supply chain performance of Nigerian Federal MDAs.</w:t>
      </w:r>
    </w:p>
    <w:p w14:paraId="3C33A099" w14:textId="77777777" w:rsidR="00466D56" w:rsidRPr="00885847" w:rsidRDefault="00466D56" w:rsidP="00466D56">
      <w:pPr>
        <w:spacing w:before="240" w:after="0" w:line="240" w:lineRule="auto"/>
        <w:ind w:left="1276" w:hanging="567"/>
        <w:jc w:val="both"/>
        <w:rPr>
          <w:rFonts w:ascii="Times New Roman" w:hAnsi="Times New Roman" w:cs="Times New Roman"/>
          <w:color w:val="000000" w:themeColor="text1"/>
        </w:rPr>
      </w:pPr>
      <w:r w:rsidRPr="00885847">
        <w:rPr>
          <w:rFonts w:ascii="Times New Roman" w:hAnsi="Times New Roman" w:cs="Times New Roman"/>
          <w:b/>
          <w:bCs/>
          <w:color w:val="000000" w:themeColor="text1"/>
        </w:rPr>
        <w:t>H</w:t>
      </w:r>
      <w:r w:rsidRPr="00885847">
        <w:rPr>
          <w:rFonts w:ascii="Times New Roman" w:hAnsi="Times New Roman" w:cs="Times New Roman"/>
          <w:b/>
          <w:bCs/>
          <w:color w:val="000000" w:themeColor="text1"/>
          <w:vertAlign w:val="subscript"/>
        </w:rPr>
        <w:t>0</w:t>
      </w:r>
      <w:r>
        <w:rPr>
          <w:rFonts w:ascii="Times New Roman" w:hAnsi="Times New Roman" w:cs="Times New Roman"/>
          <w:b/>
          <w:bCs/>
          <w:color w:val="000000" w:themeColor="text1"/>
          <w:vertAlign w:val="subscript"/>
        </w:rPr>
        <w:t>4</w:t>
      </w:r>
      <w:r w:rsidRPr="00885847">
        <w:rPr>
          <w:rFonts w:ascii="Times New Roman" w:hAnsi="Times New Roman" w:cs="Times New Roman"/>
          <w:b/>
          <w:bCs/>
          <w:color w:val="000000" w:themeColor="text1"/>
        </w:rPr>
        <w:t>:</w:t>
      </w:r>
      <w:r w:rsidRPr="00885847">
        <w:rPr>
          <w:rFonts w:ascii="Times New Roman" w:hAnsi="Times New Roman" w:cs="Times New Roman"/>
          <w:color w:val="000000" w:themeColor="text1"/>
        </w:rPr>
        <w:t xml:space="preserve"> Digital Supply Chain Finance (SCF) Utilization has no significant effect on the supply chain performance of Nigerian Federal MDAs.</w:t>
      </w:r>
    </w:p>
    <w:p w14:paraId="05EF354E" w14:textId="77777777" w:rsidR="00047CC0" w:rsidRPr="00C5615F" w:rsidRDefault="00047CC0" w:rsidP="003C7DDE">
      <w:pPr>
        <w:spacing w:before="240" w:after="0" w:line="240" w:lineRule="auto"/>
        <w:ind w:left="709"/>
        <w:jc w:val="both"/>
        <w:rPr>
          <w:rFonts w:ascii="Times New Roman" w:hAnsi="Times New Roman" w:cs="Times New Roman"/>
          <w:color w:val="000000" w:themeColor="text1"/>
        </w:rPr>
      </w:pPr>
    </w:p>
    <w:p w14:paraId="29889A57" w14:textId="13F9E06A" w:rsidR="00B87AE9" w:rsidRPr="00C5615F" w:rsidRDefault="0085216B" w:rsidP="00750B93">
      <w:pPr>
        <w:pStyle w:val="Heading1"/>
        <w:spacing w:before="0" w:after="0" w:line="360" w:lineRule="auto"/>
        <w:ind w:left="709"/>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 xml:space="preserve">2.0 </w:t>
      </w:r>
      <w:r w:rsidR="00B87AE9" w:rsidRPr="00C5615F">
        <w:rPr>
          <w:rFonts w:ascii="Times New Roman" w:hAnsi="Times New Roman" w:cs="Times New Roman"/>
          <w:b/>
          <w:bCs/>
          <w:color w:val="000000" w:themeColor="text1"/>
          <w:sz w:val="24"/>
          <w:szCs w:val="24"/>
        </w:rPr>
        <w:t xml:space="preserve">LITERATURE REVIEW </w:t>
      </w:r>
    </w:p>
    <w:p w14:paraId="587302DD" w14:textId="2549A4DF" w:rsidR="00A86ED7" w:rsidRPr="00C5615F" w:rsidRDefault="00C65F8A" w:rsidP="00750B93">
      <w:pPr>
        <w:pStyle w:val="Heading1"/>
        <w:spacing w:before="0" w:after="0" w:line="360" w:lineRule="auto"/>
        <w:ind w:left="709"/>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 xml:space="preserve">2.1 </w:t>
      </w:r>
      <w:r w:rsidR="00B87AE9" w:rsidRPr="00C5615F">
        <w:rPr>
          <w:rFonts w:ascii="Times New Roman" w:hAnsi="Times New Roman" w:cs="Times New Roman"/>
          <w:b/>
          <w:bCs/>
          <w:color w:val="000000" w:themeColor="text1"/>
          <w:sz w:val="24"/>
          <w:szCs w:val="24"/>
        </w:rPr>
        <w:t>Conceptual Framework</w:t>
      </w:r>
    </w:p>
    <w:p w14:paraId="2E7FB82B" w14:textId="083BE5CD" w:rsidR="00D905CD" w:rsidRPr="00C5615F" w:rsidRDefault="00805E80" w:rsidP="00750B93">
      <w:pPr>
        <w:pStyle w:val="Heading1"/>
        <w:spacing w:before="0" w:after="0" w:line="360" w:lineRule="auto"/>
        <w:ind w:left="709"/>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 xml:space="preserve">2.1.1 </w:t>
      </w:r>
      <w:r w:rsidR="00D905CD" w:rsidRPr="00C5615F">
        <w:rPr>
          <w:rFonts w:ascii="Times New Roman" w:hAnsi="Times New Roman" w:cs="Times New Roman"/>
          <w:b/>
          <w:bCs/>
          <w:color w:val="000000" w:themeColor="text1"/>
          <w:sz w:val="24"/>
          <w:szCs w:val="24"/>
        </w:rPr>
        <w:t>Financial Technology (</w:t>
      </w:r>
      <w:r w:rsidR="00B75489">
        <w:rPr>
          <w:rFonts w:ascii="Times New Roman" w:hAnsi="Times New Roman" w:cs="Times New Roman"/>
          <w:b/>
          <w:bCs/>
          <w:color w:val="000000" w:themeColor="text1"/>
          <w:sz w:val="24"/>
          <w:szCs w:val="24"/>
        </w:rPr>
        <w:t>FinTech</w:t>
      </w:r>
      <w:r w:rsidR="00D905CD" w:rsidRPr="00C5615F">
        <w:rPr>
          <w:rFonts w:ascii="Times New Roman" w:hAnsi="Times New Roman" w:cs="Times New Roman"/>
          <w:b/>
          <w:bCs/>
          <w:color w:val="000000" w:themeColor="text1"/>
          <w:sz w:val="24"/>
          <w:szCs w:val="24"/>
        </w:rPr>
        <w:t>) Adoption</w:t>
      </w:r>
    </w:p>
    <w:p w14:paraId="74C91AD7" w14:textId="65FE02F1" w:rsidR="00D905CD" w:rsidRPr="00C5615F" w:rsidRDefault="00D905CD" w:rsidP="00B70538">
      <w:pPr>
        <w:spacing w:after="0"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In the contemporary governance landscape, Financial Technology (</w:t>
      </w:r>
      <w:r w:rsidR="00B75489">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adoption has evolved from a peripheral software upgrade into a fundamental restructuring of the Requisition-to-Pay (R2P) architecture. In the Nigerian public sector, where traditional bureaucratic red tape has historically stifled the flow of capital, </w:t>
      </w:r>
      <w:r w:rsidR="00B75489">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serves as a disruptive mechanism for institutional reform and structural efficiency. According to Abdulrazaq et al. (2023), </w:t>
      </w:r>
      <w:r w:rsidR="00B75489">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represents a multidisciplinary convergence of finance and innovation management that optimizes the speed and comfort of operational procedures, shifting the public sector toward an agile digital framework. This study conceptualizes </w:t>
      </w:r>
      <w:r w:rsidR="00B75489">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adoption as a multidimensional strategic resource, characterized by the following four distinct technological interventions:</w:t>
      </w:r>
    </w:p>
    <w:p w14:paraId="6217A669" w14:textId="7B84D88D" w:rsidR="00D905CD" w:rsidRPr="00C5615F" w:rsidRDefault="00D905CD" w:rsidP="00D905CD">
      <w:pPr>
        <w:spacing w:before="240" w:after="0" w:line="240" w:lineRule="auto"/>
        <w:ind w:left="709"/>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 xml:space="preserve">Electronic Payment and Remittance Systems: </w:t>
      </w:r>
      <w:r w:rsidRPr="00C5615F">
        <w:rPr>
          <w:rFonts w:ascii="Times New Roman" w:hAnsi="Times New Roman" w:cs="Times New Roman"/>
          <w:color w:val="000000" w:themeColor="text1"/>
        </w:rPr>
        <w:t>Electronic payment systems act as the primary catalyst for operational liquidity. By utilizing mobile banking, Point-of-Sale (POS) systems, and digital wallets, MDAs can mitigate the systemic risk of contractor payment delays, a factor identified by Abdulrazaq et al. (2023) as a key determinant of competitive advantage in the Nigerian ecosystem. This dimension ensures that the financial heartbeat of the supply chain remains constant, facilitating rapid fund mobilization and reducing the friction associated with manual treasury operations.</w:t>
      </w:r>
    </w:p>
    <w:p w14:paraId="4057F12C" w14:textId="77777777" w:rsidR="00D905CD" w:rsidRPr="00C5615F" w:rsidRDefault="00D905CD" w:rsidP="00D905CD">
      <w:pPr>
        <w:spacing w:before="240" w:after="0" w:line="240" w:lineRule="auto"/>
        <w:ind w:left="709"/>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 xml:space="preserve">Digital Supply Chain Finance (SCF) Utilization: </w:t>
      </w:r>
      <w:r w:rsidRPr="00C5615F">
        <w:rPr>
          <w:rFonts w:ascii="Times New Roman" w:hAnsi="Times New Roman" w:cs="Times New Roman"/>
          <w:color w:val="000000" w:themeColor="text1"/>
        </w:rPr>
        <w:t>Digital SCF represents a collaborative financing model where procurement practitioners leverage specialized digital platforms to facilitate supplier liquidity. As established by Guan et al. (2025) and Ali et al. (2025), this model stabilizes the cash flow of upstream partners (SMEs and vendors) by providing access to credit based on real-time trade data. By revitalizing supply chain funds through the integration of production and financing, SCF ensures that critical project execution is not stalled by the capital constraints of vendors (Song et al., 2016).</w:t>
      </w:r>
    </w:p>
    <w:p w14:paraId="08CBF576" w14:textId="57C39064" w:rsidR="00D905CD" w:rsidRPr="00C5615F" w:rsidRDefault="00D905CD" w:rsidP="00D905CD">
      <w:pPr>
        <w:spacing w:before="240" w:after="0" w:line="240" w:lineRule="auto"/>
        <w:ind w:left="709"/>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 xml:space="preserve">Blockchain-Based Smart Contracts: </w:t>
      </w:r>
      <w:r w:rsidRPr="00C5615F">
        <w:rPr>
          <w:rFonts w:ascii="Times New Roman" w:hAnsi="Times New Roman" w:cs="Times New Roman"/>
          <w:color w:val="000000" w:themeColor="text1"/>
        </w:rPr>
        <w:t xml:space="preserve">Blockchain provides the </w:t>
      </w:r>
      <w:proofErr w:type="spellStart"/>
      <w:r w:rsidRPr="00C5615F">
        <w:rPr>
          <w:rFonts w:ascii="Times New Roman" w:hAnsi="Times New Roman" w:cs="Times New Roman"/>
          <w:color w:val="000000" w:themeColor="text1"/>
        </w:rPr>
        <w:t>trustless</w:t>
      </w:r>
      <w:proofErr w:type="spellEnd"/>
      <w:r w:rsidR="00045076" w:rsidRPr="00C5615F">
        <w:rPr>
          <w:rFonts w:ascii="Times New Roman" w:hAnsi="Times New Roman" w:cs="Times New Roman"/>
          <w:color w:val="000000" w:themeColor="text1"/>
        </w:rPr>
        <w:t xml:space="preserve"> (In technology</w:t>
      </w:r>
      <w:r w:rsidR="00082B3F" w:rsidRPr="00C5615F">
        <w:rPr>
          <w:rFonts w:ascii="Times New Roman" w:hAnsi="Times New Roman" w:cs="Times New Roman"/>
          <w:color w:val="000000" w:themeColor="text1"/>
        </w:rPr>
        <w:t xml:space="preserve">, </w:t>
      </w:r>
      <w:r w:rsidR="00045076" w:rsidRPr="00C5615F">
        <w:rPr>
          <w:rFonts w:ascii="Times New Roman" w:hAnsi="Times New Roman" w:cs="Times New Roman"/>
          <w:color w:val="000000" w:themeColor="text1"/>
        </w:rPr>
        <w:t>blockchain</w:t>
      </w:r>
      <w:r w:rsidR="00082B3F" w:rsidRPr="00C5615F">
        <w:rPr>
          <w:rFonts w:ascii="Times New Roman" w:hAnsi="Times New Roman" w:cs="Times New Roman"/>
          <w:color w:val="000000" w:themeColor="text1"/>
        </w:rPr>
        <w:t xml:space="preserve"> or </w:t>
      </w:r>
      <w:r w:rsidR="00045076" w:rsidRPr="00C5615F">
        <w:rPr>
          <w:rFonts w:ascii="Times New Roman" w:hAnsi="Times New Roman" w:cs="Times New Roman"/>
          <w:color w:val="000000" w:themeColor="text1"/>
        </w:rPr>
        <w:t>crypto, it describes a decentralized system where users do not need to trust a central authority or third party to facilitate transactions, as security is guaranteed by code, cryptography, and network consensus)</w:t>
      </w:r>
      <w:r w:rsidRPr="00C5615F">
        <w:rPr>
          <w:rFonts w:ascii="Times New Roman" w:hAnsi="Times New Roman" w:cs="Times New Roman"/>
          <w:color w:val="000000" w:themeColor="text1"/>
        </w:rPr>
        <w:t xml:space="preserve"> infrastructure necessary to restore fidelity to public sector transactions. By employing secure, immutable ledgers, practitioners ensure that every movement of goods and funds is recorded with absolute integrity. Smart contracts formalized in computer code, automatically trigger payments upon verified delivery milestones, effectively eliminating the need for expensive intermediaries and reducing the opportunities for human error or corrupt intervention (Kim &amp; Shin, 2019; </w:t>
      </w:r>
      <w:proofErr w:type="spellStart"/>
      <w:r w:rsidRPr="00C5615F">
        <w:rPr>
          <w:rFonts w:ascii="Times New Roman" w:hAnsi="Times New Roman" w:cs="Times New Roman"/>
          <w:color w:val="000000" w:themeColor="text1"/>
        </w:rPr>
        <w:t>Basdekidou</w:t>
      </w:r>
      <w:proofErr w:type="spellEnd"/>
      <w:r w:rsidRPr="00C5615F">
        <w:rPr>
          <w:rFonts w:ascii="Times New Roman" w:hAnsi="Times New Roman" w:cs="Times New Roman"/>
          <w:color w:val="000000" w:themeColor="text1"/>
        </w:rPr>
        <w:t xml:space="preserve"> &amp; </w:t>
      </w:r>
      <w:proofErr w:type="spellStart"/>
      <w:r w:rsidRPr="00C5615F">
        <w:rPr>
          <w:rFonts w:ascii="Times New Roman" w:hAnsi="Times New Roman" w:cs="Times New Roman"/>
          <w:color w:val="000000" w:themeColor="text1"/>
        </w:rPr>
        <w:t>Papapanagos</w:t>
      </w:r>
      <w:proofErr w:type="spellEnd"/>
      <w:r w:rsidRPr="00C5615F">
        <w:rPr>
          <w:rFonts w:ascii="Times New Roman" w:hAnsi="Times New Roman" w:cs="Times New Roman"/>
          <w:color w:val="000000" w:themeColor="text1"/>
        </w:rPr>
        <w:t>, 2024).</w:t>
      </w:r>
    </w:p>
    <w:p w14:paraId="1394667E" w14:textId="5D566854" w:rsidR="00D905CD" w:rsidRPr="00C5615F" w:rsidRDefault="00D905CD" w:rsidP="00D905CD">
      <w:pPr>
        <w:spacing w:before="240" w:after="0" w:line="240" w:lineRule="auto"/>
        <w:ind w:left="709"/>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 xml:space="preserve">Big Data Analytics and AI Risk </w:t>
      </w:r>
      <w:r w:rsidR="00F5041C" w:rsidRPr="00C5615F">
        <w:rPr>
          <w:rFonts w:ascii="Times New Roman" w:hAnsi="Times New Roman" w:cs="Times New Roman"/>
          <w:b/>
          <w:bCs/>
          <w:color w:val="000000" w:themeColor="text1"/>
        </w:rPr>
        <w:t>Assessment</w:t>
      </w:r>
      <w:r w:rsidRPr="00C5615F">
        <w:rPr>
          <w:rFonts w:ascii="Times New Roman" w:hAnsi="Times New Roman" w:cs="Times New Roman"/>
          <w:b/>
          <w:bCs/>
          <w:color w:val="000000" w:themeColor="text1"/>
        </w:rPr>
        <w:t xml:space="preserve">: </w:t>
      </w:r>
      <w:r w:rsidRPr="00C5615F">
        <w:rPr>
          <w:rFonts w:ascii="Times New Roman" w:hAnsi="Times New Roman" w:cs="Times New Roman"/>
          <w:color w:val="000000" w:themeColor="text1"/>
        </w:rPr>
        <w:t>The integration of Artificial Intelligence (AI) and Big Data empowers practitioners to transition from reactive to predictive sourcing. By providing real-time insights into supplier financial health and market volatility, these tools allow procurement officers to identify and avoid high-risk or underperforming vendors prior to contract award (Li, 2024; Ali et al., 2024). This data-driven approach enhances the intelligence of the procurement function, ensuring that institutional resilience is built on a foundation of verified supplier stability (Yörük, 2025).</w:t>
      </w:r>
    </w:p>
    <w:p w14:paraId="3F2CB336" w14:textId="1A1DD926" w:rsidR="00D905CD" w:rsidRPr="00C5615F" w:rsidRDefault="004E70A2" w:rsidP="008D297E">
      <w:pPr>
        <w:pStyle w:val="Heading1"/>
        <w:spacing w:line="240" w:lineRule="auto"/>
        <w:ind w:firstLine="709"/>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 xml:space="preserve">2.1.2 </w:t>
      </w:r>
      <w:r w:rsidR="00D905CD" w:rsidRPr="00C5615F">
        <w:rPr>
          <w:rFonts w:ascii="Times New Roman" w:hAnsi="Times New Roman" w:cs="Times New Roman"/>
          <w:b/>
          <w:bCs/>
          <w:color w:val="000000" w:themeColor="text1"/>
          <w:sz w:val="24"/>
          <w:szCs w:val="24"/>
        </w:rPr>
        <w:t>Supply Chain Performance</w:t>
      </w:r>
    </w:p>
    <w:p w14:paraId="55681E80" w14:textId="77777777" w:rsidR="00667F2F" w:rsidRDefault="00D905CD" w:rsidP="00917C60">
      <w:pPr>
        <w:spacing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Supply Chain Performance within the Nigerian Federal Public Sector is defined as the strategic ability of a Ministry, Department, or Agency (MDA) to synchronize its material, information, and financial flows to fulfill its socio-economic mandate. Unlike the private sector, where performance is often synonymous with profit, public sector performance is a composite resource, a blend of operational efficiency and the successful delivery of public value (Ahmadzadeh, 2025). Professionally, this concept is viewed as the backbone of institutional resilience. It represents the transition from fragmented, manual administrative tasks to a unified digital ecosystem where technology serves as a catalyst for speed, transparency, and cost-containment (Abdulrazaq et al., 2023; Khalil, 2025). </w:t>
      </w:r>
      <w:r w:rsidR="00917C60" w:rsidRPr="00C5615F">
        <w:rPr>
          <w:rFonts w:ascii="Times New Roman" w:hAnsi="Times New Roman" w:cs="Times New Roman"/>
          <w:color w:val="000000" w:themeColor="text1"/>
        </w:rPr>
        <w:t xml:space="preserve">In this study, supply chain performance is measured through a multidimensional framework that evaluates the transition from traditional administrative functions to a digitally-driven operational model. A primary component of this framework is procurement lead-time efficiency, which serves as the baseline measure of operational speed. </w:t>
      </w:r>
    </w:p>
    <w:p w14:paraId="423B5562" w14:textId="77777777" w:rsidR="0008272C" w:rsidRDefault="00917C60" w:rsidP="00595B18">
      <w:pPr>
        <w:spacing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According to Ahmadzadeh (2025) and </w:t>
      </w:r>
      <w:proofErr w:type="spellStart"/>
      <w:r w:rsidRPr="00C5615F">
        <w:rPr>
          <w:rFonts w:ascii="Times New Roman" w:hAnsi="Times New Roman" w:cs="Times New Roman"/>
          <w:color w:val="000000" w:themeColor="text1"/>
        </w:rPr>
        <w:t>Fountis</w:t>
      </w:r>
      <w:proofErr w:type="spellEnd"/>
      <w:r w:rsidRPr="00C5615F">
        <w:rPr>
          <w:rFonts w:ascii="Times New Roman" w:hAnsi="Times New Roman" w:cs="Times New Roman"/>
          <w:color w:val="000000" w:themeColor="text1"/>
        </w:rPr>
        <w:t xml:space="preserve"> and Mukherjee (2021), the ability to compress the time-gap between a recognized need and final vendor settlement is a direct indicator of institutional efficiency; in time-sensitive environments like the Federal Medical Centres, reducing this velocity is critical for maintaining life-saving service delivery and patient care continuity. Complementing this is cost-to-value optimization, a dimension that addresses the "Value-for-Money" mandate stipulated by the Public Procurement Act 2007. As explained by Akanbi and </w:t>
      </w:r>
      <w:proofErr w:type="spellStart"/>
      <w:r w:rsidRPr="00C5615F">
        <w:rPr>
          <w:rFonts w:ascii="Times New Roman" w:hAnsi="Times New Roman" w:cs="Times New Roman"/>
          <w:color w:val="000000" w:themeColor="text1"/>
        </w:rPr>
        <w:t>Gbadegesin</w:t>
      </w:r>
      <w:proofErr w:type="spellEnd"/>
      <w:r w:rsidRPr="00C5615F">
        <w:rPr>
          <w:rFonts w:ascii="Times New Roman" w:hAnsi="Times New Roman" w:cs="Times New Roman"/>
          <w:color w:val="000000" w:themeColor="text1"/>
        </w:rPr>
        <w:t xml:space="preserve"> (2025) and Ali (2024), performance is determined by the institution's ability to leverage digital automation to lower transaction costs while simultaneously maximizing the quality of acquired goods, ensuring that public funds are utilized with the highest degree of economic efficiency.</w:t>
      </w:r>
    </w:p>
    <w:p w14:paraId="1427C254" w14:textId="06F00D4F" w:rsidR="00D905CD" w:rsidRPr="00C5615F" w:rsidRDefault="00917C60" w:rsidP="00595B18">
      <w:pPr>
        <w:spacing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Furthermore, information transparency and accuracy serve as the governance pillar of supply chain performance within a sector strictly governed by Bureau of Public Procurement (BPP) standards. The ability to maintain error-free, auditable, and secure digital records is a critical professional competency, as </w:t>
      </w:r>
      <w:proofErr w:type="spellStart"/>
      <w:r w:rsidRPr="00C5615F">
        <w:rPr>
          <w:rFonts w:ascii="Times New Roman" w:hAnsi="Times New Roman" w:cs="Times New Roman"/>
          <w:color w:val="000000" w:themeColor="text1"/>
        </w:rPr>
        <w:t>Basdekidou</w:t>
      </w:r>
      <w:proofErr w:type="spellEnd"/>
      <w:r w:rsidRPr="00C5615F">
        <w:rPr>
          <w:rFonts w:ascii="Times New Roman" w:hAnsi="Times New Roman" w:cs="Times New Roman"/>
          <w:color w:val="000000" w:themeColor="text1"/>
        </w:rPr>
        <w:t xml:space="preserve"> and </w:t>
      </w:r>
      <w:proofErr w:type="spellStart"/>
      <w:r w:rsidRPr="00C5615F">
        <w:rPr>
          <w:rFonts w:ascii="Times New Roman" w:hAnsi="Times New Roman" w:cs="Times New Roman"/>
          <w:color w:val="000000" w:themeColor="text1"/>
        </w:rPr>
        <w:t>Papapanagos</w:t>
      </w:r>
      <w:proofErr w:type="spellEnd"/>
      <w:r w:rsidRPr="00C5615F">
        <w:rPr>
          <w:rFonts w:ascii="Times New Roman" w:hAnsi="Times New Roman" w:cs="Times New Roman"/>
          <w:color w:val="000000" w:themeColor="text1"/>
        </w:rPr>
        <w:t xml:space="preserve"> (2024) and Jia et al. (2024) argue</w:t>
      </w:r>
      <w:r w:rsidR="00100BB5" w:rsidRPr="00C5615F">
        <w:rPr>
          <w:rFonts w:ascii="Times New Roman" w:hAnsi="Times New Roman" w:cs="Times New Roman"/>
          <w:color w:val="000000" w:themeColor="text1"/>
        </w:rPr>
        <w:t>d</w:t>
      </w:r>
      <w:r w:rsidRPr="00C5615F">
        <w:rPr>
          <w:rFonts w:ascii="Times New Roman" w:hAnsi="Times New Roman" w:cs="Times New Roman"/>
          <w:color w:val="000000" w:themeColor="text1"/>
        </w:rPr>
        <w:t xml:space="preserve"> that the fidelity of these records ensures institutional accountability, reduces information asymmetry, and protects the organization from reputational and corruption risks. </w:t>
      </w:r>
      <w:r w:rsidR="001A1D77" w:rsidRPr="00C5615F">
        <w:rPr>
          <w:rFonts w:ascii="Times New Roman" w:hAnsi="Times New Roman" w:cs="Times New Roman"/>
          <w:color w:val="000000" w:themeColor="text1"/>
        </w:rPr>
        <w:t>S</w:t>
      </w:r>
      <w:r w:rsidRPr="00C5615F">
        <w:rPr>
          <w:rFonts w:ascii="Times New Roman" w:hAnsi="Times New Roman" w:cs="Times New Roman"/>
          <w:color w:val="000000" w:themeColor="text1"/>
        </w:rPr>
        <w:t>trategic agility and resilience represent the highest level of adaptive capacity within the supply chain. This evaluates the organization's ability to sense environmental shifts and flexibly adjust strategies to maintain supply continuity despite macroeconomic shocks, geopolitical disruptions, or the institutional fragility common in emerging markets (</w:t>
      </w:r>
      <w:proofErr w:type="spellStart"/>
      <w:r w:rsidRPr="00C5615F">
        <w:rPr>
          <w:rFonts w:ascii="Times New Roman" w:hAnsi="Times New Roman" w:cs="Times New Roman"/>
          <w:color w:val="000000" w:themeColor="text1"/>
        </w:rPr>
        <w:t>Ogbeta-Ogwu</w:t>
      </w:r>
      <w:proofErr w:type="spellEnd"/>
      <w:r w:rsidRPr="00C5615F">
        <w:rPr>
          <w:rFonts w:ascii="Times New Roman" w:hAnsi="Times New Roman" w:cs="Times New Roman"/>
          <w:color w:val="000000" w:themeColor="text1"/>
        </w:rPr>
        <w:t xml:space="preserve"> &amp; Chidi, 2025; </w:t>
      </w:r>
      <w:proofErr w:type="spellStart"/>
      <w:r w:rsidRPr="00C5615F">
        <w:rPr>
          <w:rFonts w:ascii="Times New Roman" w:hAnsi="Times New Roman" w:cs="Times New Roman"/>
          <w:color w:val="000000" w:themeColor="text1"/>
        </w:rPr>
        <w:t>Akone</w:t>
      </w:r>
      <w:proofErr w:type="spellEnd"/>
      <w:r w:rsidRPr="00C5615F">
        <w:rPr>
          <w:rFonts w:ascii="Times New Roman" w:hAnsi="Times New Roman" w:cs="Times New Roman"/>
          <w:color w:val="000000" w:themeColor="text1"/>
        </w:rPr>
        <w:t xml:space="preserve"> &amp; Kinyua, 2025; Lou et al., 2025). </w:t>
      </w:r>
    </w:p>
    <w:p w14:paraId="5456DA65" w14:textId="3B3FC5E1" w:rsidR="00D905CD" w:rsidRPr="00C5615F" w:rsidRDefault="00272CDE" w:rsidP="00440D15">
      <w:pPr>
        <w:pStyle w:val="Heading1"/>
        <w:spacing w:line="240" w:lineRule="auto"/>
        <w:ind w:firstLine="709"/>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 xml:space="preserve">2.2 </w:t>
      </w:r>
      <w:r w:rsidR="00D905CD" w:rsidRPr="00C5615F">
        <w:rPr>
          <w:rFonts w:ascii="Times New Roman" w:hAnsi="Times New Roman" w:cs="Times New Roman"/>
          <w:b/>
          <w:bCs/>
          <w:color w:val="000000" w:themeColor="text1"/>
          <w:sz w:val="24"/>
          <w:szCs w:val="24"/>
        </w:rPr>
        <w:t>EMPIRICAL REVIEW</w:t>
      </w:r>
    </w:p>
    <w:p w14:paraId="504BD4D5" w14:textId="5DA69666" w:rsidR="00564297" w:rsidRDefault="005D71A1" w:rsidP="00440D15">
      <w:pPr>
        <w:spacing w:after="0" w:line="240" w:lineRule="auto"/>
        <w:ind w:left="709"/>
        <w:jc w:val="both"/>
        <w:rPr>
          <w:rFonts w:ascii="Times New Roman" w:hAnsi="Times New Roman" w:cs="Times New Roman"/>
          <w:color w:val="000000" w:themeColor="text1"/>
        </w:rPr>
      </w:pPr>
      <w:r w:rsidRPr="00B81F03">
        <w:rPr>
          <w:rFonts w:ascii="Times New Roman" w:hAnsi="Times New Roman" w:cs="Times New Roman"/>
          <w:color w:val="000000" w:themeColor="text1"/>
        </w:rPr>
        <w:t xml:space="preserve">A review of the empirical evidence reveals how Financial Technology has transformed the financial industry. The era of purely manual processes is giving way to a new reality defined by speed and automation. </w:t>
      </w:r>
      <w:r w:rsidR="007A524A" w:rsidRPr="007A524A">
        <w:rPr>
          <w:rFonts w:ascii="Times New Roman" w:hAnsi="Times New Roman" w:cs="Times New Roman"/>
          <w:color w:val="000000" w:themeColor="text1"/>
        </w:rPr>
        <w:t xml:space="preserve">Abdulrazaq et al. (2023) empirically demonstrated that </w:t>
      </w:r>
      <w:r w:rsidR="00B75489">
        <w:rPr>
          <w:rFonts w:ascii="Times New Roman" w:hAnsi="Times New Roman" w:cs="Times New Roman"/>
          <w:color w:val="000000" w:themeColor="text1"/>
        </w:rPr>
        <w:t>FinTech</w:t>
      </w:r>
      <w:r w:rsidR="007A524A" w:rsidRPr="007A524A">
        <w:rPr>
          <w:rFonts w:ascii="Times New Roman" w:hAnsi="Times New Roman" w:cs="Times New Roman"/>
          <w:color w:val="000000" w:themeColor="text1"/>
        </w:rPr>
        <w:t xml:space="preserve"> adoption within the Nigerian ecosystem significantly enhances the "comfort" and speed of operational procedures. Their findings suggest that shifting from traditional manual processes to agile digital frameworks provides a distinct competitive advantage by reducing bureaucratic friction. This is corroborated by Khalil (2025), whose longitudinal study of banking systems revealed that automated remittance infrastructures drastically reduce transaction costs and settlement times, thereby optimizing the financial flow within institutional networks.</w:t>
      </w:r>
      <w:r w:rsidR="00801577">
        <w:rPr>
          <w:rFonts w:ascii="Times New Roman" w:hAnsi="Times New Roman" w:cs="Times New Roman"/>
          <w:color w:val="000000" w:themeColor="text1"/>
        </w:rPr>
        <w:t xml:space="preserve"> </w:t>
      </w:r>
    </w:p>
    <w:p w14:paraId="5B7C3F26" w14:textId="4C6EC36C" w:rsidR="007A524A" w:rsidRPr="007A524A" w:rsidRDefault="007A524A" w:rsidP="009666E6">
      <w:pPr>
        <w:spacing w:before="240" w:after="0" w:line="240" w:lineRule="auto"/>
        <w:ind w:left="709"/>
        <w:jc w:val="both"/>
        <w:rPr>
          <w:rFonts w:ascii="Times New Roman" w:hAnsi="Times New Roman" w:cs="Times New Roman"/>
          <w:color w:val="000000" w:themeColor="text1"/>
        </w:rPr>
      </w:pPr>
      <w:r w:rsidRPr="007A524A">
        <w:rPr>
          <w:rFonts w:ascii="Times New Roman" w:hAnsi="Times New Roman" w:cs="Times New Roman"/>
          <w:color w:val="000000" w:themeColor="text1"/>
        </w:rPr>
        <w:t>In the realm of supplier liquidity and cash flow management, Guan et al. (2025) and Ali et al. (2025) established through fixed-effects regression models that digital Supply Chain Finance (SCF) platforms serve as a vital catalyst. Their research indicates that these platforms alleviate financing constraints for upstream vendors, ensuring cash flow stability and preventing project stagnation across the broader supply chain.</w:t>
      </w:r>
      <w:r w:rsidR="00213946">
        <w:rPr>
          <w:rFonts w:ascii="Times New Roman" w:hAnsi="Times New Roman" w:cs="Times New Roman"/>
          <w:color w:val="000000" w:themeColor="text1"/>
        </w:rPr>
        <w:t xml:space="preserve"> </w:t>
      </w:r>
      <w:r w:rsidRPr="007A524A">
        <w:rPr>
          <w:rFonts w:ascii="Times New Roman" w:hAnsi="Times New Roman" w:cs="Times New Roman"/>
          <w:color w:val="000000" w:themeColor="text1"/>
        </w:rPr>
        <w:t>Furthermore, the work of Kim and Shin (2019) provides a quantitative basis for the adoption of Blockchain, proving that information transparency and smart contracts lead to "</w:t>
      </w:r>
      <w:proofErr w:type="spellStart"/>
      <w:r w:rsidRPr="007A524A">
        <w:rPr>
          <w:rFonts w:ascii="Times New Roman" w:hAnsi="Times New Roman" w:cs="Times New Roman"/>
          <w:color w:val="000000" w:themeColor="text1"/>
        </w:rPr>
        <w:t>trustless</w:t>
      </w:r>
      <w:proofErr w:type="spellEnd"/>
      <w:r w:rsidRPr="007A524A">
        <w:rPr>
          <w:rFonts w:ascii="Times New Roman" w:hAnsi="Times New Roman" w:cs="Times New Roman"/>
          <w:color w:val="000000" w:themeColor="text1"/>
        </w:rPr>
        <w:t>" networks that eliminate the need for expensive intermediaries. This technological shift is capped by the findings of Li (2024) and Ali et al. (2024), who utilized machine learning models to demonstrate that Big Data Analytics and AI-driven risk profiling provide real-time insights into supplier health, effectively reducing misclassification risks and enhancing the intelligence of the procurement function.</w:t>
      </w:r>
    </w:p>
    <w:p w14:paraId="4687AF92" w14:textId="0A6A6436" w:rsidR="009C3C37" w:rsidRPr="00C5615F" w:rsidRDefault="005D75E8" w:rsidP="00B2629A">
      <w:pPr>
        <w:pStyle w:val="Heading1"/>
        <w:spacing w:after="0" w:line="360" w:lineRule="auto"/>
        <w:ind w:firstLine="709"/>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 xml:space="preserve">2.3 </w:t>
      </w:r>
      <w:r w:rsidR="006A6C30" w:rsidRPr="00C5615F">
        <w:rPr>
          <w:rFonts w:ascii="Times New Roman" w:hAnsi="Times New Roman" w:cs="Times New Roman"/>
          <w:b/>
          <w:bCs/>
          <w:color w:val="000000" w:themeColor="text1"/>
          <w:sz w:val="24"/>
          <w:szCs w:val="24"/>
        </w:rPr>
        <w:t>THEORETICAL FRAMEWORK</w:t>
      </w:r>
    </w:p>
    <w:p w14:paraId="1966A29D" w14:textId="6DB727BA" w:rsidR="00D905CD" w:rsidRPr="00C5615F" w:rsidRDefault="00BE5FDF" w:rsidP="00B2629A">
      <w:pPr>
        <w:pStyle w:val="Heading1"/>
        <w:spacing w:before="0" w:after="0" w:line="360" w:lineRule="auto"/>
        <w:ind w:firstLine="709"/>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2.3</w:t>
      </w:r>
      <w:r w:rsidR="008678B8" w:rsidRPr="00C5615F">
        <w:rPr>
          <w:rFonts w:ascii="Times New Roman" w:hAnsi="Times New Roman" w:cs="Times New Roman"/>
          <w:b/>
          <w:bCs/>
          <w:color w:val="000000" w:themeColor="text1"/>
          <w:sz w:val="24"/>
          <w:szCs w:val="24"/>
        </w:rPr>
        <w:t xml:space="preserve">.1 </w:t>
      </w:r>
      <w:r w:rsidR="003A6B05" w:rsidRPr="00C5615F">
        <w:rPr>
          <w:rFonts w:ascii="Times New Roman" w:hAnsi="Times New Roman" w:cs="Times New Roman"/>
          <w:b/>
          <w:bCs/>
          <w:color w:val="000000" w:themeColor="text1"/>
          <w:sz w:val="24"/>
          <w:szCs w:val="24"/>
        </w:rPr>
        <w:t xml:space="preserve">Technology-Organization-Environment </w:t>
      </w:r>
      <w:r w:rsidR="004A6C0C" w:rsidRPr="00C5615F">
        <w:rPr>
          <w:rFonts w:ascii="Times New Roman" w:hAnsi="Times New Roman" w:cs="Times New Roman"/>
          <w:b/>
          <w:bCs/>
          <w:color w:val="000000" w:themeColor="text1"/>
          <w:sz w:val="24"/>
          <w:szCs w:val="24"/>
        </w:rPr>
        <w:t>F</w:t>
      </w:r>
      <w:r w:rsidR="003A6B05" w:rsidRPr="00C5615F">
        <w:rPr>
          <w:rFonts w:ascii="Times New Roman" w:hAnsi="Times New Roman" w:cs="Times New Roman"/>
          <w:b/>
          <w:bCs/>
          <w:color w:val="000000" w:themeColor="text1"/>
          <w:sz w:val="24"/>
          <w:szCs w:val="24"/>
        </w:rPr>
        <w:t>ramework</w:t>
      </w:r>
    </w:p>
    <w:p w14:paraId="69E89357" w14:textId="4C39D40A" w:rsidR="000E73B5" w:rsidRPr="000E73B5" w:rsidRDefault="000E73B5" w:rsidP="000E73B5">
      <w:pPr>
        <w:spacing w:after="0" w:line="240" w:lineRule="auto"/>
        <w:ind w:left="709"/>
        <w:jc w:val="both"/>
        <w:rPr>
          <w:rFonts w:ascii="Times New Roman" w:hAnsi="Times New Roman" w:cs="Times New Roman"/>
          <w:color w:val="000000" w:themeColor="text1"/>
          <w:lang w:val="en-NG"/>
        </w:rPr>
      </w:pPr>
      <w:r w:rsidRPr="000E73B5">
        <w:rPr>
          <w:rFonts w:ascii="Times New Roman" w:hAnsi="Times New Roman" w:cs="Times New Roman"/>
          <w:color w:val="000000" w:themeColor="text1"/>
          <w:lang w:val="en-NG"/>
        </w:rPr>
        <w:t xml:space="preserve">The Technology-Organization-Environment (TOE) framework, developed by </w:t>
      </w:r>
      <w:proofErr w:type="spellStart"/>
      <w:r w:rsidRPr="000E73B5">
        <w:rPr>
          <w:rFonts w:ascii="Times New Roman" w:hAnsi="Times New Roman" w:cs="Times New Roman"/>
          <w:color w:val="000000" w:themeColor="text1"/>
          <w:lang w:val="en-NG"/>
        </w:rPr>
        <w:t>Tornatzky</w:t>
      </w:r>
      <w:proofErr w:type="spellEnd"/>
      <w:r w:rsidRPr="000E73B5">
        <w:rPr>
          <w:rFonts w:ascii="Times New Roman" w:hAnsi="Times New Roman" w:cs="Times New Roman"/>
          <w:color w:val="000000" w:themeColor="text1"/>
          <w:lang w:val="en-NG"/>
        </w:rPr>
        <w:t xml:space="preserve"> and Fleischer (1990), serves as the primary theoretical anchor for this study. It posits that the adoption and implementation of technological innovations are driven by a tripartite of contextual influences: Technological, Organizational, and Environmental (</w:t>
      </w:r>
      <w:proofErr w:type="spellStart"/>
      <w:r w:rsidRPr="000E73B5">
        <w:rPr>
          <w:rFonts w:ascii="Times New Roman" w:hAnsi="Times New Roman" w:cs="Times New Roman"/>
          <w:color w:val="000000" w:themeColor="text1"/>
          <w:lang w:val="en-NG"/>
        </w:rPr>
        <w:t>Lontchi</w:t>
      </w:r>
      <w:proofErr w:type="spellEnd"/>
      <w:r w:rsidRPr="000E73B5">
        <w:rPr>
          <w:rFonts w:ascii="Times New Roman" w:hAnsi="Times New Roman" w:cs="Times New Roman"/>
          <w:color w:val="000000" w:themeColor="text1"/>
          <w:lang w:val="en-NG"/>
        </w:rPr>
        <w:t xml:space="preserve"> et al., 2023). In the context of Nigerian Federal MDAs, the Technological context encompasses the four FinTech dimensions</w:t>
      </w:r>
      <w:r>
        <w:rPr>
          <w:rFonts w:ascii="Times New Roman" w:hAnsi="Times New Roman" w:cs="Times New Roman"/>
          <w:color w:val="000000" w:themeColor="text1"/>
          <w:lang w:val="en-NG"/>
        </w:rPr>
        <w:t xml:space="preserve">, </w:t>
      </w:r>
      <w:r w:rsidRPr="000E73B5">
        <w:rPr>
          <w:rFonts w:ascii="Times New Roman" w:hAnsi="Times New Roman" w:cs="Times New Roman"/>
          <w:color w:val="000000" w:themeColor="text1"/>
          <w:lang w:val="en-NG"/>
        </w:rPr>
        <w:t>Electronic Payments, Digital SCF, Blockchain, and AI Analytics</w:t>
      </w:r>
      <w:r>
        <w:rPr>
          <w:rFonts w:ascii="Times New Roman" w:hAnsi="Times New Roman" w:cs="Times New Roman"/>
          <w:color w:val="000000" w:themeColor="text1"/>
          <w:lang w:val="en-NG"/>
        </w:rPr>
        <w:t xml:space="preserve"> </w:t>
      </w:r>
      <w:r w:rsidRPr="000E73B5">
        <w:rPr>
          <w:rFonts w:ascii="Times New Roman" w:hAnsi="Times New Roman" w:cs="Times New Roman"/>
          <w:color w:val="000000" w:themeColor="text1"/>
          <w:lang w:val="en-NG"/>
        </w:rPr>
        <w:t>which serve as the disruptive tools required to restructure the Requisition-to-Pay (R2P) architecture (Abdulrazaq et al., 2023). The Organizational context aligns with the internal characteristics of the MDAs, specifically the digital competencies of procurement practitioners and the institutional readiness to transition from manual to automated workflows (Ahmadzadeh, 2025).</w:t>
      </w:r>
    </w:p>
    <w:p w14:paraId="089F6B5C" w14:textId="1D681E44" w:rsidR="000E73B5" w:rsidRPr="00A7689F" w:rsidRDefault="000E73B5" w:rsidP="000E73B5">
      <w:pPr>
        <w:spacing w:before="240" w:after="0" w:line="240" w:lineRule="auto"/>
        <w:ind w:left="709"/>
        <w:jc w:val="both"/>
        <w:rPr>
          <w:rFonts w:ascii="Times New Roman" w:hAnsi="Times New Roman" w:cs="Times New Roman"/>
          <w:color w:val="000000" w:themeColor="text1"/>
          <w:lang w:val="en-NG"/>
        </w:rPr>
      </w:pPr>
      <w:r w:rsidRPr="000E73B5">
        <w:rPr>
          <w:rFonts w:ascii="Times New Roman" w:hAnsi="Times New Roman" w:cs="Times New Roman"/>
          <w:color w:val="000000" w:themeColor="text1"/>
          <w:lang w:val="en-NG"/>
        </w:rPr>
        <w:t xml:space="preserve">The Environmental context accounts for external pressures, including the stringent regulatory mandates of the Bureau of Public Procurement (BPP) and the macroeconomic volatility of the Nigerian landscape (Akanbi &amp; </w:t>
      </w:r>
      <w:proofErr w:type="spellStart"/>
      <w:r w:rsidRPr="000E73B5">
        <w:rPr>
          <w:rFonts w:ascii="Times New Roman" w:hAnsi="Times New Roman" w:cs="Times New Roman"/>
          <w:color w:val="000000" w:themeColor="text1"/>
          <w:lang w:val="en-NG"/>
        </w:rPr>
        <w:t>Gbadegesin</w:t>
      </w:r>
      <w:proofErr w:type="spellEnd"/>
      <w:r w:rsidRPr="000E73B5">
        <w:rPr>
          <w:rFonts w:ascii="Times New Roman" w:hAnsi="Times New Roman" w:cs="Times New Roman"/>
          <w:color w:val="000000" w:themeColor="text1"/>
          <w:lang w:val="en-NG"/>
        </w:rPr>
        <w:t xml:space="preserve">, 2025). Adding to this environmental complexity, </w:t>
      </w:r>
      <w:proofErr w:type="spellStart"/>
      <w:r w:rsidRPr="000E73B5">
        <w:rPr>
          <w:rFonts w:ascii="Times New Roman" w:hAnsi="Times New Roman" w:cs="Times New Roman"/>
          <w:color w:val="000000" w:themeColor="text1"/>
          <w:lang w:val="en-NG"/>
        </w:rPr>
        <w:t>Okegbemi</w:t>
      </w:r>
      <w:proofErr w:type="spellEnd"/>
      <w:r w:rsidRPr="000E73B5">
        <w:rPr>
          <w:rFonts w:ascii="Times New Roman" w:hAnsi="Times New Roman" w:cs="Times New Roman"/>
          <w:color w:val="000000" w:themeColor="text1"/>
          <w:lang w:val="en-NG"/>
        </w:rPr>
        <w:t xml:space="preserve"> (2024) highlight</w:t>
      </w:r>
      <w:r>
        <w:rPr>
          <w:rFonts w:ascii="Times New Roman" w:hAnsi="Times New Roman" w:cs="Times New Roman"/>
          <w:color w:val="000000" w:themeColor="text1"/>
          <w:lang w:val="en-NG"/>
        </w:rPr>
        <w:t>ed</w:t>
      </w:r>
      <w:r w:rsidRPr="000E73B5">
        <w:rPr>
          <w:rFonts w:ascii="Times New Roman" w:hAnsi="Times New Roman" w:cs="Times New Roman"/>
          <w:color w:val="000000" w:themeColor="text1"/>
          <w:lang w:val="en-NG"/>
        </w:rPr>
        <w:t xml:space="preserve"> that pervasive governance issues and a complex regulatory environment marked by bureaucratic red tape and a lack of transparency continue to distort market mechanisms in Nigeria. For Federal MDAs, this implies that FinTech adoption is not just a technological upgrade but a necessary strategic response to an economic environment that otherwise suppresses growth through systemic inefficiency. The framework’s holistic nature allows for a comprehensive analysis of how these contexts converge to mitigate transactional friction and information asymmetry. By integrating Blockchain and AI (Technological) within the framework of BPP compliance (Environmental) to enhance practitioner performance (Organizational), the TOE framework explains how FinTech adoption optimizes lead-time efficiency and institutional resilience against systemic fraud and liquidity crises (</w:t>
      </w:r>
      <w:proofErr w:type="spellStart"/>
      <w:r w:rsidRPr="000E73B5">
        <w:rPr>
          <w:rFonts w:ascii="Times New Roman" w:hAnsi="Times New Roman" w:cs="Times New Roman"/>
          <w:color w:val="000000" w:themeColor="text1"/>
          <w:lang w:val="en-NG"/>
        </w:rPr>
        <w:t>Zulhelmy</w:t>
      </w:r>
      <w:proofErr w:type="spellEnd"/>
      <w:r w:rsidRPr="000E73B5">
        <w:rPr>
          <w:rFonts w:ascii="Times New Roman" w:hAnsi="Times New Roman" w:cs="Times New Roman"/>
          <w:color w:val="000000" w:themeColor="text1"/>
          <w:lang w:val="en-NG"/>
        </w:rPr>
        <w:t xml:space="preserve"> et al., 2025; Jia et al., 2024; </w:t>
      </w:r>
      <w:proofErr w:type="spellStart"/>
      <w:r w:rsidRPr="000E73B5">
        <w:rPr>
          <w:rFonts w:ascii="Times New Roman" w:hAnsi="Times New Roman" w:cs="Times New Roman"/>
          <w:color w:val="000000" w:themeColor="text1"/>
          <w:lang w:val="en-NG"/>
        </w:rPr>
        <w:t>Ogbeta-Ogwu</w:t>
      </w:r>
      <w:proofErr w:type="spellEnd"/>
      <w:r w:rsidRPr="000E73B5">
        <w:rPr>
          <w:rFonts w:ascii="Times New Roman" w:hAnsi="Times New Roman" w:cs="Times New Roman"/>
          <w:color w:val="000000" w:themeColor="text1"/>
          <w:lang w:val="en-NG"/>
        </w:rPr>
        <w:t xml:space="preserve"> &amp; Chidi, 2025).</w:t>
      </w:r>
    </w:p>
    <w:p w14:paraId="5B888DCD" w14:textId="274F137B" w:rsidR="004B10B3" w:rsidRPr="004B10B3" w:rsidRDefault="004B10B3" w:rsidP="00CB67E8">
      <w:pPr>
        <w:pStyle w:val="Heading1"/>
        <w:spacing w:line="240" w:lineRule="auto"/>
        <w:ind w:firstLine="709"/>
        <w:rPr>
          <w:rFonts w:ascii="Times New Roman" w:hAnsi="Times New Roman" w:cs="Times New Roman"/>
          <w:b/>
          <w:bCs/>
          <w:color w:val="000000" w:themeColor="text1"/>
          <w:sz w:val="24"/>
          <w:szCs w:val="24"/>
        </w:rPr>
      </w:pPr>
      <w:r w:rsidRPr="004B10B3">
        <w:rPr>
          <w:rFonts w:ascii="Times New Roman" w:hAnsi="Times New Roman" w:cs="Times New Roman"/>
          <w:b/>
          <w:bCs/>
          <w:color w:val="000000" w:themeColor="text1"/>
          <w:sz w:val="24"/>
          <w:szCs w:val="24"/>
        </w:rPr>
        <w:t>2.4</w:t>
      </w:r>
      <w:r w:rsidR="00CB67E8">
        <w:rPr>
          <w:rFonts w:ascii="Times New Roman" w:hAnsi="Times New Roman" w:cs="Times New Roman"/>
          <w:b/>
          <w:bCs/>
          <w:color w:val="000000" w:themeColor="text1"/>
          <w:sz w:val="24"/>
          <w:szCs w:val="24"/>
        </w:rPr>
        <w:t xml:space="preserve"> </w:t>
      </w:r>
      <w:r w:rsidRPr="004B10B3">
        <w:rPr>
          <w:rFonts w:ascii="Times New Roman" w:hAnsi="Times New Roman" w:cs="Times New Roman"/>
          <w:b/>
          <w:bCs/>
          <w:color w:val="000000" w:themeColor="text1"/>
          <w:sz w:val="24"/>
          <w:szCs w:val="24"/>
        </w:rPr>
        <w:t>Gaps in the Literature</w:t>
      </w:r>
    </w:p>
    <w:p w14:paraId="3C4A6C87" w14:textId="15320CDC" w:rsidR="00CC442F" w:rsidRDefault="000B6927" w:rsidP="00DB16EA">
      <w:pPr>
        <w:spacing w:after="0" w:line="240" w:lineRule="auto"/>
        <w:ind w:left="709"/>
        <w:jc w:val="both"/>
        <w:rPr>
          <w:rFonts w:ascii="Times New Roman" w:hAnsi="Times New Roman" w:cs="Times New Roman"/>
          <w:color w:val="000000" w:themeColor="text1"/>
        </w:rPr>
      </w:pPr>
      <w:r w:rsidRPr="000B6927">
        <w:rPr>
          <w:rFonts w:ascii="Times New Roman" w:hAnsi="Times New Roman" w:cs="Times New Roman"/>
          <w:color w:val="000000" w:themeColor="text1"/>
        </w:rPr>
        <w:t xml:space="preserve">The persistent reliance on manual Requisition-to-Pay (R2P) architectures in Nigerian Federal MDAs has created significant transactional friction, yet existing literature remains fragmented regarding integrated digital solutions. A primary empirical gap exists because prior studies, such as those by Abdulrazaq et al. (2023) and Akanbi and </w:t>
      </w:r>
      <w:proofErr w:type="spellStart"/>
      <w:r w:rsidRPr="000B6927">
        <w:rPr>
          <w:rFonts w:ascii="Times New Roman" w:hAnsi="Times New Roman" w:cs="Times New Roman"/>
          <w:color w:val="000000" w:themeColor="text1"/>
        </w:rPr>
        <w:t>Gbadegesin</w:t>
      </w:r>
      <w:proofErr w:type="spellEnd"/>
      <w:r w:rsidRPr="000B6927">
        <w:rPr>
          <w:rFonts w:ascii="Times New Roman" w:hAnsi="Times New Roman" w:cs="Times New Roman"/>
          <w:color w:val="000000" w:themeColor="text1"/>
        </w:rPr>
        <w:t xml:space="preserve"> (2025), focus predominantly on general logistics or private sector performance, largely neglecting the unique bureaucratic complexities of the Nigerian public sector. Furthermore, international research by Kim and Shin (2019) and Guan et al. (2025) often examine</w:t>
      </w:r>
      <w:r w:rsidR="000E73B5">
        <w:rPr>
          <w:rFonts w:ascii="Times New Roman" w:hAnsi="Times New Roman" w:cs="Times New Roman"/>
          <w:color w:val="000000" w:themeColor="text1"/>
        </w:rPr>
        <w:t>d</w:t>
      </w:r>
      <w:r w:rsidRPr="000B6927">
        <w:rPr>
          <w:rFonts w:ascii="Times New Roman" w:hAnsi="Times New Roman" w:cs="Times New Roman"/>
          <w:color w:val="000000" w:themeColor="text1"/>
        </w:rPr>
        <w:t xml:space="preserve"> technologies like blockchain or digital finance in isolation. This creates a synthesis gap, as there is a lack of evidence on how these diverse </w:t>
      </w:r>
      <w:r w:rsidR="00B75489">
        <w:rPr>
          <w:rFonts w:ascii="Times New Roman" w:hAnsi="Times New Roman" w:cs="Times New Roman"/>
          <w:color w:val="000000" w:themeColor="text1"/>
        </w:rPr>
        <w:t>FinTech</w:t>
      </w:r>
      <w:r w:rsidRPr="000B6927">
        <w:rPr>
          <w:rFonts w:ascii="Times New Roman" w:hAnsi="Times New Roman" w:cs="Times New Roman"/>
          <w:color w:val="000000" w:themeColor="text1"/>
        </w:rPr>
        <w:t xml:space="preserve"> tools</w:t>
      </w:r>
      <w:r w:rsidR="00D47A57">
        <w:rPr>
          <w:rFonts w:ascii="Times New Roman" w:hAnsi="Times New Roman" w:cs="Times New Roman"/>
          <w:color w:val="000000" w:themeColor="text1"/>
        </w:rPr>
        <w:t xml:space="preserve"> </w:t>
      </w:r>
      <w:r w:rsidRPr="000B6927">
        <w:rPr>
          <w:rFonts w:ascii="Times New Roman" w:hAnsi="Times New Roman" w:cs="Times New Roman"/>
          <w:color w:val="000000" w:themeColor="text1"/>
        </w:rPr>
        <w:t>specifically Electronic Payments, Blockchain, and AI</w:t>
      </w:r>
      <w:r w:rsidR="00D47A57">
        <w:rPr>
          <w:rFonts w:ascii="Times New Roman" w:hAnsi="Times New Roman" w:cs="Times New Roman"/>
          <w:color w:val="000000" w:themeColor="text1"/>
        </w:rPr>
        <w:t xml:space="preserve"> </w:t>
      </w:r>
      <w:r w:rsidRPr="000B6927">
        <w:rPr>
          <w:rFonts w:ascii="Times New Roman" w:hAnsi="Times New Roman" w:cs="Times New Roman"/>
          <w:color w:val="000000" w:themeColor="text1"/>
        </w:rPr>
        <w:t>interact simultaneously within a single institutional framework to optimize supply chain resilience.</w:t>
      </w:r>
      <w:r w:rsidR="00AB629C">
        <w:rPr>
          <w:rFonts w:ascii="Times New Roman" w:hAnsi="Times New Roman" w:cs="Times New Roman"/>
          <w:color w:val="000000" w:themeColor="text1"/>
        </w:rPr>
        <w:t xml:space="preserve"> </w:t>
      </w:r>
    </w:p>
    <w:p w14:paraId="4D98E3EB" w14:textId="03CBCB7F" w:rsidR="000B6927" w:rsidRPr="000B6927" w:rsidRDefault="000B6927" w:rsidP="00D95985">
      <w:pPr>
        <w:spacing w:before="240" w:after="0" w:line="240" w:lineRule="auto"/>
        <w:ind w:left="709"/>
        <w:jc w:val="both"/>
        <w:rPr>
          <w:rFonts w:ascii="Times New Roman" w:hAnsi="Times New Roman" w:cs="Times New Roman"/>
          <w:color w:val="000000" w:themeColor="text1"/>
        </w:rPr>
      </w:pPr>
      <w:r w:rsidRPr="000B6927">
        <w:rPr>
          <w:rFonts w:ascii="Times New Roman" w:hAnsi="Times New Roman" w:cs="Times New Roman"/>
          <w:color w:val="000000" w:themeColor="text1"/>
        </w:rPr>
        <w:t xml:space="preserve">Methodologically, there is a scarcity of research employing robust structural </w:t>
      </w:r>
      <w:proofErr w:type="spellStart"/>
      <w:r w:rsidRPr="000B6927">
        <w:rPr>
          <w:rFonts w:ascii="Times New Roman" w:hAnsi="Times New Roman" w:cs="Times New Roman"/>
          <w:color w:val="000000" w:themeColor="text1"/>
        </w:rPr>
        <w:t>modeling</w:t>
      </w:r>
      <w:proofErr w:type="spellEnd"/>
      <w:r w:rsidRPr="000B6927">
        <w:rPr>
          <w:rFonts w:ascii="Times New Roman" w:hAnsi="Times New Roman" w:cs="Times New Roman"/>
          <w:color w:val="000000" w:themeColor="text1"/>
        </w:rPr>
        <w:t>, such as PLS-SEM, to quantify the specific variance in performance explained by synchronized technological adoption in Nigeria. Most local studies, including those by Kannan (2019) and Abdulrazaq et al. (2023), remain descriptive or focus on singular outcomes like "comfort" and "convenience" rather than rigorous metrics like lead-time compression or cost-to-value optimization under the Public Procurement Act 2007.</w:t>
      </w:r>
      <w:r w:rsidR="00AB629C">
        <w:rPr>
          <w:rFonts w:ascii="Times New Roman" w:hAnsi="Times New Roman" w:cs="Times New Roman"/>
          <w:color w:val="000000" w:themeColor="text1"/>
        </w:rPr>
        <w:t xml:space="preserve"> </w:t>
      </w:r>
      <w:r w:rsidRPr="000B6927">
        <w:rPr>
          <w:rFonts w:ascii="Times New Roman" w:hAnsi="Times New Roman" w:cs="Times New Roman"/>
          <w:color w:val="000000" w:themeColor="text1"/>
        </w:rPr>
        <w:t xml:space="preserve">This study addresses these deficiencies by collectively examining electronic payments and Digital SCF to resolve liquidity crises, alongside Blockchain and AI to mitigate contract fraud and suboptimal supplier selection. By bridging the gap between theoretical potential and practical institutional application, this research provides the empirical evidence necessary to move beyond manual R2P bottlenecks toward a transparent, </w:t>
      </w:r>
      <w:proofErr w:type="spellStart"/>
      <w:r w:rsidRPr="000B6927">
        <w:rPr>
          <w:rFonts w:ascii="Times New Roman" w:hAnsi="Times New Roman" w:cs="Times New Roman"/>
          <w:color w:val="000000" w:themeColor="text1"/>
        </w:rPr>
        <w:t>trustless</w:t>
      </w:r>
      <w:proofErr w:type="spellEnd"/>
      <w:r w:rsidRPr="000B6927">
        <w:rPr>
          <w:rFonts w:ascii="Times New Roman" w:hAnsi="Times New Roman" w:cs="Times New Roman"/>
          <w:color w:val="000000" w:themeColor="text1"/>
        </w:rPr>
        <w:t xml:space="preserve"> digital ecosystem. Consequently, this study offers a comprehensive perspective on how technological synergy drives institutional resilience and fulfills the "Value-for-Money" mandate within the Nigerian socio-economic landscape.</w:t>
      </w:r>
    </w:p>
    <w:p w14:paraId="1F20DD46" w14:textId="72AB6027" w:rsidR="00AD2EDA" w:rsidRPr="00C5615F" w:rsidRDefault="005202D2" w:rsidP="00DF2842">
      <w:pPr>
        <w:pStyle w:val="Heading1"/>
        <w:spacing w:line="240" w:lineRule="auto"/>
        <w:ind w:firstLine="709"/>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 xml:space="preserve">3.0 </w:t>
      </w:r>
      <w:r w:rsidR="00AD2EDA" w:rsidRPr="00C5615F">
        <w:rPr>
          <w:rFonts w:ascii="Times New Roman" w:hAnsi="Times New Roman" w:cs="Times New Roman"/>
          <w:b/>
          <w:bCs/>
          <w:color w:val="000000" w:themeColor="text1"/>
          <w:sz w:val="24"/>
          <w:szCs w:val="24"/>
        </w:rPr>
        <w:t xml:space="preserve">METHODOLOGY </w:t>
      </w:r>
    </w:p>
    <w:p w14:paraId="560EF9FE" w14:textId="776CC46A" w:rsidR="00C324D8" w:rsidRPr="00C5615F" w:rsidRDefault="00C324D8" w:rsidP="00C324D8">
      <w:pPr>
        <w:spacing w:after="80"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A descriptive survey research design was employed for this study to facilitate the systematic collection of empirical data from selected stakeholders at a single point in time, which is essential for examining the complex relationship between financial technology adoption and supply chain performance. This methodological approach enabled an assessment of various digital interventions and their specific effects on the operational outcomes of key federal institutions in Nigeria. </w:t>
      </w:r>
    </w:p>
    <w:p w14:paraId="43359EA0" w14:textId="20E1F521" w:rsidR="00157B87" w:rsidRPr="00157B87" w:rsidRDefault="003F1DE1" w:rsidP="00157B87">
      <w:pPr>
        <w:spacing w:after="80"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The population for this study comprised 239 strategic stakeholders </w:t>
      </w:r>
      <w:r w:rsidR="00C324D8" w:rsidRPr="00C5615F">
        <w:rPr>
          <w:rFonts w:ascii="Times New Roman" w:hAnsi="Times New Roman" w:cs="Times New Roman"/>
          <w:color w:val="000000" w:themeColor="text1"/>
        </w:rPr>
        <w:t>from key public sector organizations involved in procurement and related processes, specifically: 56 from the Federal Medical Centre (FMC) Abuja Headquarters, 48 from the National Health Insurance Authority (NHIA), 35 from the Central Bank of Nigeria (CBN) Procurement, 40 from the Federal Ministry of Works, and 60 from the Bureau of Public Procurement (BPP).</w:t>
      </w:r>
      <w:r w:rsidR="00157B87" w:rsidRPr="00157B87">
        <w:rPr>
          <w:rFonts w:ascii="Arial" w:eastAsia="Times New Roman" w:hAnsi="Arial" w:cs="Arial"/>
          <w:color w:val="000000"/>
          <w:kern w:val="0"/>
          <w:lang w:eastAsia="en-NG"/>
          <w14:ligatures w14:val="none"/>
        </w:rPr>
        <w:t xml:space="preserve"> </w:t>
      </w:r>
      <w:r w:rsidR="00157B87" w:rsidRPr="00157B87">
        <w:rPr>
          <w:rFonts w:ascii="Times New Roman" w:hAnsi="Times New Roman" w:cs="Times New Roman"/>
          <w:color w:val="000000" w:themeColor="text1"/>
        </w:rPr>
        <w:t>A census approach was adopted due to the specialized nature and manageable size of the population (</w:t>
      </w:r>
      <w:proofErr w:type="spellStart"/>
      <w:r w:rsidR="00157B87" w:rsidRPr="00157B87">
        <w:rPr>
          <w:rFonts w:ascii="Times New Roman" w:hAnsi="Times New Roman" w:cs="Times New Roman"/>
          <w:color w:val="000000" w:themeColor="text1"/>
        </w:rPr>
        <w:t>totaling</w:t>
      </w:r>
      <w:proofErr w:type="spellEnd"/>
      <w:r w:rsidR="00157B87" w:rsidRPr="00157B87">
        <w:rPr>
          <w:rFonts w:ascii="Times New Roman" w:hAnsi="Times New Roman" w:cs="Times New Roman"/>
          <w:color w:val="000000" w:themeColor="text1"/>
        </w:rPr>
        <w:t xml:space="preserve"> 239 respondents). This ensured inclusive representation, eliminated sampling error, minimized selection bias, and accurately reflected the multi-stakeholder dynamics in public procurement and supply chain processes</w:t>
      </w:r>
      <w:r w:rsidR="00E22D79">
        <w:rPr>
          <w:rFonts w:ascii="Times New Roman" w:hAnsi="Times New Roman" w:cs="Times New Roman"/>
          <w:color w:val="000000" w:themeColor="text1"/>
        </w:rPr>
        <w:t xml:space="preserve">, </w:t>
      </w:r>
      <w:r w:rsidR="00157B87" w:rsidRPr="00157B87">
        <w:rPr>
          <w:rFonts w:ascii="Times New Roman" w:hAnsi="Times New Roman" w:cs="Times New Roman"/>
          <w:color w:val="000000" w:themeColor="text1"/>
        </w:rPr>
        <w:t>consistent with methodological recommendations for small, finite populations in social science and management research.</w:t>
      </w:r>
    </w:p>
    <w:p w14:paraId="28C6389F" w14:textId="2A05B42B" w:rsidR="00DD3857" w:rsidRPr="00C5615F" w:rsidRDefault="00C324D8" w:rsidP="00D32034">
      <w:pPr>
        <w:spacing w:after="80"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Data collection for the study utilized a structured questionnaire developed on a five-point Likert scale to capture the intensity of stakeholder agreement with technological integration. Items for Electronic Payment and Remittance Systems were adapted from Abdulrazaq (2023) and Khalil (2025), focusing on the acceleration of contractor settlements and the elimination of bureaucratic red tape. Digital Supply Chain Finance Utilization items drew from the frameworks of Guan et al. (2025) and Song et al. (2016) to assess vendor liquidity and cash flow stability. The constructs for Blockchain-Based Smart Contracts were informed by Kim and Shin (2019) and </w:t>
      </w:r>
      <w:proofErr w:type="spellStart"/>
      <w:r w:rsidRPr="00C5615F">
        <w:rPr>
          <w:rFonts w:ascii="Times New Roman" w:hAnsi="Times New Roman" w:cs="Times New Roman"/>
          <w:color w:val="000000" w:themeColor="text1"/>
        </w:rPr>
        <w:t>Basdekidou</w:t>
      </w:r>
      <w:proofErr w:type="spellEnd"/>
      <w:r w:rsidRPr="00C5615F">
        <w:rPr>
          <w:rFonts w:ascii="Times New Roman" w:hAnsi="Times New Roman" w:cs="Times New Roman"/>
          <w:color w:val="000000" w:themeColor="text1"/>
        </w:rPr>
        <w:t xml:space="preserve"> (2024) regarding </w:t>
      </w:r>
      <w:proofErr w:type="spellStart"/>
      <w:r w:rsidRPr="00C5615F">
        <w:rPr>
          <w:rFonts w:ascii="Times New Roman" w:hAnsi="Times New Roman" w:cs="Times New Roman"/>
          <w:color w:val="000000" w:themeColor="text1"/>
        </w:rPr>
        <w:t>trustless</w:t>
      </w:r>
      <w:proofErr w:type="spellEnd"/>
      <w:r w:rsidRPr="00C5615F">
        <w:rPr>
          <w:rFonts w:ascii="Times New Roman" w:hAnsi="Times New Roman" w:cs="Times New Roman"/>
          <w:color w:val="000000" w:themeColor="text1"/>
        </w:rPr>
        <w:t xml:space="preserve"> infrastructure and automated payment triggers. Big Data Analytics and AI Risk Assessment items were adapted from Li (2024) and Lee et al. (2019) to evaluate predictive insights and vendor profiling accuracy. Supply Chain Performance was evaluated through lead-time efficiency as defined by Ahmadzadeh (2025), cost-to-value optimization according to Akanbi et al. (2025), and strategic resilience based on the work of Lou et al. (2025)</w:t>
      </w:r>
      <w:r w:rsidR="003676E0" w:rsidRPr="00C5615F">
        <w:rPr>
          <w:rFonts w:ascii="Times New Roman" w:hAnsi="Times New Roman" w:cs="Times New Roman"/>
          <w:color w:val="000000" w:themeColor="text1"/>
        </w:rPr>
        <w:t xml:space="preserve"> and </w:t>
      </w:r>
      <w:proofErr w:type="spellStart"/>
      <w:r w:rsidR="006A6C30" w:rsidRPr="00C5615F">
        <w:rPr>
          <w:rFonts w:ascii="Times New Roman" w:hAnsi="Times New Roman" w:cs="Times New Roman"/>
          <w:color w:val="000000" w:themeColor="text1"/>
        </w:rPr>
        <w:t>Akone</w:t>
      </w:r>
      <w:proofErr w:type="spellEnd"/>
      <w:r w:rsidR="006A6C30" w:rsidRPr="00C5615F">
        <w:rPr>
          <w:rFonts w:ascii="Times New Roman" w:hAnsi="Times New Roman" w:cs="Times New Roman"/>
          <w:color w:val="000000" w:themeColor="text1"/>
        </w:rPr>
        <w:t xml:space="preserve"> &amp; Kinyua</w:t>
      </w:r>
      <w:r w:rsidR="003676E0" w:rsidRPr="00C5615F">
        <w:rPr>
          <w:rFonts w:ascii="Times New Roman" w:hAnsi="Times New Roman" w:cs="Times New Roman"/>
          <w:color w:val="000000" w:themeColor="text1"/>
        </w:rPr>
        <w:t xml:space="preserve"> (</w:t>
      </w:r>
      <w:r w:rsidR="006A6C30" w:rsidRPr="00C5615F">
        <w:rPr>
          <w:rFonts w:ascii="Times New Roman" w:hAnsi="Times New Roman" w:cs="Times New Roman"/>
          <w:color w:val="000000" w:themeColor="text1"/>
        </w:rPr>
        <w:t>2025</w:t>
      </w:r>
      <w:r w:rsidR="003676E0" w:rsidRPr="00C5615F">
        <w:rPr>
          <w:rFonts w:ascii="Times New Roman" w:hAnsi="Times New Roman" w:cs="Times New Roman"/>
          <w:color w:val="000000" w:themeColor="text1"/>
        </w:rPr>
        <w:t>).</w:t>
      </w:r>
      <w:r w:rsidR="00D32034">
        <w:rPr>
          <w:rFonts w:ascii="Times New Roman" w:hAnsi="Times New Roman" w:cs="Times New Roman"/>
          <w:color w:val="000000" w:themeColor="text1"/>
        </w:rPr>
        <w:t xml:space="preserve"> </w:t>
      </w:r>
      <w:r w:rsidRPr="00C5615F">
        <w:rPr>
          <w:rFonts w:ascii="Times New Roman" w:hAnsi="Times New Roman" w:cs="Times New Roman"/>
          <w:color w:val="000000" w:themeColor="text1"/>
        </w:rPr>
        <w:t xml:space="preserve">The reliability of these constructs was rigorously established using </w:t>
      </w:r>
      <w:proofErr w:type="spellStart"/>
      <w:r w:rsidRPr="00C5615F">
        <w:rPr>
          <w:rFonts w:ascii="Times New Roman" w:hAnsi="Times New Roman" w:cs="Times New Roman"/>
          <w:color w:val="000000" w:themeColor="text1"/>
        </w:rPr>
        <w:t>Cronbachs</w:t>
      </w:r>
      <w:proofErr w:type="spellEnd"/>
      <w:r w:rsidRPr="00C5615F">
        <w:rPr>
          <w:rFonts w:ascii="Times New Roman" w:hAnsi="Times New Roman" w:cs="Times New Roman"/>
          <w:color w:val="000000" w:themeColor="text1"/>
        </w:rPr>
        <w:t xml:space="preserve"> Alpha, with all values exceeding the 0.70 threshold. Specifically, Supply Chain Performance recorded an alpha of 0.828, Big Data Analytics and AI Risk Assessment achieved 0.823, Blockchain-Based Smart Contracts stood at 0.804, Digital Supply Chain Finance Utilization reached 0.804, and Electronic Payment and Remittance Systems scored 0.761. These values confirm</w:t>
      </w:r>
      <w:r w:rsidR="004B7298">
        <w:rPr>
          <w:rFonts w:ascii="Times New Roman" w:hAnsi="Times New Roman" w:cs="Times New Roman"/>
          <w:color w:val="000000" w:themeColor="text1"/>
        </w:rPr>
        <w:t>ed</w:t>
      </w:r>
      <w:r w:rsidRPr="00C5615F">
        <w:rPr>
          <w:rFonts w:ascii="Times New Roman" w:hAnsi="Times New Roman" w:cs="Times New Roman"/>
          <w:color w:val="000000" w:themeColor="text1"/>
        </w:rPr>
        <w:t xml:space="preserve"> that the measurement instruments possessed strong internal consistency and were robust enough to capture the intended data accurately across the diverse participating organizations. </w:t>
      </w:r>
    </w:p>
    <w:p w14:paraId="074D619F" w14:textId="0BC9CE67" w:rsidR="00FC5304" w:rsidRDefault="00C324D8" w:rsidP="000F2953">
      <w:pPr>
        <w:spacing w:after="80" w:line="240" w:lineRule="auto"/>
        <w:ind w:left="709"/>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For the analysis phase, Partial Least Squares Structural Equation </w:t>
      </w:r>
      <w:proofErr w:type="spellStart"/>
      <w:r w:rsidRPr="00C5615F">
        <w:rPr>
          <w:rFonts w:ascii="Times New Roman" w:hAnsi="Times New Roman" w:cs="Times New Roman"/>
          <w:color w:val="000000" w:themeColor="text1"/>
        </w:rPr>
        <w:t>Modeling</w:t>
      </w:r>
      <w:proofErr w:type="spellEnd"/>
      <w:r w:rsidRPr="00C5615F">
        <w:rPr>
          <w:rFonts w:ascii="Times New Roman" w:hAnsi="Times New Roman" w:cs="Times New Roman"/>
          <w:color w:val="000000" w:themeColor="text1"/>
        </w:rPr>
        <w:t xml:space="preserve"> (PLS-SEM) using </w:t>
      </w:r>
      <w:proofErr w:type="spellStart"/>
      <w:r w:rsidRPr="00C5615F">
        <w:rPr>
          <w:rFonts w:ascii="Times New Roman" w:hAnsi="Times New Roman" w:cs="Times New Roman"/>
          <w:color w:val="000000" w:themeColor="text1"/>
        </w:rPr>
        <w:t>SmartPLS</w:t>
      </w:r>
      <w:proofErr w:type="spellEnd"/>
      <w:r w:rsidRPr="00C5615F">
        <w:rPr>
          <w:rFonts w:ascii="Times New Roman" w:hAnsi="Times New Roman" w:cs="Times New Roman"/>
          <w:color w:val="000000" w:themeColor="text1"/>
        </w:rPr>
        <w:t xml:space="preserve"> was selected. This method was deemed appropriate as it effectively handles complex models with multiple path relationships, accommodates the non-normal data distributions often found in public sector survey research, and provides high predictive power for assessing performance outcomes. Ethical standards, particularly regarding informed consent and the confidentiality of the participating federal agencies, were strictly maintained throughout the research process.</w:t>
      </w:r>
      <w:r w:rsidR="000F2953" w:rsidRPr="00C5615F">
        <w:rPr>
          <w:rFonts w:ascii="Arial" w:eastAsia="Times New Roman" w:hAnsi="Arial" w:cs="Arial"/>
          <w:color w:val="000000"/>
          <w:kern w:val="0"/>
          <w:lang w:eastAsia="en-NG"/>
          <w14:ligatures w14:val="none"/>
        </w:rPr>
        <w:t xml:space="preserve"> </w:t>
      </w:r>
      <w:r w:rsidR="000F2953" w:rsidRPr="00C5615F">
        <w:rPr>
          <w:rFonts w:ascii="Times New Roman" w:hAnsi="Times New Roman" w:cs="Times New Roman"/>
          <w:color w:val="000000" w:themeColor="text1"/>
        </w:rPr>
        <w:t>Below is the model of the study:</w:t>
      </w:r>
    </w:p>
    <w:p w14:paraId="0D38CE74" w14:textId="3CF10D09" w:rsidR="00FC5304" w:rsidRPr="00B60E1E" w:rsidRDefault="00965143" w:rsidP="00AF64C1">
      <w:pPr>
        <w:spacing w:after="0" w:line="240" w:lineRule="auto"/>
        <w:ind w:left="709"/>
        <w:rPr>
          <w:rFonts w:ascii="Times New Roman" w:eastAsia="CIDFont+F3" w:hAnsi="Times New Roman" w:cs="Times New Roman"/>
          <w:b/>
        </w:rPr>
      </w:pPr>
      <w:r w:rsidRPr="00C5615F">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40358274" wp14:editId="0EE065BF">
                <wp:simplePos x="0" y="0"/>
                <wp:positionH relativeFrom="margin">
                  <wp:posOffset>-649827</wp:posOffset>
                </wp:positionH>
                <wp:positionV relativeFrom="paragraph">
                  <wp:posOffset>162154</wp:posOffset>
                </wp:positionV>
                <wp:extent cx="6536690" cy="4010111"/>
                <wp:effectExtent l="0" t="0" r="0" b="0"/>
                <wp:wrapNone/>
                <wp:docPr id="608587321" name="Text Box 1"/>
                <wp:cNvGraphicFramePr/>
                <a:graphic xmlns:a="http://schemas.openxmlformats.org/drawingml/2006/main">
                  <a:graphicData uri="http://schemas.microsoft.com/office/word/2010/wordprocessingShape">
                    <wps:wsp>
                      <wps:cNvSpPr txBox="1"/>
                      <wps:spPr>
                        <a:xfrm>
                          <a:off x="0" y="0"/>
                          <a:ext cx="6536690" cy="4010111"/>
                        </a:xfrm>
                        <a:prstGeom prst="rect">
                          <a:avLst/>
                        </a:prstGeom>
                        <a:noFill/>
                        <a:ln w="6350">
                          <a:noFill/>
                        </a:ln>
                      </wps:spPr>
                      <wps:txbx>
                        <w:txbxContent>
                          <w:p w14:paraId="29399FF6" w14:textId="77777777" w:rsidR="00AD2EDA" w:rsidRPr="00962691" w:rsidRDefault="00AD2EDA" w:rsidP="00C734DA">
                            <w:pPr>
                              <w:spacing w:after="0" w:line="240" w:lineRule="auto"/>
                              <w:ind w:left="709"/>
                              <w:jc w:val="center"/>
                              <w:rPr>
                                <w:rFonts w:ascii="Times New Roman" w:hAnsi="Times New Roman" w:cs="Times New Roman"/>
                                <w:b/>
                              </w:rPr>
                            </w:pPr>
                            <w:r>
                              <w:rPr>
                                <w:rFonts w:ascii="Times New Roman" w:hAnsi="Times New Roman" w:cs="Times New Roman"/>
                                <w:b/>
                                <w:noProof/>
                              </w:rPr>
                              <w:drawing>
                                <wp:inline distT="0" distB="0" distL="0" distR="0" wp14:anchorId="3422D2EC" wp14:editId="5C238A86">
                                  <wp:extent cx="4218305" cy="3287352"/>
                                  <wp:effectExtent l="0" t="0" r="0" b="8890"/>
                                  <wp:docPr id="423056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61671" name="Picture 5"/>
                                          <pic:cNvPicPr/>
                                        </pic:nvPicPr>
                                        <pic:blipFill rotWithShape="1">
                                          <a:blip r:embed="rId10">
                                            <a:extLst>
                                              <a:ext uri="{28A0092B-C50C-407E-A947-70E740481C1C}">
                                                <a14:useLocalDpi xmlns:a14="http://schemas.microsoft.com/office/drawing/2010/main" val="0"/>
                                              </a:ext>
                                            </a:extLst>
                                          </a:blip>
                                          <a:srcRect t="1439"/>
                                          <a:stretch>
                                            <a:fillRect/>
                                          </a:stretch>
                                        </pic:blipFill>
                                        <pic:spPr bwMode="auto">
                                          <a:xfrm>
                                            <a:off x="0" y="0"/>
                                            <a:ext cx="4237988" cy="3302691"/>
                                          </a:xfrm>
                                          <a:prstGeom prst="rect">
                                            <a:avLst/>
                                          </a:prstGeom>
                                          <a:ln>
                                            <a:noFill/>
                                          </a:ln>
                                          <a:extLst>
                                            <a:ext uri="{53640926-AAD7-44D8-BBD7-CCE9431645EC}">
                                              <a14:shadowObscured xmlns:a14="http://schemas.microsoft.com/office/drawing/2010/main"/>
                                            </a:ext>
                                          </a:extLst>
                                        </pic:spPr>
                                      </pic:pic>
                                    </a:graphicData>
                                  </a:graphic>
                                </wp:inline>
                              </w:drawing>
                            </w:r>
                          </w:p>
                          <w:p w14:paraId="61E18F1F" w14:textId="63E53CFC" w:rsidR="00AD2EDA" w:rsidRPr="00962691" w:rsidRDefault="00AD2EDA" w:rsidP="00C734DA">
                            <w:pPr>
                              <w:spacing w:after="0" w:line="240" w:lineRule="auto"/>
                              <w:ind w:left="709"/>
                              <w:jc w:val="center"/>
                              <w:rPr>
                                <w:rFonts w:ascii="Times New Roman" w:hAnsi="Times New Roman" w:cs="Times New Roman"/>
                                <w:b/>
                                <w:bCs/>
                                <w:sz w:val="18"/>
                                <w:szCs w:val="18"/>
                              </w:rPr>
                            </w:pPr>
                            <w:r w:rsidRPr="00962691">
                              <w:rPr>
                                <w:rFonts w:ascii="Times New Roman" w:eastAsia="CIDFont+F3" w:hAnsi="Times New Roman" w:cs="Times New Roman"/>
                                <w:b/>
                                <w:sz w:val="18"/>
                                <w:szCs w:val="18"/>
                              </w:rPr>
                              <w:t xml:space="preserve">Source: </w:t>
                            </w:r>
                            <w:proofErr w:type="spellStart"/>
                            <w:r w:rsidRPr="00962691">
                              <w:rPr>
                                <w:rFonts w:ascii="Times New Roman" w:hAnsi="Times New Roman" w:cs="Times New Roman"/>
                                <w:b/>
                                <w:bCs/>
                                <w:sz w:val="18"/>
                                <w:szCs w:val="18"/>
                              </w:rPr>
                              <w:t>SmartPLS</w:t>
                            </w:r>
                            <w:proofErr w:type="spellEnd"/>
                            <w:r w:rsidRPr="00962691">
                              <w:rPr>
                                <w:rFonts w:ascii="Times New Roman" w:hAnsi="Times New Roman" w:cs="Times New Roman"/>
                                <w:b/>
                                <w:bCs/>
                                <w:sz w:val="18"/>
                                <w:szCs w:val="18"/>
                              </w:rPr>
                              <w:t xml:space="preserve"> Output, 202</w:t>
                            </w:r>
                            <w:r w:rsidR="00944DCA">
                              <w:rPr>
                                <w:rFonts w:ascii="Times New Roman" w:hAnsi="Times New Roman" w:cs="Times New Roman"/>
                                <w:b/>
                                <w:bCs/>
                                <w:sz w:val="18"/>
                                <w:szCs w:val="18"/>
                              </w:rPr>
                              <w:t>6</w:t>
                            </w:r>
                            <w:r w:rsidRPr="00962691">
                              <w:rPr>
                                <w:rFonts w:ascii="Times New Roman" w:hAnsi="Times New Roman" w:cs="Times New Roman"/>
                                <w:b/>
                                <w:bCs/>
                                <w:sz w:val="18"/>
                                <w:szCs w:val="18"/>
                              </w:rPr>
                              <w:t>.</w:t>
                            </w:r>
                          </w:p>
                          <w:p w14:paraId="253C7EB1" w14:textId="77777777" w:rsidR="00AD2EDA" w:rsidRDefault="00AD2EDA" w:rsidP="00AD2E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358274" id="_x0000_t202" coordsize="21600,21600" o:spt="202" path="m,l,21600r21600,l21600,xe">
                <v:stroke joinstyle="miter"/>
                <v:path gradientshapeok="t" o:connecttype="rect"/>
              </v:shapetype>
              <v:shape id="Text Box 1" o:spid="_x0000_s1026" type="#_x0000_t202" style="position:absolute;left:0;text-align:left;margin-left:-51.15pt;margin-top:12.75pt;width:514.7pt;height:315.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" filled="f" stroked="f" strokeweight=".5pt">
                <v:textbox>
                  <w:txbxContent>
                    <w:p w14:paraId="29399FF6" w14:textId="77777777" w:rsidR="00AD2EDA" w:rsidRPr="00962691" w:rsidRDefault="00AD2EDA" w:rsidP="00C734DA">
                      <w:pPr>
                        <w:spacing w:after="0" w:line="240" w:lineRule="auto"/>
                        <w:ind w:left="709"/>
                        <w:jc w:val="center"/>
                        <w:rPr>
                          <w:rFonts w:ascii="Times New Roman" w:hAnsi="Times New Roman" w:cs="Times New Roman"/>
                          <w:b/>
                        </w:rPr>
                      </w:pPr>
                      <w:r>
                        <w:rPr>
                          <w:rFonts w:ascii="Times New Roman" w:hAnsi="Times New Roman" w:cs="Times New Roman"/>
                          <w:b/>
                          <w:noProof/>
                        </w:rPr>
                        <w:drawing>
                          <wp:inline distT="0" distB="0" distL="0" distR="0" wp14:anchorId="3422D2EC" wp14:editId="5C238A86">
                            <wp:extent cx="4218305" cy="3287352"/>
                            <wp:effectExtent l="0" t="0" r="0" b="8890"/>
                            <wp:docPr id="423056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61671" name="Picture 5"/>
                                    <pic:cNvPicPr/>
                                  </pic:nvPicPr>
                                  <pic:blipFill rotWithShape="1">
                                    <a:blip r:embed="rId10">
                                      <a:extLst>
                                        <a:ext uri="{28A0092B-C50C-407E-A947-70E740481C1C}">
                                          <a14:useLocalDpi xmlns:a14="http://schemas.microsoft.com/office/drawing/2010/main" val="0"/>
                                        </a:ext>
                                      </a:extLst>
                                    </a:blip>
                                    <a:srcRect t="1439"/>
                                    <a:stretch>
                                      <a:fillRect/>
                                    </a:stretch>
                                  </pic:blipFill>
                                  <pic:spPr bwMode="auto">
                                    <a:xfrm>
                                      <a:off x="0" y="0"/>
                                      <a:ext cx="4237988" cy="3302691"/>
                                    </a:xfrm>
                                    <a:prstGeom prst="rect">
                                      <a:avLst/>
                                    </a:prstGeom>
                                    <a:ln>
                                      <a:noFill/>
                                    </a:ln>
                                    <a:extLst>
                                      <a:ext uri="{53640926-AAD7-44D8-BBD7-CCE9431645EC}">
                                        <a14:shadowObscured xmlns:a14="http://schemas.microsoft.com/office/drawing/2010/main"/>
                                      </a:ext>
                                    </a:extLst>
                                  </pic:spPr>
                                </pic:pic>
                              </a:graphicData>
                            </a:graphic>
                          </wp:inline>
                        </w:drawing>
                      </w:r>
                    </w:p>
                    <w:p w14:paraId="61E18F1F" w14:textId="63E53CFC" w:rsidR="00AD2EDA" w:rsidRPr="00962691" w:rsidRDefault="00AD2EDA" w:rsidP="00C734DA">
                      <w:pPr>
                        <w:spacing w:after="0" w:line="240" w:lineRule="auto"/>
                        <w:ind w:left="709"/>
                        <w:jc w:val="center"/>
                        <w:rPr>
                          <w:rFonts w:ascii="Times New Roman" w:hAnsi="Times New Roman" w:cs="Times New Roman"/>
                          <w:b/>
                          <w:bCs/>
                          <w:sz w:val="18"/>
                          <w:szCs w:val="18"/>
                        </w:rPr>
                      </w:pPr>
                      <w:r w:rsidRPr="00962691">
                        <w:rPr>
                          <w:rFonts w:ascii="Times New Roman" w:eastAsia="CIDFont+F3" w:hAnsi="Times New Roman" w:cs="Times New Roman"/>
                          <w:b/>
                          <w:sz w:val="18"/>
                          <w:szCs w:val="18"/>
                        </w:rPr>
                        <w:t xml:space="preserve">Source: </w:t>
                      </w:r>
                      <w:proofErr w:type="spellStart"/>
                      <w:r w:rsidRPr="00962691">
                        <w:rPr>
                          <w:rFonts w:ascii="Times New Roman" w:hAnsi="Times New Roman" w:cs="Times New Roman"/>
                          <w:b/>
                          <w:bCs/>
                          <w:sz w:val="18"/>
                          <w:szCs w:val="18"/>
                        </w:rPr>
                        <w:t>SmartPLS</w:t>
                      </w:r>
                      <w:proofErr w:type="spellEnd"/>
                      <w:r w:rsidRPr="00962691">
                        <w:rPr>
                          <w:rFonts w:ascii="Times New Roman" w:hAnsi="Times New Roman" w:cs="Times New Roman"/>
                          <w:b/>
                          <w:bCs/>
                          <w:sz w:val="18"/>
                          <w:szCs w:val="18"/>
                        </w:rPr>
                        <w:t xml:space="preserve"> Output, 202</w:t>
                      </w:r>
                      <w:r w:rsidR="00944DCA">
                        <w:rPr>
                          <w:rFonts w:ascii="Times New Roman" w:hAnsi="Times New Roman" w:cs="Times New Roman"/>
                          <w:b/>
                          <w:bCs/>
                          <w:sz w:val="18"/>
                          <w:szCs w:val="18"/>
                        </w:rPr>
                        <w:t>6</w:t>
                      </w:r>
                      <w:r w:rsidRPr="00962691">
                        <w:rPr>
                          <w:rFonts w:ascii="Times New Roman" w:hAnsi="Times New Roman" w:cs="Times New Roman"/>
                          <w:b/>
                          <w:bCs/>
                          <w:sz w:val="18"/>
                          <w:szCs w:val="18"/>
                        </w:rPr>
                        <w:t>.</w:t>
                      </w:r>
                    </w:p>
                    <w:p w14:paraId="253C7EB1" w14:textId="77777777" w:rsidR="00AD2EDA" w:rsidRDefault="00AD2EDA" w:rsidP="00AD2EDA"/>
                  </w:txbxContent>
                </v:textbox>
                <w10:wrap anchorx="margin"/>
              </v:shape>
            </w:pict>
          </mc:Fallback>
        </mc:AlternateContent>
      </w:r>
      <w:r w:rsidR="00AF64C1" w:rsidRPr="00B60E1E">
        <w:rPr>
          <w:rFonts w:ascii="Times New Roman" w:eastAsia="CIDFont+F3" w:hAnsi="Times New Roman" w:cs="Times New Roman"/>
          <w:b/>
        </w:rPr>
        <w:t>Figure 1: Model of the Study</w:t>
      </w:r>
    </w:p>
    <w:p w14:paraId="212384A6" w14:textId="169DC090" w:rsidR="000F2953" w:rsidRPr="00C5615F" w:rsidRDefault="000F2953" w:rsidP="000F2953">
      <w:pPr>
        <w:spacing w:after="80" w:line="240" w:lineRule="auto"/>
        <w:ind w:left="709"/>
        <w:jc w:val="both"/>
        <w:rPr>
          <w:rFonts w:ascii="Times New Roman" w:hAnsi="Times New Roman" w:cs="Times New Roman"/>
          <w:color w:val="000000" w:themeColor="text1"/>
        </w:rPr>
      </w:pPr>
    </w:p>
    <w:p w14:paraId="7510BE63" w14:textId="008B55B9" w:rsidR="00093663" w:rsidRPr="00C5615F" w:rsidRDefault="00093663" w:rsidP="00EC5D2D">
      <w:pPr>
        <w:spacing w:after="80" w:line="240" w:lineRule="auto"/>
        <w:ind w:left="709"/>
        <w:jc w:val="both"/>
        <w:rPr>
          <w:rFonts w:ascii="Times New Roman" w:hAnsi="Times New Roman" w:cs="Times New Roman"/>
          <w:color w:val="000000" w:themeColor="text1"/>
        </w:rPr>
      </w:pPr>
    </w:p>
    <w:p w14:paraId="5BE4A3A3" w14:textId="44662C38" w:rsidR="00AD2EDA" w:rsidRPr="00C5615F" w:rsidRDefault="00AD2EDA" w:rsidP="000F2953">
      <w:pPr>
        <w:spacing w:line="240" w:lineRule="auto"/>
        <w:jc w:val="both"/>
        <w:rPr>
          <w:rFonts w:ascii="Times New Roman" w:hAnsi="Times New Roman" w:cs="Times New Roman"/>
          <w:color w:val="000000" w:themeColor="text1"/>
        </w:rPr>
      </w:pPr>
    </w:p>
    <w:p w14:paraId="6D668F23" w14:textId="4746AE19" w:rsidR="00AD2EDA" w:rsidRPr="00C5615F" w:rsidRDefault="00AD2EDA" w:rsidP="00AD2EDA">
      <w:pPr>
        <w:tabs>
          <w:tab w:val="left" w:pos="4050"/>
        </w:tabs>
        <w:spacing w:after="0" w:line="360" w:lineRule="auto"/>
        <w:ind w:left="709"/>
        <w:jc w:val="both"/>
        <w:rPr>
          <w:rFonts w:ascii="Times New Roman" w:hAnsi="Times New Roman" w:cs="Times New Roman"/>
          <w:b/>
          <w:color w:val="000000" w:themeColor="text1"/>
        </w:rPr>
      </w:pPr>
    </w:p>
    <w:p w14:paraId="128E1346" w14:textId="77777777" w:rsidR="00AD2EDA" w:rsidRPr="00C5615F" w:rsidRDefault="00AD2EDA" w:rsidP="00AD2EDA">
      <w:pPr>
        <w:tabs>
          <w:tab w:val="left" w:pos="4050"/>
        </w:tabs>
        <w:spacing w:after="0" w:line="360" w:lineRule="auto"/>
        <w:ind w:left="709"/>
        <w:jc w:val="both"/>
        <w:rPr>
          <w:rFonts w:ascii="Times New Roman" w:hAnsi="Times New Roman" w:cs="Times New Roman"/>
          <w:b/>
          <w:color w:val="000000" w:themeColor="text1"/>
        </w:rPr>
      </w:pPr>
    </w:p>
    <w:p w14:paraId="6F862B16" w14:textId="77777777" w:rsidR="00AD2EDA" w:rsidRPr="00C5615F" w:rsidRDefault="00AD2EDA" w:rsidP="00AD2EDA">
      <w:pPr>
        <w:tabs>
          <w:tab w:val="left" w:pos="4050"/>
        </w:tabs>
        <w:spacing w:after="0" w:line="360" w:lineRule="auto"/>
        <w:ind w:left="709"/>
        <w:jc w:val="both"/>
        <w:rPr>
          <w:rFonts w:ascii="Times New Roman" w:hAnsi="Times New Roman" w:cs="Times New Roman"/>
          <w:b/>
          <w:color w:val="000000" w:themeColor="text1"/>
        </w:rPr>
      </w:pPr>
    </w:p>
    <w:p w14:paraId="092FCFD9" w14:textId="77777777" w:rsidR="00AD2EDA" w:rsidRPr="00C5615F" w:rsidRDefault="00AD2EDA" w:rsidP="00AD2EDA">
      <w:pPr>
        <w:tabs>
          <w:tab w:val="left" w:pos="4050"/>
        </w:tabs>
        <w:spacing w:after="0" w:line="360" w:lineRule="auto"/>
        <w:ind w:left="709"/>
        <w:jc w:val="both"/>
        <w:rPr>
          <w:rFonts w:ascii="Times New Roman" w:hAnsi="Times New Roman" w:cs="Times New Roman"/>
          <w:b/>
          <w:color w:val="000000" w:themeColor="text1"/>
        </w:rPr>
      </w:pPr>
    </w:p>
    <w:p w14:paraId="0A457E31" w14:textId="77777777" w:rsidR="00AD2EDA" w:rsidRPr="00C5615F" w:rsidRDefault="00AD2EDA" w:rsidP="00AD2EDA">
      <w:pPr>
        <w:tabs>
          <w:tab w:val="left" w:pos="4050"/>
        </w:tabs>
        <w:spacing w:after="0" w:line="360" w:lineRule="auto"/>
        <w:ind w:left="709"/>
        <w:jc w:val="both"/>
        <w:rPr>
          <w:rFonts w:ascii="Times New Roman" w:hAnsi="Times New Roman" w:cs="Times New Roman"/>
          <w:b/>
          <w:color w:val="000000" w:themeColor="text1"/>
        </w:rPr>
      </w:pPr>
    </w:p>
    <w:p w14:paraId="2706E6C8" w14:textId="77777777" w:rsidR="00AD2EDA" w:rsidRPr="00C5615F" w:rsidRDefault="00AD2EDA" w:rsidP="00AD2EDA">
      <w:pPr>
        <w:tabs>
          <w:tab w:val="left" w:pos="4050"/>
        </w:tabs>
        <w:spacing w:after="0" w:line="360" w:lineRule="auto"/>
        <w:ind w:left="709"/>
        <w:jc w:val="both"/>
        <w:rPr>
          <w:rFonts w:ascii="Times New Roman" w:hAnsi="Times New Roman" w:cs="Times New Roman"/>
          <w:b/>
          <w:color w:val="000000" w:themeColor="text1"/>
        </w:rPr>
      </w:pPr>
    </w:p>
    <w:p w14:paraId="4ED05D59" w14:textId="77777777" w:rsidR="00AD2EDA" w:rsidRPr="00C5615F" w:rsidRDefault="00AD2EDA" w:rsidP="00AD2EDA">
      <w:pPr>
        <w:tabs>
          <w:tab w:val="left" w:pos="4050"/>
        </w:tabs>
        <w:spacing w:after="0" w:line="360" w:lineRule="auto"/>
        <w:ind w:left="709"/>
        <w:jc w:val="both"/>
        <w:rPr>
          <w:rFonts w:ascii="Times New Roman" w:hAnsi="Times New Roman" w:cs="Times New Roman"/>
          <w:b/>
          <w:color w:val="000000" w:themeColor="text1"/>
        </w:rPr>
      </w:pPr>
    </w:p>
    <w:p w14:paraId="2A99FF3E" w14:textId="77777777" w:rsidR="00AD2EDA" w:rsidRPr="00C5615F" w:rsidRDefault="00AD2EDA" w:rsidP="00AD2EDA">
      <w:pPr>
        <w:tabs>
          <w:tab w:val="left" w:pos="4050"/>
        </w:tabs>
        <w:spacing w:after="0" w:line="360" w:lineRule="auto"/>
        <w:ind w:left="709"/>
        <w:jc w:val="both"/>
        <w:rPr>
          <w:rFonts w:ascii="Times New Roman" w:hAnsi="Times New Roman" w:cs="Times New Roman"/>
          <w:b/>
          <w:color w:val="000000" w:themeColor="text1"/>
        </w:rPr>
      </w:pPr>
    </w:p>
    <w:p w14:paraId="64337503" w14:textId="55A3F08B" w:rsidR="00AD2EDA" w:rsidRPr="00C5615F" w:rsidRDefault="00A67394" w:rsidP="009718E2">
      <w:pPr>
        <w:pStyle w:val="Heading1"/>
        <w:ind w:firstLine="709"/>
        <w:rPr>
          <w:rFonts w:ascii="Times New Roman" w:hAnsi="Times New Roman" w:cs="Times New Roman"/>
          <w:b/>
          <w:color w:val="000000" w:themeColor="text1"/>
          <w:sz w:val="24"/>
          <w:szCs w:val="24"/>
        </w:rPr>
      </w:pPr>
      <w:r w:rsidRPr="00C5615F">
        <w:rPr>
          <w:rFonts w:ascii="Times New Roman" w:hAnsi="Times New Roman" w:cs="Times New Roman"/>
          <w:b/>
          <w:color w:val="000000" w:themeColor="text1"/>
          <w:sz w:val="24"/>
          <w:szCs w:val="24"/>
        </w:rPr>
        <w:t xml:space="preserve">4.0 </w:t>
      </w:r>
      <w:r w:rsidR="00270D93" w:rsidRPr="00C5615F">
        <w:rPr>
          <w:rFonts w:ascii="Times New Roman" w:hAnsi="Times New Roman" w:cs="Times New Roman"/>
          <w:b/>
          <w:color w:val="000000" w:themeColor="text1"/>
          <w:sz w:val="24"/>
          <w:szCs w:val="24"/>
        </w:rPr>
        <w:t>RESULTS AND DISCUSSIONS</w:t>
      </w:r>
    </w:p>
    <w:p w14:paraId="7585C624" w14:textId="3DF6DD91" w:rsidR="003175A0" w:rsidRPr="00C5615F" w:rsidRDefault="003175A0" w:rsidP="003175A0">
      <w:pPr>
        <w:tabs>
          <w:tab w:val="left" w:pos="4050"/>
        </w:tabs>
        <w:spacing w:after="0" w:line="240" w:lineRule="auto"/>
        <w:ind w:left="709"/>
        <w:jc w:val="both"/>
        <w:rPr>
          <w:rFonts w:ascii="Times New Roman" w:hAnsi="Times New Roman" w:cs="Times New Roman"/>
          <w:bCs/>
          <w:color w:val="000000" w:themeColor="text1"/>
        </w:rPr>
      </w:pPr>
      <w:r w:rsidRPr="00C5615F">
        <w:rPr>
          <w:rFonts w:ascii="Times New Roman" w:hAnsi="Times New Roman" w:cs="Times New Roman"/>
          <w:bCs/>
          <w:color w:val="000000" w:themeColor="text1"/>
        </w:rPr>
        <w:t xml:space="preserve">A total of 239 copies of the questionnaire were administered to strategic stakeholders across the selected federal ministries, departments, and agencies. Out of these, 188 copies were properly completed and retrieved, representing a response rate of 78.7%. After screening for completeness, consistency, and missing values, all 188 copies were found valid and included in the final analysis. This participation level was considered highly sufficient for statistical analysis and provided a reliable basis for interpreting the </w:t>
      </w:r>
      <w:proofErr w:type="spellStart"/>
      <w:r w:rsidRPr="00C5615F">
        <w:rPr>
          <w:rFonts w:ascii="Times New Roman" w:hAnsi="Times New Roman" w:cs="Times New Roman"/>
          <w:bCs/>
          <w:color w:val="000000" w:themeColor="text1"/>
        </w:rPr>
        <w:t>studys</w:t>
      </w:r>
      <w:proofErr w:type="spellEnd"/>
      <w:r w:rsidRPr="00C5615F">
        <w:rPr>
          <w:rFonts w:ascii="Times New Roman" w:hAnsi="Times New Roman" w:cs="Times New Roman"/>
          <w:bCs/>
          <w:color w:val="000000" w:themeColor="text1"/>
        </w:rPr>
        <w:t xml:space="preserve"> results</w:t>
      </w:r>
      <w:r w:rsidR="00E36CD2" w:rsidRPr="00C5615F">
        <w:rPr>
          <w:rFonts w:ascii="Times New Roman" w:hAnsi="Times New Roman" w:cs="Times New Roman"/>
          <w:bCs/>
          <w:color w:val="000000" w:themeColor="text1"/>
        </w:rPr>
        <w:t>.</w:t>
      </w:r>
    </w:p>
    <w:p w14:paraId="5530ADDA" w14:textId="47E6ABDA" w:rsidR="00593F59" w:rsidRPr="00C5615F" w:rsidRDefault="00593F59" w:rsidP="000D6475">
      <w:pPr>
        <w:pStyle w:val="Heading1"/>
        <w:spacing w:line="240" w:lineRule="auto"/>
        <w:ind w:left="709"/>
        <w:jc w:val="both"/>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Table 1: Demographic Characteristics of Respondents (N=188)</w:t>
      </w:r>
    </w:p>
    <w:tbl>
      <w:tblPr>
        <w:tblStyle w:val="TableGrid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403"/>
        <w:gridCol w:w="1275"/>
        <w:gridCol w:w="1701"/>
      </w:tblGrid>
      <w:tr w:rsidR="00593F59" w:rsidRPr="00C5615F" w14:paraId="373D5592" w14:textId="77777777" w:rsidTr="0013587A">
        <w:tc>
          <w:tcPr>
            <w:tcW w:w="2693" w:type="dxa"/>
            <w:tcBorders>
              <w:top w:val="single" w:sz="4" w:space="0" w:color="auto"/>
              <w:bottom w:val="single" w:sz="4" w:space="0" w:color="auto"/>
            </w:tcBorders>
            <w:hideMark/>
          </w:tcPr>
          <w:p w14:paraId="478A5DBC"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Variable</w:t>
            </w:r>
          </w:p>
        </w:tc>
        <w:tc>
          <w:tcPr>
            <w:tcW w:w="3403" w:type="dxa"/>
            <w:tcBorders>
              <w:top w:val="single" w:sz="4" w:space="0" w:color="auto"/>
              <w:bottom w:val="single" w:sz="4" w:space="0" w:color="auto"/>
            </w:tcBorders>
            <w:hideMark/>
          </w:tcPr>
          <w:p w14:paraId="223AD176"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Category</w:t>
            </w:r>
          </w:p>
        </w:tc>
        <w:tc>
          <w:tcPr>
            <w:tcW w:w="1275" w:type="dxa"/>
            <w:tcBorders>
              <w:top w:val="single" w:sz="4" w:space="0" w:color="auto"/>
              <w:bottom w:val="single" w:sz="4" w:space="0" w:color="auto"/>
            </w:tcBorders>
            <w:hideMark/>
          </w:tcPr>
          <w:p w14:paraId="45825F61"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Frequency</w:t>
            </w:r>
          </w:p>
        </w:tc>
        <w:tc>
          <w:tcPr>
            <w:tcW w:w="1701" w:type="dxa"/>
            <w:tcBorders>
              <w:top w:val="single" w:sz="4" w:space="0" w:color="auto"/>
              <w:bottom w:val="single" w:sz="4" w:space="0" w:color="auto"/>
            </w:tcBorders>
            <w:hideMark/>
          </w:tcPr>
          <w:p w14:paraId="3591D8F7"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Percentage (%)</w:t>
            </w:r>
          </w:p>
        </w:tc>
      </w:tr>
      <w:tr w:rsidR="00593F59" w:rsidRPr="00C5615F" w14:paraId="4737652B" w14:textId="77777777" w:rsidTr="0013587A">
        <w:tc>
          <w:tcPr>
            <w:tcW w:w="2693" w:type="dxa"/>
            <w:tcBorders>
              <w:top w:val="single" w:sz="4" w:space="0" w:color="auto"/>
            </w:tcBorders>
            <w:hideMark/>
          </w:tcPr>
          <w:p w14:paraId="470893B6"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Sex</w:t>
            </w:r>
          </w:p>
        </w:tc>
        <w:tc>
          <w:tcPr>
            <w:tcW w:w="3403" w:type="dxa"/>
            <w:tcBorders>
              <w:top w:val="single" w:sz="4" w:space="0" w:color="auto"/>
            </w:tcBorders>
            <w:hideMark/>
          </w:tcPr>
          <w:p w14:paraId="2F178682"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Male</w:t>
            </w:r>
          </w:p>
        </w:tc>
        <w:tc>
          <w:tcPr>
            <w:tcW w:w="1275" w:type="dxa"/>
            <w:tcBorders>
              <w:top w:val="single" w:sz="4" w:space="0" w:color="auto"/>
            </w:tcBorders>
            <w:hideMark/>
          </w:tcPr>
          <w:p w14:paraId="348FF774"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85</w:t>
            </w:r>
          </w:p>
        </w:tc>
        <w:tc>
          <w:tcPr>
            <w:tcW w:w="1701" w:type="dxa"/>
            <w:tcBorders>
              <w:top w:val="single" w:sz="4" w:space="0" w:color="auto"/>
            </w:tcBorders>
            <w:hideMark/>
          </w:tcPr>
          <w:p w14:paraId="1214E8E5"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45.2%</w:t>
            </w:r>
          </w:p>
        </w:tc>
      </w:tr>
      <w:tr w:rsidR="00593F59" w:rsidRPr="00C5615F" w14:paraId="69B7D996" w14:textId="77777777" w:rsidTr="0013587A">
        <w:tc>
          <w:tcPr>
            <w:tcW w:w="2693" w:type="dxa"/>
            <w:hideMark/>
          </w:tcPr>
          <w:p w14:paraId="33310381"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7A604061"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Female</w:t>
            </w:r>
          </w:p>
        </w:tc>
        <w:tc>
          <w:tcPr>
            <w:tcW w:w="1275" w:type="dxa"/>
            <w:hideMark/>
          </w:tcPr>
          <w:p w14:paraId="5992C53E"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103</w:t>
            </w:r>
          </w:p>
        </w:tc>
        <w:tc>
          <w:tcPr>
            <w:tcW w:w="1701" w:type="dxa"/>
            <w:hideMark/>
          </w:tcPr>
          <w:p w14:paraId="6EA5CD0A"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54.8%</w:t>
            </w:r>
          </w:p>
        </w:tc>
      </w:tr>
      <w:tr w:rsidR="00593F59" w:rsidRPr="00C5615F" w14:paraId="6D8D2DDF" w14:textId="77777777" w:rsidTr="0013587A">
        <w:tc>
          <w:tcPr>
            <w:tcW w:w="2693" w:type="dxa"/>
            <w:hideMark/>
          </w:tcPr>
          <w:p w14:paraId="4D23517E"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5EFA2E3B"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Total</w:t>
            </w:r>
          </w:p>
        </w:tc>
        <w:tc>
          <w:tcPr>
            <w:tcW w:w="1275" w:type="dxa"/>
            <w:hideMark/>
          </w:tcPr>
          <w:p w14:paraId="3ECC7702"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188</w:t>
            </w:r>
          </w:p>
        </w:tc>
        <w:tc>
          <w:tcPr>
            <w:tcW w:w="1701" w:type="dxa"/>
            <w:hideMark/>
          </w:tcPr>
          <w:p w14:paraId="44FE5EF1"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100%</w:t>
            </w:r>
          </w:p>
        </w:tc>
      </w:tr>
      <w:tr w:rsidR="00465338" w:rsidRPr="00C5615F" w14:paraId="6E6DC88E" w14:textId="77777777" w:rsidTr="0013587A">
        <w:tc>
          <w:tcPr>
            <w:tcW w:w="2693" w:type="dxa"/>
          </w:tcPr>
          <w:p w14:paraId="35C955A7" w14:textId="77777777" w:rsidR="00465338" w:rsidRPr="00465338" w:rsidRDefault="00465338" w:rsidP="00D837D7">
            <w:pPr>
              <w:ind w:left="27"/>
              <w:jc w:val="both"/>
              <w:rPr>
                <w:rFonts w:ascii="Times New Roman" w:hAnsi="Times New Roman" w:cs="Times New Roman"/>
                <w:bCs/>
                <w:color w:val="000000" w:themeColor="text1"/>
                <w:sz w:val="22"/>
                <w:szCs w:val="22"/>
              </w:rPr>
            </w:pPr>
          </w:p>
        </w:tc>
        <w:tc>
          <w:tcPr>
            <w:tcW w:w="3403" w:type="dxa"/>
          </w:tcPr>
          <w:p w14:paraId="07E7B1C7" w14:textId="77777777" w:rsidR="00465338" w:rsidRPr="00465338" w:rsidRDefault="00465338" w:rsidP="00D837D7">
            <w:pPr>
              <w:ind w:left="27"/>
              <w:jc w:val="both"/>
              <w:rPr>
                <w:rFonts w:ascii="Times New Roman" w:hAnsi="Times New Roman" w:cs="Times New Roman"/>
                <w:b/>
                <w:bCs/>
                <w:color w:val="000000" w:themeColor="text1"/>
                <w:sz w:val="22"/>
                <w:szCs w:val="22"/>
              </w:rPr>
            </w:pPr>
          </w:p>
        </w:tc>
        <w:tc>
          <w:tcPr>
            <w:tcW w:w="1275" w:type="dxa"/>
          </w:tcPr>
          <w:p w14:paraId="5E9BC50E" w14:textId="77777777" w:rsidR="00465338" w:rsidRPr="00465338" w:rsidRDefault="00465338" w:rsidP="00D837D7">
            <w:pPr>
              <w:ind w:left="27"/>
              <w:jc w:val="both"/>
              <w:rPr>
                <w:rFonts w:ascii="Times New Roman" w:hAnsi="Times New Roman" w:cs="Times New Roman"/>
                <w:b/>
                <w:bCs/>
                <w:color w:val="000000" w:themeColor="text1"/>
                <w:sz w:val="22"/>
                <w:szCs w:val="22"/>
              </w:rPr>
            </w:pPr>
          </w:p>
        </w:tc>
        <w:tc>
          <w:tcPr>
            <w:tcW w:w="1701" w:type="dxa"/>
          </w:tcPr>
          <w:p w14:paraId="18E398E8" w14:textId="77777777" w:rsidR="00465338" w:rsidRPr="00465338" w:rsidRDefault="00465338" w:rsidP="00D837D7">
            <w:pPr>
              <w:ind w:left="27"/>
              <w:jc w:val="both"/>
              <w:rPr>
                <w:rFonts w:ascii="Times New Roman" w:hAnsi="Times New Roman" w:cs="Times New Roman"/>
                <w:b/>
                <w:bCs/>
                <w:color w:val="000000" w:themeColor="text1"/>
                <w:sz w:val="22"/>
                <w:szCs w:val="22"/>
              </w:rPr>
            </w:pPr>
          </w:p>
        </w:tc>
      </w:tr>
      <w:tr w:rsidR="00593F59" w:rsidRPr="00C5615F" w14:paraId="0707BA7C" w14:textId="77777777" w:rsidTr="0013587A">
        <w:tc>
          <w:tcPr>
            <w:tcW w:w="2693" w:type="dxa"/>
            <w:hideMark/>
          </w:tcPr>
          <w:p w14:paraId="5C25BA8C"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Age</w:t>
            </w:r>
          </w:p>
        </w:tc>
        <w:tc>
          <w:tcPr>
            <w:tcW w:w="3403" w:type="dxa"/>
            <w:hideMark/>
          </w:tcPr>
          <w:p w14:paraId="2E72747D"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Below 25</w:t>
            </w:r>
          </w:p>
        </w:tc>
        <w:tc>
          <w:tcPr>
            <w:tcW w:w="1275" w:type="dxa"/>
            <w:hideMark/>
          </w:tcPr>
          <w:p w14:paraId="77EB9AE6"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36</w:t>
            </w:r>
          </w:p>
        </w:tc>
        <w:tc>
          <w:tcPr>
            <w:tcW w:w="1701" w:type="dxa"/>
            <w:hideMark/>
          </w:tcPr>
          <w:p w14:paraId="24A2724D" w14:textId="343C2276"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19.</w:t>
            </w:r>
            <w:r w:rsidR="004D19DE" w:rsidRPr="00465338">
              <w:rPr>
                <w:rFonts w:ascii="Times New Roman" w:hAnsi="Times New Roman" w:cs="Times New Roman"/>
                <w:bCs/>
                <w:color w:val="000000" w:themeColor="text1"/>
                <w:sz w:val="22"/>
                <w:szCs w:val="22"/>
                <w:lang w:val="en-NG"/>
              </w:rPr>
              <w:t>1</w:t>
            </w:r>
            <w:r w:rsidRPr="00465338">
              <w:rPr>
                <w:rFonts w:ascii="Times New Roman" w:hAnsi="Times New Roman" w:cs="Times New Roman"/>
                <w:bCs/>
                <w:color w:val="000000" w:themeColor="text1"/>
                <w:sz w:val="22"/>
                <w:szCs w:val="22"/>
                <w:lang w:val="en-NG"/>
              </w:rPr>
              <w:t>%</w:t>
            </w:r>
          </w:p>
        </w:tc>
      </w:tr>
      <w:tr w:rsidR="00593F59" w:rsidRPr="00C5615F" w14:paraId="570AD0B4" w14:textId="77777777" w:rsidTr="0013587A">
        <w:tc>
          <w:tcPr>
            <w:tcW w:w="2693" w:type="dxa"/>
            <w:hideMark/>
          </w:tcPr>
          <w:p w14:paraId="4E89D79A"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1920FD66"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26 – 35</w:t>
            </w:r>
          </w:p>
        </w:tc>
        <w:tc>
          <w:tcPr>
            <w:tcW w:w="1275" w:type="dxa"/>
            <w:hideMark/>
          </w:tcPr>
          <w:p w14:paraId="21A5EC5A"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40</w:t>
            </w:r>
          </w:p>
        </w:tc>
        <w:tc>
          <w:tcPr>
            <w:tcW w:w="1701" w:type="dxa"/>
            <w:hideMark/>
          </w:tcPr>
          <w:p w14:paraId="7568F84E"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21.0%</w:t>
            </w:r>
          </w:p>
        </w:tc>
      </w:tr>
      <w:tr w:rsidR="00593F59" w:rsidRPr="00C5615F" w14:paraId="08F37191" w14:textId="77777777" w:rsidTr="0013587A">
        <w:tc>
          <w:tcPr>
            <w:tcW w:w="2693" w:type="dxa"/>
            <w:hideMark/>
          </w:tcPr>
          <w:p w14:paraId="54F579B5"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684AF94E"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36 – 45</w:t>
            </w:r>
          </w:p>
        </w:tc>
        <w:tc>
          <w:tcPr>
            <w:tcW w:w="1275" w:type="dxa"/>
            <w:hideMark/>
          </w:tcPr>
          <w:p w14:paraId="1F4B1C66"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51</w:t>
            </w:r>
          </w:p>
        </w:tc>
        <w:tc>
          <w:tcPr>
            <w:tcW w:w="1701" w:type="dxa"/>
            <w:hideMark/>
          </w:tcPr>
          <w:p w14:paraId="1F8D4096"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27.4%</w:t>
            </w:r>
          </w:p>
        </w:tc>
      </w:tr>
      <w:tr w:rsidR="00593F59" w:rsidRPr="00C5615F" w14:paraId="237DD900" w14:textId="77777777" w:rsidTr="0013587A">
        <w:tc>
          <w:tcPr>
            <w:tcW w:w="2693" w:type="dxa"/>
            <w:hideMark/>
          </w:tcPr>
          <w:p w14:paraId="7E588E8E"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2661D759"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46 and above</w:t>
            </w:r>
          </w:p>
        </w:tc>
        <w:tc>
          <w:tcPr>
            <w:tcW w:w="1275" w:type="dxa"/>
            <w:hideMark/>
          </w:tcPr>
          <w:p w14:paraId="128F2B41"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61</w:t>
            </w:r>
          </w:p>
        </w:tc>
        <w:tc>
          <w:tcPr>
            <w:tcW w:w="1701" w:type="dxa"/>
            <w:hideMark/>
          </w:tcPr>
          <w:p w14:paraId="197B1FC0"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32.3%</w:t>
            </w:r>
          </w:p>
        </w:tc>
      </w:tr>
      <w:tr w:rsidR="00593F59" w:rsidRPr="00C5615F" w14:paraId="51CE41C7" w14:textId="77777777" w:rsidTr="0013587A">
        <w:tc>
          <w:tcPr>
            <w:tcW w:w="2693" w:type="dxa"/>
            <w:hideMark/>
          </w:tcPr>
          <w:p w14:paraId="2DFA9D15"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0268FE6E"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Total</w:t>
            </w:r>
          </w:p>
        </w:tc>
        <w:tc>
          <w:tcPr>
            <w:tcW w:w="1275" w:type="dxa"/>
            <w:hideMark/>
          </w:tcPr>
          <w:p w14:paraId="10F58699"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188</w:t>
            </w:r>
          </w:p>
        </w:tc>
        <w:tc>
          <w:tcPr>
            <w:tcW w:w="1701" w:type="dxa"/>
            <w:hideMark/>
          </w:tcPr>
          <w:p w14:paraId="36395DBF"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100%</w:t>
            </w:r>
          </w:p>
        </w:tc>
      </w:tr>
      <w:tr w:rsidR="00465338" w:rsidRPr="00C5615F" w14:paraId="04E2FBF7" w14:textId="77777777" w:rsidTr="0013587A">
        <w:tc>
          <w:tcPr>
            <w:tcW w:w="2693" w:type="dxa"/>
          </w:tcPr>
          <w:p w14:paraId="2D18F56A" w14:textId="77777777" w:rsidR="00465338" w:rsidRPr="00465338" w:rsidRDefault="00465338" w:rsidP="00D837D7">
            <w:pPr>
              <w:ind w:left="27"/>
              <w:jc w:val="both"/>
              <w:rPr>
                <w:rFonts w:ascii="Times New Roman" w:hAnsi="Times New Roman" w:cs="Times New Roman"/>
                <w:bCs/>
                <w:color w:val="000000" w:themeColor="text1"/>
                <w:sz w:val="22"/>
                <w:szCs w:val="22"/>
              </w:rPr>
            </w:pPr>
          </w:p>
        </w:tc>
        <w:tc>
          <w:tcPr>
            <w:tcW w:w="3403" w:type="dxa"/>
          </w:tcPr>
          <w:p w14:paraId="318BADB0" w14:textId="77777777" w:rsidR="00465338" w:rsidRPr="00465338" w:rsidRDefault="00465338" w:rsidP="00D837D7">
            <w:pPr>
              <w:ind w:left="27"/>
              <w:jc w:val="both"/>
              <w:rPr>
                <w:rFonts w:ascii="Times New Roman" w:hAnsi="Times New Roman" w:cs="Times New Roman"/>
                <w:b/>
                <w:bCs/>
                <w:color w:val="000000" w:themeColor="text1"/>
                <w:sz w:val="22"/>
                <w:szCs w:val="22"/>
              </w:rPr>
            </w:pPr>
          </w:p>
        </w:tc>
        <w:tc>
          <w:tcPr>
            <w:tcW w:w="1275" w:type="dxa"/>
          </w:tcPr>
          <w:p w14:paraId="56930C08" w14:textId="77777777" w:rsidR="00465338" w:rsidRPr="00465338" w:rsidRDefault="00465338" w:rsidP="00D837D7">
            <w:pPr>
              <w:ind w:left="27"/>
              <w:jc w:val="both"/>
              <w:rPr>
                <w:rFonts w:ascii="Times New Roman" w:hAnsi="Times New Roman" w:cs="Times New Roman"/>
                <w:b/>
                <w:bCs/>
                <w:color w:val="000000" w:themeColor="text1"/>
                <w:sz w:val="22"/>
                <w:szCs w:val="22"/>
              </w:rPr>
            </w:pPr>
          </w:p>
        </w:tc>
        <w:tc>
          <w:tcPr>
            <w:tcW w:w="1701" w:type="dxa"/>
          </w:tcPr>
          <w:p w14:paraId="6241799A" w14:textId="77777777" w:rsidR="00465338" w:rsidRPr="00465338" w:rsidRDefault="00465338" w:rsidP="00D837D7">
            <w:pPr>
              <w:ind w:left="27"/>
              <w:jc w:val="both"/>
              <w:rPr>
                <w:rFonts w:ascii="Times New Roman" w:hAnsi="Times New Roman" w:cs="Times New Roman"/>
                <w:b/>
                <w:bCs/>
                <w:color w:val="000000" w:themeColor="text1"/>
                <w:sz w:val="22"/>
                <w:szCs w:val="22"/>
              </w:rPr>
            </w:pPr>
          </w:p>
        </w:tc>
      </w:tr>
      <w:tr w:rsidR="00593F59" w:rsidRPr="00C5615F" w14:paraId="0B3EB528" w14:textId="77777777" w:rsidTr="0013587A">
        <w:tc>
          <w:tcPr>
            <w:tcW w:w="2693" w:type="dxa"/>
            <w:hideMark/>
          </w:tcPr>
          <w:p w14:paraId="70BE3D84"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Educational Qualification</w:t>
            </w:r>
          </w:p>
        </w:tc>
        <w:tc>
          <w:tcPr>
            <w:tcW w:w="3403" w:type="dxa"/>
            <w:hideMark/>
          </w:tcPr>
          <w:p w14:paraId="4D4AE312"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Diploma/ND/NCE</w:t>
            </w:r>
          </w:p>
        </w:tc>
        <w:tc>
          <w:tcPr>
            <w:tcW w:w="1275" w:type="dxa"/>
            <w:hideMark/>
          </w:tcPr>
          <w:p w14:paraId="4CF5F597"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12</w:t>
            </w:r>
          </w:p>
        </w:tc>
        <w:tc>
          <w:tcPr>
            <w:tcW w:w="1701" w:type="dxa"/>
            <w:hideMark/>
          </w:tcPr>
          <w:p w14:paraId="12DB89B6"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6.4%</w:t>
            </w:r>
          </w:p>
        </w:tc>
      </w:tr>
      <w:tr w:rsidR="00593F59" w:rsidRPr="00C5615F" w14:paraId="49AB8367" w14:textId="77777777" w:rsidTr="0013587A">
        <w:tc>
          <w:tcPr>
            <w:tcW w:w="2693" w:type="dxa"/>
            <w:hideMark/>
          </w:tcPr>
          <w:p w14:paraId="7FB86F2F"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618E4BFE"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B.Sc./HND</w:t>
            </w:r>
          </w:p>
        </w:tc>
        <w:tc>
          <w:tcPr>
            <w:tcW w:w="1275" w:type="dxa"/>
            <w:hideMark/>
          </w:tcPr>
          <w:p w14:paraId="2B063B19"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64</w:t>
            </w:r>
          </w:p>
        </w:tc>
        <w:tc>
          <w:tcPr>
            <w:tcW w:w="1701" w:type="dxa"/>
            <w:hideMark/>
          </w:tcPr>
          <w:p w14:paraId="2915F02C"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33.9%</w:t>
            </w:r>
          </w:p>
        </w:tc>
      </w:tr>
      <w:tr w:rsidR="00593F59" w:rsidRPr="00C5615F" w14:paraId="5A539D54" w14:textId="77777777" w:rsidTr="0013587A">
        <w:tc>
          <w:tcPr>
            <w:tcW w:w="2693" w:type="dxa"/>
            <w:hideMark/>
          </w:tcPr>
          <w:p w14:paraId="53DCE1D4"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5BD072EE" w14:textId="429EE1A3"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Masters Degree</w:t>
            </w:r>
          </w:p>
        </w:tc>
        <w:tc>
          <w:tcPr>
            <w:tcW w:w="1275" w:type="dxa"/>
            <w:hideMark/>
          </w:tcPr>
          <w:p w14:paraId="66D60A65"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82</w:t>
            </w:r>
          </w:p>
        </w:tc>
        <w:tc>
          <w:tcPr>
            <w:tcW w:w="1701" w:type="dxa"/>
            <w:hideMark/>
          </w:tcPr>
          <w:p w14:paraId="3C59C126"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43.5%</w:t>
            </w:r>
          </w:p>
        </w:tc>
      </w:tr>
      <w:tr w:rsidR="00593F59" w:rsidRPr="00C5615F" w14:paraId="3D7CCAE3" w14:textId="77777777" w:rsidTr="0013587A">
        <w:tc>
          <w:tcPr>
            <w:tcW w:w="2693" w:type="dxa"/>
            <w:hideMark/>
          </w:tcPr>
          <w:p w14:paraId="54C78724"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059851F0"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Doctorate (PhD)</w:t>
            </w:r>
          </w:p>
        </w:tc>
        <w:tc>
          <w:tcPr>
            <w:tcW w:w="1275" w:type="dxa"/>
            <w:hideMark/>
          </w:tcPr>
          <w:p w14:paraId="3F8C2035"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30</w:t>
            </w:r>
          </w:p>
        </w:tc>
        <w:tc>
          <w:tcPr>
            <w:tcW w:w="1701" w:type="dxa"/>
            <w:hideMark/>
          </w:tcPr>
          <w:p w14:paraId="7DBC57AF"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16.1%</w:t>
            </w:r>
          </w:p>
        </w:tc>
      </w:tr>
      <w:tr w:rsidR="00593F59" w:rsidRPr="00C5615F" w14:paraId="2AE440E3" w14:textId="77777777" w:rsidTr="0013587A">
        <w:tc>
          <w:tcPr>
            <w:tcW w:w="2693" w:type="dxa"/>
            <w:hideMark/>
          </w:tcPr>
          <w:p w14:paraId="7780391C" w14:textId="77777777" w:rsidR="00593F59" w:rsidRPr="00465338" w:rsidRDefault="00593F59" w:rsidP="00465338">
            <w:pPr>
              <w:ind w:left="27"/>
              <w:jc w:val="both"/>
              <w:rPr>
                <w:rFonts w:ascii="Times New Roman" w:hAnsi="Times New Roman" w:cs="Times New Roman"/>
                <w:bCs/>
                <w:color w:val="000000" w:themeColor="text1"/>
                <w:sz w:val="22"/>
                <w:szCs w:val="22"/>
                <w:lang w:val="en-NG"/>
              </w:rPr>
            </w:pPr>
          </w:p>
        </w:tc>
        <w:tc>
          <w:tcPr>
            <w:tcW w:w="3403" w:type="dxa"/>
            <w:hideMark/>
          </w:tcPr>
          <w:p w14:paraId="0D1BCE6D" w14:textId="77777777" w:rsidR="00593F59" w:rsidRPr="00465338" w:rsidRDefault="00593F59" w:rsidP="00465338">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Total</w:t>
            </w:r>
          </w:p>
        </w:tc>
        <w:tc>
          <w:tcPr>
            <w:tcW w:w="1275" w:type="dxa"/>
            <w:hideMark/>
          </w:tcPr>
          <w:p w14:paraId="7ECAEAC2" w14:textId="77777777" w:rsidR="00593F59" w:rsidRPr="00465338" w:rsidRDefault="00593F59" w:rsidP="00465338">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188</w:t>
            </w:r>
          </w:p>
        </w:tc>
        <w:tc>
          <w:tcPr>
            <w:tcW w:w="1701" w:type="dxa"/>
            <w:hideMark/>
          </w:tcPr>
          <w:p w14:paraId="499D1966" w14:textId="77777777" w:rsidR="00593F59" w:rsidRPr="00465338" w:rsidRDefault="00593F59" w:rsidP="00465338">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100%</w:t>
            </w:r>
          </w:p>
        </w:tc>
      </w:tr>
      <w:tr w:rsidR="00465338" w:rsidRPr="00465338" w14:paraId="1C93DFE5" w14:textId="77777777" w:rsidTr="0013587A">
        <w:tc>
          <w:tcPr>
            <w:tcW w:w="2693" w:type="dxa"/>
          </w:tcPr>
          <w:p w14:paraId="67149A69" w14:textId="77777777" w:rsidR="00465338" w:rsidRPr="00465338" w:rsidRDefault="00465338" w:rsidP="00465338">
            <w:pPr>
              <w:ind w:left="27"/>
              <w:jc w:val="both"/>
              <w:rPr>
                <w:rFonts w:ascii="Times New Roman" w:hAnsi="Times New Roman" w:cs="Times New Roman"/>
                <w:bCs/>
                <w:color w:val="000000" w:themeColor="text1"/>
                <w:sz w:val="10"/>
                <w:szCs w:val="10"/>
              </w:rPr>
            </w:pPr>
          </w:p>
        </w:tc>
        <w:tc>
          <w:tcPr>
            <w:tcW w:w="3403" w:type="dxa"/>
          </w:tcPr>
          <w:p w14:paraId="1C748C8F" w14:textId="77777777" w:rsidR="00465338" w:rsidRPr="00465338" w:rsidRDefault="00465338" w:rsidP="00465338">
            <w:pPr>
              <w:ind w:left="27"/>
              <w:jc w:val="both"/>
              <w:rPr>
                <w:rFonts w:ascii="Times New Roman" w:hAnsi="Times New Roman" w:cs="Times New Roman"/>
                <w:b/>
                <w:bCs/>
                <w:color w:val="000000" w:themeColor="text1"/>
                <w:sz w:val="10"/>
                <w:szCs w:val="10"/>
              </w:rPr>
            </w:pPr>
          </w:p>
        </w:tc>
        <w:tc>
          <w:tcPr>
            <w:tcW w:w="1275" w:type="dxa"/>
          </w:tcPr>
          <w:p w14:paraId="3E40F855" w14:textId="77777777" w:rsidR="00465338" w:rsidRPr="00465338" w:rsidRDefault="00465338" w:rsidP="00465338">
            <w:pPr>
              <w:ind w:left="27"/>
              <w:jc w:val="both"/>
              <w:rPr>
                <w:rFonts w:ascii="Times New Roman" w:hAnsi="Times New Roman" w:cs="Times New Roman"/>
                <w:b/>
                <w:bCs/>
                <w:color w:val="000000" w:themeColor="text1"/>
                <w:sz w:val="10"/>
                <w:szCs w:val="10"/>
              </w:rPr>
            </w:pPr>
          </w:p>
        </w:tc>
        <w:tc>
          <w:tcPr>
            <w:tcW w:w="1701" w:type="dxa"/>
          </w:tcPr>
          <w:p w14:paraId="5D839910" w14:textId="77777777" w:rsidR="00465338" w:rsidRPr="00465338" w:rsidRDefault="00465338" w:rsidP="00465338">
            <w:pPr>
              <w:ind w:left="27"/>
              <w:jc w:val="both"/>
              <w:rPr>
                <w:rFonts w:ascii="Times New Roman" w:hAnsi="Times New Roman" w:cs="Times New Roman"/>
                <w:b/>
                <w:bCs/>
                <w:color w:val="000000" w:themeColor="text1"/>
                <w:sz w:val="10"/>
                <w:szCs w:val="10"/>
              </w:rPr>
            </w:pPr>
          </w:p>
        </w:tc>
      </w:tr>
      <w:tr w:rsidR="00593F59" w:rsidRPr="00C5615F" w14:paraId="3E453CC8" w14:textId="77777777" w:rsidTr="0013587A">
        <w:tc>
          <w:tcPr>
            <w:tcW w:w="2693" w:type="dxa"/>
            <w:hideMark/>
          </w:tcPr>
          <w:p w14:paraId="119A0E59"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
                <w:bCs/>
                <w:color w:val="000000" w:themeColor="text1"/>
                <w:sz w:val="22"/>
                <w:szCs w:val="22"/>
                <w:lang w:val="en-NG"/>
              </w:rPr>
              <w:t>Years of Experience</w:t>
            </w:r>
          </w:p>
        </w:tc>
        <w:tc>
          <w:tcPr>
            <w:tcW w:w="3403" w:type="dxa"/>
            <w:hideMark/>
          </w:tcPr>
          <w:p w14:paraId="5E25238D"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Below 5 Years</w:t>
            </w:r>
          </w:p>
        </w:tc>
        <w:tc>
          <w:tcPr>
            <w:tcW w:w="1275" w:type="dxa"/>
            <w:hideMark/>
          </w:tcPr>
          <w:p w14:paraId="51D1D367"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49</w:t>
            </w:r>
          </w:p>
        </w:tc>
        <w:tc>
          <w:tcPr>
            <w:tcW w:w="1701" w:type="dxa"/>
            <w:hideMark/>
          </w:tcPr>
          <w:p w14:paraId="79A807EE"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25.8%</w:t>
            </w:r>
          </w:p>
        </w:tc>
      </w:tr>
      <w:tr w:rsidR="00593F59" w:rsidRPr="00C5615F" w14:paraId="67513A59" w14:textId="77777777" w:rsidTr="0013587A">
        <w:tc>
          <w:tcPr>
            <w:tcW w:w="2693" w:type="dxa"/>
            <w:hideMark/>
          </w:tcPr>
          <w:p w14:paraId="0139A04C"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p>
        </w:tc>
        <w:tc>
          <w:tcPr>
            <w:tcW w:w="3403" w:type="dxa"/>
            <w:hideMark/>
          </w:tcPr>
          <w:p w14:paraId="1AC73CB5"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6 – 10 Years</w:t>
            </w:r>
          </w:p>
        </w:tc>
        <w:tc>
          <w:tcPr>
            <w:tcW w:w="1275" w:type="dxa"/>
            <w:hideMark/>
          </w:tcPr>
          <w:p w14:paraId="6870AEF7"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48</w:t>
            </w:r>
          </w:p>
        </w:tc>
        <w:tc>
          <w:tcPr>
            <w:tcW w:w="1701" w:type="dxa"/>
            <w:hideMark/>
          </w:tcPr>
          <w:p w14:paraId="45F51C73" w14:textId="77777777" w:rsidR="00593F59" w:rsidRPr="00465338" w:rsidRDefault="00593F59" w:rsidP="00D837D7">
            <w:pPr>
              <w:ind w:left="27"/>
              <w:jc w:val="both"/>
              <w:rPr>
                <w:rFonts w:ascii="Times New Roman" w:hAnsi="Times New Roman" w:cs="Times New Roman"/>
                <w:bCs/>
                <w:color w:val="000000" w:themeColor="text1"/>
                <w:sz w:val="22"/>
                <w:szCs w:val="22"/>
                <w:lang w:val="en-NG"/>
              </w:rPr>
            </w:pPr>
            <w:r w:rsidRPr="00465338">
              <w:rPr>
                <w:rFonts w:ascii="Times New Roman" w:hAnsi="Times New Roman" w:cs="Times New Roman"/>
                <w:bCs/>
                <w:color w:val="000000" w:themeColor="text1"/>
                <w:sz w:val="22"/>
                <w:szCs w:val="22"/>
                <w:lang w:val="en-NG"/>
              </w:rPr>
              <w:t>25.8%</w:t>
            </w:r>
          </w:p>
        </w:tc>
      </w:tr>
      <w:tr w:rsidR="000756E2" w:rsidRPr="000756E2" w14:paraId="786A625A" w14:textId="77777777" w:rsidTr="0013587A">
        <w:tc>
          <w:tcPr>
            <w:tcW w:w="2693" w:type="dxa"/>
            <w:hideMark/>
          </w:tcPr>
          <w:p w14:paraId="3238489E" w14:textId="77777777" w:rsidR="00593F59" w:rsidRPr="00465338" w:rsidRDefault="00593F59" w:rsidP="000756E2">
            <w:pPr>
              <w:rPr>
                <w:rFonts w:ascii="Times New Roman" w:hAnsi="Times New Roman" w:cs="Times New Roman"/>
                <w:bCs/>
                <w:sz w:val="22"/>
                <w:szCs w:val="22"/>
                <w:lang w:val="en-NG"/>
              </w:rPr>
            </w:pPr>
          </w:p>
        </w:tc>
        <w:tc>
          <w:tcPr>
            <w:tcW w:w="3403" w:type="dxa"/>
            <w:hideMark/>
          </w:tcPr>
          <w:p w14:paraId="34469889" w14:textId="77777777" w:rsidR="00593F59" w:rsidRPr="00465338" w:rsidRDefault="00593F59" w:rsidP="000756E2">
            <w:pPr>
              <w:rPr>
                <w:rFonts w:ascii="Times New Roman" w:hAnsi="Times New Roman" w:cs="Times New Roman"/>
                <w:bCs/>
                <w:sz w:val="22"/>
                <w:szCs w:val="22"/>
                <w:lang w:val="en-NG"/>
              </w:rPr>
            </w:pPr>
            <w:r w:rsidRPr="00465338">
              <w:rPr>
                <w:rFonts w:ascii="Times New Roman" w:hAnsi="Times New Roman" w:cs="Times New Roman"/>
                <w:bCs/>
                <w:sz w:val="22"/>
                <w:szCs w:val="22"/>
                <w:lang w:val="en-NG"/>
              </w:rPr>
              <w:t>Above 11 Years</w:t>
            </w:r>
          </w:p>
        </w:tc>
        <w:tc>
          <w:tcPr>
            <w:tcW w:w="1275" w:type="dxa"/>
            <w:hideMark/>
          </w:tcPr>
          <w:p w14:paraId="13569005" w14:textId="77777777" w:rsidR="00593F59" w:rsidRPr="00465338" w:rsidRDefault="00593F59" w:rsidP="000756E2">
            <w:pPr>
              <w:rPr>
                <w:rFonts w:ascii="Times New Roman" w:hAnsi="Times New Roman" w:cs="Times New Roman"/>
                <w:bCs/>
                <w:sz w:val="22"/>
                <w:szCs w:val="22"/>
                <w:lang w:val="en-NG"/>
              </w:rPr>
            </w:pPr>
            <w:r w:rsidRPr="00465338">
              <w:rPr>
                <w:rFonts w:ascii="Times New Roman" w:hAnsi="Times New Roman" w:cs="Times New Roman"/>
                <w:bCs/>
                <w:sz w:val="22"/>
                <w:szCs w:val="22"/>
                <w:lang w:val="en-NG"/>
              </w:rPr>
              <w:t>91</w:t>
            </w:r>
          </w:p>
        </w:tc>
        <w:tc>
          <w:tcPr>
            <w:tcW w:w="1701" w:type="dxa"/>
            <w:hideMark/>
          </w:tcPr>
          <w:p w14:paraId="7ADFD7E5" w14:textId="77777777" w:rsidR="00593F59" w:rsidRPr="00465338" w:rsidRDefault="00593F59" w:rsidP="000756E2">
            <w:pPr>
              <w:rPr>
                <w:rFonts w:ascii="Times New Roman" w:hAnsi="Times New Roman" w:cs="Times New Roman"/>
                <w:bCs/>
                <w:sz w:val="22"/>
                <w:szCs w:val="22"/>
                <w:lang w:val="en-NG"/>
              </w:rPr>
            </w:pPr>
            <w:r w:rsidRPr="00465338">
              <w:rPr>
                <w:rFonts w:ascii="Times New Roman" w:hAnsi="Times New Roman" w:cs="Times New Roman"/>
                <w:bCs/>
                <w:sz w:val="22"/>
                <w:szCs w:val="22"/>
                <w:lang w:val="en-NG"/>
              </w:rPr>
              <w:t>48.4%</w:t>
            </w:r>
          </w:p>
        </w:tc>
      </w:tr>
      <w:tr w:rsidR="000756E2" w:rsidRPr="000756E2" w14:paraId="75889C9D" w14:textId="77777777" w:rsidTr="0013587A">
        <w:tc>
          <w:tcPr>
            <w:tcW w:w="2693" w:type="dxa"/>
            <w:hideMark/>
          </w:tcPr>
          <w:p w14:paraId="244C01C5" w14:textId="77777777" w:rsidR="00593F59" w:rsidRPr="00465338" w:rsidRDefault="00593F59" w:rsidP="000756E2">
            <w:pPr>
              <w:rPr>
                <w:rFonts w:ascii="Times New Roman" w:hAnsi="Times New Roman" w:cs="Times New Roman"/>
                <w:bCs/>
                <w:sz w:val="22"/>
                <w:szCs w:val="22"/>
                <w:lang w:val="en-NG"/>
              </w:rPr>
            </w:pPr>
          </w:p>
        </w:tc>
        <w:tc>
          <w:tcPr>
            <w:tcW w:w="3403" w:type="dxa"/>
            <w:hideMark/>
          </w:tcPr>
          <w:p w14:paraId="12ECABC6" w14:textId="77777777" w:rsidR="00593F59" w:rsidRPr="00465338" w:rsidRDefault="00593F59" w:rsidP="000756E2">
            <w:pPr>
              <w:rPr>
                <w:rFonts w:ascii="Times New Roman" w:hAnsi="Times New Roman" w:cs="Times New Roman"/>
                <w:bCs/>
                <w:sz w:val="22"/>
                <w:szCs w:val="22"/>
                <w:lang w:val="en-NG"/>
              </w:rPr>
            </w:pPr>
            <w:r w:rsidRPr="00465338">
              <w:rPr>
                <w:rFonts w:ascii="Times New Roman" w:hAnsi="Times New Roman" w:cs="Times New Roman"/>
                <w:b/>
                <w:bCs/>
                <w:sz w:val="22"/>
                <w:szCs w:val="22"/>
                <w:lang w:val="en-NG"/>
              </w:rPr>
              <w:t>Total</w:t>
            </w:r>
          </w:p>
        </w:tc>
        <w:tc>
          <w:tcPr>
            <w:tcW w:w="1275" w:type="dxa"/>
            <w:hideMark/>
          </w:tcPr>
          <w:p w14:paraId="1C86902A" w14:textId="77777777" w:rsidR="00593F59" w:rsidRPr="00465338" w:rsidRDefault="00593F59" w:rsidP="000756E2">
            <w:pPr>
              <w:rPr>
                <w:rFonts w:ascii="Times New Roman" w:hAnsi="Times New Roman" w:cs="Times New Roman"/>
                <w:bCs/>
                <w:sz w:val="22"/>
                <w:szCs w:val="22"/>
                <w:lang w:val="en-NG"/>
              </w:rPr>
            </w:pPr>
            <w:r w:rsidRPr="00465338">
              <w:rPr>
                <w:rFonts w:ascii="Times New Roman" w:hAnsi="Times New Roman" w:cs="Times New Roman"/>
                <w:b/>
                <w:bCs/>
                <w:sz w:val="22"/>
                <w:szCs w:val="22"/>
                <w:lang w:val="en-NG"/>
              </w:rPr>
              <w:t>188</w:t>
            </w:r>
          </w:p>
        </w:tc>
        <w:tc>
          <w:tcPr>
            <w:tcW w:w="1701" w:type="dxa"/>
            <w:hideMark/>
          </w:tcPr>
          <w:p w14:paraId="71556ECD" w14:textId="77777777" w:rsidR="00593F59" w:rsidRPr="00465338" w:rsidRDefault="00593F59" w:rsidP="000756E2">
            <w:pPr>
              <w:rPr>
                <w:rFonts w:ascii="Times New Roman" w:hAnsi="Times New Roman" w:cs="Times New Roman"/>
                <w:bCs/>
                <w:sz w:val="22"/>
                <w:szCs w:val="22"/>
                <w:lang w:val="en-NG"/>
              </w:rPr>
            </w:pPr>
            <w:r w:rsidRPr="00465338">
              <w:rPr>
                <w:rFonts w:ascii="Times New Roman" w:hAnsi="Times New Roman" w:cs="Times New Roman"/>
                <w:b/>
                <w:bCs/>
                <w:sz w:val="22"/>
                <w:szCs w:val="22"/>
                <w:lang w:val="en-NG"/>
              </w:rPr>
              <w:t>100%</w:t>
            </w:r>
          </w:p>
        </w:tc>
      </w:tr>
      <w:tr w:rsidR="000756E2" w:rsidRPr="000756E2" w14:paraId="1C117966" w14:textId="77777777" w:rsidTr="0013587A">
        <w:tc>
          <w:tcPr>
            <w:tcW w:w="2693" w:type="dxa"/>
            <w:hideMark/>
          </w:tcPr>
          <w:p w14:paraId="14ED33D7" w14:textId="77777777" w:rsidR="00B9118C" w:rsidRPr="000756E2" w:rsidRDefault="00B9118C" w:rsidP="000756E2">
            <w:pPr>
              <w:rPr>
                <w:rFonts w:ascii="Times New Roman" w:hAnsi="Times New Roman" w:cs="Times New Roman"/>
                <w:bCs/>
                <w:sz w:val="24"/>
                <w:szCs w:val="24"/>
                <w:lang w:val="en-NG"/>
              </w:rPr>
            </w:pPr>
            <w:r w:rsidRPr="000756E2">
              <w:rPr>
                <w:rFonts w:ascii="Times New Roman" w:hAnsi="Times New Roman" w:cs="Times New Roman"/>
                <w:b/>
                <w:bCs/>
                <w:sz w:val="24"/>
                <w:szCs w:val="24"/>
                <w:lang w:val="en-NG"/>
              </w:rPr>
              <w:t>Organization</w:t>
            </w:r>
          </w:p>
        </w:tc>
        <w:tc>
          <w:tcPr>
            <w:tcW w:w="3403" w:type="dxa"/>
            <w:vAlign w:val="center"/>
          </w:tcPr>
          <w:p w14:paraId="6AEA7BDF" w14:textId="54CD2441" w:rsidR="00B9118C" w:rsidRPr="000756E2" w:rsidRDefault="00B9118C" w:rsidP="000756E2">
            <w:pPr>
              <w:rPr>
                <w:rFonts w:ascii="Times New Roman" w:hAnsi="Times New Roman" w:cs="Times New Roman"/>
                <w:bCs/>
                <w:sz w:val="20"/>
                <w:szCs w:val="20"/>
                <w:lang w:val="en-NG"/>
              </w:rPr>
            </w:pPr>
          </w:p>
        </w:tc>
        <w:tc>
          <w:tcPr>
            <w:tcW w:w="1275" w:type="dxa"/>
            <w:vAlign w:val="center"/>
          </w:tcPr>
          <w:p w14:paraId="409EFFC4" w14:textId="0A400359" w:rsidR="00B9118C" w:rsidRPr="000756E2" w:rsidRDefault="00B9118C" w:rsidP="000756E2">
            <w:pPr>
              <w:rPr>
                <w:rFonts w:ascii="Times New Roman" w:hAnsi="Times New Roman" w:cs="Times New Roman"/>
                <w:bCs/>
                <w:sz w:val="24"/>
                <w:szCs w:val="24"/>
                <w:lang w:val="en-NG"/>
              </w:rPr>
            </w:pPr>
          </w:p>
        </w:tc>
        <w:tc>
          <w:tcPr>
            <w:tcW w:w="1701" w:type="dxa"/>
            <w:vAlign w:val="center"/>
          </w:tcPr>
          <w:p w14:paraId="2EC6CF75" w14:textId="76F68224" w:rsidR="00B9118C" w:rsidRPr="000756E2" w:rsidRDefault="00B9118C" w:rsidP="000756E2">
            <w:pPr>
              <w:rPr>
                <w:rFonts w:ascii="Times New Roman" w:hAnsi="Times New Roman" w:cs="Times New Roman"/>
                <w:bCs/>
                <w:sz w:val="24"/>
                <w:szCs w:val="24"/>
                <w:lang w:val="en-NG"/>
              </w:rPr>
            </w:pPr>
          </w:p>
        </w:tc>
      </w:tr>
      <w:tr w:rsidR="00E4528B" w:rsidRPr="000756E2" w14:paraId="20205B60" w14:textId="77777777" w:rsidTr="0013587A">
        <w:tc>
          <w:tcPr>
            <w:tcW w:w="2693" w:type="dxa"/>
            <w:hideMark/>
          </w:tcPr>
          <w:p w14:paraId="656AF2E1" w14:textId="77777777" w:rsidR="00E4528B" w:rsidRPr="000756E2" w:rsidRDefault="00E4528B" w:rsidP="00E4528B">
            <w:pPr>
              <w:rPr>
                <w:rFonts w:ascii="Times New Roman" w:hAnsi="Times New Roman" w:cs="Times New Roman"/>
                <w:bCs/>
                <w:sz w:val="24"/>
                <w:szCs w:val="24"/>
                <w:lang w:val="en-NG"/>
              </w:rPr>
            </w:pPr>
          </w:p>
        </w:tc>
        <w:tc>
          <w:tcPr>
            <w:tcW w:w="3403" w:type="dxa"/>
            <w:vAlign w:val="center"/>
          </w:tcPr>
          <w:p w14:paraId="52F47DC0" w14:textId="6755873F" w:rsidR="00E4528B" w:rsidRPr="000756E2" w:rsidRDefault="00E4528B" w:rsidP="00E4528B">
            <w:pPr>
              <w:rPr>
                <w:rFonts w:ascii="Times New Roman" w:hAnsi="Times New Roman" w:cs="Times New Roman"/>
                <w:bCs/>
                <w:sz w:val="20"/>
                <w:szCs w:val="20"/>
                <w:lang w:val="en-NG"/>
              </w:rPr>
            </w:pPr>
            <w:r w:rsidRPr="00E4528B">
              <w:rPr>
                <w:rFonts w:ascii="Times New Roman" w:hAnsi="Times New Roman" w:cs="Times New Roman"/>
                <w:lang w:val="en-NG"/>
              </w:rPr>
              <w:t xml:space="preserve">Federal Medical Centre </w:t>
            </w:r>
            <w:r w:rsidR="00CD1B69">
              <w:rPr>
                <w:rFonts w:ascii="Times New Roman" w:hAnsi="Times New Roman" w:cs="Times New Roman"/>
                <w:lang w:val="en-NG"/>
              </w:rPr>
              <w:t>HQ</w:t>
            </w:r>
          </w:p>
        </w:tc>
        <w:tc>
          <w:tcPr>
            <w:tcW w:w="1275" w:type="dxa"/>
            <w:vAlign w:val="center"/>
          </w:tcPr>
          <w:p w14:paraId="08890AB1" w14:textId="307B0C9D" w:rsidR="00E4528B" w:rsidRPr="000756E2" w:rsidRDefault="00E4528B" w:rsidP="00E4528B">
            <w:pPr>
              <w:rPr>
                <w:rFonts w:ascii="Times New Roman" w:hAnsi="Times New Roman" w:cs="Times New Roman"/>
                <w:bCs/>
                <w:sz w:val="24"/>
                <w:szCs w:val="24"/>
                <w:lang w:val="en-NG"/>
              </w:rPr>
            </w:pPr>
            <w:r w:rsidRPr="00E4528B">
              <w:rPr>
                <w:rFonts w:ascii="Times New Roman" w:hAnsi="Times New Roman" w:cs="Times New Roman"/>
                <w:lang w:val="en-NG"/>
              </w:rPr>
              <w:t>44</w:t>
            </w:r>
          </w:p>
        </w:tc>
        <w:tc>
          <w:tcPr>
            <w:tcW w:w="1701" w:type="dxa"/>
            <w:vAlign w:val="center"/>
          </w:tcPr>
          <w:p w14:paraId="0C6BD6E9" w14:textId="361E5D16" w:rsidR="00E4528B" w:rsidRPr="000756E2" w:rsidRDefault="00E4528B" w:rsidP="00E4528B">
            <w:pPr>
              <w:rPr>
                <w:rFonts w:ascii="Times New Roman" w:hAnsi="Times New Roman" w:cs="Times New Roman"/>
                <w:bCs/>
                <w:sz w:val="24"/>
                <w:szCs w:val="24"/>
                <w:lang w:val="en-NG"/>
              </w:rPr>
            </w:pPr>
            <w:r w:rsidRPr="00E4528B">
              <w:rPr>
                <w:rFonts w:ascii="Times New Roman" w:hAnsi="Times New Roman" w:cs="Times New Roman"/>
                <w:lang w:val="en-NG"/>
              </w:rPr>
              <w:t>23.4%</w:t>
            </w:r>
          </w:p>
        </w:tc>
      </w:tr>
      <w:tr w:rsidR="00E4528B" w:rsidRPr="000756E2" w14:paraId="07112476" w14:textId="77777777" w:rsidTr="0013587A">
        <w:tc>
          <w:tcPr>
            <w:tcW w:w="2693" w:type="dxa"/>
            <w:hideMark/>
          </w:tcPr>
          <w:p w14:paraId="145E243B" w14:textId="77777777" w:rsidR="00E4528B" w:rsidRPr="000756E2" w:rsidRDefault="00E4528B" w:rsidP="00E4528B">
            <w:pPr>
              <w:rPr>
                <w:rFonts w:ascii="Times New Roman" w:hAnsi="Times New Roman" w:cs="Times New Roman"/>
                <w:bCs/>
                <w:sz w:val="24"/>
                <w:szCs w:val="24"/>
                <w:lang w:val="en-NG"/>
              </w:rPr>
            </w:pPr>
          </w:p>
        </w:tc>
        <w:tc>
          <w:tcPr>
            <w:tcW w:w="3403" w:type="dxa"/>
            <w:vAlign w:val="center"/>
          </w:tcPr>
          <w:p w14:paraId="7AA0A14E" w14:textId="1CA1372E" w:rsidR="00E4528B" w:rsidRPr="000756E2" w:rsidRDefault="00E4528B" w:rsidP="00E4528B">
            <w:pPr>
              <w:rPr>
                <w:rFonts w:ascii="Times New Roman" w:hAnsi="Times New Roman" w:cs="Times New Roman"/>
                <w:bCs/>
                <w:sz w:val="20"/>
                <w:szCs w:val="20"/>
                <w:lang w:val="en-NG"/>
              </w:rPr>
            </w:pPr>
            <w:r w:rsidRPr="00E4528B">
              <w:rPr>
                <w:rFonts w:ascii="Times New Roman" w:hAnsi="Times New Roman" w:cs="Times New Roman"/>
                <w:lang w:val="en-NG"/>
              </w:rPr>
              <w:t xml:space="preserve">National Health Insurance Authority </w:t>
            </w:r>
          </w:p>
        </w:tc>
        <w:tc>
          <w:tcPr>
            <w:tcW w:w="1275" w:type="dxa"/>
            <w:vAlign w:val="center"/>
          </w:tcPr>
          <w:p w14:paraId="7F591E2D" w14:textId="3795E618" w:rsidR="00E4528B" w:rsidRPr="000756E2" w:rsidRDefault="00E4528B" w:rsidP="00E4528B">
            <w:pPr>
              <w:rPr>
                <w:rFonts w:ascii="Times New Roman" w:hAnsi="Times New Roman" w:cs="Times New Roman"/>
                <w:bCs/>
                <w:sz w:val="24"/>
                <w:szCs w:val="24"/>
                <w:lang w:val="en-NG"/>
              </w:rPr>
            </w:pPr>
            <w:r w:rsidRPr="00E4528B">
              <w:rPr>
                <w:rFonts w:ascii="Times New Roman" w:hAnsi="Times New Roman" w:cs="Times New Roman"/>
                <w:lang w:val="en-NG"/>
              </w:rPr>
              <w:t>35</w:t>
            </w:r>
          </w:p>
        </w:tc>
        <w:tc>
          <w:tcPr>
            <w:tcW w:w="1701" w:type="dxa"/>
            <w:vAlign w:val="center"/>
          </w:tcPr>
          <w:p w14:paraId="18E79378" w14:textId="4853D8F8" w:rsidR="00E4528B" w:rsidRPr="000756E2" w:rsidRDefault="00E4528B" w:rsidP="00E4528B">
            <w:pPr>
              <w:rPr>
                <w:rFonts w:ascii="Times New Roman" w:hAnsi="Times New Roman" w:cs="Times New Roman"/>
                <w:bCs/>
                <w:sz w:val="24"/>
                <w:szCs w:val="24"/>
                <w:lang w:val="en-NG"/>
              </w:rPr>
            </w:pPr>
            <w:r w:rsidRPr="00E4528B">
              <w:rPr>
                <w:rFonts w:ascii="Times New Roman" w:hAnsi="Times New Roman" w:cs="Times New Roman"/>
                <w:lang w:val="en-NG"/>
              </w:rPr>
              <w:t>18.6%</w:t>
            </w:r>
          </w:p>
        </w:tc>
      </w:tr>
      <w:tr w:rsidR="00E4528B" w:rsidRPr="000756E2" w14:paraId="1042D4A9" w14:textId="77777777" w:rsidTr="0013587A">
        <w:tc>
          <w:tcPr>
            <w:tcW w:w="2693" w:type="dxa"/>
          </w:tcPr>
          <w:p w14:paraId="153B3596" w14:textId="77777777" w:rsidR="00E4528B" w:rsidRPr="000756E2" w:rsidRDefault="00E4528B" w:rsidP="00E4528B">
            <w:pPr>
              <w:rPr>
                <w:rFonts w:ascii="Times New Roman" w:hAnsi="Times New Roman" w:cs="Times New Roman"/>
                <w:bCs/>
              </w:rPr>
            </w:pPr>
          </w:p>
        </w:tc>
        <w:tc>
          <w:tcPr>
            <w:tcW w:w="3403" w:type="dxa"/>
            <w:vAlign w:val="center"/>
          </w:tcPr>
          <w:p w14:paraId="1B837A23" w14:textId="26C5534C" w:rsidR="00E4528B" w:rsidRPr="000756E2" w:rsidRDefault="00E4528B" w:rsidP="00E4528B">
            <w:pPr>
              <w:rPr>
                <w:rFonts w:ascii="Times New Roman" w:hAnsi="Times New Roman" w:cs="Times New Roman"/>
                <w:bCs/>
                <w:sz w:val="20"/>
                <w:szCs w:val="20"/>
              </w:rPr>
            </w:pPr>
            <w:r w:rsidRPr="00E4528B">
              <w:rPr>
                <w:rFonts w:ascii="Times New Roman" w:hAnsi="Times New Roman" w:cs="Times New Roman"/>
                <w:lang w:val="en-NG"/>
              </w:rPr>
              <w:t>Central Bank of Nigeria</w:t>
            </w:r>
          </w:p>
        </w:tc>
        <w:tc>
          <w:tcPr>
            <w:tcW w:w="1275" w:type="dxa"/>
            <w:vAlign w:val="center"/>
          </w:tcPr>
          <w:p w14:paraId="1DF13E80" w14:textId="742143BA" w:rsidR="00E4528B" w:rsidRPr="000756E2" w:rsidRDefault="00E4528B" w:rsidP="00E4528B">
            <w:pPr>
              <w:rPr>
                <w:rFonts w:ascii="Times New Roman" w:hAnsi="Times New Roman" w:cs="Times New Roman"/>
                <w:bCs/>
              </w:rPr>
            </w:pPr>
            <w:r w:rsidRPr="00E4528B">
              <w:rPr>
                <w:rFonts w:ascii="Times New Roman" w:hAnsi="Times New Roman" w:cs="Times New Roman"/>
                <w:lang w:val="en-NG"/>
              </w:rPr>
              <w:t>29</w:t>
            </w:r>
          </w:p>
        </w:tc>
        <w:tc>
          <w:tcPr>
            <w:tcW w:w="1701" w:type="dxa"/>
            <w:vAlign w:val="center"/>
          </w:tcPr>
          <w:p w14:paraId="4AF7674D" w14:textId="4178F549" w:rsidR="00E4528B" w:rsidRPr="000756E2" w:rsidRDefault="00E4528B" w:rsidP="00E4528B">
            <w:pPr>
              <w:rPr>
                <w:rFonts w:ascii="Times New Roman" w:hAnsi="Times New Roman" w:cs="Times New Roman"/>
                <w:bCs/>
              </w:rPr>
            </w:pPr>
            <w:r w:rsidRPr="00E4528B">
              <w:rPr>
                <w:rFonts w:ascii="Times New Roman" w:hAnsi="Times New Roman" w:cs="Times New Roman"/>
                <w:lang w:val="en-NG"/>
              </w:rPr>
              <w:t>15.4%</w:t>
            </w:r>
          </w:p>
        </w:tc>
      </w:tr>
      <w:tr w:rsidR="00E4528B" w:rsidRPr="000756E2" w14:paraId="0085DD7B" w14:textId="77777777" w:rsidTr="0013587A">
        <w:tc>
          <w:tcPr>
            <w:tcW w:w="2693" w:type="dxa"/>
          </w:tcPr>
          <w:p w14:paraId="59E4F829" w14:textId="77777777" w:rsidR="00E4528B" w:rsidRPr="000756E2" w:rsidRDefault="00E4528B" w:rsidP="00E4528B">
            <w:pPr>
              <w:rPr>
                <w:rFonts w:ascii="Times New Roman" w:hAnsi="Times New Roman" w:cs="Times New Roman"/>
                <w:bCs/>
              </w:rPr>
            </w:pPr>
          </w:p>
        </w:tc>
        <w:tc>
          <w:tcPr>
            <w:tcW w:w="3403" w:type="dxa"/>
            <w:vAlign w:val="center"/>
          </w:tcPr>
          <w:p w14:paraId="401116CF" w14:textId="775B5F35" w:rsidR="00E4528B" w:rsidRPr="000756E2" w:rsidRDefault="00E4528B" w:rsidP="00E4528B">
            <w:pPr>
              <w:rPr>
                <w:rFonts w:ascii="Times New Roman" w:hAnsi="Times New Roman" w:cs="Times New Roman"/>
                <w:bCs/>
                <w:sz w:val="20"/>
                <w:szCs w:val="20"/>
              </w:rPr>
            </w:pPr>
            <w:r w:rsidRPr="00E4528B">
              <w:rPr>
                <w:rFonts w:ascii="Times New Roman" w:hAnsi="Times New Roman" w:cs="Times New Roman"/>
                <w:lang w:val="en-NG"/>
              </w:rPr>
              <w:t>Federal Ministry of Works</w:t>
            </w:r>
          </w:p>
        </w:tc>
        <w:tc>
          <w:tcPr>
            <w:tcW w:w="1275" w:type="dxa"/>
            <w:vAlign w:val="center"/>
          </w:tcPr>
          <w:p w14:paraId="6AA4DBD6" w14:textId="19552A5B" w:rsidR="00E4528B" w:rsidRPr="000756E2" w:rsidRDefault="00E4528B" w:rsidP="00E4528B">
            <w:pPr>
              <w:rPr>
                <w:rFonts w:ascii="Times New Roman" w:hAnsi="Times New Roman" w:cs="Times New Roman"/>
                <w:bCs/>
              </w:rPr>
            </w:pPr>
            <w:r w:rsidRPr="00E4528B">
              <w:rPr>
                <w:rFonts w:ascii="Times New Roman" w:hAnsi="Times New Roman" w:cs="Times New Roman"/>
                <w:lang w:val="en-NG"/>
              </w:rPr>
              <w:t>32</w:t>
            </w:r>
          </w:p>
        </w:tc>
        <w:tc>
          <w:tcPr>
            <w:tcW w:w="1701" w:type="dxa"/>
            <w:vAlign w:val="center"/>
          </w:tcPr>
          <w:p w14:paraId="51929C60" w14:textId="784D9ACE" w:rsidR="00E4528B" w:rsidRPr="000756E2" w:rsidRDefault="00E4528B" w:rsidP="00E4528B">
            <w:pPr>
              <w:rPr>
                <w:rFonts w:ascii="Times New Roman" w:hAnsi="Times New Roman" w:cs="Times New Roman"/>
                <w:bCs/>
              </w:rPr>
            </w:pPr>
            <w:r w:rsidRPr="00E4528B">
              <w:rPr>
                <w:rFonts w:ascii="Times New Roman" w:hAnsi="Times New Roman" w:cs="Times New Roman"/>
                <w:lang w:val="en-NG"/>
              </w:rPr>
              <w:t>17.0%</w:t>
            </w:r>
          </w:p>
        </w:tc>
      </w:tr>
      <w:tr w:rsidR="00E4528B" w:rsidRPr="000756E2" w14:paraId="0742721E" w14:textId="77777777" w:rsidTr="0013587A">
        <w:tc>
          <w:tcPr>
            <w:tcW w:w="2693" w:type="dxa"/>
          </w:tcPr>
          <w:p w14:paraId="06EA14B7" w14:textId="77777777" w:rsidR="00E4528B" w:rsidRPr="000756E2" w:rsidRDefault="00E4528B" w:rsidP="00E4528B">
            <w:pPr>
              <w:rPr>
                <w:rFonts w:ascii="Times New Roman" w:hAnsi="Times New Roman" w:cs="Times New Roman"/>
                <w:bCs/>
              </w:rPr>
            </w:pPr>
          </w:p>
        </w:tc>
        <w:tc>
          <w:tcPr>
            <w:tcW w:w="3403" w:type="dxa"/>
            <w:vAlign w:val="center"/>
          </w:tcPr>
          <w:p w14:paraId="5D296202" w14:textId="1B02E553" w:rsidR="00E4528B" w:rsidRPr="000756E2" w:rsidRDefault="00E4528B" w:rsidP="00E4528B">
            <w:pPr>
              <w:rPr>
                <w:rFonts w:ascii="Times New Roman" w:hAnsi="Times New Roman" w:cs="Times New Roman"/>
                <w:bCs/>
                <w:sz w:val="20"/>
                <w:szCs w:val="20"/>
              </w:rPr>
            </w:pPr>
            <w:r w:rsidRPr="00E4528B">
              <w:rPr>
                <w:rFonts w:ascii="Times New Roman" w:hAnsi="Times New Roman" w:cs="Times New Roman"/>
                <w:lang w:val="en-NG"/>
              </w:rPr>
              <w:t>Bureau of Public Procurement</w:t>
            </w:r>
          </w:p>
        </w:tc>
        <w:tc>
          <w:tcPr>
            <w:tcW w:w="1275" w:type="dxa"/>
            <w:vAlign w:val="center"/>
          </w:tcPr>
          <w:p w14:paraId="17A1C30A" w14:textId="53543E8E" w:rsidR="00E4528B" w:rsidRPr="000756E2" w:rsidRDefault="00E4528B" w:rsidP="00E4528B">
            <w:pPr>
              <w:rPr>
                <w:rFonts w:ascii="Times New Roman" w:hAnsi="Times New Roman" w:cs="Times New Roman"/>
                <w:bCs/>
              </w:rPr>
            </w:pPr>
            <w:r w:rsidRPr="00E4528B">
              <w:rPr>
                <w:rFonts w:ascii="Times New Roman" w:hAnsi="Times New Roman" w:cs="Times New Roman"/>
                <w:lang w:val="en-NG"/>
              </w:rPr>
              <w:t>48</w:t>
            </w:r>
          </w:p>
        </w:tc>
        <w:tc>
          <w:tcPr>
            <w:tcW w:w="1701" w:type="dxa"/>
            <w:vAlign w:val="center"/>
          </w:tcPr>
          <w:p w14:paraId="33C42815" w14:textId="6C0B4776" w:rsidR="00E4528B" w:rsidRPr="000756E2" w:rsidRDefault="00E4528B" w:rsidP="00E4528B">
            <w:pPr>
              <w:rPr>
                <w:rFonts w:ascii="Times New Roman" w:hAnsi="Times New Roman" w:cs="Times New Roman"/>
                <w:bCs/>
              </w:rPr>
            </w:pPr>
            <w:r w:rsidRPr="00E4528B">
              <w:rPr>
                <w:rFonts w:ascii="Times New Roman" w:hAnsi="Times New Roman" w:cs="Times New Roman"/>
                <w:lang w:val="en-NG"/>
              </w:rPr>
              <w:t>25.6%</w:t>
            </w:r>
          </w:p>
        </w:tc>
      </w:tr>
      <w:tr w:rsidR="002F35A0" w:rsidRPr="000756E2" w14:paraId="7655219A" w14:textId="77777777" w:rsidTr="0013587A">
        <w:tc>
          <w:tcPr>
            <w:tcW w:w="2693" w:type="dxa"/>
            <w:tcBorders>
              <w:bottom w:val="single" w:sz="4" w:space="0" w:color="auto"/>
            </w:tcBorders>
            <w:hideMark/>
          </w:tcPr>
          <w:p w14:paraId="512CA0C2" w14:textId="77777777" w:rsidR="002F35A0" w:rsidRPr="000756E2" w:rsidRDefault="002F35A0" w:rsidP="002F35A0">
            <w:pPr>
              <w:rPr>
                <w:rFonts w:ascii="Times New Roman" w:hAnsi="Times New Roman" w:cs="Times New Roman"/>
                <w:bCs/>
                <w:sz w:val="24"/>
                <w:szCs w:val="24"/>
                <w:lang w:val="en-NG"/>
              </w:rPr>
            </w:pPr>
          </w:p>
        </w:tc>
        <w:tc>
          <w:tcPr>
            <w:tcW w:w="3403" w:type="dxa"/>
            <w:tcBorders>
              <w:bottom w:val="single" w:sz="4" w:space="0" w:color="auto"/>
            </w:tcBorders>
            <w:hideMark/>
          </w:tcPr>
          <w:p w14:paraId="38201263" w14:textId="77777777" w:rsidR="002F35A0" w:rsidRPr="000756E2" w:rsidRDefault="002F35A0" w:rsidP="002F35A0">
            <w:pPr>
              <w:rPr>
                <w:rFonts w:ascii="Times New Roman" w:hAnsi="Times New Roman" w:cs="Times New Roman"/>
                <w:bCs/>
                <w:sz w:val="24"/>
                <w:szCs w:val="24"/>
                <w:lang w:val="en-NG"/>
              </w:rPr>
            </w:pPr>
            <w:r w:rsidRPr="000756E2">
              <w:rPr>
                <w:rFonts w:ascii="Times New Roman" w:hAnsi="Times New Roman" w:cs="Times New Roman"/>
                <w:b/>
                <w:bCs/>
                <w:sz w:val="24"/>
                <w:szCs w:val="24"/>
                <w:lang w:val="en-NG"/>
              </w:rPr>
              <w:t>Total</w:t>
            </w:r>
          </w:p>
        </w:tc>
        <w:tc>
          <w:tcPr>
            <w:tcW w:w="1275" w:type="dxa"/>
            <w:tcBorders>
              <w:bottom w:val="single" w:sz="4" w:space="0" w:color="auto"/>
            </w:tcBorders>
            <w:hideMark/>
          </w:tcPr>
          <w:p w14:paraId="416E269F" w14:textId="77777777" w:rsidR="002F35A0" w:rsidRPr="000756E2" w:rsidRDefault="002F35A0" w:rsidP="002F35A0">
            <w:pPr>
              <w:rPr>
                <w:rFonts w:ascii="Times New Roman" w:hAnsi="Times New Roman" w:cs="Times New Roman"/>
                <w:bCs/>
                <w:sz w:val="24"/>
                <w:szCs w:val="24"/>
                <w:lang w:val="en-NG"/>
              </w:rPr>
            </w:pPr>
            <w:r w:rsidRPr="000756E2">
              <w:rPr>
                <w:rFonts w:ascii="Times New Roman" w:hAnsi="Times New Roman" w:cs="Times New Roman"/>
                <w:b/>
                <w:bCs/>
                <w:sz w:val="24"/>
                <w:szCs w:val="24"/>
                <w:lang w:val="en-NG"/>
              </w:rPr>
              <w:t>188</w:t>
            </w:r>
          </w:p>
        </w:tc>
        <w:tc>
          <w:tcPr>
            <w:tcW w:w="1701" w:type="dxa"/>
            <w:tcBorders>
              <w:bottom w:val="single" w:sz="4" w:space="0" w:color="auto"/>
            </w:tcBorders>
            <w:hideMark/>
          </w:tcPr>
          <w:p w14:paraId="39CC869E" w14:textId="77777777" w:rsidR="002F35A0" w:rsidRPr="000756E2" w:rsidRDefault="002F35A0" w:rsidP="002F35A0">
            <w:pPr>
              <w:rPr>
                <w:rFonts w:ascii="Times New Roman" w:hAnsi="Times New Roman" w:cs="Times New Roman"/>
                <w:bCs/>
                <w:sz w:val="24"/>
                <w:szCs w:val="24"/>
                <w:lang w:val="en-NG"/>
              </w:rPr>
            </w:pPr>
            <w:r w:rsidRPr="000756E2">
              <w:rPr>
                <w:rFonts w:ascii="Times New Roman" w:hAnsi="Times New Roman" w:cs="Times New Roman"/>
                <w:b/>
                <w:bCs/>
                <w:sz w:val="24"/>
                <w:szCs w:val="24"/>
                <w:lang w:val="en-NG"/>
              </w:rPr>
              <w:t>100%</w:t>
            </w:r>
          </w:p>
        </w:tc>
      </w:tr>
    </w:tbl>
    <w:p w14:paraId="15DADDDC" w14:textId="45B2CE43" w:rsidR="00B9118C" w:rsidRPr="000756E2" w:rsidRDefault="003B7E0B" w:rsidP="003B7E0B">
      <w:pPr>
        <w:rPr>
          <w:rFonts w:ascii="Times New Roman" w:hAnsi="Times New Roman" w:cs="Times New Roman"/>
          <w:bCs/>
          <w:i/>
          <w:iCs/>
        </w:rPr>
      </w:pPr>
      <w:r>
        <w:rPr>
          <w:rFonts w:ascii="Times New Roman" w:hAnsi="Times New Roman" w:cs="Times New Roman"/>
          <w:bCs/>
          <w:i/>
          <w:iCs/>
        </w:rPr>
        <w:t xml:space="preserve">         </w:t>
      </w:r>
      <w:r w:rsidR="00B9118C" w:rsidRPr="000756E2">
        <w:rPr>
          <w:rFonts w:ascii="Times New Roman" w:hAnsi="Times New Roman" w:cs="Times New Roman"/>
          <w:bCs/>
          <w:i/>
          <w:iCs/>
        </w:rPr>
        <w:t>Source: Field Survey, 2026</w:t>
      </w:r>
      <w:r w:rsidR="00B63FCD" w:rsidRPr="000756E2">
        <w:rPr>
          <w:rFonts w:ascii="Times New Roman" w:hAnsi="Times New Roman" w:cs="Times New Roman"/>
          <w:bCs/>
          <w:i/>
          <w:iCs/>
        </w:rPr>
        <w:t>.</w:t>
      </w:r>
    </w:p>
    <w:p w14:paraId="771624FA" w14:textId="704CAF5D" w:rsidR="002454E3" w:rsidRPr="002454E3" w:rsidRDefault="002454E3" w:rsidP="002454E3">
      <w:pPr>
        <w:spacing w:line="240" w:lineRule="auto"/>
        <w:ind w:left="720"/>
        <w:jc w:val="both"/>
        <w:rPr>
          <w:rFonts w:ascii="Times New Roman" w:hAnsi="Times New Roman" w:cs="Times New Roman"/>
          <w:bCs/>
          <w:color w:val="000000" w:themeColor="text1"/>
        </w:rPr>
      </w:pPr>
      <w:r w:rsidRPr="002454E3">
        <w:rPr>
          <w:rFonts w:ascii="Times New Roman" w:hAnsi="Times New Roman" w:cs="Times New Roman"/>
          <w:bCs/>
          <w:color w:val="000000" w:themeColor="text1"/>
        </w:rPr>
        <w:t>Table 1 presents the demographic characteristics of the 188 respondents used in the study. The gender distribution shows that 85 respondents (45.2%) were male, while 103 (54.8%) were female, indicating balanced participation with slightly higher female representation. This reduces gender bias and strengthens inclusiveness in the findings. The age distribution reveals that 19.1% were below 25 years, 21.0% were between 26</w:t>
      </w:r>
      <w:r w:rsidR="00001DB9">
        <w:rPr>
          <w:rFonts w:ascii="Times New Roman" w:hAnsi="Times New Roman" w:cs="Times New Roman"/>
          <w:bCs/>
          <w:color w:val="000000" w:themeColor="text1"/>
        </w:rPr>
        <w:t>-</w:t>
      </w:r>
      <w:r w:rsidRPr="002454E3">
        <w:rPr>
          <w:rFonts w:ascii="Times New Roman" w:hAnsi="Times New Roman" w:cs="Times New Roman"/>
          <w:bCs/>
          <w:color w:val="000000" w:themeColor="text1"/>
        </w:rPr>
        <w:t>35 years, 27.4% were between 36</w:t>
      </w:r>
      <w:r w:rsidR="00001DB9">
        <w:rPr>
          <w:rFonts w:ascii="Times New Roman" w:hAnsi="Times New Roman" w:cs="Times New Roman"/>
          <w:bCs/>
          <w:color w:val="000000" w:themeColor="text1"/>
        </w:rPr>
        <w:t>-</w:t>
      </w:r>
      <w:r w:rsidRPr="002454E3">
        <w:rPr>
          <w:rFonts w:ascii="Times New Roman" w:hAnsi="Times New Roman" w:cs="Times New Roman"/>
          <w:bCs/>
          <w:color w:val="000000" w:themeColor="text1"/>
        </w:rPr>
        <w:t>45 years, and 32.3% were 46 years and above. The dominance of respondents aged 36 years and above suggests that most participants are mature professionals. This implies that responses are likely based on practical knowledge and institutional experience.</w:t>
      </w:r>
    </w:p>
    <w:p w14:paraId="27958089" w14:textId="77777777" w:rsidR="002454E3" w:rsidRPr="002454E3" w:rsidRDefault="002454E3" w:rsidP="002454E3">
      <w:pPr>
        <w:spacing w:line="240" w:lineRule="auto"/>
        <w:ind w:left="720"/>
        <w:jc w:val="both"/>
        <w:rPr>
          <w:rFonts w:ascii="Times New Roman" w:hAnsi="Times New Roman" w:cs="Times New Roman"/>
          <w:bCs/>
          <w:color w:val="000000" w:themeColor="text1"/>
        </w:rPr>
      </w:pPr>
      <w:r w:rsidRPr="002454E3">
        <w:rPr>
          <w:rFonts w:ascii="Times New Roman" w:hAnsi="Times New Roman" w:cs="Times New Roman"/>
          <w:bCs/>
          <w:color w:val="000000" w:themeColor="text1"/>
        </w:rPr>
        <w:t>Educationally, 59.6% of respondents possess postgraduate qualifications (Masters and PhD), while 33.9% hold B.Sc./HND and 6.4% have Diploma/ND/NCE. This indicates a highly educated sample, enhancing the reliability and analytical quality of the data. In terms of experience, 48.4% have above 11 years of service, showing strong professional exposure. Organizationally, respondents were drawn from the Bureau of Public Procurement (25.6%), Federal Medical Centre Headquarters (23.4%), National Health Insurance Authority (18.6%), Federal Ministry of Works (17.0%), and the Central Bank of Nigeria (15.4%). This ensures multi-sectoral representation and strengthens the study's validity and policy relevance.</w:t>
      </w:r>
    </w:p>
    <w:p w14:paraId="4A89F184" w14:textId="52E00E78" w:rsidR="00AD2EDA" w:rsidRPr="00C5615F" w:rsidRDefault="00AD2EDA" w:rsidP="00DC6133">
      <w:pPr>
        <w:pStyle w:val="Heading1"/>
        <w:spacing w:before="0"/>
        <w:ind w:firstLine="720"/>
        <w:rPr>
          <w:rFonts w:ascii="Times New Roman" w:eastAsia="CIDFont+F3" w:hAnsi="Times New Roman" w:cs="Times New Roman"/>
          <w:b/>
          <w:color w:val="000000" w:themeColor="text1"/>
          <w:sz w:val="24"/>
          <w:szCs w:val="24"/>
        </w:rPr>
      </w:pPr>
      <w:r w:rsidRPr="00C5615F">
        <w:rPr>
          <w:rFonts w:ascii="Times New Roman" w:eastAsia="CIDFont+F3" w:hAnsi="Times New Roman" w:cs="Times New Roman"/>
          <w:b/>
          <w:color w:val="000000" w:themeColor="text1"/>
          <w:sz w:val="24"/>
          <w:szCs w:val="24"/>
        </w:rPr>
        <w:t>Figure 2: Factor Loadings</w:t>
      </w:r>
    </w:p>
    <w:p w14:paraId="290333BD" w14:textId="1DD5E4E6" w:rsidR="00AD2EDA" w:rsidRPr="00C5615F" w:rsidRDefault="00444511" w:rsidP="00AD2EDA">
      <w:pPr>
        <w:spacing w:before="240" w:line="240" w:lineRule="auto"/>
        <w:ind w:left="709"/>
        <w:jc w:val="center"/>
        <w:rPr>
          <w:rFonts w:ascii="Times New Roman" w:hAnsi="Times New Roman" w:cs="Times New Roman"/>
          <w:b/>
          <w:noProof/>
          <w:color w:val="000000" w:themeColor="text1"/>
        </w:rPr>
      </w:pPr>
      <w:r w:rsidRPr="00C5615F">
        <w:rPr>
          <w:rFonts w:ascii="Times New Roman" w:hAnsi="Times New Roman" w:cs="Times New Roman"/>
          <w:b/>
          <w:noProof/>
          <w:color w:val="000000" w:themeColor="text1"/>
        </w:rPr>
        <mc:AlternateContent>
          <mc:Choice Requires="wps">
            <w:drawing>
              <wp:anchor distT="0" distB="0" distL="114300" distR="114300" simplePos="0" relativeHeight="251661312" behindDoc="0" locked="0" layoutInCell="1" allowOverlap="1" wp14:anchorId="31BB05A0" wp14:editId="3141EE8E">
                <wp:simplePos x="0" y="0"/>
                <wp:positionH relativeFrom="column">
                  <wp:posOffset>-145855</wp:posOffset>
                </wp:positionH>
                <wp:positionV relativeFrom="paragraph">
                  <wp:posOffset>61182</wp:posOffset>
                </wp:positionV>
                <wp:extent cx="6069821" cy="4212972"/>
                <wp:effectExtent l="0" t="0" r="7620" b="0"/>
                <wp:wrapNone/>
                <wp:docPr id="43195202" name="Text Box 1"/>
                <wp:cNvGraphicFramePr/>
                <a:graphic xmlns:a="http://schemas.openxmlformats.org/drawingml/2006/main">
                  <a:graphicData uri="http://schemas.microsoft.com/office/word/2010/wordprocessingShape">
                    <wps:wsp>
                      <wps:cNvSpPr txBox="1"/>
                      <wps:spPr>
                        <a:xfrm>
                          <a:off x="0" y="0"/>
                          <a:ext cx="6069821" cy="4212972"/>
                        </a:xfrm>
                        <a:prstGeom prst="rect">
                          <a:avLst/>
                        </a:prstGeom>
                        <a:solidFill>
                          <a:schemeClr val="lt1"/>
                        </a:solidFill>
                        <a:ln w="6350">
                          <a:noFill/>
                        </a:ln>
                      </wps:spPr>
                      <wps:txbx>
                        <w:txbxContent>
                          <w:p w14:paraId="1BE608AD" w14:textId="42FED9D0" w:rsidR="00444511" w:rsidRDefault="00444511" w:rsidP="00444511">
                            <w:pPr>
                              <w:jc w:val="center"/>
                            </w:pPr>
                            <w:r w:rsidRPr="00CE6F6F">
                              <w:rPr>
                                <w:rFonts w:ascii="Times New Roman" w:hAnsi="Times New Roman" w:cs="Times New Roman"/>
                                <w:b/>
                                <w:noProof/>
                                <w:color w:val="000000" w:themeColor="text1"/>
                              </w:rPr>
                              <w:drawing>
                                <wp:inline distT="0" distB="0" distL="0" distR="0" wp14:anchorId="45F6E950" wp14:editId="2B42ED4F">
                                  <wp:extent cx="4448584" cy="3797300"/>
                                  <wp:effectExtent l="0" t="0" r="9525" b="0"/>
                                  <wp:docPr id="12270442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44206" name="Picture 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62647" cy="3809304"/>
                                          </a:xfrm>
                                          <a:prstGeom prst="rect">
                                            <a:avLst/>
                                          </a:prstGeom>
                                          <a:noFill/>
                                          <a:ln>
                                            <a:noFill/>
                                          </a:ln>
                                        </pic:spPr>
                                      </pic:pic>
                                    </a:graphicData>
                                  </a:graphic>
                                </wp:inline>
                              </w:drawing>
                            </w:r>
                          </w:p>
                          <w:p w14:paraId="6DE56A82" w14:textId="348472FC" w:rsidR="00444511" w:rsidRPr="00CE6F6F" w:rsidRDefault="00444511" w:rsidP="00444511">
                            <w:pPr>
                              <w:spacing w:after="0" w:line="240" w:lineRule="auto"/>
                              <w:ind w:left="709"/>
                              <w:jc w:val="center"/>
                              <w:rPr>
                                <w:rFonts w:ascii="Times New Roman" w:hAnsi="Times New Roman" w:cs="Times New Roman"/>
                                <w:b/>
                                <w:bCs/>
                                <w:color w:val="000000" w:themeColor="text1"/>
                                <w:sz w:val="18"/>
                                <w:szCs w:val="18"/>
                              </w:rPr>
                            </w:pPr>
                            <w:r w:rsidRPr="00CE6F6F">
                              <w:rPr>
                                <w:rFonts w:ascii="Times New Roman" w:eastAsia="CIDFont+F3" w:hAnsi="Times New Roman" w:cs="Times New Roman"/>
                                <w:b/>
                                <w:color w:val="000000" w:themeColor="text1"/>
                                <w:sz w:val="18"/>
                                <w:szCs w:val="18"/>
                              </w:rPr>
                              <w:t xml:space="preserve">Source: </w:t>
                            </w:r>
                            <w:proofErr w:type="spellStart"/>
                            <w:r w:rsidRPr="00CE6F6F">
                              <w:rPr>
                                <w:rFonts w:ascii="Times New Roman" w:hAnsi="Times New Roman" w:cs="Times New Roman"/>
                                <w:b/>
                                <w:bCs/>
                                <w:color w:val="000000" w:themeColor="text1"/>
                                <w:sz w:val="18"/>
                                <w:szCs w:val="18"/>
                              </w:rPr>
                              <w:t>SmartPLS</w:t>
                            </w:r>
                            <w:proofErr w:type="spellEnd"/>
                            <w:r w:rsidRPr="00CE6F6F">
                              <w:rPr>
                                <w:rFonts w:ascii="Times New Roman" w:hAnsi="Times New Roman" w:cs="Times New Roman"/>
                                <w:b/>
                                <w:bCs/>
                                <w:color w:val="000000" w:themeColor="text1"/>
                                <w:sz w:val="18"/>
                                <w:szCs w:val="18"/>
                              </w:rPr>
                              <w:t xml:space="preserve"> Output, 202</w:t>
                            </w:r>
                            <w:r>
                              <w:rPr>
                                <w:rFonts w:ascii="Times New Roman" w:hAnsi="Times New Roman" w:cs="Times New Roman"/>
                                <w:b/>
                                <w:bCs/>
                                <w:color w:val="000000" w:themeColor="text1"/>
                                <w:sz w:val="18"/>
                                <w:szCs w:val="18"/>
                              </w:rPr>
                              <w:t>6</w:t>
                            </w:r>
                            <w:r w:rsidRPr="00CE6F6F">
                              <w:rPr>
                                <w:rFonts w:ascii="Times New Roman" w:hAnsi="Times New Roman" w:cs="Times New Roman"/>
                                <w:b/>
                                <w:bCs/>
                                <w:color w:val="000000" w:themeColor="text1"/>
                                <w:sz w:val="18"/>
                                <w:szCs w:val="18"/>
                              </w:rPr>
                              <w:t>.</w:t>
                            </w:r>
                          </w:p>
                          <w:p w14:paraId="5A7FA4E2" w14:textId="77777777" w:rsidR="00444511" w:rsidRDefault="00444511" w:rsidP="004445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BB05A0" id="_x0000_s1027" type="#_x0000_t202" style="position:absolute;left:0;text-align:left;margin-left:-11.5pt;margin-top:4.8pt;width:477.95pt;height:33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" fillcolor="white [3201]" stroked="f" strokeweight=".5pt">
                <v:textbox>
                  <w:txbxContent>
                    <w:p w14:paraId="1BE608AD" w14:textId="42FED9D0" w:rsidR="00444511" w:rsidRDefault="00444511" w:rsidP="00444511">
                      <w:pPr>
                        <w:jc w:val="center"/>
                      </w:pPr>
                      <w:r w:rsidRPr="00CE6F6F">
                        <w:rPr>
                          <w:rFonts w:ascii="Times New Roman" w:hAnsi="Times New Roman" w:cs="Times New Roman"/>
                          <w:b/>
                          <w:noProof/>
                          <w:color w:val="000000" w:themeColor="text1"/>
                        </w:rPr>
                        <w:drawing>
                          <wp:inline distT="0" distB="0" distL="0" distR="0" wp14:anchorId="45F6E950" wp14:editId="2B42ED4F">
                            <wp:extent cx="4448584" cy="3797300"/>
                            <wp:effectExtent l="0" t="0" r="9525" b="0"/>
                            <wp:docPr id="12270442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44206" name="Picture 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62647" cy="3809304"/>
                                    </a:xfrm>
                                    <a:prstGeom prst="rect">
                                      <a:avLst/>
                                    </a:prstGeom>
                                    <a:noFill/>
                                    <a:ln>
                                      <a:noFill/>
                                    </a:ln>
                                  </pic:spPr>
                                </pic:pic>
                              </a:graphicData>
                            </a:graphic>
                          </wp:inline>
                        </w:drawing>
                      </w:r>
                    </w:p>
                    <w:p w14:paraId="6DE56A82" w14:textId="348472FC" w:rsidR="00444511" w:rsidRPr="00CE6F6F" w:rsidRDefault="00444511" w:rsidP="00444511">
                      <w:pPr>
                        <w:spacing w:after="0" w:line="240" w:lineRule="auto"/>
                        <w:ind w:left="709"/>
                        <w:jc w:val="center"/>
                        <w:rPr>
                          <w:rFonts w:ascii="Times New Roman" w:hAnsi="Times New Roman" w:cs="Times New Roman"/>
                          <w:b/>
                          <w:bCs/>
                          <w:color w:val="000000" w:themeColor="text1"/>
                          <w:sz w:val="18"/>
                          <w:szCs w:val="18"/>
                        </w:rPr>
                      </w:pPr>
                      <w:r w:rsidRPr="00CE6F6F">
                        <w:rPr>
                          <w:rFonts w:ascii="Times New Roman" w:eastAsia="CIDFont+F3" w:hAnsi="Times New Roman" w:cs="Times New Roman"/>
                          <w:b/>
                          <w:color w:val="000000" w:themeColor="text1"/>
                          <w:sz w:val="18"/>
                          <w:szCs w:val="18"/>
                        </w:rPr>
                        <w:t xml:space="preserve">Source: </w:t>
                      </w:r>
                      <w:proofErr w:type="spellStart"/>
                      <w:r w:rsidRPr="00CE6F6F">
                        <w:rPr>
                          <w:rFonts w:ascii="Times New Roman" w:hAnsi="Times New Roman" w:cs="Times New Roman"/>
                          <w:b/>
                          <w:bCs/>
                          <w:color w:val="000000" w:themeColor="text1"/>
                          <w:sz w:val="18"/>
                          <w:szCs w:val="18"/>
                        </w:rPr>
                        <w:t>SmartPLS</w:t>
                      </w:r>
                      <w:proofErr w:type="spellEnd"/>
                      <w:r w:rsidRPr="00CE6F6F">
                        <w:rPr>
                          <w:rFonts w:ascii="Times New Roman" w:hAnsi="Times New Roman" w:cs="Times New Roman"/>
                          <w:b/>
                          <w:bCs/>
                          <w:color w:val="000000" w:themeColor="text1"/>
                          <w:sz w:val="18"/>
                          <w:szCs w:val="18"/>
                        </w:rPr>
                        <w:t xml:space="preserve"> Output, 202</w:t>
                      </w:r>
                      <w:r>
                        <w:rPr>
                          <w:rFonts w:ascii="Times New Roman" w:hAnsi="Times New Roman" w:cs="Times New Roman"/>
                          <w:b/>
                          <w:bCs/>
                          <w:color w:val="000000" w:themeColor="text1"/>
                          <w:sz w:val="18"/>
                          <w:szCs w:val="18"/>
                        </w:rPr>
                        <w:t>6</w:t>
                      </w:r>
                      <w:r w:rsidRPr="00CE6F6F">
                        <w:rPr>
                          <w:rFonts w:ascii="Times New Roman" w:hAnsi="Times New Roman" w:cs="Times New Roman"/>
                          <w:b/>
                          <w:bCs/>
                          <w:color w:val="000000" w:themeColor="text1"/>
                          <w:sz w:val="18"/>
                          <w:szCs w:val="18"/>
                        </w:rPr>
                        <w:t>.</w:t>
                      </w:r>
                    </w:p>
                    <w:p w14:paraId="5A7FA4E2" w14:textId="77777777" w:rsidR="00444511" w:rsidRDefault="00444511" w:rsidP="00444511">
                      <w:pPr>
                        <w:jc w:val="center"/>
                      </w:pPr>
                    </w:p>
                  </w:txbxContent>
                </v:textbox>
              </v:shape>
            </w:pict>
          </mc:Fallback>
        </mc:AlternateContent>
      </w:r>
    </w:p>
    <w:p w14:paraId="2A9B332C"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03B13709"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49E4DAE5"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1B536C28"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5B259EDB"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7D3B2595"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4C05F832"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1A9E61A1"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22573FD8"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0E390126"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29744AA7" w14:textId="77777777" w:rsidR="00444511" w:rsidRPr="00C5615F" w:rsidRDefault="00444511" w:rsidP="00AD2EDA">
      <w:pPr>
        <w:spacing w:before="240" w:line="240" w:lineRule="auto"/>
        <w:ind w:left="709"/>
        <w:jc w:val="center"/>
        <w:rPr>
          <w:rFonts w:ascii="Times New Roman" w:hAnsi="Times New Roman" w:cs="Times New Roman"/>
          <w:b/>
          <w:noProof/>
          <w:color w:val="000000" w:themeColor="text1"/>
        </w:rPr>
      </w:pPr>
    </w:p>
    <w:p w14:paraId="317C760C" w14:textId="77777777" w:rsidR="00AD2EDA" w:rsidRPr="00C5615F" w:rsidRDefault="00AD2EDA" w:rsidP="00AD2EDA">
      <w:pPr>
        <w:spacing w:after="0" w:line="240" w:lineRule="auto"/>
        <w:ind w:left="709"/>
        <w:jc w:val="center"/>
        <w:rPr>
          <w:rFonts w:ascii="Times New Roman" w:hAnsi="Times New Roman" w:cs="Times New Roman"/>
          <w:b/>
          <w:bCs/>
          <w:color w:val="000000" w:themeColor="text1"/>
        </w:rPr>
      </w:pPr>
    </w:p>
    <w:p w14:paraId="2CD7F452" w14:textId="431CE28C" w:rsidR="008B7883" w:rsidRPr="00C5615F" w:rsidRDefault="008B7883" w:rsidP="00DC6133">
      <w:pPr>
        <w:pStyle w:val="Heading1"/>
        <w:spacing w:line="240" w:lineRule="auto"/>
        <w:ind w:firstLine="720"/>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Table 2: Factor Loadings</w:t>
      </w:r>
    </w:p>
    <w:tbl>
      <w:tblPr>
        <w:tblStyle w:val="TableGrid2"/>
        <w:tblW w:w="9739" w:type="dxa"/>
        <w:tblLook w:val="04A0" w:firstRow="1" w:lastRow="0" w:firstColumn="1" w:lastColumn="0" w:noHBand="0" w:noVBand="1"/>
      </w:tblPr>
      <w:tblGrid>
        <w:gridCol w:w="2122"/>
        <w:gridCol w:w="1030"/>
        <w:gridCol w:w="5490"/>
        <w:gridCol w:w="1097"/>
      </w:tblGrid>
      <w:tr w:rsidR="008B7883" w:rsidRPr="009368BE" w14:paraId="26CAE752" w14:textId="77777777" w:rsidTr="009368BE">
        <w:tc>
          <w:tcPr>
            <w:tcW w:w="2122" w:type="dxa"/>
            <w:hideMark/>
          </w:tcPr>
          <w:p w14:paraId="73C4B80A"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r w:rsidRPr="009368BE">
              <w:rPr>
                <w:rFonts w:ascii="Times New Roman" w:hAnsi="Times New Roman" w:cs="Times New Roman"/>
                <w:b/>
                <w:bCs/>
                <w:color w:val="000000" w:themeColor="text1"/>
                <w:sz w:val="22"/>
                <w:szCs w:val="22"/>
                <w:lang w:val="en-NG"/>
              </w:rPr>
              <w:t>Construct</w:t>
            </w:r>
          </w:p>
        </w:tc>
        <w:tc>
          <w:tcPr>
            <w:tcW w:w="0" w:type="auto"/>
            <w:hideMark/>
          </w:tcPr>
          <w:p w14:paraId="5CD5580F" w14:textId="7CAE9536"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b/>
                <w:bCs/>
                <w:color w:val="000000" w:themeColor="text1"/>
                <w:sz w:val="22"/>
                <w:szCs w:val="22"/>
                <w:lang w:val="en-NG"/>
              </w:rPr>
              <w:t>Item</w:t>
            </w:r>
            <w:r w:rsidR="00BE3553" w:rsidRPr="009368BE">
              <w:rPr>
                <w:rFonts w:ascii="Times New Roman" w:hAnsi="Times New Roman" w:cs="Times New Roman"/>
                <w:b/>
                <w:bCs/>
                <w:color w:val="000000" w:themeColor="text1"/>
                <w:sz w:val="22"/>
                <w:szCs w:val="22"/>
                <w:lang w:val="en-NG"/>
              </w:rPr>
              <w:t>s</w:t>
            </w:r>
          </w:p>
        </w:tc>
        <w:tc>
          <w:tcPr>
            <w:tcW w:w="5490" w:type="dxa"/>
            <w:hideMark/>
          </w:tcPr>
          <w:p w14:paraId="7FA01E2C"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b/>
                <w:bCs/>
                <w:color w:val="000000" w:themeColor="text1"/>
                <w:sz w:val="22"/>
                <w:szCs w:val="22"/>
                <w:lang w:val="en-NG"/>
              </w:rPr>
              <w:t>Measurement Items</w:t>
            </w:r>
          </w:p>
        </w:tc>
        <w:tc>
          <w:tcPr>
            <w:tcW w:w="1097" w:type="dxa"/>
            <w:hideMark/>
          </w:tcPr>
          <w:p w14:paraId="3CB27F50"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b/>
                <w:bCs/>
                <w:color w:val="000000" w:themeColor="text1"/>
                <w:sz w:val="22"/>
                <w:szCs w:val="22"/>
                <w:lang w:val="en-NG"/>
              </w:rPr>
              <w:t>Factor Loading</w:t>
            </w:r>
          </w:p>
        </w:tc>
      </w:tr>
      <w:tr w:rsidR="008B7883" w:rsidRPr="009368BE" w14:paraId="35BC2310" w14:textId="77777777" w:rsidTr="009368BE">
        <w:tc>
          <w:tcPr>
            <w:tcW w:w="2122" w:type="dxa"/>
            <w:hideMark/>
          </w:tcPr>
          <w:p w14:paraId="511904A9"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r w:rsidRPr="009368BE">
              <w:rPr>
                <w:rFonts w:ascii="Times New Roman" w:hAnsi="Times New Roman" w:cs="Times New Roman"/>
                <w:b/>
                <w:bCs/>
                <w:color w:val="000000" w:themeColor="text1"/>
                <w:sz w:val="22"/>
                <w:szCs w:val="22"/>
                <w:lang w:val="en-NG"/>
              </w:rPr>
              <w:t>Electronic Payment and Remittance Systems (EPRS)</w:t>
            </w:r>
          </w:p>
        </w:tc>
        <w:tc>
          <w:tcPr>
            <w:tcW w:w="0" w:type="auto"/>
            <w:hideMark/>
          </w:tcPr>
          <w:p w14:paraId="47D4B95C"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EPRS1</w:t>
            </w:r>
          </w:p>
        </w:tc>
        <w:tc>
          <w:tcPr>
            <w:tcW w:w="5490" w:type="dxa"/>
            <w:hideMark/>
          </w:tcPr>
          <w:p w14:paraId="46D7E2D3"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Digital payment tools significantly accelerate contractor settlements.</w:t>
            </w:r>
          </w:p>
        </w:tc>
        <w:tc>
          <w:tcPr>
            <w:tcW w:w="1097" w:type="dxa"/>
            <w:hideMark/>
          </w:tcPr>
          <w:p w14:paraId="6325A1C6"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0.804</w:t>
            </w:r>
          </w:p>
        </w:tc>
      </w:tr>
      <w:tr w:rsidR="008B7883" w:rsidRPr="009368BE" w14:paraId="7983D60E" w14:textId="77777777" w:rsidTr="009368BE">
        <w:tc>
          <w:tcPr>
            <w:tcW w:w="2122" w:type="dxa"/>
            <w:hideMark/>
          </w:tcPr>
          <w:p w14:paraId="0D99F981"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6705716C"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EPRS2</w:t>
            </w:r>
          </w:p>
        </w:tc>
        <w:tc>
          <w:tcPr>
            <w:tcW w:w="5490" w:type="dxa"/>
            <w:hideMark/>
          </w:tcPr>
          <w:p w14:paraId="56DD38D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Mobile banking apps provide high convenience.</w:t>
            </w:r>
          </w:p>
        </w:tc>
        <w:tc>
          <w:tcPr>
            <w:tcW w:w="1097" w:type="dxa"/>
            <w:hideMark/>
          </w:tcPr>
          <w:p w14:paraId="7FDA6C90"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0.634</w:t>
            </w:r>
          </w:p>
        </w:tc>
      </w:tr>
      <w:tr w:rsidR="008B7883" w:rsidRPr="009368BE" w14:paraId="5EB96DDB" w14:textId="77777777" w:rsidTr="009368BE">
        <w:tc>
          <w:tcPr>
            <w:tcW w:w="2122" w:type="dxa"/>
            <w:hideMark/>
          </w:tcPr>
          <w:p w14:paraId="51B7E021"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161E345F"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EPRS3</w:t>
            </w:r>
          </w:p>
        </w:tc>
        <w:tc>
          <w:tcPr>
            <w:tcW w:w="5490" w:type="dxa"/>
            <w:hideMark/>
          </w:tcPr>
          <w:p w14:paraId="1FCBE6F2" w14:textId="4FF45AE0"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Automated remittances effectively eliminate bureaucratic red tape.</w:t>
            </w:r>
          </w:p>
        </w:tc>
        <w:tc>
          <w:tcPr>
            <w:tcW w:w="1097" w:type="dxa"/>
            <w:hideMark/>
          </w:tcPr>
          <w:p w14:paraId="6C67A1DC"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0.610</w:t>
            </w:r>
          </w:p>
        </w:tc>
      </w:tr>
      <w:tr w:rsidR="008B7883" w:rsidRPr="009368BE" w14:paraId="1B533872" w14:textId="77777777" w:rsidTr="009368BE">
        <w:tc>
          <w:tcPr>
            <w:tcW w:w="2122" w:type="dxa"/>
            <w:hideMark/>
          </w:tcPr>
          <w:p w14:paraId="0AB84AFF"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5B21C358"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EPRS4</w:t>
            </w:r>
          </w:p>
        </w:tc>
        <w:tc>
          <w:tcPr>
            <w:tcW w:w="5490" w:type="dxa"/>
            <w:hideMark/>
          </w:tcPr>
          <w:p w14:paraId="394FF55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Electronic platforms mitigate risks of manual cash handling.</w:t>
            </w:r>
          </w:p>
        </w:tc>
        <w:tc>
          <w:tcPr>
            <w:tcW w:w="1097" w:type="dxa"/>
            <w:hideMark/>
          </w:tcPr>
          <w:p w14:paraId="4B83D36F"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0.711</w:t>
            </w:r>
          </w:p>
        </w:tc>
      </w:tr>
      <w:tr w:rsidR="008B7883" w:rsidRPr="009368BE" w14:paraId="19249465" w14:textId="77777777" w:rsidTr="009368BE">
        <w:tc>
          <w:tcPr>
            <w:tcW w:w="2122" w:type="dxa"/>
            <w:hideMark/>
          </w:tcPr>
          <w:p w14:paraId="62A92F33"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0F84A3CD"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EPRS5</w:t>
            </w:r>
          </w:p>
        </w:tc>
        <w:tc>
          <w:tcPr>
            <w:tcW w:w="5490" w:type="dxa"/>
            <w:hideMark/>
          </w:tcPr>
          <w:p w14:paraId="6E8CB501"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Digital liquidity tools ensure a constant financial flow.</w:t>
            </w:r>
          </w:p>
        </w:tc>
        <w:tc>
          <w:tcPr>
            <w:tcW w:w="1097" w:type="dxa"/>
            <w:hideMark/>
          </w:tcPr>
          <w:p w14:paraId="2708D6C9"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0.809</w:t>
            </w:r>
          </w:p>
        </w:tc>
      </w:tr>
      <w:tr w:rsidR="008B7883" w:rsidRPr="009368BE" w14:paraId="286A95B7" w14:textId="77777777" w:rsidTr="009368BE">
        <w:tc>
          <w:tcPr>
            <w:tcW w:w="2122" w:type="dxa"/>
            <w:hideMark/>
          </w:tcPr>
          <w:p w14:paraId="2B5DA316"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r w:rsidRPr="009368BE">
              <w:rPr>
                <w:rFonts w:ascii="Times New Roman" w:hAnsi="Times New Roman" w:cs="Times New Roman"/>
                <w:b/>
                <w:bCs/>
                <w:color w:val="000000" w:themeColor="text1"/>
                <w:sz w:val="22"/>
                <w:szCs w:val="22"/>
                <w:lang w:val="en-NG"/>
              </w:rPr>
              <w:t>Digital Supply Chain Finance Utilization (DSCF)</w:t>
            </w:r>
          </w:p>
        </w:tc>
        <w:tc>
          <w:tcPr>
            <w:tcW w:w="0" w:type="auto"/>
            <w:hideMark/>
          </w:tcPr>
          <w:p w14:paraId="424645E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DSCF1</w:t>
            </w:r>
          </w:p>
        </w:tc>
        <w:tc>
          <w:tcPr>
            <w:tcW w:w="5490" w:type="dxa"/>
            <w:hideMark/>
          </w:tcPr>
          <w:p w14:paraId="1CF490A0"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Digital platforms facilitate immediate supplier access to liquidity.</w:t>
            </w:r>
          </w:p>
        </w:tc>
        <w:tc>
          <w:tcPr>
            <w:tcW w:w="1097" w:type="dxa"/>
            <w:hideMark/>
          </w:tcPr>
          <w:p w14:paraId="6D5D1E91"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0.628</w:t>
            </w:r>
          </w:p>
        </w:tc>
      </w:tr>
      <w:tr w:rsidR="008B7883" w:rsidRPr="009368BE" w14:paraId="79E2DEFB" w14:textId="77777777" w:rsidTr="009368BE">
        <w:tc>
          <w:tcPr>
            <w:tcW w:w="2122" w:type="dxa"/>
            <w:hideMark/>
          </w:tcPr>
          <w:p w14:paraId="1BFE5CD5"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083C1892"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DSCF2</w:t>
            </w:r>
          </w:p>
        </w:tc>
        <w:tc>
          <w:tcPr>
            <w:tcW w:w="5490" w:type="dxa"/>
            <w:hideMark/>
          </w:tcPr>
          <w:p w14:paraId="04874D91"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Finance programs effectively stabilize vendor cash flows.</w:t>
            </w:r>
          </w:p>
        </w:tc>
        <w:tc>
          <w:tcPr>
            <w:tcW w:w="1097" w:type="dxa"/>
            <w:hideMark/>
          </w:tcPr>
          <w:p w14:paraId="55B773D0"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0.802</w:t>
            </w:r>
          </w:p>
        </w:tc>
      </w:tr>
      <w:tr w:rsidR="008B7883" w:rsidRPr="009368BE" w14:paraId="011A4591" w14:textId="77777777" w:rsidTr="009368BE">
        <w:tc>
          <w:tcPr>
            <w:tcW w:w="2122" w:type="dxa"/>
            <w:hideMark/>
          </w:tcPr>
          <w:p w14:paraId="0F913D05"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51DEA9C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DSCF3</w:t>
            </w:r>
          </w:p>
        </w:tc>
        <w:tc>
          <w:tcPr>
            <w:tcW w:w="5490" w:type="dxa"/>
            <w:hideMark/>
          </w:tcPr>
          <w:p w14:paraId="662423A3"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Real-time trade data allows for faster vendor risk assessments.</w:t>
            </w:r>
          </w:p>
        </w:tc>
        <w:tc>
          <w:tcPr>
            <w:tcW w:w="1097" w:type="dxa"/>
            <w:hideMark/>
          </w:tcPr>
          <w:p w14:paraId="13781715"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0.695</w:t>
            </w:r>
          </w:p>
        </w:tc>
      </w:tr>
      <w:tr w:rsidR="008B7883" w:rsidRPr="009368BE" w14:paraId="33643479" w14:textId="77777777" w:rsidTr="009368BE">
        <w:tc>
          <w:tcPr>
            <w:tcW w:w="2122" w:type="dxa"/>
            <w:hideMark/>
          </w:tcPr>
          <w:p w14:paraId="67EB8358"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511AC599"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DSCF4</w:t>
            </w:r>
          </w:p>
        </w:tc>
        <w:tc>
          <w:tcPr>
            <w:tcW w:w="5490" w:type="dxa"/>
            <w:hideMark/>
          </w:tcPr>
          <w:p w14:paraId="0B1B62D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Digital financing reduces project stalls and delays.</w:t>
            </w:r>
          </w:p>
        </w:tc>
        <w:tc>
          <w:tcPr>
            <w:tcW w:w="1097" w:type="dxa"/>
            <w:hideMark/>
          </w:tcPr>
          <w:p w14:paraId="34AB86EE"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0.733</w:t>
            </w:r>
          </w:p>
        </w:tc>
      </w:tr>
      <w:tr w:rsidR="008B7883" w:rsidRPr="009368BE" w14:paraId="76FAA693" w14:textId="77777777" w:rsidTr="009368BE">
        <w:tc>
          <w:tcPr>
            <w:tcW w:w="2122" w:type="dxa"/>
            <w:hideMark/>
          </w:tcPr>
          <w:p w14:paraId="263DE1E5"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2F0FE329"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DSCF5</w:t>
            </w:r>
          </w:p>
        </w:tc>
        <w:tc>
          <w:tcPr>
            <w:tcW w:w="5490" w:type="dxa"/>
            <w:hideMark/>
          </w:tcPr>
          <w:p w14:paraId="0F8A74FD"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Collaborative models enhance the financial stability of partners.</w:t>
            </w:r>
          </w:p>
        </w:tc>
        <w:tc>
          <w:tcPr>
            <w:tcW w:w="1097" w:type="dxa"/>
            <w:hideMark/>
          </w:tcPr>
          <w:p w14:paraId="4DB6C043"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0.872</w:t>
            </w:r>
          </w:p>
        </w:tc>
      </w:tr>
      <w:tr w:rsidR="008B7883" w:rsidRPr="009368BE" w14:paraId="6CA278BE" w14:textId="77777777" w:rsidTr="009368BE">
        <w:tc>
          <w:tcPr>
            <w:tcW w:w="2122" w:type="dxa"/>
            <w:hideMark/>
          </w:tcPr>
          <w:p w14:paraId="08D54640"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r w:rsidRPr="009368BE">
              <w:rPr>
                <w:rFonts w:ascii="Times New Roman" w:hAnsi="Times New Roman" w:cs="Times New Roman"/>
                <w:b/>
                <w:bCs/>
                <w:color w:val="000000" w:themeColor="text1"/>
                <w:sz w:val="22"/>
                <w:szCs w:val="22"/>
                <w:lang w:val="en-NG"/>
              </w:rPr>
              <w:t>Blockchain-Based Smart Contracts (BBSC)</w:t>
            </w:r>
          </w:p>
        </w:tc>
        <w:tc>
          <w:tcPr>
            <w:tcW w:w="0" w:type="auto"/>
            <w:hideMark/>
          </w:tcPr>
          <w:p w14:paraId="78F4A7A4"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BBSC1</w:t>
            </w:r>
          </w:p>
        </w:tc>
        <w:tc>
          <w:tcPr>
            <w:tcW w:w="5490" w:type="dxa"/>
            <w:hideMark/>
          </w:tcPr>
          <w:p w14:paraId="5CD026BA" w14:textId="30A249DB"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 xml:space="preserve">Immutable ledgers provide a secure </w:t>
            </w:r>
            <w:proofErr w:type="spellStart"/>
            <w:r w:rsidRPr="009368BE">
              <w:rPr>
                <w:rFonts w:ascii="Times New Roman" w:hAnsi="Times New Roman" w:cs="Times New Roman"/>
                <w:color w:val="000000" w:themeColor="text1"/>
                <w:sz w:val="22"/>
                <w:szCs w:val="22"/>
                <w:lang w:val="en-NG"/>
              </w:rPr>
              <w:t>trustless</w:t>
            </w:r>
            <w:proofErr w:type="spellEnd"/>
            <w:r w:rsidRPr="009368BE">
              <w:rPr>
                <w:rFonts w:ascii="Times New Roman" w:hAnsi="Times New Roman" w:cs="Times New Roman"/>
                <w:color w:val="000000" w:themeColor="text1"/>
                <w:sz w:val="22"/>
                <w:szCs w:val="22"/>
                <w:lang w:val="en-NG"/>
              </w:rPr>
              <w:t xml:space="preserve"> infrastructure.</w:t>
            </w:r>
          </w:p>
        </w:tc>
        <w:tc>
          <w:tcPr>
            <w:tcW w:w="1097" w:type="dxa"/>
            <w:hideMark/>
          </w:tcPr>
          <w:p w14:paraId="386A99FE"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0.719</w:t>
            </w:r>
          </w:p>
        </w:tc>
      </w:tr>
      <w:tr w:rsidR="008B7883" w:rsidRPr="009368BE" w14:paraId="01330816" w14:textId="77777777" w:rsidTr="009368BE">
        <w:tc>
          <w:tcPr>
            <w:tcW w:w="2122" w:type="dxa"/>
            <w:hideMark/>
          </w:tcPr>
          <w:p w14:paraId="2FFEF833"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63849B03"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BBSC2</w:t>
            </w:r>
          </w:p>
        </w:tc>
        <w:tc>
          <w:tcPr>
            <w:tcW w:w="5490" w:type="dxa"/>
            <w:hideMark/>
          </w:tcPr>
          <w:p w14:paraId="713B9DCD"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Smart contracts trigger payments upon verified delivery.</w:t>
            </w:r>
          </w:p>
        </w:tc>
        <w:tc>
          <w:tcPr>
            <w:tcW w:w="1097" w:type="dxa"/>
            <w:hideMark/>
          </w:tcPr>
          <w:p w14:paraId="1721A7E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0.769</w:t>
            </w:r>
          </w:p>
        </w:tc>
      </w:tr>
      <w:tr w:rsidR="008B7883" w:rsidRPr="009368BE" w14:paraId="5A179E58" w14:textId="77777777" w:rsidTr="009368BE">
        <w:tc>
          <w:tcPr>
            <w:tcW w:w="2122" w:type="dxa"/>
            <w:hideMark/>
          </w:tcPr>
          <w:p w14:paraId="1DC9EC31"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6676D01E"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BBSC3</w:t>
            </w:r>
          </w:p>
        </w:tc>
        <w:tc>
          <w:tcPr>
            <w:tcW w:w="5490" w:type="dxa"/>
            <w:hideMark/>
          </w:tcPr>
          <w:p w14:paraId="771AFCB4"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Decentralized verification reduces reliance on intermediaries.</w:t>
            </w:r>
          </w:p>
        </w:tc>
        <w:tc>
          <w:tcPr>
            <w:tcW w:w="1097" w:type="dxa"/>
            <w:hideMark/>
          </w:tcPr>
          <w:p w14:paraId="615D79D4"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0.827</w:t>
            </w:r>
          </w:p>
        </w:tc>
      </w:tr>
      <w:tr w:rsidR="008B7883" w:rsidRPr="009368BE" w14:paraId="478B41BA" w14:textId="77777777" w:rsidTr="009368BE">
        <w:tc>
          <w:tcPr>
            <w:tcW w:w="2122" w:type="dxa"/>
            <w:hideMark/>
          </w:tcPr>
          <w:p w14:paraId="57227820"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60673B84"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BBSC4</w:t>
            </w:r>
          </w:p>
        </w:tc>
        <w:tc>
          <w:tcPr>
            <w:tcW w:w="5490" w:type="dxa"/>
            <w:hideMark/>
          </w:tcPr>
          <w:p w14:paraId="73631343" w14:textId="343DFA94"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Blockchain ensures the fidelity of all digital records.</w:t>
            </w:r>
          </w:p>
        </w:tc>
        <w:tc>
          <w:tcPr>
            <w:tcW w:w="1097" w:type="dxa"/>
            <w:hideMark/>
          </w:tcPr>
          <w:p w14:paraId="3AE6E92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0.657</w:t>
            </w:r>
          </w:p>
        </w:tc>
      </w:tr>
      <w:tr w:rsidR="008B7883" w:rsidRPr="009368BE" w14:paraId="412AC06D" w14:textId="77777777" w:rsidTr="009368BE">
        <w:tc>
          <w:tcPr>
            <w:tcW w:w="2122" w:type="dxa"/>
            <w:hideMark/>
          </w:tcPr>
          <w:p w14:paraId="44655E21"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7FD8DE7E"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BBSC5</w:t>
            </w:r>
          </w:p>
        </w:tc>
        <w:tc>
          <w:tcPr>
            <w:tcW w:w="5490" w:type="dxa"/>
            <w:hideMark/>
          </w:tcPr>
          <w:p w14:paraId="3DDC850E"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Automated code execution minimizes human errors.</w:t>
            </w:r>
          </w:p>
        </w:tc>
        <w:tc>
          <w:tcPr>
            <w:tcW w:w="1097" w:type="dxa"/>
            <w:hideMark/>
          </w:tcPr>
          <w:p w14:paraId="4FE93889"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0.766</w:t>
            </w:r>
          </w:p>
        </w:tc>
      </w:tr>
      <w:tr w:rsidR="008B7883" w:rsidRPr="009368BE" w14:paraId="129A2311" w14:textId="77777777" w:rsidTr="009368BE">
        <w:tc>
          <w:tcPr>
            <w:tcW w:w="2122" w:type="dxa"/>
            <w:hideMark/>
          </w:tcPr>
          <w:p w14:paraId="2024FB94"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r w:rsidRPr="009368BE">
              <w:rPr>
                <w:rFonts w:ascii="Times New Roman" w:hAnsi="Times New Roman" w:cs="Times New Roman"/>
                <w:b/>
                <w:bCs/>
                <w:color w:val="000000" w:themeColor="text1"/>
                <w:sz w:val="22"/>
                <w:szCs w:val="22"/>
                <w:lang w:val="en-NG"/>
              </w:rPr>
              <w:t>Big Data Analytics &amp; AI Risk Assessment (BDAR)</w:t>
            </w:r>
          </w:p>
        </w:tc>
        <w:tc>
          <w:tcPr>
            <w:tcW w:w="0" w:type="auto"/>
            <w:hideMark/>
          </w:tcPr>
          <w:p w14:paraId="45D41869"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BDAR1</w:t>
            </w:r>
          </w:p>
        </w:tc>
        <w:tc>
          <w:tcPr>
            <w:tcW w:w="5490" w:type="dxa"/>
            <w:hideMark/>
          </w:tcPr>
          <w:p w14:paraId="74B93E19"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AI tools provide real-time insights into supplier financial health.</w:t>
            </w:r>
          </w:p>
        </w:tc>
        <w:tc>
          <w:tcPr>
            <w:tcW w:w="1097" w:type="dxa"/>
            <w:hideMark/>
          </w:tcPr>
          <w:p w14:paraId="019029A4"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0.643</w:t>
            </w:r>
          </w:p>
        </w:tc>
      </w:tr>
      <w:tr w:rsidR="008B7883" w:rsidRPr="009368BE" w14:paraId="4F6AF543" w14:textId="77777777" w:rsidTr="009368BE">
        <w:tc>
          <w:tcPr>
            <w:tcW w:w="2122" w:type="dxa"/>
            <w:hideMark/>
          </w:tcPr>
          <w:p w14:paraId="3E3FF647"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36D7E27D"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BDAR2</w:t>
            </w:r>
          </w:p>
        </w:tc>
        <w:tc>
          <w:tcPr>
            <w:tcW w:w="5490" w:type="dxa"/>
            <w:hideMark/>
          </w:tcPr>
          <w:p w14:paraId="1318ABBB"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Predictive analytics identify high-risk vendors early.</w:t>
            </w:r>
          </w:p>
        </w:tc>
        <w:tc>
          <w:tcPr>
            <w:tcW w:w="1097" w:type="dxa"/>
            <w:hideMark/>
          </w:tcPr>
          <w:p w14:paraId="3480E200"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0.746</w:t>
            </w:r>
          </w:p>
        </w:tc>
      </w:tr>
      <w:tr w:rsidR="008B7883" w:rsidRPr="009368BE" w14:paraId="212D6E25" w14:textId="77777777" w:rsidTr="009368BE">
        <w:tc>
          <w:tcPr>
            <w:tcW w:w="2122" w:type="dxa"/>
            <w:hideMark/>
          </w:tcPr>
          <w:p w14:paraId="554FEE52"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7676979A"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BDAR3</w:t>
            </w:r>
          </w:p>
        </w:tc>
        <w:tc>
          <w:tcPr>
            <w:tcW w:w="5490" w:type="dxa"/>
            <w:hideMark/>
          </w:tcPr>
          <w:p w14:paraId="3EA2EAA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Machine learning algorithms improve procurement decision accuracy.</w:t>
            </w:r>
          </w:p>
        </w:tc>
        <w:tc>
          <w:tcPr>
            <w:tcW w:w="1097" w:type="dxa"/>
            <w:hideMark/>
          </w:tcPr>
          <w:p w14:paraId="0B10DE51"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0.807</w:t>
            </w:r>
          </w:p>
        </w:tc>
      </w:tr>
      <w:tr w:rsidR="008B7883" w:rsidRPr="009368BE" w14:paraId="5182BE4A" w14:textId="77777777" w:rsidTr="009368BE">
        <w:tc>
          <w:tcPr>
            <w:tcW w:w="2122" w:type="dxa"/>
            <w:hideMark/>
          </w:tcPr>
          <w:p w14:paraId="66E73511"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4EEBACC9"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BDAR4</w:t>
            </w:r>
          </w:p>
        </w:tc>
        <w:tc>
          <w:tcPr>
            <w:tcW w:w="5490" w:type="dxa"/>
            <w:hideMark/>
          </w:tcPr>
          <w:p w14:paraId="42506C2B"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Data profiling reduces risks of misclassifying vendors at selection.</w:t>
            </w:r>
          </w:p>
        </w:tc>
        <w:tc>
          <w:tcPr>
            <w:tcW w:w="1097" w:type="dxa"/>
            <w:hideMark/>
          </w:tcPr>
          <w:p w14:paraId="22527C99"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0.775</w:t>
            </w:r>
          </w:p>
        </w:tc>
      </w:tr>
      <w:tr w:rsidR="008B7883" w:rsidRPr="009368BE" w14:paraId="457F4C5F" w14:textId="77777777" w:rsidTr="009368BE">
        <w:tc>
          <w:tcPr>
            <w:tcW w:w="2122" w:type="dxa"/>
            <w:hideMark/>
          </w:tcPr>
          <w:p w14:paraId="1FCB0C61"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p>
        </w:tc>
        <w:tc>
          <w:tcPr>
            <w:tcW w:w="0" w:type="auto"/>
            <w:hideMark/>
          </w:tcPr>
          <w:p w14:paraId="4BA6A381"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BDAR5</w:t>
            </w:r>
          </w:p>
        </w:tc>
        <w:tc>
          <w:tcPr>
            <w:tcW w:w="5490" w:type="dxa"/>
            <w:hideMark/>
          </w:tcPr>
          <w:p w14:paraId="52DB638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Monitoring tools allow pre-emptive mitigation of disruptions.</w:t>
            </w:r>
          </w:p>
        </w:tc>
        <w:tc>
          <w:tcPr>
            <w:tcW w:w="1097" w:type="dxa"/>
            <w:hideMark/>
          </w:tcPr>
          <w:p w14:paraId="45861FD0"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0.843</w:t>
            </w:r>
          </w:p>
        </w:tc>
      </w:tr>
      <w:tr w:rsidR="008B7883" w:rsidRPr="009368BE" w14:paraId="078B7A68" w14:textId="77777777" w:rsidTr="009368BE">
        <w:tc>
          <w:tcPr>
            <w:tcW w:w="2122" w:type="dxa"/>
            <w:hideMark/>
          </w:tcPr>
          <w:p w14:paraId="3FA1C23C" w14:textId="77777777" w:rsidR="008B7883" w:rsidRPr="009368BE" w:rsidRDefault="008B7883" w:rsidP="00C7545D">
            <w:pPr>
              <w:spacing w:after="160"/>
              <w:ind w:left="27"/>
              <w:jc w:val="center"/>
              <w:rPr>
                <w:rFonts w:ascii="Times New Roman" w:hAnsi="Times New Roman" w:cs="Times New Roman"/>
                <w:color w:val="000000" w:themeColor="text1"/>
                <w:sz w:val="22"/>
                <w:szCs w:val="22"/>
                <w:lang w:val="en-NG"/>
              </w:rPr>
            </w:pPr>
            <w:r w:rsidRPr="009368BE">
              <w:rPr>
                <w:rFonts w:ascii="Times New Roman" w:hAnsi="Times New Roman" w:cs="Times New Roman"/>
                <w:b/>
                <w:bCs/>
                <w:color w:val="000000" w:themeColor="text1"/>
                <w:sz w:val="22"/>
                <w:szCs w:val="22"/>
                <w:lang w:val="en-NG"/>
              </w:rPr>
              <w:t>Supply Chain Performance (SUCP)</w:t>
            </w:r>
          </w:p>
        </w:tc>
        <w:tc>
          <w:tcPr>
            <w:tcW w:w="0" w:type="auto"/>
            <w:hideMark/>
          </w:tcPr>
          <w:p w14:paraId="3BA55CF3"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SUCP1</w:t>
            </w:r>
          </w:p>
        </w:tc>
        <w:tc>
          <w:tcPr>
            <w:tcW w:w="5490" w:type="dxa"/>
            <w:hideMark/>
          </w:tcPr>
          <w:p w14:paraId="51EBB85C"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Digital systems compress the lead-time for vendor settlement.</w:t>
            </w:r>
          </w:p>
        </w:tc>
        <w:tc>
          <w:tcPr>
            <w:tcW w:w="1097" w:type="dxa"/>
            <w:hideMark/>
          </w:tcPr>
          <w:p w14:paraId="5B0C7258"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0.828</w:t>
            </w:r>
          </w:p>
        </w:tc>
      </w:tr>
      <w:tr w:rsidR="008B7883" w:rsidRPr="009368BE" w14:paraId="6B5B2F68" w14:textId="77777777" w:rsidTr="009368BE">
        <w:tc>
          <w:tcPr>
            <w:tcW w:w="2122" w:type="dxa"/>
            <w:hideMark/>
          </w:tcPr>
          <w:p w14:paraId="0CE3927E"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p>
        </w:tc>
        <w:tc>
          <w:tcPr>
            <w:tcW w:w="0" w:type="auto"/>
            <w:hideMark/>
          </w:tcPr>
          <w:p w14:paraId="1177B3C8"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SUCP2</w:t>
            </w:r>
          </w:p>
        </w:tc>
        <w:tc>
          <w:tcPr>
            <w:tcW w:w="5490" w:type="dxa"/>
            <w:hideMark/>
          </w:tcPr>
          <w:p w14:paraId="3838C87D"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Automated tools optimize cost-to-value ratios.</w:t>
            </w:r>
          </w:p>
        </w:tc>
        <w:tc>
          <w:tcPr>
            <w:tcW w:w="1097" w:type="dxa"/>
            <w:hideMark/>
          </w:tcPr>
          <w:p w14:paraId="75702C2A"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0.800</w:t>
            </w:r>
          </w:p>
        </w:tc>
      </w:tr>
      <w:tr w:rsidR="008B7883" w:rsidRPr="009368BE" w14:paraId="19DFDF39" w14:textId="77777777" w:rsidTr="009368BE">
        <w:tc>
          <w:tcPr>
            <w:tcW w:w="2122" w:type="dxa"/>
            <w:hideMark/>
          </w:tcPr>
          <w:p w14:paraId="24369534"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p>
        </w:tc>
        <w:tc>
          <w:tcPr>
            <w:tcW w:w="0" w:type="auto"/>
            <w:hideMark/>
          </w:tcPr>
          <w:p w14:paraId="5D06BF6F"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SUCP3</w:t>
            </w:r>
          </w:p>
        </w:tc>
        <w:tc>
          <w:tcPr>
            <w:tcW w:w="5490" w:type="dxa"/>
            <w:hideMark/>
          </w:tcPr>
          <w:p w14:paraId="66EAF377"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Digital records remain error-free and auditable per BPP standards.</w:t>
            </w:r>
          </w:p>
        </w:tc>
        <w:tc>
          <w:tcPr>
            <w:tcW w:w="1097" w:type="dxa"/>
            <w:hideMark/>
          </w:tcPr>
          <w:p w14:paraId="5E8B1CE1"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0.820</w:t>
            </w:r>
          </w:p>
        </w:tc>
      </w:tr>
      <w:tr w:rsidR="008B7883" w:rsidRPr="009368BE" w14:paraId="0AAA8004" w14:textId="77777777" w:rsidTr="009368BE">
        <w:tc>
          <w:tcPr>
            <w:tcW w:w="2122" w:type="dxa"/>
            <w:hideMark/>
          </w:tcPr>
          <w:p w14:paraId="3C834E5F"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p>
        </w:tc>
        <w:tc>
          <w:tcPr>
            <w:tcW w:w="0" w:type="auto"/>
            <w:hideMark/>
          </w:tcPr>
          <w:p w14:paraId="146262FD"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SUCP4</w:t>
            </w:r>
          </w:p>
        </w:tc>
        <w:tc>
          <w:tcPr>
            <w:tcW w:w="5490" w:type="dxa"/>
            <w:hideMark/>
          </w:tcPr>
          <w:p w14:paraId="1D7C3A89"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Supply chain remains functional despite macroeconomic volatility.</w:t>
            </w:r>
          </w:p>
        </w:tc>
        <w:tc>
          <w:tcPr>
            <w:tcW w:w="1097" w:type="dxa"/>
            <w:hideMark/>
          </w:tcPr>
          <w:p w14:paraId="41DE5D35"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0.656</w:t>
            </w:r>
          </w:p>
        </w:tc>
      </w:tr>
      <w:tr w:rsidR="008B7883" w:rsidRPr="009368BE" w14:paraId="774AA44B" w14:textId="77777777" w:rsidTr="009368BE">
        <w:tc>
          <w:tcPr>
            <w:tcW w:w="2122" w:type="dxa"/>
            <w:hideMark/>
          </w:tcPr>
          <w:p w14:paraId="49FDD10D"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p>
        </w:tc>
        <w:tc>
          <w:tcPr>
            <w:tcW w:w="0" w:type="auto"/>
            <w:hideMark/>
          </w:tcPr>
          <w:p w14:paraId="2949B106"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SUCP5</w:t>
            </w:r>
          </w:p>
        </w:tc>
        <w:tc>
          <w:tcPr>
            <w:tcW w:w="5490" w:type="dxa"/>
            <w:hideMark/>
          </w:tcPr>
          <w:p w14:paraId="0B18E9BB"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Strategies can be flexibly adjusted using technology.</w:t>
            </w:r>
          </w:p>
        </w:tc>
        <w:tc>
          <w:tcPr>
            <w:tcW w:w="1097" w:type="dxa"/>
            <w:hideMark/>
          </w:tcPr>
          <w:p w14:paraId="55CB6766" w14:textId="77777777" w:rsidR="008B7883" w:rsidRPr="009368BE" w:rsidRDefault="008B7883" w:rsidP="00EF2930">
            <w:pPr>
              <w:spacing w:after="160"/>
              <w:ind w:left="27"/>
              <w:jc w:val="both"/>
              <w:rPr>
                <w:rFonts w:ascii="Times New Roman" w:hAnsi="Times New Roman" w:cs="Times New Roman"/>
                <w:color w:val="000000" w:themeColor="text1"/>
                <w:sz w:val="22"/>
                <w:szCs w:val="22"/>
                <w:lang w:val="en-NG"/>
              </w:rPr>
            </w:pPr>
            <w:r w:rsidRPr="009368BE">
              <w:rPr>
                <w:rFonts w:ascii="Times New Roman" w:hAnsi="Times New Roman" w:cs="Times New Roman"/>
                <w:color w:val="000000" w:themeColor="text1"/>
                <w:sz w:val="22"/>
                <w:szCs w:val="22"/>
                <w:lang w:val="en-NG"/>
              </w:rPr>
              <w:t>0.740</w:t>
            </w:r>
          </w:p>
        </w:tc>
      </w:tr>
    </w:tbl>
    <w:p w14:paraId="5F019932" w14:textId="77777777" w:rsidR="005E58AE" w:rsidRPr="00C5615F" w:rsidRDefault="005E58AE" w:rsidP="005E58AE">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Source:</w:t>
      </w:r>
      <w:r w:rsidRPr="00C5615F">
        <w:rPr>
          <w:rFonts w:ascii="Times New Roman" w:hAnsi="Times New Roman" w:cs="Times New Roman"/>
          <w:color w:val="000000" w:themeColor="text1"/>
        </w:rPr>
        <w:t xml:space="preserve"> </w:t>
      </w:r>
      <w:proofErr w:type="spellStart"/>
      <w:r w:rsidRPr="00C5615F">
        <w:rPr>
          <w:rFonts w:ascii="Times New Roman" w:hAnsi="Times New Roman" w:cs="Times New Roman"/>
          <w:color w:val="000000" w:themeColor="text1"/>
        </w:rPr>
        <w:t>SmartPLS</w:t>
      </w:r>
      <w:proofErr w:type="spellEnd"/>
      <w:r w:rsidRPr="00C5615F">
        <w:rPr>
          <w:rFonts w:ascii="Times New Roman" w:hAnsi="Times New Roman" w:cs="Times New Roman"/>
          <w:color w:val="000000" w:themeColor="text1"/>
        </w:rPr>
        <w:t xml:space="preserve"> Output, 2026.</w:t>
      </w:r>
    </w:p>
    <w:p w14:paraId="613E1908" w14:textId="6DC9B681" w:rsidR="008B7883" w:rsidRPr="00C5615F" w:rsidRDefault="008B7883" w:rsidP="00F71560">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Table </w:t>
      </w:r>
      <w:r w:rsidR="00AF788B" w:rsidRPr="00C5615F">
        <w:rPr>
          <w:rFonts w:ascii="Times New Roman" w:hAnsi="Times New Roman" w:cs="Times New Roman"/>
          <w:color w:val="000000" w:themeColor="text1"/>
        </w:rPr>
        <w:t>2</w:t>
      </w:r>
      <w:r w:rsidRPr="00C5615F">
        <w:rPr>
          <w:rFonts w:ascii="Times New Roman" w:hAnsi="Times New Roman" w:cs="Times New Roman"/>
          <w:color w:val="000000" w:themeColor="text1"/>
        </w:rPr>
        <w:t xml:space="preserve"> presents the measurement model assessment for the effect of digital financial technologies on Supply Chain Performance (SUCP). According to Hair et al. (2019), factor loadings should ideally exceed 0.70, though values above 0.60 are considered acceptable in exploratory research.</w:t>
      </w:r>
      <w:r w:rsidR="008E4EC1" w:rsidRPr="00C5615F">
        <w:rPr>
          <w:rFonts w:ascii="Times New Roman" w:hAnsi="Times New Roman" w:cs="Times New Roman"/>
          <w:color w:val="000000" w:themeColor="text1"/>
        </w:rPr>
        <w:t xml:space="preserve"> </w:t>
      </w:r>
      <w:r w:rsidRPr="00C5615F">
        <w:rPr>
          <w:rFonts w:ascii="Times New Roman" w:hAnsi="Times New Roman" w:cs="Times New Roman"/>
          <w:color w:val="000000" w:themeColor="text1"/>
        </w:rPr>
        <w:t xml:space="preserve">Electronic Payment and Remittance Systems (EPRS) show strong reliability, particularly through EPRS5 (0.809), highlighting the role of digital liquidity in maintaining financial flow. Digital Supply Chain Finance (DSCF) is most strongly represented by DSCF5 (0.872), emphasizing collaborative stability. Within the Blockchain (BBSC) construct, BBSC3 (0.827) confirms that reducing intermediaries is a key driver of </w:t>
      </w:r>
      <w:proofErr w:type="spellStart"/>
      <w:r w:rsidRPr="00C5615F">
        <w:rPr>
          <w:rFonts w:ascii="Times New Roman" w:hAnsi="Times New Roman" w:cs="Times New Roman"/>
          <w:color w:val="000000" w:themeColor="text1"/>
        </w:rPr>
        <w:t>trustless</w:t>
      </w:r>
      <w:proofErr w:type="spellEnd"/>
      <w:r w:rsidRPr="00C5615F">
        <w:rPr>
          <w:rFonts w:ascii="Times New Roman" w:hAnsi="Times New Roman" w:cs="Times New Roman"/>
          <w:color w:val="000000" w:themeColor="text1"/>
        </w:rPr>
        <w:t xml:space="preserve"> infrastructure.</w:t>
      </w:r>
      <w:r w:rsidR="00F71560" w:rsidRPr="00C5615F">
        <w:rPr>
          <w:rFonts w:ascii="Times New Roman" w:hAnsi="Times New Roman" w:cs="Times New Roman"/>
          <w:color w:val="000000" w:themeColor="text1"/>
        </w:rPr>
        <w:t xml:space="preserve"> </w:t>
      </w:r>
      <w:r w:rsidRPr="00C5615F">
        <w:rPr>
          <w:rFonts w:ascii="Times New Roman" w:hAnsi="Times New Roman" w:cs="Times New Roman"/>
          <w:color w:val="000000" w:themeColor="text1"/>
        </w:rPr>
        <w:t xml:space="preserve">Big Data Analytics (BDAR) exhibited significant internal consistency, led by BDAR5 (0.843) regarding pre-emptive disruption mitigation. </w:t>
      </w:r>
      <w:r w:rsidR="00D3396E">
        <w:rPr>
          <w:rFonts w:ascii="Times New Roman" w:hAnsi="Times New Roman" w:cs="Times New Roman"/>
          <w:color w:val="000000" w:themeColor="text1"/>
        </w:rPr>
        <w:t>S</w:t>
      </w:r>
      <w:r w:rsidRPr="00C5615F">
        <w:rPr>
          <w:rFonts w:ascii="Times New Roman" w:hAnsi="Times New Roman" w:cs="Times New Roman"/>
          <w:color w:val="000000" w:themeColor="text1"/>
        </w:rPr>
        <w:t>upply Chain Performance (SUCP) is robustly measured, with SUCP1 (0.828) indicating that lead-time compression is the strongest indicator of performance. While a few items (e.g., EPRS3, DSCF1, SUCP4) fall slightly below the 0.70 threshold, they remain above 0.60, contributing to the overall content validity. These results provide a statistically sound basis for proceeding to the structural model (inner model) analysis.</w:t>
      </w:r>
    </w:p>
    <w:p w14:paraId="68784A52" w14:textId="77777777" w:rsidR="00CA1333" w:rsidRPr="00C5615F" w:rsidRDefault="00CA1333" w:rsidP="003F14EE">
      <w:pPr>
        <w:pStyle w:val="Heading1"/>
        <w:spacing w:line="360" w:lineRule="auto"/>
        <w:ind w:firstLine="720"/>
        <w:rPr>
          <w:rFonts w:ascii="Times New Roman" w:hAnsi="Times New Roman" w:cs="Times New Roman"/>
          <w:b/>
          <w:bCs/>
          <w:color w:val="000000" w:themeColor="text1"/>
          <w:sz w:val="24"/>
          <w:szCs w:val="24"/>
        </w:rPr>
      </w:pPr>
      <w:bookmarkStart w:id="0" w:name="_Hlk219884427"/>
      <w:r w:rsidRPr="00C5615F">
        <w:rPr>
          <w:rFonts w:ascii="Times New Roman" w:hAnsi="Times New Roman" w:cs="Times New Roman"/>
          <w:b/>
          <w:bCs/>
          <w:color w:val="000000" w:themeColor="text1"/>
          <w:sz w:val="24"/>
          <w:szCs w:val="24"/>
        </w:rPr>
        <w:t xml:space="preserve">Table 3: </w:t>
      </w:r>
      <w:proofErr w:type="spellStart"/>
      <w:r w:rsidRPr="00C5615F">
        <w:rPr>
          <w:rFonts w:ascii="Times New Roman" w:hAnsi="Times New Roman" w:cs="Times New Roman"/>
          <w:b/>
          <w:bCs/>
          <w:color w:val="000000" w:themeColor="text1"/>
          <w:sz w:val="24"/>
          <w:szCs w:val="24"/>
        </w:rPr>
        <w:t>Heterotrait-Monotrait</w:t>
      </w:r>
      <w:proofErr w:type="spellEnd"/>
      <w:r w:rsidRPr="00C5615F">
        <w:rPr>
          <w:rFonts w:ascii="Times New Roman" w:hAnsi="Times New Roman" w:cs="Times New Roman"/>
          <w:b/>
          <w:bCs/>
          <w:color w:val="000000" w:themeColor="text1"/>
          <w:sz w:val="24"/>
          <w:szCs w:val="24"/>
        </w:rPr>
        <w:t xml:space="preserve"> Ratio (HTMT)</w:t>
      </w:r>
    </w:p>
    <w:tbl>
      <w:tblPr>
        <w:tblStyle w:val="TableGrid2"/>
        <w:tblW w:w="8726" w:type="dxa"/>
        <w:tblInd w:w="704" w:type="dxa"/>
        <w:tblLook w:val="04A0" w:firstRow="1" w:lastRow="0" w:firstColumn="1" w:lastColumn="0" w:noHBand="0" w:noVBand="1"/>
      </w:tblPr>
      <w:tblGrid>
        <w:gridCol w:w="4111"/>
        <w:gridCol w:w="973"/>
        <w:gridCol w:w="914"/>
        <w:gridCol w:w="914"/>
        <w:gridCol w:w="900"/>
        <w:gridCol w:w="914"/>
      </w:tblGrid>
      <w:tr w:rsidR="00CA1333" w:rsidRPr="00C5615F" w14:paraId="38C3A924" w14:textId="77777777" w:rsidTr="00B02705">
        <w:tc>
          <w:tcPr>
            <w:tcW w:w="4111" w:type="dxa"/>
            <w:hideMark/>
          </w:tcPr>
          <w:p w14:paraId="69C807A6" w14:textId="77777777" w:rsidR="00CA1333" w:rsidRPr="00C5615F" w:rsidRDefault="00CA1333" w:rsidP="00750B93">
            <w:pPr>
              <w:spacing w:line="360" w:lineRule="auto"/>
              <w:jc w:val="both"/>
              <w:rPr>
                <w:rFonts w:ascii="Times New Roman" w:hAnsi="Times New Roman" w:cs="Times New Roman"/>
                <w:b/>
                <w:bCs/>
                <w:color w:val="000000" w:themeColor="text1"/>
                <w:sz w:val="24"/>
                <w:szCs w:val="24"/>
                <w:lang w:val="en-NG"/>
              </w:rPr>
            </w:pPr>
            <w:r w:rsidRPr="00C5615F">
              <w:rPr>
                <w:rFonts w:ascii="Times New Roman" w:hAnsi="Times New Roman" w:cs="Times New Roman"/>
                <w:b/>
                <w:bCs/>
                <w:color w:val="000000" w:themeColor="text1"/>
                <w:sz w:val="24"/>
                <w:szCs w:val="24"/>
                <w:lang w:val="en-NG"/>
              </w:rPr>
              <w:t>Construct</w:t>
            </w:r>
          </w:p>
        </w:tc>
        <w:tc>
          <w:tcPr>
            <w:tcW w:w="0" w:type="auto"/>
            <w:hideMark/>
          </w:tcPr>
          <w:p w14:paraId="39DA5FAB" w14:textId="77777777" w:rsidR="00CA1333" w:rsidRPr="00C5615F" w:rsidRDefault="00CA1333" w:rsidP="00750B93">
            <w:pPr>
              <w:spacing w:line="360" w:lineRule="auto"/>
              <w:jc w:val="both"/>
              <w:rPr>
                <w:rFonts w:ascii="Times New Roman" w:hAnsi="Times New Roman" w:cs="Times New Roman"/>
                <w:b/>
                <w:bCs/>
                <w:color w:val="000000" w:themeColor="text1"/>
                <w:sz w:val="24"/>
                <w:szCs w:val="24"/>
                <w:lang w:val="en-NG"/>
              </w:rPr>
            </w:pPr>
            <w:r w:rsidRPr="00C5615F">
              <w:rPr>
                <w:rFonts w:ascii="Times New Roman" w:hAnsi="Times New Roman" w:cs="Times New Roman"/>
                <w:b/>
                <w:bCs/>
                <w:color w:val="000000" w:themeColor="text1"/>
                <w:sz w:val="24"/>
                <w:szCs w:val="24"/>
                <w:lang w:val="en-NG"/>
              </w:rPr>
              <w:t>BDAR</w:t>
            </w:r>
          </w:p>
        </w:tc>
        <w:tc>
          <w:tcPr>
            <w:tcW w:w="0" w:type="auto"/>
            <w:hideMark/>
          </w:tcPr>
          <w:p w14:paraId="09950056" w14:textId="77777777" w:rsidR="00CA1333" w:rsidRPr="00C5615F" w:rsidRDefault="00CA1333" w:rsidP="00750B93">
            <w:pPr>
              <w:spacing w:line="360" w:lineRule="auto"/>
              <w:jc w:val="both"/>
              <w:rPr>
                <w:rFonts w:ascii="Times New Roman" w:hAnsi="Times New Roman" w:cs="Times New Roman"/>
                <w:b/>
                <w:bCs/>
                <w:color w:val="000000" w:themeColor="text1"/>
                <w:sz w:val="24"/>
                <w:szCs w:val="24"/>
                <w:lang w:val="en-NG"/>
              </w:rPr>
            </w:pPr>
            <w:r w:rsidRPr="00C5615F">
              <w:rPr>
                <w:rFonts w:ascii="Times New Roman" w:hAnsi="Times New Roman" w:cs="Times New Roman"/>
                <w:b/>
                <w:bCs/>
                <w:color w:val="000000" w:themeColor="text1"/>
                <w:sz w:val="24"/>
                <w:szCs w:val="24"/>
                <w:lang w:val="en-NG"/>
              </w:rPr>
              <w:t>BBSC</w:t>
            </w:r>
          </w:p>
        </w:tc>
        <w:tc>
          <w:tcPr>
            <w:tcW w:w="0" w:type="auto"/>
            <w:hideMark/>
          </w:tcPr>
          <w:p w14:paraId="343A9538" w14:textId="77777777" w:rsidR="00CA1333" w:rsidRPr="00C5615F" w:rsidRDefault="00CA1333" w:rsidP="00750B93">
            <w:pPr>
              <w:spacing w:line="360" w:lineRule="auto"/>
              <w:jc w:val="both"/>
              <w:rPr>
                <w:rFonts w:ascii="Times New Roman" w:hAnsi="Times New Roman" w:cs="Times New Roman"/>
                <w:b/>
                <w:bCs/>
                <w:color w:val="000000" w:themeColor="text1"/>
                <w:sz w:val="24"/>
                <w:szCs w:val="24"/>
                <w:lang w:val="en-NG"/>
              </w:rPr>
            </w:pPr>
            <w:r w:rsidRPr="00C5615F">
              <w:rPr>
                <w:rFonts w:ascii="Times New Roman" w:hAnsi="Times New Roman" w:cs="Times New Roman"/>
                <w:b/>
                <w:bCs/>
                <w:color w:val="000000" w:themeColor="text1"/>
                <w:sz w:val="24"/>
                <w:szCs w:val="24"/>
                <w:lang w:val="en-NG"/>
              </w:rPr>
              <w:t>DSCF</w:t>
            </w:r>
          </w:p>
        </w:tc>
        <w:tc>
          <w:tcPr>
            <w:tcW w:w="0" w:type="auto"/>
            <w:hideMark/>
          </w:tcPr>
          <w:p w14:paraId="467B651A" w14:textId="77777777" w:rsidR="00CA1333" w:rsidRPr="00C5615F" w:rsidRDefault="00CA1333" w:rsidP="00750B93">
            <w:pPr>
              <w:spacing w:line="360" w:lineRule="auto"/>
              <w:jc w:val="both"/>
              <w:rPr>
                <w:rFonts w:ascii="Times New Roman" w:hAnsi="Times New Roman" w:cs="Times New Roman"/>
                <w:b/>
                <w:bCs/>
                <w:color w:val="000000" w:themeColor="text1"/>
                <w:sz w:val="24"/>
                <w:szCs w:val="24"/>
                <w:lang w:val="en-NG"/>
              </w:rPr>
            </w:pPr>
            <w:r w:rsidRPr="00C5615F">
              <w:rPr>
                <w:rFonts w:ascii="Times New Roman" w:hAnsi="Times New Roman" w:cs="Times New Roman"/>
                <w:b/>
                <w:bCs/>
                <w:color w:val="000000" w:themeColor="text1"/>
                <w:sz w:val="24"/>
                <w:szCs w:val="24"/>
                <w:lang w:val="en-NG"/>
              </w:rPr>
              <w:t>EPRS</w:t>
            </w:r>
          </w:p>
        </w:tc>
        <w:tc>
          <w:tcPr>
            <w:tcW w:w="0" w:type="auto"/>
            <w:hideMark/>
          </w:tcPr>
          <w:p w14:paraId="06E27588" w14:textId="77777777" w:rsidR="00CA1333" w:rsidRPr="00C5615F" w:rsidRDefault="00CA1333" w:rsidP="00750B93">
            <w:pPr>
              <w:spacing w:line="360" w:lineRule="auto"/>
              <w:jc w:val="both"/>
              <w:rPr>
                <w:rFonts w:ascii="Times New Roman" w:hAnsi="Times New Roman" w:cs="Times New Roman"/>
                <w:b/>
                <w:bCs/>
                <w:color w:val="000000" w:themeColor="text1"/>
                <w:sz w:val="24"/>
                <w:szCs w:val="24"/>
                <w:lang w:val="en-NG"/>
              </w:rPr>
            </w:pPr>
            <w:r w:rsidRPr="00C5615F">
              <w:rPr>
                <w:rFonts w:ascii="Times New Roman" w:hAnsi="Times New Roman" w:cs="Times New Roman"/>
                <w:b/>
                <w:bCs/>
                <w:color w:val="000000" w:themeColor="text1"/>
                <w:sz w:val="24"/>
                <w:szCs w:val="24"/>
                <w:lang w:val="en-NG"/>
              </w:rPr>
              <w:t>SUCP</w:t>
            </w:r>
          </w:p>
        </w:tc>
      </w:tr>
      <w:tr w:rsidR="00CA1333" w:rsidRPr="00C5615F" w14:paraId="5AF8D055" w14:textId="77777777" w:rsidTr="00B02705">
        <w:tc>
          <w:tcPr>
            <w:tcW w:w="4111" w:type="dxa"/>
            <w:hideMark/>
          </w:tcPr>
          <w:p w14:paraId="453C8F89"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Big Data Analytics (BDAR)</w:t>
            </w:r>
          </w:p>
        </w:tc>
        <w:tc>
          <w:tcPr>
            <w:tcW w:w="0" w:type="auto"/>
            <w:hideMark/>
          </w:tcPr>
          <w:p w14:paraId="3F5B6338"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2FFA3D20"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2E07D00A"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7CC4DA2F"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26F33303"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r>
      <w:tr w:rsidR="00CA1333" w:rsidRPr="00C5615F" w14:paraId="1BCF959F" w14:textId="77777777" w:rsidTr="00B02705">
        <w:tc>
          <w:tcPr>
            <w:tcW w:w="4111" w:type="dxa"/>
            <w:hideMark/>
          </w:tcPr>
          <w:p w14:paraId="165D2958"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Blockchain Smart Contracts (BBSC)</w:t>
            </w:r>
          </w:p>
        </w:tc>
        <w:tc>
          <w:tcPr>
            <w:tcW w:w="0" w:type="auto"/>
            <w:hideMark/>
          </w:tcPr>
          <w:p w14:paraId="0F07CDFE"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0.818</w:t>
            </w:r>
          </w:p>
        </w:tc>
        <w:tc>
          <w:tcPr>
            <w:tcW w:w="0" w:type="auto"/>
            <w:hideMark/>
          </w:tcPr>
          <w:p w14:paraId="39764584"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0955B44B"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37F264D5"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69131312"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r>
      <w:tr w:rsidR="00CA1333" w:rsidRPr="00C5615F" w14:paraId="5F0B4538" w14:textId="77777777" w:rsidTr="00B02705">
        <w:tc>
          <w:tcPr>
            <w:tcW w:w="4111" w:type="dxa"/>
            <w:hideMark/>
          </w:tcPr>
          <w:p w14:paraId="05ABC6D0"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Supply Chain Finance (DSCF)</w:t>
            </w:r>
          </w:p>
        </w:tc>
        <w:tc>
          <w:tcPr>
            <w:tcW w:w="0" w:type="auto"/>
            <w:hideMark/>
          </w:tcPr>
          <w:p w14:paraId="29F6C912"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0.860</w:t>
            </w:r>
          </w:p>
        </w:tc>
        <w:tc>
          <w:tcPr>
            <w:tcW w:w="0" w:type="auto"/>
            <w:hideMark/>
          </w:tcPr>
          <w:p w14:paraId="7B8C7128"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0.807</w:t>
            </w:r>
          </w:p>
        </w:tc>
        <w:tc>
          <w:tcPr>
            <w:tcW w:w="0" w:type="auto"/>
            <w:hideMark/>
          </w:tcPr>
          <w:p w14:paraId="55DDFF85"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40A0720D"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6644234E"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r>
      <w:tr w:rsidR="00CA1333" w:rsidRPr="00C5615F" w14:paraId="433A5B3E" w14:textId="77777777" w:rsidTr="00B02705">
        <w:tc>
          <w:tcPr>
            <w:tcW w:w="4111" w:type="dxa"/>
            <w:hideMark/>
          </w:tcPr>
          <w:p w14:paraId="4E6B6609"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Electronic Payment Systems (EPRS)</w:t>
            </w:r>
          </w:p>
        </w:tc>
        <w:tc>
          <w:tcPr>
            <w:tcW w:w="0" w:type="auto"/>
            <w:hideMark/>
          </w:tcPr>
          <w:p w14:paraId="0936484E"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0.839</w:t>
            </w:r>
          </w:p>
        </w:tc>
        <w:tc>
          <w:tcPr>
            <w:tcW w:w="0" w:type="auto"/>
            <w:hideMark/>
          </w:tcPr>
          <w:p w14:paraId="0280946F"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0.801</w:t>
            </w:r>
          </w:p>
        </w:tc>
        <w:tc>
          <w:tcPr>
            <w:tcW w:w="0" w:type="auto"/>
            <w:hideMark/>
          </w:tcPr>
          <w:p w14:paraId="19CB0D5D"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0.816</w:t>
            </w:r>
          </w:p>
        </w:tc>
        <w:tc>
          <w:tcPr>
            <w:tcW w:w="0" w:type="auto"/>
            <w:hideMark/>
          </w:tcPr>
          <w:p w14:paraId="1DCC749E"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c>
          <w:tcPr>
            <w:tcW w:w="0" w:type="auto"/>
            <w:hideMark/>
          </w:tcPr>
          <w:p w14:paraId="47A294FC"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r>
      <w:tr w:rsidR="00CA1333" w:rsidRPr="00C5615F" w14:paraId="69DAF43C" w14:textId="77777777" w:rsidTr="00B02705">
        <w:tc>
          <w:tcPr>
            <w:tcW w:w="4111" w:type="dxa"/>
            <w:hideMark/>
          </w:tcPr>
          <w:p w14:paraId="30CB2F3E"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Supply Chain Performance (SUCP)</w:t>
            </w:r>
          </w:p>
        </w:tc>
        <w:tc>
          <w:tcPr>
            <w:tcW w:w="0" w:type="auto"/>
            <w:hideMark/>
          </w:tcPr>
          <w:p w14:paraId="7DE02F91"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0.807</w:t>
            </w:r>
          </w:p>
        </w:tc>
        <w:tc>
          <w:tcPr>
            <w:tcW w:w="0" w:type="auto"/>
            <w:hideMark/>
          </w:tcPr>
          <w:p w14:paraId="1C8DC9E9"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0.815</w:t>
            </w:r>
          </w:p>
        </w:tc>
        <w:tc>
          <w:tcPr>
            <w:tcW w:w="0" w:type="auto"/>
            <w:hideMark/>
          </w:tcPr>
          <w:p w14:paraId="0687A96B"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0.872</w:t>
            </w:r>
          </w:p>
        </w:tc>
        <w:tc>
          <w:tcPr>
            <w:tcW w:w="0" w:type="auto"/>
            <w:hideMark/>
          </w:tcPr>
          <w:p w14:paraId="1D7B2313"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0.865</w:t>
            </w:r>
          </w:p>
        </w:tc>
        <w:tc>
          <w:tcPr>
            <w:tcW w:w="0" w:type="auto"/>
            <w:hideMark/>
          </w:tcPr>
          <w:p w14:paraId="17FD4208" w14:textId="77777777" w:rsidR="00CA1333" w:rsidRPr="00C5615F" w:rsidRDefault="00CA1333" w:rsidP="00750B93">
            <w:pPr>
              <w:spacing w:line="360" w:lineRule="auto"/>
              <w:jc w:val="both"/>
              <w:rPr>
                <w:rFonts w:ascii="Times New Roman" w:hAnsi="Times New Roman" w:cs="Times New Roman"/>
                <w:color w:val="000000" w:themeColor="text1"/>
                <w:sz w:val="24"/>
                <w:szCs w:val="24"/>
                <w:lang w:val="en-NG"/>
              </w:rPr>
            </w:pPr>
          </w:p>
        </w:tc>
      </w:tr>
    </w:tbl>
    <w:p w14:paraId="0FD89F01" w14:textId="77777777" w:rsidR="00CA1333" w:rsidRPr="00C5615F" w:rsidRDefault="00CA1333" w:rsidP="00CA1333">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Source:</w:t>
      </w:r>
      <w:r w:rsidRPr="00C5615F">
        <w:rPr>
          <w:rFonts w:ascii="Times New Roman" w:hAnsi="Times New Roman" w:cs="Times New Roman"/>
          <w:color w:val="000000" w:themeColor="text1"/>
        </w:rPr>
        <w:t xml:space="preserve"> </w:t>
      </w:r>
      <w:proofErr w:type="spellStart"/>
      <w:r w:rsidRPr="00C5615F">
        <w:rPr>
          <w:rFonts w:ascii="Times New Roman" w:hAnsi="Times New Roman" w:cs="Times New Roman"/>
          <w:color w:val="000000" w:themeColor="text1"/>
        </w:rPr>
        <w:t>SmartPLS</w:t>
      </w:r>
      <w:proofErr w:type="spellEnd"/>
      <w:r w:rsidRPr="00C5615F">
        <w:rPr>
          <w:rFonts w:ascii="Times New Roman" w:hAnsi="Times New Roman" w:cs="Times New Roman"/>
          <w:color w:val="000000" w:themeColor="text1"/>
        </w:rPr>
        <w:t xml:space="preserve"> Output, 2026.</w:t>
      </w:r>
    </w:p>
    <w:p w14:paraId="59F5B183" w14:textId="2DA31807" w:rsidR="004A16DA" w:rsidRPr="00C5615F" w:rsidRDefault="004A16DA" w:rsidP="00D155C7">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Table 3 presents the </w:t>
      </w:r>
      <w:proofErr w:type="spellStart"/>
      <w:r w:rsidRPr="00C5615F">
        <w:rPr>
          <w:rFonts w:ascii="Times New Roman" w:hAnsi="Times New Roman" w:cs="Times New Roman"/>
          <w:color w:val="000000" w:themeColor="text1"/>
        </w:rPr>
        <w:t>Heterotrait-Monotrait</w:t>
      </w:r>
      <w:proofErr w:type="spellEnd"/>
      <w:r w:rsidRPr="00C5615F">
        <w:rPr>
          <w:rFonts w:ascii="Times New Roman" w:hAnsi="Times New Roman" w:cs="Times New Roman"/>
          <w:color w:val="000000" w:themeColor="text1"/>
        </w:rPr>
        <w:t xml:space="preserve"> Ratio (HTMT) results for assessing discriminant validity. Following Henseler et al. (2015), validity is established when values fall below the conservative 0.85 or liberal 0.90 threshold. In this analysis, most values are below 0.85, confirming the constructs are empirically distinct. Although the relationships between Supply Chain Performance (SUCP) and both Supply Chain Finance (0.872) and Electronic Payment Systems (0.865) slightly exceed the 0.85 mark, they remain well within the 0.90 limit. </w:t>
      </w:r>
      <w:r w:rsidR="00F60AE7" w:rsidRPr="00F60AE7">
        <w:rPr>
          <w:rFonts w:ascii="Times New Roman" w:hAnsi="Times New Roman" w:cs="Times New Roman"/>
          <w:color w:val="000000" w:themeColor="text1"/>
        </w:rPr>
        <w:t>Items with loadings between 0.60 and 0.70 were retained as their removal did not significantly increase composite reliability or average variance extracted (AVE).</w:t>
      </w:r>
      <w:r w:rsidR="00F60AE7">
        <w:rPr>
          <w:rFonts w:ascii="Times New Roman" w:hAnsi="Times New Roman" w:cs="Times New Roman"/>
          <w:color w:val="000000" w:themeColor="text1"/>
        </w:rPr>
        <w:t xml:space="preserve"> </w:t>
      </w:r>
      <w:r w:rsidRPr="00C5615F">
        <w:rPr>
          <w:rFonts w:ascii="Times New Roman" w:hAnsi="Times New Roman" w:cs="Times New Roman"/>
          <w:color w:val="000000" w:themeColor="text1"/>
        </w:rPr>
        <w:t>This confirms that while the digital dimensions are related, they represent unique theoretical constructs, providing a sound foundation for structural model testing.</w:t>
      </w:r>
    </w:p>
    <w:bookmarkEnd w:id="0"/>
    <w:p w14:paraId="1D4BC051" w14:textId="77777777" w:rsidR="007F6BB7" w:rsidRPr="00C5615F" w:rsidRDefault="007F6BB7" w:rsidP="00515F70">
      <w:pPr>
        <w:pStyle w:val="Heading1"/>
        <w:spacing w:line="360" w:lineRule="auto"/>
        <w:ind w:firstLine="720"/>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Table 4: Collinearity Statistics (Inner VIF Values)</w:t>
      </w:r>
    </w:p>
    <w:tbl>
      <w:tblPr>
        <w:tblStyle w:val="TableGrid"/>
        <w:tblW w:w="8789" w:type="dxa"/>
        <w:tblInd w:w="704" w:type="dxa"/>
        <w:tblLook w:val="04A0" w:firstRow="1" w:lastRow="0" w:firstColumn="1" w:lastColumn="0" w:noHBand="0" w:noVBand="1"/>
      </w:tblPr>
      <w:tblGrid>
        <w:gridCol w:w="5669"/>
        <w:gridCol w:w="3120"/>
      </w:tblGrid>
      <w:tr w:rsidR="007F6BB7" w:rsidRPr="00C5615F" w14:paraId="3A9B88C9" w14:textId="77777777" w:rsidTr="001F329F">
        <w:tc>
          <w:tcPr>
            <w:tcW w:w="0" w:type="auto"/>
            <w:hideMark/>
          </w:tcPr>
          <w:p w14:paraId="7E1DAA74" w14:textId="77777777" w:rsidR="007F6BB7" w:rsidRPr="00C5615F" w:rsidRDefault="007F6BB7" w:rsidP="007F6BB7">
            <w:pPr>
              <w:spacing w:after="160"/>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Construct</w:t>
            </w:r>
          </w:p>
        </w:tc>
        <w:tc>
          <w:tcPr>
            <w:tcW w:w="3120" w:type="dxa"/>
            <w:hideMark/>
          </w:tcPr>
          <w:p w14:paraId="53212BD6" w14:textId="77777777" w:rsidR="007F6BB7" w:rsidRPr="00C5615F" w:rsidRDefault="007F6BB7" w:rsidP="007F6BB7">
            <w:pPr>
              <w:spacing w:after="160"/>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Supply Chain Performance (SUCP)</w:t>
            </w:r>
          </w:p>
        </w:tc>
      </w:tr>
      <w:tr w:rsidR="007F6BB7" w:rsidRPr="00C5615F" w14:paraId="6522D3B8" w14:textId="77777777" w:rsidTr="001F329F">
        <w:tc>
          <w:tcPr>
            <w:tcW w:w="0" w:type="auto"/>
            <w:hideMark/>
          </w:tcPr>
          <w:p w14:paraId="7BDB4AE7" w14:textId="77777777" w:rsidR="007F6BB7" w:rsidRPr="00C5615F" w:rsidRDefault="007F6BB7" w:rsidP="007F6BB7">
            <w:pPr>
              <w:spacing w:after="160"/>
              <w:jc w:val="both"/>
              <w:rPr>
                <w:rFonts w:ascii="Times New Roman" w:hAnsi="Times New Roman" w:cs="Times New Roman"/>
                <w:color w:val="000000" w:themeColor="text1"/>
              </w:rPr>
            </w:pPr>
            <w:r w:rsidRPr="00C5615F">
              <w:rPr>
                <w:rFonts w:ascii="Times New Roman" w:hAnsi="Times New Roman" w:cs="Times New Roman"/>
                <w:color w:val="000000" w:themeColor="text1"/>
              </w:rPr>
              <w:t>Big Data Analytics and AI Risk Assessment (BDAR)</w:t>
            </w:r>
          </w:p>
        </w:tc>
        <w:tc>
          <w:tcPr>
            <w:tcW w:w="3120" w:type="dxa"/>
            <w:hideMark/>
          </w:tcPr>
          <w:p w14:paraId="26D56F7D" w14:textId="77777777" w:rsidR="007F6BB7" w:rsidRPr="00C5615F" w:rsidRDefault="007F6BB7" w:rsidP="007F6BB7">
            <w:pPr>
              <w:spacing w:after="160"/>
              <w:jc w:val="both"/>
              <w:rPr>
                <w:rFonts w:ascii="Times New Roman" w:hAnsi="Times New Roman" w:cs="Times New Roman"/>
                <w:color w:val="000000" w:themeColor="text1"/>
              </w:rPr>
            </w:pPr>
            <w:r w:rsidRPr="00C5615F">
              <w:rPr>
                <w:rFonts w:ascii="Times New Roman" w:hAnsi="Times New Roman" w:cs="Times New Roman"/>
                <w:color w:val="000000" w:themeColor="text1"/>
              </w:rPr>
              <w:t>4.138</w:t>
            </w:r>
          </w:p>
        </w:tc>
      </w:tr>
      <w:tr w:rsidR="007F6BB7" w:rsidRPr="00C5615F" w14:paraId="7A5FED4A" w14:textId="77777777" w:rsidTr="001F329F">
        <w:tc>
          <w:tcPr>
            <w:tcW w:w="0" w:type="auto"/>
            <w:hideMark/>
          </w:tcPr>
          <w:p w14:paraId="0421145C" w14:textId="77777777" w:rsidR="007F6BB7" w:rsidRPr="00C5615F" w:rsidRDefault="007F6BB7" w:rsidP="007F6BB7">
            <w:pPr>
              <w:spacing w:after="160"/>
              <w:jc w:val="both"/>
              <w:rPr>
                <w:rFonts w:ascii="Times New Roman" w:hAnsi="Times New Roman" w:cs="Times New Roman"/>
                <w:color w:val="000000" w:themeColor="text1"/>
              </w:rPr>
            </w:pPr>
            <w:r w:rsidRPr="00C5615F">
              <w:rPr>
                <w:rFonts w:ascii="Times New Roman" w:hAnsi="Times New Roman" w:cs="Times New Roman"/>
                <w:color w:val="000000" w:themeColor="text1"/>
              </w:rPr>
              <w:t>Blockchain-Based Smart Contracts (BBSC)</w:t>
            </w:r>
          </w:p>
        </w:tc>
        <w:tc>
          <w:tcPr>
            <w:tcW w:w="3120" w:type="dxa"/>
            <w:hideMark/>
          </w:tcPr>
          <w:p w14:paraId="0416D116" w14:textId="77777777" w:rsidR="007F6BB7" w:rsidRPr="00C5615F" w:rsidRDefault="007F6BB7" w:rsidP="007F6BB7">
            <w:pPr>
              <w:spacing w:after="160"/>
              <w:jc w:val="both"/>
              <w:rPr>
                <w:rFonts w:ascii="Times New Roman" w:hAnsi="Times New Roman" w:cs="Times New Roman"/>
                <w:color w:val="000000" w:themeColor="text1"/>
              </w:rPr>
            </w:pPr>
            <w:r w:rsidRPr="00C5615F">
              <w:rPr>
                <w:rFonts w:ascii="Times New Roman" w:hAnsi="Times New Roman" w:cs="Times New Roman"/>
                <w:color w:val="000000" w:themeColor="text1"/>
              </w:rPr>
              <w:t>3.287</w:t>
            </w:r>
          </w:p>
        </w:tc>
      </w:tr>
      <w:tr w:rsidR="007F6BB7" w:rsidRPr="00C5615F" w14:paraId="55FCEC0B" w14:textId="77777777" w:rsidTr="001F329F">
        <w:tc>
          <w:tcPr>
            <w:tcW w:w="0" w:type="auto"/>
            <w:hideMark/>
          </w:tcPr>
          <w:p w14:paraId="4D1F27D8" w14:textId="77777777" w:rsidR="007F6BB7" w:rsidRPr="00C5615F" w:rsidRDefault="007F6BB7" w:rsidP="007F6BB7">
            <w:pPr>
              <w:spacing w:after="160"/>
              <w:jc w:val="both"/>
              <w:rPr>
                <w:rFonts w:ascii="Times New Roman" w:hAnsi="Times New Roman" w:cs="Times New Roman"/>
                <w:color w:val="000000" w:themeColor="text1"/>
              </w:rPr>
            </w:pPr>
            <w:r w:rsidRPr="00C5615F">
              <w:rPr>
                <w:rFonts w:ascii="Times New Roman" w:hAnsi="Times New Roman" w:cs="Times New Roman"/>
                <w:color w:val="000000" w:themeColor="text1"/>
              </w:rPr>
              <w:t>Digital Supply Chain Finance Utilization (DSCF)</w:t>
            </w:r>
          </w:p>
        </w:tc>
        <w:tc>
          <w:tcPr>
            <w:tcW w:w="3120" w:type="dxa"/>
            <w:hideMark/>
          </w:tcPr>
          <w:p w14:paraId="3F485BF7" w14:textId="77777777" w:rsidR="007F6BB7" w:rsidRPr="00C5615F" w:rsidRDefault="007F6BB7" w:rsidP="007F6BB7">
            <w:pPr>
              <w:spacing w:after="160"/>
              <w:jc w:val="both"/>
              <w:rPr>
                <w:rFonts w:ascii="Times New Roman" w:hAnsi="Times New Roman" w:cs="Times New Roman"/>
                <w:color w:val="000000" w:themeColor="text1"/>
              </w:rPr>
            </w:pPr>
            <w:r w:rsidRPr="00C5615F">
              <w:rPr>
                <w:rFonts w:ascii="Times New Roman" w:hAnsi="Times New Roman" w:cs="Times New Roman"/>
                <w:color w:val="000000" w:themeColor="text1"/>
              </w:rPr>
              <w:t>3.558</w:t>
            </w:r>
          </w:p>
        </w:tc>
      </w:tr>
      <w:tr w:rsidR="007F6BB7" w:rsidRPr="00C5615F" w14:paraId="5A2FB908" w14:textId="77777777" w:rsidTr="001F329F">
        <w:tc>
          <w:tcPr>
            <w:tcW w:w="0" w:type="auto"/>
            <w:hideMark/>
          </w:tcPr>
          <w:p w14:paraId="62F84F9D" w14:textId="77777777" w:rsidR="007F6BB7" w:rsidRPr="00C5615F" w:rsidRDefault="007F6BB7" w:rsidP="007F6BB7">
            <w:pPr>
              <w:spacing w:after="160"/>
              <w:jc w:val="both"/>
              <w:rPr>
                <w:rFonts w:ascii="Times New Roman" w:hAnsi="Times New Roman" w:cs="Times New Roman"/>
                <w:color w:val="000000" w:themeColor="text1"/>
              </w:rPr>
            </w:pPr>
            <w:r w:rsidRPr="00C5615F">
              <w:rPr>
                <w:rFonts w:ascii="Times New Roman" w:hAnsi="Times New Roman" w:cs="Times New Roman"/>
                <w:color w:val="000000" w:themeColor="text1"/>
              </w:rPr>
              <w:t>Electronic Payment and Remittance Systems (EPRS)</w:t>
            </w:r>
          </w:p>
        </w:tc>
        <w:tc>
          <w:tcPr>
            <w:tcW w:w="3120" w:type="dxa"/>
            <w:hideMark/>
          </w:tcPr>
          <w:p w14:paraId="6B133045" w14:textId="77777777" w:rsidR="007F6BB7" w:rsidRPr="00C5615F" w:rsidRDefault="007F6BB7" w:rsidP="007F6BB7">
            <w:pPr>
              <w:spacing w:after="160"/>
              <w:jc w:val="both"/>
              <w:rPr>
                <w:rFonts w:ascii="Times New Roman" w:hAnsi="Times New Roman" w:cs="Times New Roman"/>
                <w:color w:val="000000" w:themeColor="text1"/>
              </w:rPr>
            </w:pPr>
            <w:r w:rsidRPr="00C5615F">
              <w:rPr>
                <w:rFonts w:ascii="Times New Roman" w:hAnsi="Times New Roman" w:cs="Times New Roman"/>
                <w:color w:val="000000" w:themeColor="text1"/>
              </w:rPr>
              <w:t>2.040</w:t>
            </w:r>
          </w:p>
        </w:tc>
      </w:tr>
    </w:tbl>
    <w:p w14:paraId="73DA4C62" w14:textId="77777777" w:rsidR="007F6BB7" w:rsidRPr="00C5615F" w:rsidRDefault="007F6BB7" w:rsidP="007F6BB7">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Source:</w:t>
      </w:r>
      <w:r w:rsidRPr="00C5615F">
        <w:rPr>
          <w:rFonts w:ascii="Times New Roman" w:hAnsi="Times New Roman" w:cs="Times New Roman"/>
          <w:color w:val="000000" w:themeColor="text1"/>
        </w:rPr>
        <w:t xml:space="preserve"> </w:t>
      </w:r>
      <w:proofErr w:type="spellStart"/>
      <w:r w:rsidRPr="00C5615F">
        <w:rPr>
          <w:rFonts w:ascii="Times New Roman" w:hAnsi="Times New Roman" w:cs="Times New Roman"/>
          <w:color w:val="000000" w:themeColor="text1"/>
        </w:rPr>
        <w:t>SmartPLS</w:t>
      </w:r>
      <w:proofErr w:type="spellEnd"/>
      <w:r w:rsidRPr="00C5615F">
        <w:rPr>
          <w:rFonts w:ascii="Times New Roman" w:hAnsi="Times New Roman" w:cs="Times New Roman"/>
          <w:color w:val="000000" w:themeColor="text1"/>
        </w:rPr>
        <w:t xml:space="preserve"> Output, 2026.</w:t>
      </w:r>
    </w:p>
    <w:p w14:paraId="390C441D" w14:textId="506BA643" w:rsidR="00991AF5" w:rsidRPr="00C5615F" w:rsidRDefault="00991AF5" w:rsidP="00275FD2">
      <w:pPr>
        <w:spacing w:line="240" w:lineRule="auto"/>
        <w:ind w:left="720"/>
        <w:jc w:val="both"/>
        <w:rPr>
          <w:rFonts w:ascii="Times New Roman" w:hAnsi="Times New Roman" w:cs="Times New Roman"/>
          <w:color w:val="000000" w:themeColor="text1"/>
        </w:rPr>
      </w:pPr>
      <w:r w:rsidRPr="00991AF5">
        <w:rPr>
          <w:rFonts w:ascii="Times New Roman" w:hAnsi="Times New Roman" w:cs="Times New Roman"/>
          <w:color w:val="000000" w:themeColor="text1"/>
        </w:rPr>
        <w:t xml:space="preserve">Table </w:t>
      </w:r>
      <w:r w:rsidR="00786FA3">
        <w:rPr>
          <w:rFonts w:ascii="Times New Roman" w:hAnsi="Times New Roman" w:cs="Times New Roman"/>
          <w:color w:val="000000" w:themeColor="text1"/>
        </w:rPr>
        <w:t xml:space="preserve">4 </w:t>
      </w:r>
      <w:r w:rsidRPr="00991AF5">
        <w:rPr>
          <w:rFonts w:ascii="Times New Roman" w:hAnsi="Times New Roman" w:cs="Times New Roman"/>
          <w:color w:val="000000" w:themeColor="text1"/>
        </w:rPr>
        <w:t xml:space="preserve">presents the </w:t>
      </w:r>
      <w:proofErr w:type="spellStart"/>
      <w:r w:rsidRPr="00991AF5">
        <w:rPr>
          <w:rFonts w:ascii="Times New Roman" w:hAnsi="Times New Roman" w:cs="Times New Roman"/>
          <w:color w:val="000000" w:themeColor="text1"/>
        </w:rPr>
        <w:t>Heterotrait-Monotrait</w:t>
      </w:r>
      <w:proofErr w:type="spellEnd"/>
      <w:r w:rsidRPr="00991AF5">
        <w:rPr>
          <w:rFonts w:ascii="Times New Roman" w:hAnsi="Times New Roman" w:cs="Times New Roman"/>
          <w:color w:val="000000" w:themeColor="text1"/>
        </w:rPr>
        <w:t xml:space="preserve"> Ratio (HTMT) results utilized to assess discriminant validity. Following Henseler et al. (2015), validity is confirmed when values remain below the conservative 0.85 or liberal 0.90 threshold. Most values fall below 0.85, indicating the constructs are empirically distinct. While correlations between Supply Chain Performance (SUCP) and both Digital Supply Chain Finance (0.872) and Electronic Payment Systems (0.865) slightly exceed the conservative benchmark, they remain safely within the 0.90 liberal limit. Additionally, items with loadings between 0.60 and 0.70 were retained, as their removal did not significantly enhance composite reliability or Average Variance Extracted (AVE). This confirm</w:t>
      </w:r>
      <w:r w:rsidR="00E2482E">
        <w:rPr>
          <w:rFonts w:ascii="Times New Roman" w:hAnsi="Times New Roman" w:cs="Times New Roman"/>
          <w:color w:val="000000" w:themeColor="text1"/>
        </w:rPr>
        <w:t>ed</w:t>
      </w:r>
      <w:r w:rsidRPr="00991AF5">
        <w:rPr>
          <w:rFonts w:ascii="Times New Roman" w:hAnsi="Times New Roman" w:cs="Times New Roman"/>
          <w:color w:val="000000" w:themeColor="text1"/>
        </w:rPr>
        <w:t xml:space="preserve"> that while digital dimensions are conceptually related, they represent unique theoretical constructs, providing a robust statistical foundation for structural model testing and hypothesis evaluation.</w:t>
      </w:r>
    </w:p>
    <w:p w14:paraId="20298E91" w14:textId="5AA1998F" w:rsidR="00DE1F72" w:rsidRPr="00C5615F" w:rsidRDefault="00DE1F72" w:rsidP="009B6DC9">
      <w:pPr>
        <w:pStyle w:val="Heading1"/>
        <w:spacing w:line="360" w:lineRule="auto"/>
        <w:ind w:firstLine="720"/>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Table 5: Effect Size (f</w:t>
      </w:r>
      <w:r w:rsidRPr="00C5615F">
        <w:rPr>
          <w:rFonts w:ascii="Times New Roman" w:hAnsi="Times New Roman" w:cs="Times New Roman"/>
          <w:b/>
          <w:bCs/>
          <w:color w:val="000000" w:themeColor="text1"/>
          <w:sz w:val="24"/>
          <w:szCs w:val="24"/>
          <w:vertAlign w:val="superscript"/>
        </w:rPr>
        <w:t>2</w:t>
      </w:r>
      <w:r w:rsidRPr="00C5615F">
        <w:rPr>
          <w:rFonts w:ascii="Times New Roman" w:hAnsi="Times New Roman" w:cs="Times New Roman"/>
          <w:b/>
          <w:bCs/>
          <w:color w:val="000000" w:themeColor="text1"/>
          <w:sz w:val="24"/>
          <w:szCs w:val="24"/>
        </w:rPr>
        <w:t>)</w:t>
      </w:r>
    </w:p>
    <w:tbl>
      <w:tblPr>
        <w:tblStyle w:val="TableGrid2"/>
        <w:tblW w:w="8505" w:type="dxa"/>
        <w:tblInd w:w="704" w:type="dxa"/>
        <w:tblLook w:val="04A0" w:firstRow="1" w:lastRow="0" w:firstColumn="1" w:lastColumn="0" w:noHBand="0" w:noVBand="1"/>
      </w:tblPr>
      <w:tblGrid>
        <w:gridCol w:w="5245"/>
        <w:gridCol w:w="1679"/>
        <w:gridCol w:w="1581"/>
      </w:tblGrid>
      <w:tr w:rsidR="00DE1F72" w:rsidRPr="00C5615F" w14:paraId="2497F070" w14:textId="77777777" w:rsidTr="001D38F0">
        <w:tc>
          <w:tcPr>
            <w:tcW w:w="5245" w:type="dxa"/>
            <w:hideMark/>
          </w:tcPr>
          <w:p w14:paraId="754F0D11" w14:textId="77777777" w:rsidR="00DE1F72" w:rsidRPr="00C5615F" w:rsidRDefault="00DE1F72" w:rsidP="004E40F5">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Construct</w:t>
            </w:r>
          </w:p>
        </w:tc>
        <w:tc>
          <w:tcPr>
            <w:tcW w:w="1679" w:type="dxa"/>
            <w:hideMark/>
          </w:tcPr>
          <w:p w14:paraId="74B52E72" w14:textId="77777777" w:rsidR="00DE1F72" w:rsidRPr="00C5615F" w:rsidRDefault="00DE1F72" w:rsidP="004E40F5">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Effect Size (f</w:t>
            </w:r>
            <w:r w:rsidRPr="00C5615F">
              <w:rPr>
                <w:rFonts w:ascii="Times New Roman" w:hAnsi="Times New Roman" w:cs="Times New Roman"/>
                <w:b/>
                <w:bCs/>
                <w:color w:val="000000" w:themeColor="text1"/>
                <w:sz w:val="24"/>
                <w:szCs w:val="24"/>
                <w:vertAlign w:val="superscript"/>
                <w:lang w:val="en-NG"/>
              </w:rPr>
              <w:t>2</w:t>
            </w:r>
            <w:r w:rsidRPr="00C5615F">
              <w:rPr>
                <w:rFonts w:ascii="Times New Roman" w:hAnsi="Times New Roman" w:cs="Times New Roman"/>
                <w:b/>
                <w:bCs/>
                <w:color w:val="000000" w:themeColor="text1"/>
                <w:sz w:val="24"/>
                <w:szCs w:val="24"/>
                <w:lang w:val="en-NG"/>
              </w:rPr>
              <w:t>)</w:t>
            </w:r>
          </w:p>
        </w:tc>
        <w:tc>
          <w:tcPr>
            <w:tcW w:w="1581" w:type="dxa"/>
            <w:hideMark/>
          </w:tcPr>
          <w:p w14:paraId="65C3D38F" w14:textId="2EF78174" w:rsidR="00DE1F72" w:rsidRPr="00C5615F" w:rsidRDefault="00DE1F72" w:rsidP="004E40F5">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Cohens Threshold</w:t>
            </w:r>
          </w:p>
        </w:tc>
      </w:tr>
      <w:tr w:rsidR="00DE1F72" w:rsidRPr="00C5615F" w14:paraId="6186E999" w14:textId="77777777" w:rsidTr="001D38F0">
        <w:tc>
          <w:tcPr>
            <w:tcW w:w="5245" w:type="dxa"/>
            <w:hideMark/>
          </w:tcPr>
          <w:p w14:paraId="73EFCA35" w14:textId="77777777" w:rsidR="00DE1F72" w:rsidRPr="00931AD6" w:rsidRDefault="00DE1F72" w:rsidP="004E40F5">
            <w:pPr>
              <w:spacing w:after="160"/>
              <w:jc w:val="both"/>
              <w:rPr>
                <w:rFonts w:ascii="Times New Roman" w:hAnsi="Times New Roman" w:cs="Times New Roman"/>
                <w:color w:val="000000" w:themeColor="text1"/>
                <w:sz w:val="24"/>
                <w:szCs w:val="24"/>
                <w:lang w:val="en-NG"/>
              </w:rPr>
            </w:pPr>
            <w:r w:rsidRPr="00931AD6">
              <w:rPr>
                <w:rFonts w:ascii="Times New Roman" w:hAnsi="Times New Roman" w:cs="Times New Roman"/>
                <w:color w:val="000000" w:themeColor="text1"/>
                <w:sz w:val="24"/>
                <w:szCs w:val="24"/>
                <w:lang w:val="en-NG"/>
              </w:rPr>
              <w:t>Blockchain-Based Smart Contracts (BBSC)</w:t>
            </w:r>
          </w:p>
        </w:tc>
        <w:tc>
          <w:tcPr>
            <w:tcW w:w="1679" w:type="dxa"/>
            <w:hideMark/>
          </w:tcPr>
          <w:p w14:paraId="512D4512" w14:textId="77777777" w:rsidR="00DE1F72" w:rsidRPr="00C5615F" w:rsidRDefault="00DE1F72" w:rsidP="004E40F5">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0.108</w:t>
            </w:r>
          </w:p>
        </w:tc>
        <w:tc>
          <w:tcPr>
            <w:tcW w:w="1581" w:type="dxa"/>
            <w:hideMark/>
          </w:tcPr>
          <w:p w14:paraId="50BF9A15" w14:textId="77777777" w:rsidR="00DE1F72" w:rsidRPr="00C5615F" w:rsidRDefault="00DE1F72" w:rsidP="004E40F5">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Small Effect</w:t>
            </w:r>
          </w:p>
        </w:tc>
      </w:tr>
      <w:tr w:rsidR="00DE1F72" w:rsidRPr="00C5615F" w14:paraId="7DAE63EB" w14:textId="77777777" w:rsidTr="001D38F0">
        <w:tc>
          <w:tcPr>
            <w:tcW w:w="5245" w:type="dxa"/>
            <w:hideMark/>
          </w:tcPr>
          <w:p w14:paraId="0FBC87D9" w14:textId="77777777" w:rsidR="00DE1F72" w:rsidRPr="00931AD6" w:rsidRDefault="00DE1F72" w:rsidP="004E40F5">
            <w:pPr>
              <w:spacing w:after="160"/>
              <w:jc w:val="both"/>
              <w:rPr>
                <w:rFonts w:ascii="Times New Roman" w:hAnsi="Times New Roman" w:cs="Times New Roman"/>
                <w:color w:val="000000" w:themeColor="text1"/>
                <w:sz w:val="24"/>
                <w:szCs w:val="24"/>
                <w:lang w:val="en-NG"/>
              </w:rPr>
            </w:pPr>
            <w:r w:rsidRPr="00931AD6">
              <w:rPr>
                <w:rFonts w:ascii="Times New Roman" w:hAnsi="Times New Roman" w:cs="Times New Roman"/>
                <w:color w:val="000000" w:themeColor="text1"/>
                <w:sz w:val="24"/>
                <w:szCs w:val="24"/>
                <w:lang w:val="en-NG"/>
              </w:rPr>
              <w:t>Big Data Analytics &amp; AI Risk Assessment (BDAR)</w:t>
            </w:r>
          </w:p>
        </w:tc>
        <w:tc>
          <w:tcPr>
            <w:tcW w:w="1679" w:type="dxa"/>
            <w:hideMark/>
          </w:tcPr>
          <w:p w14:paraId="4EB44D93" w14:textId="77777777" w:rsidR="00DE1F72" w:rsidRPr="00C5615F" w:rsidRDefault="00DE1F72" w:rsidP="004E40F5">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0.106</w:t>
            </w:r>
          </w:p>
        </w:tc>
        <w:tc>
          <w:tcPr>
            <w:tcW w:w="1581" w:type="dxa"/>
            <w:hideMark/>
          </w:tcPr>
          <w:p w14:paraId="7610CDA7" w14:textId="77777777" w:rsidR="00DE1F72" w:rsidRPr="00C5615F" w:rsidRDefault="00DE1F72" w:rsidP="004E40F5">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Small Effect</w:t>
            </w:r>
          </w:p>
        </w:tc>
      </w:tr>
      <w:tr w:rsidR="00DE1F72" w:rsidRPr="00C5615F" w14:paraId="1122AA92" w14:textId="77777777" w:rsidTr="001D38F0">
        <w:tc>
          <w:tcPr>
            <w:tcW w:w="5245" w:type="dxa"/>
            <w:hideMark/>
          </w:tcPr>
          <w:p w14:paraId="263C3013" w14:textId="77777777" w:rsidR="00DE1F72" w:rsidRPr="00931AD6" w:rsidRDefault="00DE1F72" w:rsidP="004E40F5">
            <w:pPr>
              <w:spacing w:after="160"/>
              <w:jc w:val="both"/>
              <w:rPr>
                <w:rFonts w:ascii="Times New Roman" w:hAnsi="Times New Roman" w:cs="Times New Roman"/>
                <w:color w:val="000000" w:themeColor="text1"/>
                <w:sz w:val="24"/>
                <w:szCs w:val="24"/>
                <w:lang w:val="en-NG"/>
              </w:rPr>
            </w:pPr>
            <w:r w:rsidRPr="00931AD6">
              <w:rPr>
                <w:rFonts w:ascii="Times New Roman" w:hAnsi="Times New Roman" w:cs="Times New Roman"/>
                <w:color w:val="000000" w:themeColor="text1"/>
                <w:sz w:val="24"/>
                <w:szCs w:val="24"/>
                <w:lang w:val="en-NG"/>
              </w:rPr>
              <w:t>Electronic Payment and Remittance Systems (EPRS)</w:t>
            </w:r>
          </w:p>
        </w:tc>
        <w:tc>
          <w:tcPr>
            <w:tcW w:w="1679" w:type="dxa"/>
            <w:hideMark/>
          </w:tcPr>
          <w:p w14:paraId="6E0D0C8F" w14:textId="77777777" w:rsidR="00DE1F72" w:rsidRPr="00C5615F" w:rsidRDefault="00DE1F72" w:rsidP="004E40F5">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0.048</w:t>
            </w:r>
          </w:p>
        </w:tc>
        <w:tc>
          <w:tcPr>
            <w:tcW w:w="1581" w:type="dxa"/>
            <w:hideMark/>
          </w:tcPr>
          <w:p w14:paraId="05A7CAFB" w14:textId="77777777" w:rsidR="00DE1F72" w:rsidRPr="00C5615F" w:rsidRDefault="00DE1F72" w:rsidP="004E40F5">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Small Effect</w:t>
            </w:r>
          </w:p>
        </w:tc>
      </w:tr>
      <w:tr w:rsidR="00DE1F72" w:rsidRPr="00C5615F" w14:paraId="49522DC4" w14:textId="77777777" w:rsidTr="001D38F0">
        <w:tc>
          <w:tcPr>
            <w:tcW w:w="5245" w:type="dxa"/>
            <w:hideMark/>
          </w:tcPr>
          <w:p w14:paraId="79F65D08" w14:textId="77777777" w:rsidR="00DE1F72" w:rsidRPr="00931AD6" w:rsidRDefault="00DE1F72" w:rsidP="004E40F5">
            <w:pPr>
              <w:spacing w:after="160"/>
              <w:jc w:val="both"/>
              <w:rPr>
                <w:rFonts w:ascii="Times New Roman" w:hAnsi="Times New Roman" w:cs="Times New Roman"/>
                <w:color w:val="000000" w:themeColor="text1"/>
                <w:sz w:val="24"/>
                <w:szCs w:val="24"/>
                <w:lang w:val="en-NG"/>
              </w:rPr>
            </w:pPr>
            <w:r w:rsidRPr="00931AD6">
              <w:rPr>
                <w:rFonts w:ascii="Times New Roman" w:hAnsi="Times New Roman" w:cs="Times New Roman"/>
                <w:color w:val="000000" w:themeColor="text1"/>
                <w:sz w:val="24"/>
                <w:szCs w:val="24"/>
                <w:lang w:val="en-NG"/>
              </w:rPr>
              <w:t>Digital Supply Chain Finance Utilization (DSCF)</w:t>
            </w:r>
          </w:p>
        </w:tc>
        <w:tc>
          <w:tcPr>
            <w:tcW w:w="1679" w:type="dxa"/>
            <w:hideMark/>
          </w:tcPr>
          <w:p w14:paraId="7B5BEC5F" w14:textId="77777777" w:rsidR="00DE1F72" w:rsidRPr="00C5615F" w:rsidRDefault="00DE1F72" w:rsidP="004E40F5">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0.020</w:t>
            </w:r>
          </w:p>
        </w:tc>
        <w:tc>
          <w:tcPr>
            <w:tcW w:w="1581" w:type="dxa"/>
            <w:hideMark/>
          </w:tcPr>
          <w:p w14:paraId="1087EB15" w14:textId="77777777" w:rsidR="00DE1F72" w:rsidRPr="00C5615F" w:rsidRDefault="00DE1F72" w:rsidP="004E40F5">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Small Effect</w:t>
            </w:r>
          </w:p>
        </w:tc>
      </w:tr>
    </w:tbl>
    <w:p w14:paraId="70B28753" w14:textId="77777777" w:rsidR="00DE1F72" w:rsidRPr="00C5615F" w:rsidRDefault="00DE1F72" w:rsidP="00DE1F72">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Source:</w:t>
      </w:r>
      <w:r w:rsidRPr="00C5615F">
        <w:rPr>
          <w:rFonts w:ascii="Times New Roman" w:hAnsi="Times New Roman" w:cs="Times New Roman"/>
          <w:color w:val="000000" w:themeColor="text1"/>
        </w:rPr>
        <w:t xml:space="preserve"> </w:t>
      </w:r>
      <w:proofErr w:type="spellStart"/>
      <w:r w:rsidRPr="00C5615F">
        <w:rPr>
          <w:rFonts w:ascii="Times New Roman" w:hAnsi="Times New Roman" w:cs="Times New Roman"/>
          <w:color w:val="000000" w:themeColor="text1"/>
        </w:rPr>
        <w:t>SmartPLS</w:t>
      </w:r>
      <w:proofErr w:type="spellEnd"/>
      <w:r w:rsidRPr="00C5615F">
        <w:rPr>
          <w:rFonts w:ascii="Times New Roman" w:hAnsi="Times New Roman" w:cs="Times New Roman"/>
          <w:color w:val="000000" w:themeColor="text1"/>
        </w:rPr>
        <w:t xml:space="preserve"> Output, 2026.</w:t>
      </w:r>
    </w:p>
    <w:p w14:paraId="3BBB3039" w14:textId="2E3588D6" w:rsidR="00DE1F72" w:rsidRPr="00C5615F" w:rsidRDefault="00DE1F72" w:rsidP="00DE1F72">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Table 5 illustrate</w:t>
      </w:r>
      <w:r w:rsidR="007A1D1F" w:rsidRPr="00C5615F">
        <w:rPr>
          <w:rFonts w:ascii="Times New Roman" w:hAnsi="Times New Roman" w:cs="Times New Roman"/>
          <w:color w:val="000000" w:themeColor="text1"/>
        </w:rPr>
        <w:t>d</w:t>
      </w:r>
      <w:r w:rsidRPr="00C5615F">
        <w:rPr>
          <w:rFonts w:ascii="Times New Roman" w:hAnsi="Times New Roman" w:cs="Times New Roman"/>
          <w:color w:val="000000" w:themeColor="text1"/>
        </w:rPr>
        <w:t xml:space="preserve"> the practical effect of each digital technology on Supply Chain Performance based on Cohens (1988) thresholds. Blockchain-Based Smart Contracts (BBSC) and Big Data Analytics (BDAR) exert the most notable influence, with effect sizes of 0.108 and 0.106 respectively, indicating small yet meaningful practical significance. Electronic Payment Systems (EPRS) recorded an effect size of 0.048, while Digital Supply Chain Finance (DSCF) yielded the lowest effect at 0.020. These results categorize</w:t>
      </w:r>
      <w:r w:rsidR="00D33E35" w:rsidRPr="00C5615F">
        <w:rPr>
          <w:rFonts w:ascii="Times New Roman" w:hAnsi="Times New Roman" w:cs="Times New Roman"/>
          <w:color w:val="000000" w:themeColor="text1"/>
        </w:rPr>
        <w:t>d</w:t>
      </w:r>
      <w:r w:rsidRPr="00C5615F">
        <w:rPr>
          <w:rFonts w:ascii="Times New Roman" w:hAnsi="Times New Roman" w:cs="Times New Roman"/>
          <w:color w:val="000000" w:themeColor="text1"/>
        </w:rPr>
        <w:t xml:space="preserve"> all four technologies as having a small effect, suggesting they function as critical incremental drivers that collectively enhance the overall efficiency and resilience of the supply chain infrastructure.</w:t>
      </w:r>
    </w:p>
    <w:p w14:paraId="7B52451B" w14:textId="57C36B70" w:rsidR="004D6CE8" w:rsidRPr="00C5615F" w:rsidRDefault="004D6CE8" w:rsidP="008C01E3">
      <w:pPr>
        <w:pStyle w:val="Heading1"/>
        <w:spacing w:line="240" w:lineRule="auto"/>
        <w:ind w:firstLine="720"/>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 xml:space="preserve">Table 6: R-Square </w:t>
      </w:r>
      <w:r w:rsidR="00D66F23">
        <w:rPr>
          <w:rFonts w:ascii="Times New Roman" w:hAnsi="Times New Roman" w:cs="Times New Roman"/>
          <w:b/>
          <w:bCs/>
          <w:color w:val="000000" w:themeColor="text1"/>
          <w:sz w:val="24"/>
          <w:szCs w:val="24"/>
        </w:rPr>
        <w:t>(</w:t>
      </w:r>
      <w:r w:rsidRPr="00C5615F">
        <w:rPr>
          <w:rFonts w:ascii="Times New Roman" w:hAnsi="Times New Roman" w:cs="Times New Roman"/>
          <w:b/>
          <w:bCs/>
          <w:color w:val="000000" w:themeColor="text1"/>
          <w:sz w:val="24"/>
          <w:szCs w:val="24"/>
        </w:rPr>
        <w:t>R</w:t>
      </w:r>
      <w:r w:rsidRPr="00C5615F">
        <w:rPr>
          <w:rFonts w:ascii="Times New Roman" w:hAnsi="Times New Roman" w:cs="Times New Roman"/>
          <w:b/>
          <w:bCs/>
          <w:color w:val="000000" w:themeColor="text1"/>
          <w:sz w:val="24"/>
          <w:szCs w:val="24"/>
          <w:vertAlign w:val="superscript"/>
        </w:rPr>
        <w:t>2</w:t>
      </w:r>
      <w:r w:rsidR="00D66F23" w:rsidRPr="00D66F23">
        <w:rPr>
          <w:rFonts w:ascii="Times New Roman" w:hAnsi="Times New Roman" w:cs="Times New Roman"/>
          <w:b/>
          <w:bCs/>
          <w:color w:val="000000" w:themeColor="text1"/>
          <w:sz w:val="24"/>
          <w:szCs w:val="24"/>
        </w:rPr>
        <w:t>)</w:t>
      </w:r>
    </w:p>
    <w:tbl>
      <w:tblPr>
        <w:tblStyle w:val="TableGrid"/>
        <w:tblW w:w="7754" w:type="dxa"/>
        <w:tblInd w:w="704" w:type="dxa"/>
        <w:tblLook w:val="04A0" w:firstRow="1" w:lastRow="0" w:firstColumn="1" w:lastColumn="0" w:noHBand="0" w:noVBand="1"/>
      </w:tblPr>
      <w:tblGrid>
        <w:gridCol w:w="3969"/>
        <w:gridCol w:w="1559"/>
        <w:gridCol w:w="2226"/>
      </w:tblGrid>
      <w:tr w:rsidR="004D6CE8" w:rsidRPr="00C5615F" w14:paraId="73C36472" w14:textId="77777777" w:rsidTr="00237B45">
        <w:tc>
          <w:tcPr>
            <w:tcW w:w="3969" w:type="dxa"/>
            <w:hideMark/>
          </w:tcPr>
          <w:p w14:paraId="1E32251B" w14:textId="77777777" w:rsidR="004D6CE8" w:rsidRPr="00C5615F" w:rsidRDefault="004D6CE8" w:rsidP="004D6CE8">
            <w:pPr>
              <w:spacing w:after="160"/>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Endogenous Construct</w:t>
            </w:r>
          </w:p>
        </w:tc>
        <w:tc>
          <w:tcPr>
            <w:tcW w:w="1559" w:type="dxa"/>
            <w:hideMark/>
          </w:tcPr>
          <w:p w14:paraId="04C63FE0" w14:textId="77777777" w:rsidR="004D6CE8" w:rsidRPr="00C5615F" w:rsidRDefault="004D6CE8" w:rsidP="00480A3A">
            <w:pPr>
              <w:spacing w:after="160"/>
              <w:rPr>
                <w:rFonts w:ascii="Times New Roman" w:hAnsi="Times New Roman" w:cs="Times New Roman"/>
                <w:b/>
                <w:bCs/>
                <w:color w:val="000000" w:themeColor="text1"/>
              </w:rPr>
            </w:pPr>
            <w:r w:rsidRPr="00C5615F">
              <w:rPr>
                <w:rFonts w:ascii="Times New Roman" w:hAnsi="Times New Roman" w:cs="Times New Roman"/>
                <w:b/>
                <w:bCs/>
                <w:color w:val="000000" w:themeColor="text1"/>
              </w:rPr>
              <w:t>R Square</w:t>
            </w:r>
          </w:p>
        </w:tc>
        <w:tc>
          <w:tcPr>
            <w:tcW w:w="0" w:type="auto"/>
            <w:hideMark/>
          </w:tcPr>
          <w:p w14:paraId="448D174B" w14:textId="77777777" w:rsidR="004D6CE8" w:rsidRPr="00C5615F" w:rsidRDefault="004D6CE8" w:rsidP="00480A3A">
            <w:pPr>
              <w:spacing w:after="160"/>
              <w:rPr>
                <w:rFonts w:ascii="Times New Roman" w:hAnsi="Times New Roman" w:cs="Times New Roman"/>
                <w:b/>
                <w:bCs/>
                <w:color w:val="000000" w:themeColor="text1"/>
              </w:rPr>
            </w:pPr>
            <w:r w:rsidRPr="00C5615F">
              <w:rPr>
                <w:rFonts w:ascii="Times New Roman" w:hAnsi="Times New Roman" w:cs="Times New Roman"/>
                <w:b/>
                <w:bCs/>
                <w:color w:val="000000" w:themeColor="text1"/>
              </w:rPr>
              <w:t>R Square Adjusted</w:t>
            </w:r>
          </w:p>
        </w:tc>
      </w:tr>
      <w:tr w:rsidR="004D6CE8" w:rsidRPr="00C5615F" w14:paraId="6D322F80" w14:textId="77777777" w:rsidTr="00237B45">
        <w:tc>
          <w:tcPr>
            <w:tcW w:w="3969" w:type="dxa"/>
            <w:hideMark/>
          </w:tcPr>
          <w:p w14:paraId="29F15F34" w14:textId="77777777" w:rsidR="004D6CE8" w:rsidRPr="00C5615F" w:rsidRDefault="004D6CE8" w:rsidP="004D6CE8">
            <w:pPr>
              <w:spacing w:after="160"/>
              <w:jc w:val="both"/>
              <w:rPr>
                <w:rFonts w:ascii="Times New Roman" w:hAnsi="Times New Roman" w:cs="Times New Roman"/>
                <w:color w:val="000000" w:themeColor="text1"/>
              </w:rPr>
            </w:pPr>
            <w:r w:rsidRPr="00C5615F">
              <w:rPr>
                <w:rFonts w:ascii="Times New Roman" w:hAnsi="Times New Roman" w:cs="Times New Roman"/>
                <w:color w:val="000000" w:themeColor="text1"/>
              </w:rPr>
              <w:t>Supply Chain Performance (SUCP)</w:t>
            </w:r>
          </w:p>
        </w:tc>
        <w:tc>
          <w:tcPr>
            <w:tcW w:w="1559" w:type="dxa"/>
            <w:hideMark/>
          </w:tcPr>
          <w:p w14:paraId="2BDE160C" w14:textId="77777777" w:rsidR="004D6CE8" w:rsidRPr="00C5615F" w:rsidRDefault="004D6CE8" w:rsidP="00480A3A">
            <w:pPr>
              <w:spacing w:after="160"/>
              <w:rPr>
                <w:rFonts w:ascii="Times New Roman" w:hAnsi="Times New Roman" w:cs="Times New Roman"/>
                <w:color w:val="000000" w:themeColor="text1"/>
              </w:rPr>
            </w:pPr>
            <w:r w:rsidRPr="00C5615F">
              <w:rPr>
                <w:rFonts w:ascii="Times New Roman" w:hAnsi="Times New Roman" w:cs="Times New Roman"/>
                <w:color w:val="000000" w:themeColor="text1"/>
              </w:rPr>
              <w:t>0.792</w:t>
            </w:r>
          </w:p>
        </w:tc>
        <w:tc>
          <w:tcPr>
            <w:tcW w:w="0" w:type="auto"/>
            <w:hideMark/>
          </w:tcPr>
          <w:p w14:paraId="0200A121" w14:textId="77777777" w:rsidR="004D6CE8" w:rsidRPr="00C5615F" w:rsidRDefault="004D6CE8" w:rsidP="00480A3A">
            <w:pPr>
              <w:spacing w:after="160"/>
              <w:rPr>
                <w:rFonts w:ascii="Times New Roman" w:hAnsi="Times New Roman" w:cs="Times New Roman"/>
                <w:color w:val="000000" w:themeColor="text1"/>
              </w:rPr>
            </w:pPr>
            <w:r w:rsidRPr="00C5615F">
              <w:rPr>
                <w:rFonts w:ascii="Times New Roman" w:hAnsi="Times New Roman" w:cs="Times New Roman"/>
                <w:color w:val="000000" w:themeColor="text1"/>
              </w:rPr>
              <w:t>0.788</w:t>
            </w:r>
          </w:p>
        </w:tc>
      </w:tr>
    </w:tbl>
    <w:p w14:paraId="39552A67" w14:textId="77777777" w:rsidR="004D6CE8" w:rsidRPr="00C5615F" w:rsidRDefault="004D6CE8" w:rsidP="004D6CE8">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Source:</w:t>
      </w:r>
      <w:r w:rsidRPr="00C5615F">
        <w:rPr>
          <w:rFonts w:ascii="Times New Roman" w:hAnsi="Times New Roman" w:cs="Times New Roman"/>
          <w:color w:val="000000" w:themeColor="text1"/>
        </w:rPr>
        <w:t xml:space="preserve"> </w:t>
      </w:r>
      <w:proofErr w:type="spellStart"/>
      <w:r w:rsidRPr="00C5615F">
        <w:rPr>
          <w:rFonts w:ascii="Times New Roman" w:hAnsi="Times New Roman" w:cs="Times New Roman"/>
          <w:color w:val="000000" w:themeColor="text1"/>
        </w:rPr>
        <w:t>SmartPLS</w:t>
      </w:r>
      <w:proofErr w:type="spellEnd"/>
      <w:r w:rsidRPr="00C5615F">
        <w:rPr>
          <w:rFonts w:ascii="Times New Roman" w:hAnsi="Times New Roman" w:cs="Times New Roman"/>
          <w:color w:val="000000" w:themeColor="text1"/>
        </w:rPr>
        <w:t xml:space="preserve"> Output, 2026.</w:t>
      </w:r>
    </w:p>
    <w:p w14:paraId="43FDFEF3" w14:textId="56CF37EE" w:rsidR="009C1F45" w:rsidRPr="00C5615F" w:rsidRDefault="009C1F45" w:rsidP="009C1F45">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Table 6 presents the coefficient of determination (R</w:t>
      </w:r>
      <w:r w:rsidRPr="00C5615F">
        <w:rPr>
          <w:rFonts w:ascii="Times New Roman" w:hAnsi="Times New Roman" w:cs="Times New Roman"/>
          <w:color w:val="000000" w:themeColor="text1"/>
          <w:vertAlign w:val="superscript"/>
        </w:rPr>
        <w:t>2</w:t>
      </w:r>
      <w:r w:rsidRPr="00C5615F">
        <w:rPr>
          <w:rFonts w:ascii="Times New Roman" w:hAnsi="Times New Roman" w:cs="Times New Roman"/>
          <w:color w:val="000000" w:themeColor="text1"/>
        </w:rPr>
        <w:t>), showing that Big Data Analytics, Blockchain, Digital Finance, and Electronic Payments collectively explain 79.2% of the variance in Supply Chain Performance. Following Hair et al. (2019), this R</w:t>
      </w:r>
      <w:r w:rsidRPr="00C5615F">
        <w:rPr>
          <w:rFonts w:ascii="Times New Roman" w:hAnsi="Times New Roman" w:cs="Times New Roman"/>
          <w:color w:val="000000" w:themeColor="text1"/>
          <w:vertAlign w:val="superscript"/>
        </w:rPr>
        <w:t>2</w:t>
      </w:r>
      <w:r w:rsidRPr="00C5615F">
        <w:rPr>
          <w:rFonts w:ascii="Times New Roman" w:hAnsi="Times New Roman" w:cs="Times New Roman"/>
          <w:color w:val="000000" w:themeColor="text1"/>
        </w:rPr>
        <w:t xml:space="preserve"> value exceeds the 0.75 threshold for substantial predictive power. Additionally, the adjusted R</w:t>
      </w:r>
      <w:r w:rsidRPr="00C5615F">
        <w:rPr>
          <w:rFonts w:ascii="Times New Roman" w:hAnsi="Times New Roman" w:cs="Times New Roman"/>
          <w:color w:val="000000" w:themeColor="text1"/>
          <w:vertAlign w:val="superscript"/>
        </w:rPr>
        <w:t>2</w:t>
      </w:r>
      <w:r w:rsidRPr="00C5615F">
        <w:rPr>
          <w:rFonts w:ascii="Times New Roman" w:hAnsi="Times New Roman" w:cs="Times New Roman"/>
          <w:color w:val="000000" w:themeColor="text1"/>
        </w:rPr>
        <w:t xml:space="preserve"> of 0.788 confirms the </w:t>
      </w:r>
      <w:proofErr w:type="gramStart"/>
      <w:r w:rsidRPr="00C5615F">
        <w:rPr>
          <w:rFonts w:ascii="Times New Roman" w:hAnsi="Times New Roman" w:cs="Times New Roman"/>
          <w:color w:val="000000" w:themeColor="text1"/>
        </w:rPr>
        <w:t>models</w:t>
      </w:r>
      <w:proofErr w:type="gramEnd"/>
      <w:r w:rsidRPr="00C5615F">
        <w:rPr>
          <w:rFonts w:ascii="Times New Roman" w:hAnsi="Times New Roman" w:cs="Times New Roman"/>
          <w:color w:val="000000" w:themeColor="text1"/>
        </w:rPr>
        <w:t xml:space="preserve"> robustness and lack of overfitting. This demonstrates that these digital technologies are highly effective predictors of operational efficiency and financial flow within the supply chain.</w:t>
      </w:r>
    </w:p>
    <w:p w14:paraId="5398BBBA" w14:textId="77777777" w:rsidR="00B20F7B" w:rsidRPr="00C5615F" w:rsidRDefault="00B20F7B" w:rsidP="0075258C">
      <w:pPr>
        <w:pStyle w:val="Heading1"/>
        <w:spacing w:before="0" w:line="240" w:lineRule="auto"/>
        <w:ind w:firstLine="720"/>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Table 7: Model Fit Summary</w:t>
      </w:r>
    </w:p>
    <w:tbl>
      <w:tblPr>
        <w:tblStyle w:val="TableGrid2"/>
        <w:tblW w:w="9072" w:type="dxa"/>
        <w:tblInd w:w="704" w:type="dxa"/>
        <w:tblLook w:val="04A0" w:firstRow="1" w:lastRow="0" w:firstColumn="1" w:lastColumn="0" w:noHBand="0" w:noVBand="1"/>
      </w:tblPr>
      <w:tblGrid>
        <w:gridCol w:w="1026"/>
        <w:gridCol w:w="2097"/>
        <w:gridCol w:w="2126"/>
        <w:gridCol w:w="3823"/>
      </w:tblGrid>
      <w:tr w:rsidR="00B20F7B" w:rsidRPr="00C5615F" w14:paraId="1C9F0CB7" w14:textId="77777777" w:rsidTr="00883A3D">
        <w:trPr>
          <w:trHeight w:val="229"/>
        </w:trPr>
        <w:tc>
          <w:tcPr>
            <w:tcW w:w="0" w:type="auto"/>
            <w:hideMark/>
          </w:tcPr>
          <w:p w14:paraId="2566B2AD" w14:textId="77777777" w:rsidR="00B20F7B" w:rsidRPr="00C5615F" w:rsidRDefault="00B20F7B" w:rsidP="00D615CE">
            <w:pPr>
              <w:ind w:left="26"/>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Metric</w:t>
            </w:r>
          </w:p>
        </w:tc>
        <w:tc>
          <w:tcPr>
            <w:tcW w:w="0" w:type="auto"/>
            <w:hideMark/>
          </w:tcPr>
          <w:p w14:paraId="6FE16419" w14:textId="77777777" w:rsidR="00B20F7B" w:rsidRPr="00C5615F" w:rsidRDefault="00B20F7B" w:rsidP="00D615CE">
            <w:pPr>
              <w:ind w:left="26"/>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Saturated Model</w:t>
            </w:r>
          </w:p>
        </w:tc>
        <w:tc>
          <w:tcPr>
            <w:tcW w:w="0" w:type="auto"/>
            <w:hideMark/>
          </w:tcPr>
          <w:p w14:paraId="34C9F756" w14:textId="77777777" w:rsidR="00B20F7B" w:rsidRPr="00C5615F" w:rsidRDefault="00B20F7B" w:rsidP="00D615CE">
            <w:pPr>
              <w:ind w:left="26"/>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Estimated Model</w:t>
            </w:r>
          </w:p>
        </w:tc>
        <w:tc>
          <w:tcPr>
            <w:tcW w:w="3823" w:type="dxa"/>
            <w:hideMark/>
          </w:tcPr>
          <w:p w14:paraId="43227994" w14:textId="77777777" w:rsidR="00B20F7B" w:rsidRPr="00C5615F" w:rsidRDefault="00B20F7B" w:rsidP="00D615CE">
            <w:pPr>
              <w:ind w:left="26"/>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Recommended Threshold</w:t>
            </w:r>
          </w:p>
        </w:tc>
      </w:tr>
      <w:tr w:rsidR="00B20F7B" w:rsidRPr="00C5615F" w14:paraId="7849D562" w14:textId="77777777" w:rsidTr="00883A3D">
        <w:trPr>
          <w:trHeight w:val="370"/>
        </w:trPr>
        <w:tc>
          <w:tcPr>
            <w:tcW w:w="0" w:type="auto"/>
            <w:hideMark/>
          </w:tcPr>
          <w:p w14:paraId="1CB79C2E" w14:textId="77777777" w:rsidR="00B20F7B" w:rsidRPr="00C5615F" w:rsidRDefault="00B20F7B" w:rsidP="00D615CE">
            <w:pPr>
              <w:ind w:left="26"/>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SRMR</w:t>
            </w:r>
          </w:p>
        </w:tc>
        <w:tc>
          <w:tcPr>
            <w:tcW w:w="0" w:type="auto"/>
            <w:hideMark/>
          </w:tcPr>
          <w:p w14:paraId="4AEF4011" w14:textId="77777777" w:rsidR="00B20F7B" w:rsidRPr="00C5615F" w:rsidRDefault="00B20F7B"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0.093</w:t>
            </w:r>
          </w:p>
        </w:tc>
        <w:tc>
          <w:tcPr>
            <w:tcW w:w="0" w:type="auto"/>
            <w:hideMark/>
          </w:tcPr>
          <w:p w14:paraId="57799E39" w14:textId="77777777" w:rsidR="00B20F7B" w:rsidRPr="00C5615F" w:rsidRDefault="00B20F7B"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0.093</w:t>
            </w:r>
          </w:p>
        </w:tc>
        <w:tc>
          <w:tcPr>
            <w:tcW w:w="3823" w:type="dxa"/>
            <w:hideMark/>
          </w:tcPr>
          <w:p w14:paraId="6FB7C693" w14:textId="695C89CB" w:rsidR="00B20F7B" w:rsidRPr="00C5615F" w:rsidRDefault="00B20F7B" w:rsidP="00883A3D">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&lt; 0.08 (Strict) /</w:t>
            </w:r>
            <w:r w:rsidR="00883A3D">
              <w:rPr>
                <w:rFonts w:ascii="Times New Roman" w:hAnsi="Times New Roman" w:cs="Times New Roman"/>
                <w:color w:val="000000" w:themeColor="text1"/>
                <w:sz w:val="24"/>
                <w:szCs w:val="24"/>
                <w:lang w:val="en-NG"/>
              </w:rPr>
              <w:t xml:space="preserve"> </w:t>
            </w:r>
            <w:r w:rsidRPr="00C5615F">
              <w:rPr>
                <w:rFonts w:ascii="Times New Roman" w:hAnsi="Times New Roman" w:cs="Times New Roman"/>
                <w:color w:val="000000" w:themeColor="text1"/>
                <w:sz w:val="24"/>
                <w:szCs w:val="24"/>
                <w:lang w:val="en-NG"/>
              </w:rPr>
              <w:t>&lt; 0.10 (Acceptable)</w:t>
            </w:r>
          </w:p>
        </w:tc>
      </w:tr>
      <w:tr w:rsidR="00B20F7B" w:rsidRPr="00C5615F" w14:paraId="42B4EF4E" w14:textId="77777777" w:rsidTr="00883A3D">
        <w:trPr>
          <w:trHeight w:val="224"/>
        </w:trPr>
        <w:tc>
          <w:tcPr>
            <w:tcW w:w="0" w:type="auto"/>
            <w:hideMark/>
          </w:tcPr>
          <w:p w14:paraId="438C04AA" w14:textId="77777777" w:rsidR="00B20F7B" w:rsidRPr="00C5615F" w:rsidRDefault="00B20F7B" w:rsidP="00D615CE">
            <w:pPr>
              <w:ind w:left="26"/>
              <w:jc w:val="both"/>
              <w:rPr>
                <w:rFonts w:ascii="Times New Roman" w:hAnsi="Times New Roman" w:cs="Times New Roman"/>
                <w:color w:val="000000" w:themeColor="text1"/>
                <w:sz w:val="24"/>
                <w:szCs w:val="24"/>
                <w:lang w:val="en-NG"/>
              </w:rPr>
            </w:pPr>
            <w:proofErr w:type="spellStart"/>
            <w:r w:rsidRPr="00C5615F">
              <w:rPr>
                <w:rFonts w:ascii="Times New Roman" w:hAnsi="Times New Roman" w:cs="Times New Roman"/>
                <w:b/>
                <w:bCs/>
                <w:color w:val="000000" w:themeColor="text1"/>
                <w:sz w:val="24"/>
                <w:szCs w:val="24"/>
                <w:lang w:val="en-NG"/>
              </w:rPr>
              <w:t>d_ULS</w:t>
            </w:r>
            <w:proofErr w:type="spellEnd"/>
          </w:p>
        </w:tc>
        <w:tc>
          <w:tcPr>
            <w:tcW w:w="0" w:type="auto"/>
            <w:hideMark/>
          </w:tcPr>
          <w:p w14:paraId="6D9BD588" w14:textId="77777777" w:rsidR="00B20F7B" w:rsidRPr="00C5615F" w:rsidRDefault="00B20F7B"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2.809</w:t>
            </w:r>
          </w:p>
        </w:tc>
        <w:tc>
          <w:tcPr>
            <w:tcW w:w="0" w:type="auto"/>
            <w:hideMark/>
          </w:tcPr>
          <w:p w14:paraId="0E5BB234" w14:textId="77777777" w:rsidR="00B20F7B" w:rsidRPr="00C5615F" w:rsidRDefault="00B20F7B"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2.809</w:t>
            </w:r>
          </w:p>
        </w:tc>
        <w:tc>
          <w:tcPr>
            <w:tcW w:w="3823" w:type="dxa"/>
            <w:hideMark/>
          </w:tcPr>
          <w:p w14:paraId="6ED028AA" w14:textId="0E7E8957" w:rsidR="00B20F7B" w:rsidRPr="00C5615F" w:rsidRDefault="00BD5574"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Lower = Better</w:t>
            </w:r>
          </w:p>
        </w:tc>
      </w:tr>
      <w:tr w:rsidR="00B20F7B" w:rsidRPr="00C5615F" w14:paraId="795E08C7" w14:textId="77777777" w:rsidTr="00883A3D">
        <w:trPr>
          <w:trHeight w:val="229"/>
        </w:trPr>
        <w:tc>
          <w:tcPr>
            <w:tcW w:w="0" w:type="auto"/>
            <w:hideMark/>
          </w:tcPr>
          <w:p w14:paraId="324D4C64" w14:textId="77777777" w:rsidR="00B20F7B" w:rsidRPr="00C5615F" w:rsidRDefault="00B20F7B" w:rsidP="00D615CE">
            <w:pPr>
              <w:ind w:left="26"/>
              <w:jc w:val="both"/>
              <w:rPr>
                <w:rFonts w:ascii="Times New Roman" w:hAnsi="Times New Roman" w:cs="Times New Roman"/>
                <w:color w:val="000000" w:themeColor="text1"/>
                <w:sz w:val="24"/>
                <w:szCs w:val="24"/>
                <w:lang w:val="en-NG"/>
              </w:rPr>
            </w:pPr>
            <w:proofErr w:type="spellStart"/>
            <w:r w:rsidRPr="00C5615F">
              <w:rPr>
                <w:rFonts w:ascii="Times New Roman" w:hAnsi="Times New Roman" w:cs="Times New Roman"/>
                <w:b/>
                <w:bCs/>
                <w:color w:val="000000" w:themeColor="text1"/>
                <w:sz w:val="24"/>
                <w:szCs w:val="24"/>
                <w:lang w:val="en-NG"/>
              </w:rPr>
              <w:t>d_G</w:t>
            </w:r>
            <w:proofErr w:type="spellEnd"/>
          </w:p>
        </w:tc>
        <w:tc>
          <w:tcPr>
            <w:tcW w:w="0" w:type="auto"/>
            <w:hideMark/>
          </w:tcPr>
          <w:p w14:paraId="5A7875FD" w14:textId="77777777" w:rsidR="00B20F7B" w:rsidRPr="00C5615F" w:rsidRDefault="00B20F7B"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1.923</w:t>
            </w:r>
          </w:p>
        </w:tc>
        <w:tc>
          <w:tcPr>
            <w:tcW w:w="0" w:type="auto"/>
            <w:hideMark/>
          </w:tcPr>
          <w:p w14:paraId="5A5346B2" w14:textId="77777777" w:rsidR="00B20F7B" w:rsidRPr="00C5615F" w:rsidRDefault="00B20F7B"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1.923</w:t>
            </w:r>
          </w:p>
        </w:tc>
        <w:tc>
          <w:tcPr>
            <w:tcW w:w="3823" w:type="dxa"/>
            <w:hideMark/>
          </w:tcPr>
          <w:p w14:paraId="47CC080F" w14:textId="5D0409BD" w:rsidR="00B20F7B" w:rsidRPr="00C5615F" w:rsidRDefault="00BD5574"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Lower = Better</w:t>
            </w:r>
          </w:p>
        </w:tc>
      </w:tr>
      <w:tr w:rsidR="00B20F7B" w:rsidRPr="00C5615F" w14:paraId="5CC5DCC0" w14:textId="77777777" w:rsidTr="00883A3D">
        <w:trPr>
          <w:trHeight w:val="229"/>
        </w:trPr>
        <w:tc>
          <w:tcPr>
            <w:tcW w:w="0" w:type="auto"/>
            <w:hideMark/>
          </w:tcPr>
          <w:p w14:paraId="2F4E7EF4" w14:textId="77777777" w:rsidR="00B20F7B" w:rsidRPr="00C5615F" w:rsidRDefault="00B20F7B" w:rsidP="00D615CE">
            <w:pPr>
              <w:ind w:left="26"/>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NFI</w:t>
            </w:r>
          </w:p>
        </w:tc>
        <w:tc>
          <w:tcPr>
            <w:tcW w:w="0" w:type="auto"/>
            <w:hideMark/>
          </w:tcPr>
          <w:p w14:paraId="71692D08" w14:textId="77777777" w:rsidR="00B20F7B" w:rsidRPr="00C5615F" w:rsidRDefault="00B20F7B"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0.578</w:t>
            </w:r>
          </w:p>
        </w:tc>
        <w:tc>
          <w:tcPr>
            <w:tcW w:w="0" w:type="auto"/>
            <w:hideMark/>
          </w:tcPr>
          <w:p w14:paraId="6AF1764D" w14:textId="77777777" w:rsidR="00B20F7B" w:rsidRPr="00C5615F" w:rsidRDefault="00B20F7B"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0.578</w:t>
            </w:r>
          </w:p>
        </w:tc>
        <w:tc>
          <w:tcPr>
            <w:tcW w:w="3823" w:type="dxa"/>
            <w:hideMark/>
          </w:tcPr>
          <w:p w14:paraId="4C54657A" w14:textId="77777777" w:rsidR="00B20F7B" w:rsidRPr="00C5615F" w:rsidRDefault="00B20F7B" w:rsidP="0075258C">
            <w:pPr>
              <w:ind w:left="26"/>
              <w:jc w:val="center"/>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&gt; 0.90 (Ideal)</w:t>
            </w:r>
          </w:p>
        </w:tc>
      </w:tr>
    </w:tbl>
    <w:p w14:paraId="2DB28D04" w14:textId="77777777" w:rsidR="00B20F7B" w:rsidRPr="00C5615F" w:rsidRDefault="00B20F7B" w:rsidP="00B20F7B">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Source:</w:t>
      </w:r>
      <w:r w:rsidRPr="00C5615F">
        <w:rPr>
          <w:rFonts w:ascii="Times New Roman" w:hAnsi="Times New Roman" w:cs="Times New Roman"/>
          <w:color w:val="000000" w:themeColor="text1"/>
        </w:rPr>
        <w:t xml:space="preserve"> </w:t>
      </w:r>
      <w:proofErr w:type="spellStart"/>
      <w:r w:rsidRPr="00C5615F">
        <w:rPr>
          <w:rFonts w:ascii="Times New Roman" w:hAnsi="Times New Roman" w:cs="Times New Roman"/>
          <w:color w:val="000000" w:themeColor="text1"/>
        </w:rPr>
        <w:t>SmartPLS</w:t>
      </w:r>
      <w:proofErr w:type="spellEnd"/>
      <w:r w:rsidRPr="00C5615F">
        <w:rPr>
          <w:rFonts w:ascii="Times New Roman" w:hAnsi="Times New Roman" w:cs="Times New Roman"/>
          <w:color w:val="000000" w:themeColor="text1"/>
        </w:rPr>
        <w:t xml:space="preserve"> Output, 2026.</w:t>
      </w:r>
    </w:p>
    <w:p w14:paraId="4EBB0744" w14:textId="77777777" w:rsidR="008F280D" w:rsidRDefault="00281CE2" w:rsidP="008F280D">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Table 7 presents the model fit indices. The SRMR (0.093) meets the acceptable threshold (&lt; 0.10), confirming a reasonable data-to-model alignment. </w:t>
      </w:r>
      <w:r w:rsidR="008F280D" w:rsidRPr="008F280D">
        <w:rPr>
          <w:rFonts w:ascii="Times New Roman" w:hAnsi="Times New Roman" w:cs="Times New Roman"/>
          <w:color w:val="000000" w:themeColor="text1"/>
        </w:rPr>
        <w:t>While the NFI is below 0.90, this is common in PLS-SEM with complex models; hence, the SRMR and R² are prioritized as primary indicators of model quality.</w:t>
      </w:r>
    </w:p>
    <w:p w14:paraId="4C514781" w14:textId="77777777" w:rsidR="00001DB9" w:rsidRDefault="00001DB9">
      <w:pPr>
        <w:rPr>
          <w:rFonts w:ascii="Times New Roman" w:eastAsiaTheme="majorEastAsia" w:hAnsi="Times New Roman" w:cs="Times New Roman"/>
          <w:b/>
          <w:color w:val="000000" w:themeColor="text1"/>
        </w:rPr>
      </w:pPr>
      <w:r>
        <w:rPr>
          <w:rFonts w:ascii="Times New Roman" w:hAnsi="Times New Roman" w:cs="Times New Roman"/>
          <w:b/>
          <w:color w:val="000000" w:themeColor="text1"/>
        </w:rPr>
        <w:br w:type="page"/>
      </w:r>
    </w:p>
    <w:p w14:paraId="27313516" w14:textId="48F078A6" w:rsidR="005A0AC2" w:rsidRPr="00C5615F" w:rsidRDefault="005F660E" w:rsidP="00AC568F">
      <w:pPr>
        <w:pStyle w:val="Heading1"/>
        <w:spacing w:before="0"/>
        <w:ind w:firstLine="720"/>
        <w:rPr>
          <w:rFonts w:ascii="Times New Roman" w:hAnsi="Times New Roman" w:cs="Times New Roman"/>
          <w:b/>
          <w:color w:val="000000" w:themeColor="text1"/>
          <w:sz w:val="24"/>
          <w:szCs w:val="24"/>
        </w:rPr>
      </w:pPr>
      <w:r w:rsidRPr="00C5615F">
        <w:rPr>
          <w:rFonts w:ascii="Times New Roman" w:hAnsi="Times New Roman" w:cs="Times New Roman"/>
          <w:b/>
          <w:color w:val="000000" w:themeColor="text1"/>
          <w:sz w:val="24"/>
          <w:szCs w:val="24"/>
        </w:rPr>
        <w:t xml:space="preserve">Figure 3: Structural Model Path Coefficients </w:t>
      </w:r>
    </w:p>
    <w:p w14:paraId="25CE505B" w14:textId="77777777" w:rsidR="005A0AC2" w:rsidRPr="00C5615F" w:rsidRDefault="005A0AC2" w:rsidP="005A0AC2">
      <w:pPr>
        <w:spacing w:line="240" w:lineRule="auto"/>
        <w:ind w:left="709"/>
        <w:jc w:val="both"/>
        <w:rPr>
          <w:rFonts w:ascii="Times New Roman" w:hAnsi="Times New Roman" w:cs="Times New Roman"/>
          <w:color w:val="000000" w:themeColor="text1"/>
        </w:rPr>
      </w:pPr>
      <w:r w:rsidRPr="00C5615F">
        <w:rPr>
          <w:rFonts w:ascii="Times New Roman" w:hAnsi="Times New Roman" w:cs="Times New Roman"/>
          <w:bCs/>
          <w:noProof/>
          <w:color w:val="000000" w:themeColor="text1"/>
        </w:rPr>
        <mc:AlternateContent>
          <mc:Choice Requires="wps">
            <w:drawing>
              <wp:anchor distT="0" distB="0" distL="114300" distR="114300" simplePos="0" relativeHeight="251663360" behindDoc="0" locked="0" layoutInCell="1" allowOverlap="1" wp14:anchorId="016CEF35" wp14:editId="69D111C3">
                <wp:simplePos x="0" y="0"/>
                <wp:positionH relativeFrom="column">
                  <wp:posOffset>145855</wp:posOffset>
                </wp:positionH>
                <wp:positionV relativeFrom="paragraph">
                  <wp:posOffset>5817</wp:posOffset>
                </wp:positionV>
                <wp:extent cx="6175612" cy="4089556"/>
                <wp:effectExtent l="0" t="0" r="0" b="6350"/>
                <wp:wrapNone/>
                <wp:docPr id="1256908786" name="Text Box 2"/>
                <wp:cNvGraphicFramePr/>
                <a:graphic xmlns:a="http://schemas.openxmlformats.org/drawingml/2006/main">
                  <a:graphicData uri="http://schemas.microsoft.com/office/word/2010/wordprocessingShape">
                    <wps:wsp>
                      <wps:cNvSpPr txBox="1"/>
                      <wps:spPr>
                        <a:xfrm>
                          <a:off x="0" y="0"/>
                          <a:ext cx="6175612" cy="4089556"/>
                        </a:xfrm>
                        <a:prstGeom prst="rect">
                          <a:avLst/>
                        </a:prstGeom>
                        <a:solidFill>
                          <a:schemeClr val="lt1"/>
                        </a:solidFill>
                        <a:ln w="6350">
                          <a:noFill/>
                        </a:ln>
                      </wps:spPr>
                      <wps:txbx>
                        <w:txbxContent>
                          <w:p w14:paraId="3215E919" w14:textId="77777777" w:rsidR="005A0AC2" w:rsidRPr="00A93C5B" w:rsidRDefault="005A0AC2" w:rsidP="009C4976">
                            <w:pPr>
                              <w:spacing w:after="0" w:line="240" w:lineRule="auto"/>
                              <w:jc w:val="center"/>
                              <w:rPr>
                                <w:sz w:val="16"/>
                                <w:szCs w:val="16"/>
                              </w:rPr>
                            </w:pPr>
                            <w:r w:rsidRPr="00A93C5B">
                              <w:rPr>
                                <w:noProof/>
                                <w:sz w:val="16"/>
                                <w:szCs w:val="16"/>
                              </w:rPr>
                              <w:drawing>
                                <wp:inline distT="0" distB="0" distL="0" distR="0" wp14:anchorId="1EF6298E" wp14:editId="2B0B0A7B">
                                  <wp:extent cx="4423899" cy="3792235"/>
                                  <wp:effectExtent l="0" t="0" r="0" b="0"/>
                                  <wp:docPr id="272483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8364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4457934" cy="3821410"/>
                                          </a:xfrm>
                                          <a:prstGeom prst="rect">
                                            <a:avLst/>
                                          </a:prstGeom>
                                        </pic:spPr>
                                      </pic:pic>
                                    </a:graphicData>
                                  </a:graphic>
                                </wp:inline>
                              </w:drawing>
                            </w:r>
                          </w:p>
                          <w:p w14:paraId="0D9C2D37" w14:textId="2F6BD3D4" w:rsidR="005A0AC2" w:rsidRPr="00945A47" w:rsidRDefault="005A0AC2" w:rsidP="009C4976">
                            <w:pPr>
                              <w:spacing w:after="0" w:line="240" w:lineRule="auto"/>
                              <w:ind w:left="709"/>
                              <w:jc w:val="center"/>
                              <w:rPr>
                                <w:rFonts w:ascii="Times New Roman" w:hAnsi="Times New Roman" w:cs="Times New Roman"/>
                                <w:b/>
                                <w:bCs/>
                                <w:sz w:val="20"/>
                                <w:szCs w:val="20"/>
                              </w:rPr>
                            </w:pPr>
                            <w:r w:rsidRPr="00945A47">
                              <w:rPr>
                                <w:rFonts w:ascii="Times New Roman" w:eastAsia="CIDFont+F3" w:hAnsi="Times New Roman" w:cs="Times New Roman"/>
                                <w:b/>
                                <w:sz w:val="20"/>
                                <w:szCs w:val="20"/>
                              </w:rPr>
                              <w:t xml:space="preserve">Source: </w:t>
                            </w:r>
                            <w:proofErr w:type="spellStart"/>
                            <w:r w:rsidRPr="00945A47">
                              <w:rPr>
                                <w:rFonts w:ascii="Times New Roman" w:hAnsi="Times New Roman" w:cs="Times New Roman"/>
                                <w:b/>
                                <w:bCs/>
                                <w:sz w:val="20"/>
                                <w:szCs w:val="20"/>
                              </w:rPr>
                              <w:t>SmartPLS</w:t>
                            </w:r>
                            <w:proofErr w:type="spellEnd"/>
                            <w:r w:rsidRPr="00945A47">
                              <w:rPr>
                                <w:rFonts w:ascii="Times New Roman" w:hAnsi="Times New Roman" w:cs="Times New Roman"/>
                                <w:b/>
                                <w:bCs/>
                                <w:sz w:val="20"/>
                                <w:szCs w:val="20"/>
                              </w:rPr>
                              <w:t xml:space="preserve"> Output, 202</w:t>
                            </w:r>
                            <w:r w:rsidR="009C0F3F">
                              <w:rPr>
                                <w:rFonts w:ascii="Times New Roman" w:hAnsi="Times New Roman" w:cs="Times New Roman"/>
                                <w:b/>
                                <w:bCs/>
                                <w:sz w:val="20"/>
                                <w:szCs w:val="20"/>
                              </w:rPr>
                              <w:t>6</w:t>
                            </w:r>
                            <w:r w:rsidRPr="00945A47">
                              <w:rPr>
                                <w:rFonts w:ascii="Times New Roman" w:hAnsi="Times New Roman" w:cs="Times New Roman"/>
                                <w:b/>
                                <w:bCs/>
                                <w:sz w:val="20"/>
                                <w:szCs w:val="20"/>
                              </w:rPr>
                              <w:t>.</w:t>
                            </w:r>
                          </w:p>
                          <w:p w14:paraId="3B7F553F" w14:textId="77777777" w:rsidR="005A0AC2" w:rsidRPr="00A93C5B" w:rsidRDefault="005A0AC2" w:rsidP="005A0AC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CEF35" id="Text Box 2" o:spid="_x0000_s1028" type="#_x0000_t202" style="position:absolute;left:0;text-align:left;margin-left:11.5pt;margin-top:.45pt;width:486.2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" fillcolor="white [3201]" stroked="f" strokeweight=".5pt">
                <v:textbox>
                  <w:txbxContent>
                    <w:p w14:paraId="3215E919" w14:textId="77777777" w:rsidR="005A0AC2" w:rsidRPr="00A93C5B" w:rsidRDefault="005A0AC2" w:rsidP="009C4976">
                      <w:pPr>
                        <w:spacing w:after="0" w:line="240" w:lineRule="auto"/>
                        <w:jc w:val="center"/>
                        <w:rPr>
                          <w:sz w:val="16"/>
                          <w:szCs w:val="16"/>
                        </w:rPr>
                      </w:pPr>
                      <w:r w:rsidRPr="00A93C5B">
                        <w:rPr>
                          <w:noProof/>
                          <w:sz w:val="16"/>
                          <w:szCs w:val="16"/>
                        </w:rPr>
                        <w:drawing>
                          <wp:inline distT="0" distB="0" distL="0" distR="0" wp14:anchorId="1EF6298E" wp14:editId="2B0B0A7B">
                            <wp:extent cx="4423899" cy="3792235"/>
                            <wp:effectExtent l="0" t="0" r="0" b="0"/>
                            <wp:docPr id="272483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8364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4457934" cy="3821410"/>
                                    </a:xfrm>
                                    <a:prstGeom prst="rect">
                                      <a:avLst/>
                                    </a:prstGeom>
                                  </pic:spPr>
                                </pic:pic>
                              </a:graphicData>
                            </a:graphic>
                          </wp:inline>
                        </w:drawing>
                      </w:r>
                    </w:p>
                    <w:p w14:paraId="0D9C2D37" w14:textId="2F6BD3D4" w:rsidR="005A0AC2" w:rsidRPr="00945A47" w:rsidRDefault="005A0AC2" w:rsidP="009C4976">
                      <w:pPr>
                        <w:spacing w:after="0" w:line="240" w:lineRule="auto"/>
                        <w:ind w:left="709"/>
                        <w:jc w:val="center"/>
                        <w:rPr>
                          <w:rFonts w:ascii="Times New Roman" w:hAnsi="Times New Roman" w:cs="Times New Roman"/>
                          <w:b/>
                          <w:bCs/>
                          <w:sz w:val="20"/>
                          <w:szCs w:val="20"/>
                        </w:rPr>
                      </w:pPr>
                      <w:r w:rsidRPr="00945A47">
                        <w:rPr>
                          <w:rFonts w:ascii="Times New Roman" w:eastAsia="CIDFont+F3" w:hAnsi="Times New Roman" w:cs="Times New Roman"/>
                          <w:b/>
                          <w:sz w:val="20"/>
                          <w:szCs w:val="20"/>
                        </w:rPr>
                        <w:t xml:space="preserve">Source: </w:t>
                      </w:r>
                      <w:proofErr w:type="spellStart"/>
                      <w:r w:rsidRPr="00945A47">
                        <w:rPr>
                          <w:rFonts w:ascii="Times New Roman" w:hAnsi="Times New Roman" w:cs="Times New Roman"/>
                          <w:b/>
                          <w:bCs/>
                          <w:sz w:val="20"/>
                          <w:szCs w:val="20"/>
                        </w:rPr>
                        <w:t>SmartPLS</w:t>
                      </w:r>
                      <w:proofErr w:type="spellEnd"/>
                      <w:r w:rsidRPr="00945A47">
                        <w:rPr>
                          <w:rFonts w:ascii="Times New Roman" w:hAnsi="Times New Roman" w:cs="Times New Roman"/>
                          <w:b/>
                          <w:bCs/>
                          <w:sz w:val="20"/>
                          <w:szCs w:val="20"/>
                        </w:rPr>
                        <w:t xml:space="preserve"> Output, 202</w:t>
                      </w:r>
                      <w:r w:rsidR="009C0F3F">
                        <w:rPr>
                          <w:rFonts w:ascii="Times New Roman" w:hAnsi="Times New Roman" w:cs="Times New Roman"/>
                          <w:b/>
                          <w:bCs/>
                          <w:sz w:val="20"/>
                          <w:szCs w:val="20"/>
                        </w:rPr>
                        <w:t>6</w:t>
                      </w:r>
                      <w:r w:rsidRPr="00945A47">
                        <w:rPr>
                          <w:rFonts w:ascii="Times New Roman" w:hAnsi="Times New Roman" w:cs="Times New Roman"/>
                          <w:b/>
                          <w:bCs/>
                          <w:sz w:val="20"/>
                          <w:szCs w:val="20"/>
                        </w:rPr>
                        <w:t>.</w:t>
                      </w:r>
                    </w:p>
                    <w:p w14:paraId="3B7F553F" w14:textId="77777777" w:rsidR="005A0AC2" w:rsidRPr="00A93C5B" w:rsidRDefault="005A0AC2" w:rsidP="005A0AC2">
                      <w:pPr>
                        <w:rPr>
                          <w:sz w:val="16"/>
                          <w:szCs w:val="16"/>
                        </w:rPr>
                      </w:pPr>
                    </w:p>
                  </w:txbxContent>
                </v:textbox>
              </v:shape>
            </w:pict>
          </mc:Fallback>
        </mc:AlternateContent>
      </w:r>
    </w:p>
    <w:p w14:paraId="76ED71D8" w14:textId="77777777" w:rsidR="005A0AC2" w:rsidRPr="00C5615F" w:rsidRDefault="005A0AC2" w:rsidP="005A0AC2">
      <w:pPr>
        <w:spacing w:line="240" w:lineRule="auto"/>
        <w:ind w:left="709"/>
        <w:jc w:val="both"/>
        <w:rPr>
          <w:rFonts w:ascii="Times New Roman" w:hAnsi="Times New Roman" w:cs="Times New Roman"/>
          <w:color w:val="000000" w:themeColor="text1"/>
        </w:rPr>
      </w:pPr>
    </w:p>
    <w:p w14:paraId="0E3573EB" w14:textId="77777777" w:rsidR="005A0AC2" w:rsidRPr="00C5615F" w:rsidRDefault="005A0AC2" w:rsidP="005A0AC2">
      <w:pPr>
        <w:spacing w:line="240" w:lineRule="auto"/>
        <w:ind w:left="709"/>
        <w:jc w:val="both"/>
        <w:rPr>
          <w:rFonts w:ascii="Times New Roman" w:hAnsi="Times New Roman" w:cs="Times New Roman"/>
          <w:color w:val="000000" w:themeColor="text1"/>
        </w:rPr>
      </w:pPr>
    </w:p>
    <w:p w14:paraId="33ACA902" w14:textId="77777777" w:rsidR="005A0AC2" w:rsidRPr="00C5615F" w:rsidRDefault="005A0AC2" w:rsidP="005A0AC2">
      <w:pPr>
        <w:spacing w:line="240" w:lineRule="auto"/>
        <w:ind w:left="709"/>
        <w:jc w:val="both"/>
        <w:rPr>
          <w:rFonts w:ascii="Times New Roman" w:hAnsi="Times New Roman" w:cs="Times New Roman"/>
          <w:color w:val="000000" w:themeColor="text1"/>
        </w:rPr>
      </w:pPr>
    </w:p>
    <w:p w14:paraId="01DC72C5" w14:textId="77777777" w:rsidR="005A0AC2" w:rsidRPr="00C5615F" w:rsidRDefault="005A0AC2" w:rsidP="005A0AC2">
      <w:pPr>
        <w:spacing w:line="240" w:lineRule="auto"/>
        <w:ind w:left="709"/>
        <w:jc w:val="both"/>
        <w:rPr>
          <w:rFonts w:ascii="Times New Roman" w:hAnsi="Times New Roman" w:cs="Times New Roman"/>
          <w:color w:val="000000" w:themeColor="text1"/>
        </w:rPr>
      </w:pPr>
    </w:p>
    <w:p w14:paraId="012B9629" w14:textId="77777777" w:rsidR="005A0AC2" w:rsidRPr="00C5615F" w:rsidRDefault="005A0AC2" w:rsidP="005A0AC2">
      <w:pPr>
        <w:spacing w:line="240" w:lineRule="auto"/>
        <w:ind w:left="709"/>
        <w:jc w:val="both"/>
        <w:rPr>
          <w:rFonts w:ascii="Times New Roman" w:hAnsi="Times New Roman" w:cs="Times New Roman"/>
          <w:color w:val="000000" w:themeColor="text1"/>
        </w:rPr>
      </w:pPr>
    </w:p>
    <w:p w14:paraId="002C44EB" w14:textId="77777777" w:rsidR="005A0AC2" w:rsidRPr="00C5615F" w:rsidRDefault="005A0AC2" w:rsidP="005A0AC2">
      <w:pPr>
        <w:spacing w:line="240" w:lineRule="auto"/>
        <w:ind w:left="709"/>
        <w:jc w:val="both"/>
        <w:rPr>
          <w:rFonts w:ascii="Times New Roman" w:hAnsi="Times New Roman" w:cs="Times New Roman"/>
          <w:color w:val="000000" w:themeColor="text1"/>
        </w:rPr>
      </w:pPr>
    </w:p>
    <w:p w14:paraId="3D5CA150" w14:textId="77777777" w:rsidR="005A0AC2" w:rsidRPr="00C5615F" w:rsidRDefault="005A0AC2" w:rsidP="005A0AC2">
      <w:pPr>
        <w:spacing w:line="240" w:lineRule="auto"/>
        <w:ind w:left="709"/>
        <w:jc w:val="both"/>
        <w:rPr>
          <w:rFonts w:ascii="Times New Roman" w:hAnsi="Times New Roman" w:cs="Times New Roman"/>
          <w:color w:val="000000" w:themeColor="text1"/>
        </w:rPr>
      </w:pPr>
    </w:p>
    <w:p w14:paraId="25A55EC0" w14:textId="77777777" w:rsidR="005A0AC2" w:rsidRPr="00C5615F" w:rsidRDefault="005A0AC2" w:rsidP="005A0AC2">
      <w:pPr>
        <w:spacing w:line="240" w:lineRule="auto"/>
        <w:ind w:left="709"/>
        <w:jc w:val="both"/>
        <w:rPr>
          <w:rFonts w:ascii="Times New Roman" w:hAnsi="Times New Roman" w:cs="Times New Roman"/>
          <w:color w:val="000000" w:themeColor="text1"/>
        </w:rPr>
      </w:pPr>
    </w:p>
    <w:p w14:paraId="5430AEBC" w14:textId="77777777" w:rsidR="005A0AC2" w:rsidRPr="00C5615F" w:rsidRDefault="005A0AC2" w:rsidP="005A0AC2">
      <w:pPr>
        <w:spacing w:line="240" w:lineRule="auto"/>
        <w:ind w:left="709"/>
        <w:jc w:val="both"/>
        <w:rPr>
          <w:rFonts w:ascii="Times New Roman" w:hAnsi="Times New Roman" w:cs="Times New Roman"/>
          <w:color w:val="000000" w:themeColor="text1"/>
        </w:rPr>
      </w:pPr>
    </w:p>
    <w:p w14:paraId="6AAC4AF8" w14:textId="77777777" w:rsidR="005A0AC2" w:rsidRPr="00C5615F" w:rsidRDefault="005A0AC2" w:rsidP="005A0AC2">
      <w:pPr>
        <w:spacing w:line="240" w:lineRule="auto"/>
        <w:ind w:left="709"/>
        <w:jc w:val="both"/>
        <w:rPr>
          <w:rFonts w:ascii="Times New Roman" w:hAnsi="Times New Roman" w:cs="Times New Roman"/>
          <w:b/>
          <w:bCs/>
          <w:color w:val="000000" w:themeColor="text1"/>
        </w:rPr>
      </w:pPr>
    </w:p>
    <w:p w14:paraId="170881B5" w14:textId="77777777" w:rsidR="005A0AC2" w:rsidRPr="00C5615F" w:rsidRDefault="005A0AC2" w:rsidP="005A0AC2">
      <w:pPr>
        <w:spacing w:line="240" w:lineRule="auto"/>
        <w:ind w:left="709"/>
        <w:jc w:val="both"/>
        <w:rPr>
          <w:rFonts w:ascii="Times New Roman" w:hAnsi="Times New Roman" w:cs="Times New Roman"/>
          <w:b/>
          <w:bCs/>
          <w:color w:val="000000" w:themeColor="text1"/>
        </w:rPr>
      </w:pPr>
    </w:p>
    <w:p w14:paraId="636CEE54" w14:textId="77777777" w:rsidR="00EB31A3" w:rsidRPr="00C5615F" w:rsidRDefault="00EB31A3" w:rsidP="005A0AC2">
      <w:pPr>
        <w:spacing w:line="240" w:lineRule="auto"/>
        <w:ind w:left="709"/>
        <w:jc w:val="both"/>
        <w:rPr>
          <w:rFonts w:ascii="Times New Roman" w:hAnsi="Times New Roman" w:cs="Times New Roman"/>
          <w:b/>
          <w:bCs/>
          <w:color w:val="000000" w:themeColor="text1"/>
        </w:rPr>
      </w:pPr>
    </w:p>
    <w:p w14:paraId="497FAADC" w14:textId="77777777" w:rsidR="00EB31A3" w:rsidRPr="00C5615F" w:rsidRDefault="00EB31A3" w:rsidP="005A0AC2">
      <w:pPr>
        <w:spacing w:line="240" w:lineRule="auto"/>
        <w:ind w:left="709"/>
        <w:jc w:val="both"/>
        <w:rPr>
          <w:rFonts w:ascii="Times New Roman" w:hAnsi="Times New Roman" w:cs="Times New Roman"/>
          <w:b/>
          <w:bCs/>
          <w:color w:val="000000" w:themeColor="text1"/>
        </w:rPr>
      </w:pPr>
    </w:p>
    <w:p w14:paraId="15DDD722" w14:textId="77777777" w:rsidR="00EB31A3" w:rsidRPr="00DE4488" w:rsidRDefault="00EB31A3" w:rsidP="005A0AC2">
      <w:pPr>
        <w:spacing w:line="240" w:lineRule="auto"/>
        <w:ind w:left="709"/>
        <w:jc w:val="both"/>
        <w:rPr>
          <w:rFonts w:ascii="Times New Roman" w:hAnsi="Times New Roman" w:cs="Times New Roman"/>
          <w:b/>
          <w:bCs/>
          <w:color w:val="000000" w:themeColor="text1"/>
          <w:sz w:val="2"/>
          <w:szCs w:val="2"/>
        </w:rPr>
      </w:pPr>
    </w:p>
    <w:p w14:paraId="7C6ACA1A" w14:textId="77777777" w:rsidR="00BC7EF5" w:rsidRPr="00C5615F" w:rsidRDefault="00BC7EF5" w:rsidP="006D75B2">
      <w:pPr>
        <w:pStyle w:val="Heading1"/>
        <w:spacing w:line="360" w:lineRule="auto"/>
        <w:ind w:firstLine="720"/>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Table 8: Path Coefficients and Hypothesis Testing Results</w:t>
      </w:r>
    </w:p>
    <w:tbl>
      <w:tblPr>
        <w:tblStyle w:val="TableGrid2"/>
        <w:tblW w:w="8505" w:type="dxa"/>
        <w:tblInd w:w="704" w:type="dxa"/>
        <w:tblLook w:val="04A0" w:firstRow="1" w:lastRow="0" w:firstColumn="1" w:lastColumn="0" w:noHBand="0" w:noVBand="1"/>
      </w:tblPr>
      <w:tblGrid>
        <w:gridCol w:w="2020"/>
        <w:gridCol w:w="2243"/>
        <w:gridCol w:w="1344"/>
        <w:gridCol w:w="1105"/>
        <w:gridCol w:w="1793"/>
      </w:tblGrid>
      <w:tr w:rsidR="00BC7EF5" w:rsidRPr="00C5615F" w14:paraId="22516EF9" w14:textId="77777777" w:rsidTr="0034364F">
        <w:tc>
          <w:tcPr>
            <w:tcW w:w="0" w:type="auto"/>
            <w:hideMark/>
          </w:tcPr>
          <w:p w14:paraId="27D84135" w14:textId="77777777" w:rsidR="00BC7EF5" w:rsidRPr="00C5615F" w:rsidRDefault="00BC7EF5" w:rsidP="0034364F">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Path (Hypothesis)</w:t>
            </w:r>
          </w:p>
        </w:tc>
        <w:tc>
          <w:tcPr>
            <w:tcW w:w="0" w:type="auto"/>
            <w:hideMark/>
          </w:tcPr>
          <w:p w14:paraId="2E4A482D"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Original Sample (O)</w:t>
            </w:r>
          </w:p>
        </w:tc>
        <w:tc>
          <w:tcPr>
            <w:tcW w:w="0" w:type="auto"/>
            <w:hideMark/>
          </w:tcPr>
          <w:p w14:paraId="72BFA97B"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T Statistics</w:t>
            </w:r>
          </w:p>
        </w:tc>
        <w:tc>
          <w:tcPr>
            <w:tcW w:w="0" w:type="auto"/>
            <w:hideMark/>
          </w:tcPr>
          <w:p w14:paraId="3DD5CA4C"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P Values</w:t>
            </w:r>
          </w:p>
        </w:tc>
        <w:tc>
          <w:tcPr>
            <w:tcW w:w="1793" w:type="dxa"/>
            <w:hideMark/>
          </w:tcPr>
          <w:p w14:paraId="4DBE8DC4"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Decision</w:t>
            </w:r>
          </w:p>
        </w:tc>
      </w:tr>
      <w:tr w:rsidR="00BC7EF5" w:rsidRPr="00C5615F" w14:paraId="7FD454FC" w14:textId="77777777" w:rsidTr="0034364F">
        <w:tc>
          <w:tcPr>
            <w:tcW w:w="0" w:type="auto"/>
            <w:hideMark/>
          </w:tcPr>
          <w:p w14:paraId="291B06F9" w14:textId="77777777" w:rsidR="00BC7EF5" w:rsidRPr="00C5615F" w:rsidRDefault="00BC7EF5" w:rsidP="0034364F">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BDAR → SUCP</w:t>
            </w:r>
          </w:p>
        </w:tc>
        <w:tc>
          <w:tcPr>
            <w:tcW w:w="0" w:type="auto"/>
            <w:hideMark/>
          </w:tcPr>
          <w:p w14:paraId="0CE740FF"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0.336</w:t>
            </w:r>
          </w:p>
        </w:tc>
        <w:tc>
          <w:tcPr>
            <w:tcW w:w="0" w:type="auto"/>
            <w:hideMark/>
          </w:tcPr>
          <w:p w14:paraId="1EB53581"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4.588</w:t>
            </w:r>
          </w:p>
        </w:tc>
        <w:tc>
          <w:tcPr>
            <w:tcW w:w="0" w:type="auto"/>
            <w:hideMark/>
          </w:tcPr>
          <w:p w14:paraId="28D2588D"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0.000</w:t>
            </w:r>
          </w:p>
        </w:tc>
        <w:tc>
          <w:tcPr>
            <w:tcW w:w="1793" w:type="dxa"/>
            <w:hideMark/>
          </w:tcPr>
          <w:p w14:paraId="289BE607"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Supported</w:t>
            </w:r>
          </w:p>
        </w:tc>
      </w:tr>
      <w:tr w:rsidR="00BC7EF5" w:rsidRPr="00C5615F" w14:paraId="68B93C69" w14:textId="77777777" w:rsidTr="0034364F">
        <w:tc>
          <w:tcPr>
            <w:tcW w:w="0" w:type="auto"/>
            <w:hideMark/>
          </w:tcPr>
          <w:p w14:paraId="0FCD3B77" w14:textId="77777777" w:rsidR="00BC7EF5" w:rsidRPr="00C5615F" w:rsidRDefault="00BC7EF5" w:rsidP="0034364F">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BBSC → SUCP</w:t>
            </w:r>
          </w:p>
        </w:tc>
        <w:tc>
          <w:tcPr>
            <w:tcW w:w="0" w:type="auto"/>
            <w:hideMark/>
          </w:tcPr>
          <w:p w14:paraId="4F6EF7B5"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0.310</w:t>
            </w:r>
          </w:p>
        </w:tc>
        <w:tc>
          <w:tcPr>
            <w:tcW w:w="0" w:type="auto"/>
            <w:hideMark/>
          </w:tcPr>
          <w:p w14:paraId="6F21AC6C"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3.920</w:t>
            </w:r>
          </w:p>
        </w:tc>
        <w:tc>
          <w:tcPr>
            <w:tcW w:w="0" w:type="auto"/>
            <w:hideMark/>
          </w:tcPr>
          <w:p w14:paraId="79E0AAFC"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0.000</w:t>
            </w:r>
          </w:p>
        </w:tc>
        <w:tc>
          <w:tcPr>
            <w:tcW w:w="1793" w:type="dxa"/>
            <w:hideMark/>
          </w:tcPr>
          <w:p w14:paraId="3B0C7A36"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Supported</w:t>
            </w:r>
          </w:p>
        </w:tc>
      </w:tr>
      <w:tr w:rsidR="00BC7EF5" w:rsidRPr="00C5615F" w14:paraId="5F73D3CE" w14:textId="77777777" w:rsidTr="0034364F">
        <w:tc>
          <w:tcPr>
            <w:tcW w:w="0" w:type="auto"/>
            <w:hideMark/>
          </w:tcPr>
          <w:p w14:paraId="254F7D56" w14:textId="77777777" w:rsidR="00BC7EF5" w:rsidRPr="00C5615F" w:rsidRDefault="00BC7EF5" w:rsidP="0034364F">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EPRS → SUCP</w:t>
            </w:r>
          </w:p>
        </w:tc>
        <w:tc>
          <w:tcPr>
            <w:tcW w:w="0" w:type="auto"/>
            <w:hideMark/>
          </w:tcPr>
          <w:p w14:paraId="75880303"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0.173</w:t>
            </w:r>
          </w:p>
        </w:tc>
        <w:tc>
          <w:tcPr>
            <w:tcW w:w="0" w:type="auto"/>
            <w:hideMark/>
          </w:tcPr>
          <w:p w14:paraId="7DE881D2"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2.206</w:t>
            </w:r>
          </w:p>
        </w:tc>
        <w:tc>
          <w:tcPr>
            <w:tcW w:w="0" w:type="auto"/>
            <w:hideMark/>
          </w:tcPr>
          <w:p w14:paraId="5BC95FAE"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0.028</w:t>
            </w:r>
          </w:p>
        </w:tc>
        <w:tc>
          <w:tcPr>
            <w:tcW w:w="1793" w:type="dxa"/>
            <w:hideMark/>
          </w:tcPr>
          <w:p w14:paraId="576882EE"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Supported</w:t>
            </w:r>
          </w:p>
        </w:tc>
      </w:tr>
      <w:tr w:rsidR="00BC7EF5" w:rsidRPr="00C5615F" w14:paraId="3F039A18" w14:textId="77777777" w:rsidTr="0034364F">
        <w:tc>
          <w:tcPr>
            <w:tcW w:w="0" w:type="auto"/>
            <w:hideMark/>
          </w:tcPr>
          <w:p w14:paraId="79915C86" w14:textId="77777777" w:rsidR="00BC7EF5" w:rsidRPr="00C5615F" w:rsidRDefault="00BC7EF5" w:rsidP="0034364F">
            <w:pPr>
              <w:spacing w:after="160"/>
              <w:jc w:val="center"/>
              <w:rPr>
                <w:rFonts w:ascii="Times New Roman" w:hAnsi="Times New Roman" w:cs="Times New Roman"/>
                <w:color w:val="000000" w:themeColor="text1"/>
                <w:sz w:val="24"/>
                <w:szCs w:val="24"/>
                <w:lang w:val="en-NG"/>
              </w:rPr>
            </w:pPr>
            <w:r w:rsidRPr="00C5615F">
              <w:rPr>
                <w:rFonts w:ascii="Times New Roman" w:hAnsi="Times New Roman" w:cs="Times New Roman"/>
                <w:b/>
                <w:bCs/>
                <w:color w:val="000000" w:themeColor="text1"/>
                <w:sz w:val="24"/>
                <w:szCs w:val="24"/>
                <w:lang w:val="en-NG"/>
              </w:rPr>
              <w:t>DSCF → SUCP</w:t>
            </w:r>
          </w:p>
        </w:tc>
        <w:tc>
          <w:tcPr>
            <w:tcW w:w="0" w:type="auto"/>
            <w:hideMark/>
          </w:tcPr>
          <w:p w14:paraId="589786F3"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0.139</w:t>
            </w:r>
          </w:p>
        </w:tc>
        <w:tc>
          <w:tcPr>
            <w:tcW w:w="0" w:type="auto"/>
            <w:hideMark/>
          </w:tcPr>
          <w:p w14:paraId="4821054C"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1.719</w:t>
            </w:r>
          </w:p>
        </w:tc>
        <w:tc>
          <w:tcPr>
            <w:tcW w:w="0" w:type="auto"/>
            <w:hideMark/>
          </w:tcPr>
          <w:p w14:paraId="35D51977"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0.086</w:t>
            </w:r>
          </w:p>
        </w:tc>
        <w:tc>
          <w:tcPr>
            <w:tcW w:w="1793" w:type="dxa"/>
            <w:hideMark/>
          </w:tcPr>
          <w:p w14:paraId="4B3EB070" w14:textId="77777777" w:rsidR="00BC7EF5" w:rsidRPr="00C5615F" w:rsidRDefault="00BC7EF5" w:rsidP="001A2BDA">
            <w:pPr>
              <w:spacing w:after="160"/>
              <w:jc w:val="both"/>
              <w:rPr>
                <w:rFonts w:ascii="Times New Roman" w:hAnsi="Times New Roman" w:cs="Times New Roman"/>
                <w:color w:val="000000" w:themeColor="text1"/>
                <w:sz w:val="24"/>
                <w:szCs w:val="24"/>
                <w:lang w:val="en-NG"/>
              </w:rPr>
            </w:pPr>
            <w:r w:rsidRPr="00C5615F">
              <w:rPr>
                <w:rFonts w:ascii="Times New Roman" w:hAnsi="Times New Roman" w:cs="Times New Roman"/>
                <w:color w:val="000000" w:themeColor="text1"/>
                <w:sz w:val="24"/>
                <w:szCs w:val="24"/>
                <w:lang w:val="en-NG"/>
              </w:rPr>
              <w:t>Not Supported</w:t>
            </w:r>
          </w:p>
        </w:tc>
      </w:tr>
    </w:tbl>
    <w:p w14:paraId="083B69A8" w14:textId="77777777" w:rsidR="00BC7EF5" w:rsidRPr="00C5615F" w:rsidRDefault="00BC7EF5" w:rsidP="00BC7EF5">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Source:</w:t>
      </w:r>
      <w:r w:rsidRPr="00C5615F">
        <w:rPr>
          <w:rFonts w:ascii="Times New Roman" w:hAnsi="Times New Roman" w:cs="Times New Roman"/>
          <w:color w:val="000000" w:themeColor="text1"/>
        </w:rPr>
        <w:t xml:space="preserve"> </w:t>
      </w:r>
      <w:proofErr w:type="spellStart"/>
      <w:r w:rsidRPr="00C5615F">
        <w:rPr>
          <w:rFonts w:ascii="Times New Roman" w:hAnsi="Times New Roman" w:cs="Times New Roman"/>
          <w:color w:val="000000" w:themeColor="text1"/>
        </w:rPr>
        <w:t>SmartPLS</w:t>
      </w:r>
      <w:proofErr w:type="spellEnd"/>
      <w:r w:rsidRPr="00C5615F">
        <w:rPr>
          <w:rFonts w:ascii="Times New Roman" w:hAnsi="Times New Roman" w:cs="Times New Roman"/>
          <w:color w:val="000000" w:themeColor="text1"/>
        </w:rPr>
        <w:t xml:space="preserve"> Output, 2026.</w:t>
      </w:r>
    </w:p>
    <w:p w14:paraId="421934B7" w14:textId="77777777" w:rsidR="00BC7EF5" w:rsidRPr="00C5615F" w:rsidRDefault="00BC7EF5" w:rsidP="00BC7EF5">
      <w:pPr>
        <w:spacing w:line="240" w:lineRule="auto"/>
        <w:ind w:left="720"/>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Key Findings</w:t>
      </w:r>
    </w:p>
    <w:p w14:paraId="5C08382E" w14:textId="4B0007AF" w:rsidR="00BC7EF5" w:rsidRPr="00C5615F" w:rsidRDefault="00BC7EF5" w:rsidP="00DA188E">
      <w:pPr>
        <w:numPr>
          <w:ilvl w:val="0"/>
          <w:numId w:val="135"/>
        </w:numPr>
        <w:tabs>
          <w:tab w:val="clear" w:pos="720"/>
        </w:tabs>
        <w:spacing w:line="240" w:lineRule="auto"/>
        <w:ind w:left="1276" w:hanging="142"/>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Big Data Analytics &amp; AI Risk Assessment (BDAR)</w:t>
      </w:r>
      <w:r w:rsidRPr="00C5615F">
        <w:rPr>
          <w:rFonts w:ascii="Times New Roman" w:hAnsi="Times New Roman" w:cs="Times New Roman"/>
          <w:color w:val="000000" w:themeColor="text1"/>
        </w:rPr>
        <w:t xml:space="preserve"> significantly and positively affects Supply Chain Performance (beta = 0.336, p &lt; 0.001). It emerged as the strongest predictor, highlighting that predictive insights are vital for mitigating disruptions.</w:t>
      </w:r>
    </w:p>
    <w:p w14:paraId="42602589" w14:textId="5A32F820" w:rsidR="00BC7EF5" w:rsidRPr="00C5615F" w:rsidRDefault="00BC7EF5" w:rsidP="00DA188E">
      <w:pPr>
        <w:numPr>
          <w:ilvl w:val="0"/>
          <w:numId w:val="135"/>
        </w:numPr>
        <w:tabs>
          <w:tab w:val="clear" w:pos="720"/>
        </w:tabs>
        <w:spacing w:line="240" w:lineRule="auto"/>
        <w:ind w:left="1276" w:hanging="142"/>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Blockchain-Based Smart Contracts (BBSC)</w:t>
      </w:r>
      <w:r w:rsidRPr="00C5615F">
        <w:rPr>
          <w:rFonts w:ascii="Times New Roman" w:hAnsi="Times New Roman" w:cs="Times New Roman"/>
          <w:color w:val="000000" w:themeColor="text1"/>
        </w:rPr>
        <w:t xml:space="preserve"> exerts a significant positive impact (beta = 0.310, p &lt; 0.001), confirming that </w:t>
      </w:r>
      <w:proofErr w:type="spellStart"/>
      <w:r w:rsidRPr="00C5615F">
        <w:rPr>
          <w:rFonts w:ascii="Times New Roman" w:hAnsi="Times New Roman" w:cs="Times New Roman"/>
          <w:color w:val="000000" w:themeColor="text1"/>
        </w:rPr>
        <w:t>trustless</w:t>
      </w:r>
      <w:proofErr w:type="spellEnd"/>
      <w:r w:rsidRPr="00C5615F">
        <w:rPr>
          <w:rFonts w:ascii="Times New Roman" w:hAnsi="Times New Roman" w:cs="Times New Roman"/>
          <w:color w:val="000000" w:themeColor="text1"/>
        </w:rPr>
        <w:t xml:space="preserve"> automated execution reduces human error and administrative waste.</w:t>
      </w:r>
    </w:p>
    <w:p w14:paraId="7D8CD707" w14:textId="1B063E78" w:rsidR="00BC7EF5" w:rsidRPr="00C5615F" w:rsidRDefault="00BC7EF5" w:rsidP="00DA188E">
      <w:pPr>
        <w:numPr>
          <w:ilvl w:val="0"/>
          <w:numId w:val="135"/>
        </w:numPr>
        <w:tabs>
          <w:tab w:val="clear" w:pos="720"/>
        </w:tabs>
        <w:spacing w:line="240" w:lineRule="auto"/>
        <w:ind w:left="1276" w:hanging="142"/>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Electronic Payment and Remittance Systems (EPRS)</w:t>
      </w:r>
      <w:r w:rsidRPr="00C5615F">
        <w:rPr>
          <w:rFonts w:ascii="Times New Roman" w:hAnsi="Times New Roman" w:cs="Times New Roman"/>
          <w:color w:val="000000" w:themeColor="text1"/>
        </w:rPr>
        <w:t xml:space="preserve"> significantly </w:t>
      </w:r>
      <w:r w:rsidR="00307F19" w:rsidRPr="00C5615F">
        <w:rPr>
          <w:rFonts w:ascii="Times New Roman" w:hAnsi="Times New Roman" w:cs="Times New Roman"/>
          <w:color w:val="000000" w:themeColor="text1"/>
        </w:rPr>
        <w:t>affect</w:t>
      </w:r>
      <w:r w:rsidRPr="00C5615F">
        <w:rPr>
          <w:rFonts w:ascii="Times New Roman" w:hAnsi="Times New Roman" w:cs="Times New Roman"/>
          <w:color w:val="000000" w:themeColor="text1"/>
        </w:rPr>
        <w:t xml:space="preserve"> performance (beta = 0.173, p &lt; 0.05), underscoring the role of digital liquidity in accelerating contractor settlements.</w:t>
      </w:r>
    </w:p>
    <w:p w14:paraId="1F2214B7" w14:textId="6D6A017C" w:rsidR="00BC7EF5" w:rsidRPr="00C5615F" w:rsidRDefault="00BC7EF5" w:rsidP="00DA188E">
      <w:pPr>
        <w:numPr>
          <w:ilvl w:val="0"/>
          <w:numId w:val="135"/>
        </w:numPr>
        <w:tabs>
          <w:tab w:val="clear" w:pos="720"/>
        </w:tabs>
        <w:spacing w:line="240" w:lineRule="auto"/>
        <w:ind w:left="1276" w:hanging="142"/>
        <w:jc w:val="both"/>
        <w:rPr>
          <w:rFonts w:ascii="Times New Roman" w:hAnsi="Times New Roman" w:cs="Times New Roman"/>
          <w:color w:val="000000" w:themeColor="text1"/>
        </w:rPr>
      </w:pPr>
      <w:r w:rsidRPr="00C5615F">
        <w:rPr>
          <w:rFonts w:ascii="Times New Roman" w:hAnsi="Times New Roman" w:cs="Times New Roman"/>
          <w:b/>
          <w:bCs/>
          <w:color w:val="000000" w:themeColor="text1"/>
        </w:rPr>
        <w:t>Digital Supply Chain Finance (DSCF)</w:t>
      </w:r>
      <w:r w:rsidRPr="00C5615F">
        <w:rPr>
          <w:rFonts w:ascii="Times New Roman" w:hAnsi="Times New Roman" w:cs="Times New Roman"/>
          <w:color w:val="000000" w:themeColor="text1"/>
        </w:rPr>
        <w:t xml:space="preserve"> does not have a statistically significant effect at the 5% level (beta = 0.139, p = 0.086). While positive, the results suggest that financing models have not yet matured enough to drive measurable performance gains in the current Nigerian public sector landscape.</w:t>
      </w:r>
    </w:p>
    <w:p w14:paraId="4585266F" w14:textId="50E655FC" w:rsidR="00E86DD4" w:rsidRPr="00C5615F" w:rsidRDefault="00E86DD4" w:rsidP="00E2101A">
      <w:pPr>
        <w:pStyle w:val="Heading1"/>
        <w:ind w:firstLine="720"/>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Discussion of Findings</w:t>
      </w:r>
    </w:p>
    <w:p w14:paraId="2020460B" w14:textId="77777777" w:rsidR="00E86DD4" w:rsidRPr="00C5615F" w:rsidRDefault="00E86DD4" w:rsidP="00E86DD4">
      <w:pPr>
        <w:spacing w:line="240" w:lineRule="auto"/>
        <w:ind w:left="720"/>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H</w:t>
      </w:r>
      <w:r w:rsidRPr="00C5615F">
        <w:rPr>
          <w:rFonts w:ascii="Times New Roman" w:hAnsi="Times New Roman" w:cs="Times New Roman"/>
          <w:b/>
          <w:bCs/>
          <w:color w:val="000000" w:themeColor="text1"/>
          <w:vertAlign w:val="subscript"/>
        </w:rPr>
        <w:t>01</w:t>
      </w:r>
      <w:r w:rsidRPr="00C5615F">
        <w:rPr>
          <w:rFonts w:ascii="Times New Roman" w:hAnsi="Times New Roman" w:cs="Times New Roman"/>
          <w:b/>
          <w:bCs/>
          <w:color w:val="000000" w:themeColor="text1"/>
        </w:rPr>
        <w:t>: Big Data Analytics &amp; AI Risk Assessment (BDAR) has no significant effect on Supply Chain Performance.</w:t>
      </w:r>
    </w:p>
    <w:p w14:paraId="112BE60C" w14:textId="3582491C" w:rsidR="00E86DD4" w:rsidRPr="00C5615F" w:rsidRDefault="00E86DD4" w:rsidP="00E86DD4">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The hypothesis was rejected, as the path coefficient of 0.336 (t = 4.588, p = 0.000) indicates a strong significant positive effect. This identifie</w:t>
      </w:r>
      <w:r w:rsidR="00E54CEB" w:rsidRPr="00C5615F">
        <w:rPr>
          <w:rFonts w:ascii="Times New Roman" w:hAnsi="Times New Roman" w:cs="Times New Roman"/>
          <w:color w:val="000000" w:themeColor="text1"/>
        </w:rPr>
        <w:t>d</w:t>
      </w:r>
      <w:r w:rsidRPr="00C5615F">
        <w:rPr>
          <w:rFonts w:ascii="Times New Roman" w:hAnsi="Times New Roman" w:cs="Times New Roman"/>
          <w:color w:val="000000" w:themeColor="text1"/>
        </w:rPr>
        <w:t xml:space="preserve"> </w:t>
      </w:r>
      <w:r w:rsidR="00E54CEB" w:rsidRPr="00C5615F">
        <w:rPr>
          <w:rFonts w:ascii="Times New Roman" w:hAnsi="Times New Roman" w:cs="Times New Roman"/>
          <w:color w:val="000000" w:themeColor="text1"/>
        </w:rPr>
        <w:t xml:space="preserve">Big Data Analytics &amp; AI Risk Assessment </w:t>
      </w:r>
      <w:r w:rsidRPr="00C5615F">
        <w:rPr>
          <w:rFonts w:ascii="Times New Roman" w:hAnsi="Times New Roman" w:cs="Times New Roman"/>
          <w:color w:val="000000" w:themeColor="text1"/>
        </w:rPr>
        <w:t>as the most influential predictor in the model. The finding implies that utilizing predictive insights and machine learning allows practitioners to transition from reactive to proactive sourcing. By identifying high-risk vendors and sensing disruptions pre-emptively, MDAs can maintain operational stability. This aligns with Yörük (2025), who noted that AI greatly increases operational efficiency through data-driven decision-making, and Li (2024), who demonstrated that machine learning significantly improves credit risk assessment by offering real-time insights into supplier health.</w:t>
      </w:r>
    </w:p>
    <w:p w14:paraId="5C2509DD" w14:textId="1C271139" w:rsidR="00E86DD4" w:rsidRPr="00C5615F" w:rsidRDefault="00E86DD4" w:rsidP="00E86DD4">
      <w:pPr>
        <w:spacing w:line="240" w:lineRule="auto"/>
        <w:ind w:left="720"/>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H</w:t>
      </w:r>
      <w:r w:rsidR="00EC75E5" w:rsidRPr="00C5615F">
        <w:rPr>
          <w:rFonts w:ascii="Times New Roman" w:hAnsi="Times New Roman" w:cs="Times New Roman"/>
          <w:b/>
          <w:bCs/>
          <w:color w:val="000000" w:themeColor="text1"/>
          <w:vertAlign w:val="subscript"/>
        </w:rPr>
        <w:t>02</w:t>
      </w:r>
      <w:r w:rsidRPr="00C5615F">
        <w:rPr>
          <w:rFonts w:ascii="Times New Roman" w:hAnsi="Times New Roman" w:cs="Times New Roman"/>
          <w:b/>
          <w:bCs/>
          <w:color w:val="000000" w:themeColor="text1"/>
        </w:rPr>
        <w:t>: Blockchain-Based Smart Contracts (BBSC) has no significant effect on Supply Chain Performance.</w:t>
      </w:r>
    </w:p>
    <w:p w14:paraId="13F84345" w14:textId="3029CB39" w:rsidR="00E86DD4" w:rsidRPr="00C5615F" w:rsidRDefault="00E86DD4" w:rsidP="00E86DD4">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The hypothesis was rejected, with a path coefficient of 0.310 (t = 3.920, p = 0.000), confirming a significant positive impact. This suggest</w:t>
      </w:r>
      <w:r w:rsidR="00D00743" w:rsidRPr="00C5615F">
        <w:rPr>
          <w:rFonts w:ascii="Times New Roman" w:hAnsi="Times New Roman" w:cs="Times New Roman"/>
          <w:color w:val="000000" w:themeColor="text1"/>
        </w:rPr>
        <w:t>ed</w:t>
      </w:r>
      <w:r w:rsidRPr="00C5615F">
        <w:rPr>
          <w:rFonts w:ascii="Times New Roman" w:hAnsi="Times New Roman" w:cs="Times New Roman"/>
          <w:color w:val="000000" w:themeColor="text1"/>
        </w:rPr>
        <w:t xml:space="preserve"> that </w:t>
      </w:r>
      <w:proofErr w:type="spellStart"/>
      <w:r w:rsidRPr="00C5615F">
        <w:rPr>
          <w:rFonts w:ascii="Times New Roman" w:hAnsi="Times New Roman" w:cs="Times New Roman"/>
          <w:color w:val="000000" w:themeColor="text1"/>
        </w:rPr>
        <w:t>trustless</w:t>
      </w:r>
      <w:proofErr w:type="spellEnd"/>
      <w:r w:rsidRPr="00C5615F">
        <w:rPr>
          <w:rFonts w:ascii="Times New Roman" w:hAnsi="Times New Roman" w:cs="Times New Roman"/>
          <w:color w:val="000000" w:themeColor="text1"/>
        </w:rPr>
        <w:t xml:space="preserve"> automated execution is foundational for reducing administrative waste in the public sector. The use of immutable ledgers ensures transaction fidelity, while smart contracts automate payments upon verified delivery milestones. This finding corroborates Kim and Shin (2019), who established that blockchain promotes partnership growth by eliminating the need for intermediaries. Furthermore, it supports </w:t>
      </w:r>
      <w:proofErr w:type="spellStart"/>
      <w:r w:rsidRPr="00C5615F">
        <w:rPr>
          <w:rFonts w:ascii="Times New Roman" w:hAnsi="Times New Roman" w:cs="Times New Roman"/>
          <w:color w:val="000000" w:themeColor="text1"/>
        </w:rPr>
        <w:t>Basdekidou</w:t>
      </w:r>
      <w:proofErr w:type="spellEnd"/>
      <w:r w:rsidRPr="00C5615F">
        <w:rPr>
          <w:rFonts w:ascii="Times New Roman" w:hAnsi="Times New Roman" w:cs="Times New Roman"/>
          <w:color w:val="000000" w:themeColor="text1"/>
        </w:rPr>
        <w:t xml:space="preserve"> and </w:t>
      </w:r>
      <w:proofErr w:type="spellStart"/>
      <w:r w:rsidRPr="00C5615F">
        <w:rPr>
          <w:rFonts w:ascii="Times New Roman" w:hAnsi="Times New Roman" w:cs="Times New Roman"/>
          <w:color w:val="000000" w:themeColor="text1"/>
        </w:rPr>
        <w:t>Papapanagos</w:t>
      </w:r>
      <w:proofErr w:type="spellEnd"/>
      <w:r w:rsidRPr="00C5615F">
        <w:rPr>
          <w:rFonts w:ascii="Times New Roman" w:hAnsi="Times New Roman" w:cs="Times New Roman"/>
          <w:color w:val="000000" w:themeColor="text1"/>
        </w:rPr>
        <w:t xml:space="preserve"> (2024), who argued that BCT adoption secures corporate transparency and enhances institutional trust.</w:t>
      </w:r>
    </w:p>
    <w:p w14:paraId="36397BB1" w14:textId="48885C95" w:rsidR="00E86DD4" w:rsidRPr="00C5615F" w:rsidRDefault="00E86DD4" w:rsidP="00E86DD4">
      <w:pPr>
        <w:spacing w:line="240" w:lineRule="auto"/>
        <w:ind w:left="720"/>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H</w:t>
      </w:r>
      <w:r w:rsidR="00EC75E5" w:rsidRPr="00C5615F">
        <w:rPr>
          <w:rFonts w:ascii="Times New Roman" w:hAnsi="Times New Roman" w:cs="Times New Roman"/>
          <w:b/>
          <w:bCs/>
          <w:color w:val="000000" w:themeColor="text1"/>
          <w:vertAlign w:val="subscript"/>
        </w:rPr>
        <w:t>03</w:t>
      </w:r>
      <w:r w:rsidRPr="00C5615F">
        <w:rPr>
          <w:rFonts w:ascii="Times New Roman" w:hAnsi="Times New Roman" w:cs="Times New Roman"/>
          <w:b/>
          <w:bCs/>
          <w:color w:val="000000" w:themeColor="text1"/>
        </w:rPr>
        <w:t xml:space="preserve">: Electronic Payment and Remittance Systems (EPRS) </w:t>
      </w:r>
      <w:proofErr w:type="gramStart"/>
      <w:r w:rsidRPr="00C5615F">
        <w:rPr>
          <w:rFonts w:ascii="Times New Roman" w:hAnsi="Times New Roman" w:cs="Times New Roman"/>
          <w:b/>
          <w:bCs/>
          <w:color w:val="000000" w:themeColor="text1"/>
        </w:rPr>
        <w:t>has</w:t>
      </w:r>
      <w:proofErr w:type="gramEnd"/>
      <w:r w:rsidRPr="00C5615F">
        <w:rPr>
          <w:rFonts w:ascii="Times New Roman" w:hAnsi="Times New Roman" w:cs="Times New Roman"/>
          <w:b/>
          <w:bCs/>
          <w:color w:val="000000" w:themeColor="text1"/>
        </w:rPr>
        <w:t xml:space="preserve"> no significant effect on Supply Chain Performance.</w:t>
      </w:r>
    </w:p>
    <w:p w14:paraId="564B1608" w14:textId="3D465D0C" w:rsidR="00E86DD4" w:rsidRPr="00C5615F" w:rsidRDefault="00E86DD4" w:rsidP="00E86DD4">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The hypothesis was rejected (beta = 0.173, t = 2.206, p = 0.028), indicating that digital payment tools significantly enhance performance. Digital liquidity tools serve as the financial heartbeat of the supply chain, accelerating contractor settlements and bypassing bureaucratic red tape. This result is consistent with Abdulrazaq et al. (2023), who found that </w:t>
      </w:r>
      <w:r w:rsidR="00B75489">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improves firm performance by enhancing the speed of operational procedures. It also aligns with Khalil (2025), who noted that digital banking infrastructures drastically reduce settlement times and transaction costs within inflationary environments.</w:t>
      </w:r>
    </w:p>
    <w:p w14:paraId="19991DDB" w14:textId="33AACEAE" w:rsidR="00E86DD4" w:rsidRPr="00C5615F" w:rsidRDefault="00E86DD4" w:rsidP="00E86DD4">
      <w:pPr>
        <w:spacing w:line="240" w:lineRule="auto"/>
        <w:ind w:left="720"/>
        <w:jc w:val="both"/>
        <w:rPr>
          <w:rFonts w:ascii="Times New Roman" w:hAnsi="Times New Roman" w:cs="Times New Roman"/>
          <w:b/>
          <w:bCs/>
          <w:color w:val="000000" w:themeColor="text1"/>
        </w:rPr>
      </w:pPr>
      <w:r w:rsidRPr="00C5615F">
        <w:rPr>
          <w:rFonts w:ascii="Times New Roman" w:hAnsi="Times New Roman" w:cs="Times New Roman"/>
          <w:b/>
          <w:bCs/>
          <w:color w:val="000000" w:themeColor="text1"/>
        </w:rPr>
        <w:t>H</w:t>
      </w:r>
      <w:r w:rsidR="00EC75E5" w:rsidRPr="00C5615F">
        <w:rPr>
          <w:rFonts w:ascii="Times New Roman" w:hAnsi="Times New Roman" w:cs="Times New Roman"/>
          <w:b/>
          <w:bCs/>
          <w:color w:val="000000" w:themeColor="text1"/>
          <w:vertAlign w:val="subscript"/>
        </w:rPr>
        <w:t>04</w:t>
      </w:r>
      <w:r w:rsidRPr="00C5615F">
        <w:rPr>
          <w:rFonts w:ascii="Times New Roman" w:hAnsi="Times New Roman" w:cs="Times New Roman"/>
          <w:b/>
          <w:bCs/>
          <w:color w:val="000000" w:themeColor="text1"/>
        </w:rPr>
        <w:t>: Digital Supply Chain Finance (DSCF) Utilization has no significant effect on Supply Chain Performance.</w:t>
      </w:r>
    </w:p>
    <w:p w14:paraId="221B1215" w14:textId="3F8CDD23" w:rsidR="00E86DD4" w:rsidRPr="00C5615F" w:rsidRDefault="00E86DD4" w:rsidP="00E86DD4">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The hypothesis was retained at the 5% significance level (beta = 0.139, t = 1.719, p = 0.086). While the relationship is positive</w:t>
      </w:r>
      <w:r w:rsidR="00213598" w:rsidRPr="00C5615F">
        <w:rPr>
          <w:rFonts w:ascii="Times New Roman" w:hAnsi="Times New Roman" w:cs="Times New Roman"/>
          <w:color w:val="000000" w:themeColor="text1"/>
        </w:rPr>
        <w:t xml:space="preserve"> (</w:t>
      </w:r>
      <w:r w:rsidR="0022086B" w:rsidRPr="00C5615F">
        <w:rPr>
          <w:rFonts w:ascii="Times New Roman" w:hAnsi="Times New Roman" w:cs="Times New Roman"/>
          <w:color w:val="000000" w:themeColor="text1"/>
        </w:rPr>
        <w:t>β = 0.139</w:t>
      </w:r>
      <w:r w:rsidR="00213598" w:rsidRPr="00C5615F">
        <w:rPr>
          <w:rFonts w:ascii="Times New Roman" w:hAnsi="Times New Roman" w:cs="Times New Roman"/>
          <w:color w:val="000000" w:themeColor="text1"/>
        </w:rPr>
        <w:t>)</w:t>
      </w:r>
      <w:r w:rsidRPr="00C5615F">
        <w:rPr>
          <w:rFonts w:ascii="Times New Roman" w:hAnsi="Times New Roman" w:cs="Times New Roman"/>
          <w:color w:val="000000" w:themeColor="text1"/>
        </w:rPr>
        <w:t xml:space="preserve">, it did not meet the threshold for statistical significance. This implies that while </w:t>
      </w:r>
      <w:r w:rsidR="002F6B9D" w:rsidRPr="00C5615F">
        <w:rPr>
          <w:rFonts w:ascii="Times New Roman" w:hAnsi="Times New Roman" w:cs="Times New Roman"/>
          <w:color w:val="000000" w:themeColor="text1"/>
        </w:rPr>
        <w:t xml:space="preserve">Digital Supply Chain Finance </w:t>
      </w:r>
      <w:r w:rsidRPr="00C5615F">
        <w:rPr>
          <w:rFonts w:ascii="Times New Roman" w:hAnsi="Times New Roman" w:cs="Times New Roman"/>
          <w:color w:val="000000" w:themeColor="text1"/>
        </w:rPr>
        <w:t>holds potential for stabilizing vendor cash flows, these financing models have not yet matured enough within the Nigerian public sector landscape to drive measurable performance gains. This result contrasts with Guan et al. (2025), who found significant efficiency gains in the Chinese SME sector, but aligns with the observations of Ali et al. (2025), who noted that SMEs in developing markets often face obstacles like insufficient digital connectivity and regulatory hurdles that limit the immediate impact of SCF solutions.</w:t>
      </w:r>
    </w:p>
    <w:p w14:paraId="6F31E16E" w14:textId="5410B857" w:rsidR="00E86DD4" w:rsidRPr="007A447A" w:rsidRDefault="003F6A28" w:rsidP="00C8381C">
      <w:pPr>
        <w:pStyle w:val="Heading1"/>
        <w:spacing w:line="240" w:lineRule="auto"/>
        <w:ind w:firstLine="720"/>
        <w:rPr>
          <w:rFonts w:ascii="Times New Roman" w:hAnsi="Times New Roman" w:cs="Times New Roman"/>
          <w:b/>
          <w:bCs/>
          <w:color w:val="000000" w:themeColor="text1"/>
          <w:sz w:val="24"/>
          <w:szCs w:val="24"/>
        </w:rPr>
      </w:pPr>
      <w:r w:rsidRPr="007A447A">
        <w:rPr>
          <w:rFonts w:ascii="Times New Roman" w:hAnsi="Times New Roman" w:cs="Times New Roman"/>
          <w:b/>
          <w:bCs/>
          <w:color w:val="000000" w:themeColor="text1"/>
          <w:sz w:val="24"/>
          <w:szCs w:val="24"/>
        </w:rPr>
        <w:t>5.0 CONCLUSION AND RECOMMENDATIONS</w:t>
      </w:r>
    </w:p>
    <w:p w14:paraId="50E026F9" w14:textId="27C7F7AB" w:rsidR="00E86DD4" w:rsidRPr="00F22C21" w:rsidRDefault="00E86DD4" w:rsidP="00F22C21">
      <w:pPr>
        <w:spacing w:line="240" w:lineRule="auto"/>
        <w:ind w:left="720"/>
        <w:jc w:val="both"/>
        <w:rPr>
          <w:rFonts w:ascii="Times New Roman" w:hAnsi="Times New Roman" w:cs="Times New Roman"/>
          <w:color w:val="000000" w:themeColor="text1"/>
        </w:rPr>
      </w:pPr>
      <w:r w:rsidRPr="00C5615F">
        <w:rPr>
          <w:rFonts w:ascii="Times New Roman" w:hAnsi="Times New Roman" w:cs="Times New Roman"/>
          <w:color w:val="000000" w:themeColor="text1"/>
        </w:rPr>
        <w:t>In conclusion, this study found that Big Data Analytics and AI Risk Assessment (BDAR), Blockchain-Based Smart Contracts (BBSC), and Electronic Payment and Remittance Systems (EPRS) significantly and positively affect Supply Chain Performance (SUCP) within the Nigerian public sector.</w:t>
      </w:r>
      <w:r w:rsidR="00F22C21" w:rsidRPr="00F22C21">
        <w:rPr>
          <w:rFonts w:ascii="Arial" w:eastAsia="Times New Roman" w:hAnsi="Arial" w:cs="Arial"/>
          <w:color w:val="000000"/>
          <w:kern w:val="0"/>
          <w:lang w:eastAsia="en-NG"/>
          <w14:ligatures w14:val="none"/>
        </w:rPr>
        <w:t xml:space="preserve"> </w:t>
      </w:r>
      <w:r w:rsidRPr="00C5615F">
        <w:rPr>
          <w:rFonts w:ascii="Times New Roman" w:hAnsi="Times New Roman" w:cs="Times New Roman"/>
          <w:color w:val="000000" w:themeColor="text1"/>
        </w:rPr>
        <w:t>Big Data Analytics emerged as the strongest predictor, followed closely by Blockchain-Based Smart Contracts and Electronic Payment Systems. Digital Supply Chain Finance (DSCF) Utilization did not meet the threshold for statistical significance at the 5% level. Collectively, these financial technology interventions explain</w:t>
      </w:r>
      <w:r w:rsidR="00C1098B" w:rsidRPr="00C5615F">
        <w:rPr>
          <w:rFonts w:ascii="Times New Roman" w:hAnsi="Times New Roman" w:cs="Times New Roman"/>
          <w:color w:val="000000" w:themeColor="text1"/>
        </w:rPr>
        <w:t>ed</w:t>
      </w:r>
      <w:r w:rsidRPr="00C5615F">
        <w:rPr>
          <w:rFonts w:ascii="Times New Roman" w:hAnsi="Times New Roman" w:cs="Times New Roman"/>
          <w:color w:val="000000" w:themeColor="text1"/>
        </w:rPr>
        <w:t xml:space="preserve"> 79.2% of the variance in supply chain performance metrics</w:t>
      </w:r>
      <w:r w:rsidR="00952773" w:rsidRPr="00C5615F">
        <w:rPr>
          <w:rFonts w:ascii="Times New Roman" w:hAnsi="Times New Roman" w:cs="Times New Roman"/>
          <w:color w:val="000000" w:themeColor="text1"/>
        </w:rPr>
        <w:t xml:space="preserve"> </w:t>
      </w:r>
      <w:r w:rsidRPr="00C5615F">
        <w:rPr>
          <w:rFonts w:ascii="Times New Roman" w:hAnsi="Times New Roman" w:cs="Times New Roman"/>
          <w:color w:val="000000" w:themeColor="text1"/>
        </w:rPr>
        <w:t>including procurement lead-time efficiency, cost-to-value optimization, and strategic agility</w:t>
      </w:r>
      <w:r w:rsidR="00C1098B" w:rsidRPr="00C5615F">
        <w:rPr>
          <w:rFonts w:ascii="Times New Roman" w:hAnsi="Times New Roman" w:cs="Times New Roman"/>
          <w:color w:val="000000" w:themeColor="text1"/>
        </w:rPr>
        <w:t xml:space="preserve">. </w:t>
      </w:r>
      <w:r w:rsidR="001E1065" w:rsidRPr="00F22C21">
        <w:rPr>
          <w:rFonts w:ascii="Times New Roman" w:hAnsi="Times New Roman" w:cs="Times New Roman"/>
          <w:color w:val="000000" w:themeColor="text1"/>
        </w:rPr>
        <w:t>These outcomes are highly aligned with Nigeria's Digital Economy Strategy, particularly its focus on digitizing government processes, reducing corruption through transparency, and enhancing service delivery efficiency.</w:t>
      </w:r>
      <w:r w:rsidR="001E1065">
        <w:rPr>
          <w:rFonts w:ascii="Times New Roman" w:hAnsi="Times New Roman" w:cs="Times New Roman"/>
          <w:color w:val="000000" w:themeColor="text1"/>
        </w:rPr>
        <w:t xml:space="preserve"> </w:t>
      </w:r>
      <w:r w:rsidRPr="00C5615F">
        <w:rPr>
          <w:rFonts w:ascii="Times New Roman" w:hAnsi="Times New Roman" w:cs="Times New Roman"/>
          <w:color w:val="000000" w:themeColor="text1"/>
        </w:rPr>
        <w:t>Based on the empirical strength and significance of the tested relationships, the following recommendations are proposed to enhance Supply Chain Performance:</w:t>
      </w:r>
    </w:p>
    <w:p w14:paraId="3F43A13F" w14:textId="5E3B66FB" w:rsidR="00AE180D" w:rsidRDefault="00AE180D" w:rsidP="00DA188E">
      <w:pPr>
        <w:pStyle w:val="ListParagraph"/>
        <w:numPr>
          <w:ilvl w:val="0"/>
          <w:numId w:val="136"/>
        </w:numPr>
        <w:spacing w:before="240" w:line="240" w:lineRule="auto"/>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Prioritize investment in AI-driven predictive analytics platforms to enable proactive risk identification and vendor evaluation. MDAs should integrate these tools into procurement processes to mitigate disruptions, ensuring data privacy compliance under </w:t>
      </w:r>
      <w:r w:rsidR="00467C05" w:rsidRPr="00C5615F">
        <w:rPr>
          <w:rFonts w:ascii="Times New Roman" w:hAnsi="Times New Roman" w:cs="Times New Roman"/>
          <w:color w:val="000000" w:themeColor="text1"/>
        </w:rPr>
        <w:t>Nigeria’s</w:t>
      </w:r>
      <w:r w:rsidRPr="00C5615F">
        <w:rPr>
          <w:rFonts w:ascii="Times New Roman" w:hAnsi="Times New Roman" w:cs="Times New Roman"/>
          <w:color w:val="000000" w:themeColor="text1"/>
        </w:rPr>
        <w:t xml:space="preserve"> Data Protection Regulation. This will foster a shift from reactive to anticipatory sourcing, enhancing overall operational stability.</w:t>
      </w:r>
    </w:p>
    <w:p w14:paraId="6C32466B" w14:textId="77777777" w:rsidR="00DA188E" w:rsidRPr="00DA188E" w:rsidRDefault="00DA188E" w:rsidP="00DA188E">
      <w:pPr>
        <w:pStyle w:val="ListParagraph"/>
        <w:spacing w:before="240" w:line="240" w:lineRule="auto"/>
        <w:ind w:left="1440"/>
        <w:jc w:val="both"/>
        <w:rPr>
          <w:rFonts w:ascii="Times New Roman" w:hAnsi="Times New Roman" w:cs="Times New Roman"/>
          <w:color w:val="000000" w:themeColor="text1"/>
          <w:sz w:val="16"/>
          <w:szCs w:val="16"/>
        </w:rPr>
      </w:pPr>
    </w:p>
    <w:p w14:paraId="45235BB7" w14:textId="4146479A" w:rsidR="00E87F7C" w:rsidRDefault="00AE180D" w:rsidP="00DA188E">
      <w:pPr>
        <w:pStyle w:val="ListParagraph"/>
        <w:numPr>
          <w:ilvl w:val="0"/>
          <w:numId w:val="136"/>
        </w:numPr>
        <w:spacing w:before="240" w:line="240" w:lineRule="auto"/>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Implement blockchain platforms for automated, immutable contract execution to minimize administrative errors and build </w:t>
      </w:r>
      <w:proofErr w:type="spellStart"/>
      <w:r w:rsidRPr="00C5615F">
        <w:rPr>
          <w:rFonts w:ascii="Times New Roman" w:hAnsi="Times New Roman" w:cs="Times New Roman"/>
          <w:color w:val="000000" w:themeColor="text1"/>
        </w:rPr>
        <w:t>trustless</w:t>
      </w:r>
      <w:proofErr w:type="spellEnd"/>
      <w:r w:rsidRPr="00C5615F">
        <w:rPr>
          <w:rFonts w:ascii="Times New Roman" w:hAnsi="Times New Roman" w:cs="Times New Roman"/>
          <w:color w:val="000000" w:themeColor="text1"/>
        </w:rPr>
        <w:t xml:space="preserve"> systems. Public sector entities should pilot smart contracts for milestone-based payments, collaborating with regulatory bodies like the Bureau of Public Procurement (BPP) to standardize adoption, thereby reducing waste and improving transaction fidelity.</w:t>
      </w:r>
    </w:p>
    <w:p w14:paraId="027A74FC" w14:textId="77777777" w:rsidR="006B4BCD" w:rsidRPr="00AA3FA6" w:rsidRDefault="006B4BCD" w:rsidP="006B4BCD">
      <w:pPr>
        <w:pStyle w:val="ListParagraph"/>
        <w:rPr>
          <w:rFonts w:ascii="Times New Roman" w:hAnsi="Times New Roman" w:cs="Times New Roman"/>
          <w:color w:val="000000" w:themeColor="text1"/>
          <w:sz w:val="10"/>
          <w:szCs w:val="10"/>
        </w:rPr>
      </w:pPr>
    </w:p>
    <w:p w14:paraId="4B1BD0D0" w14:textId="77777777" w:rsidR="006B4BCD" w:rsidRPr="0098407D" w:rsidRDefault="006B4BCD" w:rsidP="006B4BCD">
      <w:pPr>
        <w:pStyle w:val="ListParagraph"/>
        <w:spacing w:before="240" w:line="240" w:lineRule="auto"/>
        <w:ind w:left="1440"/>
        <w:jc w:val="both"/>
        <w:rPr>
          <w:rFonts w:ascii="Times New Roman" w:hAnsi="Times New Roman" w:cs="Times New Roman"/>
          <w:color w:val="000000" w:themeColor="text1"/>
          <w:sz w:val="2"/>
          <w:szCs w:val="2"/>
        </w:rPr>
      </w:pPr>
    </w:p>
    <w:p w14:paraId="04DBEA88" w14:textId="1E4F8D2B" w:rsidR="00614C2A" w:rsidRPr="00C5615F" w:rsidRDefault="00AE180D" w:rsidP="00DA188E">
      <w:pPr>
        <w:pStyle w:val="ListParagraph"/>
        <w:numPr>
          <w:ilvl w:val="0"/>
          <w:numId w:val="136"/>
        </w:numPr>
        <w:spacing w:before="240" w:line="240" w:lineRule="auto"/>
        <w:jc w:val="both"/>
        <w:rPr>
          <w:rFonts w:ascii="Times New Roman" w:hAnsi="Times New Roman" w:cs="Times New Roman"/>
          <w:color w:val="000000" w:themeColor="text1"/>
        </w:rPr>
      </w:pPr>
      <w:r w:rsidRPr="00C5615F">
        <w:rPr>
          <w:rFonts w:ascii="Times New Roman" w:hAnsi="Times New Roman" w:cs="Times New Roman"/>
          <w:color w:val="000000" w:themeColor="text1"/>
        </w:rPr>
        <w:t>Accelerate the rollout of digital payment infrastructures, such as mobile wallets and POS systems, to streamline contractor settlements and inject liquidity. MDAs should partner with the Central Bank of Nigeria (CBN) for seamless integration, focusing on training to bypass bureaucratic delays and support financial inclusion in public procurement.</w:t>
      </w:r>
    </w:p>
    <w:p w14:paraId="0BB7ACA8" w14:textId="77777777" w:rsidR="00DA188E" w:rsidRPr="00DA188E" w:rsidRDefault="00DA188E" w:rsidP="00DA188E">
      <w:pPr>
        <w:pStyle w:val="ListParagraph"/>
        <w:spacing w:before="240" w:line="240" w:lineRule="auto"/>
        <w:ind w:left="1440"/>
        <w:jc w:val="both"/>
        <w:rPr>
          <w:rFonts w:ascii="Times New Roman" w:hAnsi="Times New Roman" w:cs="Times New Roman"/>
          <w:color w:val="000000" w:themeColor="text1"/>
          <w:sz w:val="16"/>
          <w:szCs w:val="16"/>
        </w:rPr>
      </w:pPr>
    </w:p>
    <w:p w14:paraId="4AC67983" w14:textId="5722B8B7" w:rsidR="00AE180D" w:rsidRPr="00C5615F" w:rsidRDefault="00AE180D" w:rsidP="00DA188E">
      <w:pPr>
        <w:pStyle w:val="ListParagraph"/>
        <w:numPr>
          <w:ilvl w:val="0"/>
          <w:numId w:val="136"/>
        </w:numPr>
        <w:spacing w:before="240" w:line="240" w:lineRule="auto"/>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Address maturity gaps by developing tailored </w:t>
      </w:r>
      <w:r w:rsidR="00ED6DBB" w:rsidRPr="00C5615F">
        <w:rPr>
          <w:rFonts w:ascii="Times New Roman" w:hAnsi="Times New Roman" w:cs="Times New Roman"/>
          <w:color w:val="000000" w:themeColor="text1"/>
        </w:rPr>
        <w:t xml:space="preserve">Digital Supply Chain Finance </w:t>
      </w:r>
      <w:r w:rsidRPr="00C5615F">
        <w:rPr>
          <w:rFonts w:ascii="Times New Roman" w:hAnsi="Times New Roman" w:cs="Times New Roman"/>
          <w:color w:val="000000" w:themeColor="text1"/>
        </w:rPr>
        <w:t xml:space="preserve">models suited to </w:t>
      </w:r>
      <w:r w:rsidR="00467C05" w:rsidRPr="00C5615F">
        <w:rPr>
          <w:rFonts w:ascii="Times New Roman" w:hAnsi="Times New Roman" w:cs="Times New Roman"/>
          <w:color w:val="000000" w:themeColor="text1"/>
        </w:rPr>
        <w:t>Nigeria’s</w:t>
      </w:r>
      <w:r w:rsidRPr="00C5615F">
        <w:rPr>
          <w:rFonts w:ascii="Times New Roman" w:hAnsi="Times New Roman" w:cs="Times New Roman"/>
          <w:color w:val="000000" w:themeColor="text1"/>
        </w:rPr>
        <w:t xml:space="preserve"> regulatory and connectivity challenges. MDAs should advocate for policy reforms and infrastructure upgrades, such as enhanced broadband access, to unlock potential benefits, while conducting feasibility studies to customize financing for local vendors.</w:t>
      </w:r>
    </w:p>
    <w:p w14:paraId="6D9F1A8B" w14:textId="77777777" w:rsidR="00F6185F" w:rsidRPr="00C5615F" w:rsidRDefault="00F6185F" w:rsidP="00F6185F">
      <w:pPr>
        <w:spacing w:line="240" w:lineRule="auto"/>
        <w:jc w:val="both"/>
        <w:rPr>
          <w:rFonts w:ascii="Times New Roman" w:hAnsi="Times New Roman" w:cs="Times New Roman"/>
          <w:color w:val="000000" w:themeColor="text1"/>
        </w:rPr>
      </w:pPr>
    </w:p>
    <w:p w14:paraId="2F933C52" w14:textId="77777777" w:rsidR="005A4C3A" w:rsidRPr="00C5615F" w:rsidRDefault="005A4C3A">
      <w:pPr>
        <w:rPr>
          <w:rFonts w:ascii="Times New Roman" w:eastAsiaTheme="majorEastAsia" w:hAnsi="Times New Roman" w:cs="Times New Roman"/>
          <w:b/>
          <w:bCs/>
          <w:color w:val="000000" w:themeColor="text1"/>
        </w:rPr>
      </w:pPr>
      <w:r w:rsidRPr="00C5615F">
        <w:rPr>
          <w:rFonts w:ascii="Times New Roman" w:hAnsi="Times New Roman" w:cs="Times New Roman"/>
          <w:b/>
          <w:bCs/>
          <w:color w:val="000000" w:themeColor="text1"/>
        </w:rPr>
        <w:br w:type="page"/>
      </w:r>
    </w:p>
    <w:p w14:paraId="28E2F12D" w14:textId="4051FBDF" w:rsidR="00F6185F" w:rsidRPr="00C5615F" w:rsidRDefault="00F6185F" w:rsidP="005A4C3A">
      <w:pPr>
        <w:pStyle w:val="Heading1"/>
        <w:spacing w:line="360" w:lineRule="auto"/>
        <w:jc w:val="center"/>
        <w:rPr>
          <w:rFonts w:ascii="Times New Roman" w:hAnsi="Times New Roman" w:cs="Times New Roman"/>
          <w:b/>
          <w:bCs/>
          <w:color w:val="000000" w:themeColor="text1"/>
          <w:sz w:val="24"/>
          <w:szCs w:val="24"/>
        </w:rPr>
      </w:pPr>
      <w:r w:rsidRPr="00C5615F">
        <w:rPr>
          <w:rFonts w:ascii="Times New Roman" w:hAnsi="Times New Roman" w:cs="Times New Roman"/>
          <w:b/>
          <w:bCs/>
          <w:color w:val="000000" w:themeColor="text1"/>
          <w:sz w:val="24"/>
          <w:szCs w:val="24"/>
        </w:rPr>
        <w:t>REFERENCES</w:t>
      </w:r>
    </w:p>
    <w:p w14:paraId="43B54D57"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Abdulrazaq, S. I., </w:t>
      </w:r>
      <w:proofErr w:type="spellStart"/>
      <w:r w:rsidRPr="00C5615F">
        <w:rPr>
          <w:rFonts w:ascii="Times New Roman" w:hAnsi="Times New Roman" w:cs="Times New Roman"/>
          <w:color w:val="000000" w:themeColor="text1"/>
        </w:rPr>
        <w:t>Ngubdo</w:t>
      </w:r>
      <w:proofErr w:type="spellEnd"/>
      <w:r w:rsidRPr="00C5615F">
        <w:rPr>
          <w:rFonts w:ascii="Times New Roman" w:hAnsi="Times New Roman" w:cs="Times New Roman"/>
          <w:color w:val="000000" w:themeColor="text1"/>
        </w:rPr>
        <w:t>, U. M., Yusuf, A. U., &amp; Mohammed, F. U. (2023). Effect of financial technology on firms' financial service delivery in Nigeria: A literature review. </w:t>
      </w:r>
      <w:r w:rsidRPr="00C5615F">
        <w:rPr>
          <w:rFonts w:ascii="Times New Roman" w:hAnsi="Times New Roman" w:cs="Times New Roman"/>
          <w:i/>
          <w:iCs/>
          <w:color w:val="000000" w:themeColor="text1"/>
        </w:rPr>
        <w:t>UBS Journal of Business and Economic Policy, 1</w:t>
      </w:r>
      <w:r w:rsidRPr="00C5615F">
        <w:rPr>
          <w:rFonts w:ascii="Times New Roman" w:hAnsi="Times New Roman" w:cs="Times New Roman"/>
          <w:color w:val="000000" w:themeColor="text1"/>
        </w:rPr>
        <w:t>(3), 89-99.</w:t>
      </w:r>
    </w:p>
    <w:p w14:paraId="1D64D09C"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Ahmadzadeh, S. A. (2025). Examining the impact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on supply chain optimization and financial management in materials engineering projects in the digital age. </w:t>
      </w:r>
      <w:r w:rsidRPr="00C5615F">
        <w:rPr>
          <w:rFonts w:ascii="Times New Roman" w:hAnsi="Times New Roman" w:cs="Times New Roman"/>
          <w:i/>
          <w:iCs/>
          <w:color w:val="000000" w:themeColor="text1"/>
        </w:rPr>
        <w:t>TMP Universal Journal of Research and Review Archives, 4</w:t>
      </w:r>
      <w:r w:rsidRPr="00C5615F">
        <w:rPr>
          <w:rFonts w:ascii="Times New Roman" w:hAnsi="Times New Roman" w:cs="Times New Roman"/>
          <w:color w:val="000000" w:themeColor="text1"/>
        </w:rPr>
        <w:t>(1), 34-45.</w:t>
      </w:r>
    </w:p>
    <w:p w14:paraId="3FA3A785"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Akanbi, T. A., &amp; </w:t>
      </w:r>
      <w:proofErr w:type="spellStart"/>
      <w:r w:rsidRPr="00C5615F">
        <w:rPr>
          <w:rFonts w:ascii="Times New Roman" w:hAnsi="Times New Roman" w:cs="Times New Roman"/>
          <w:color w:val="000000" w:themeColor="text1"/>
        </w:rPr>
        <w:t>Gbadegesin</w:t>
      </w:r>
      <w:proofErr w:type="spellEnd"/>
      <w:r w:rsidRPr="00C5615F">
        <w:rPr>
          <w:rFonts w:ascii="Times New Roman" w:hAnsi="Times New Roman" w:cs="Times New Roman"/>
          <w:color w:val="000000" w:themeColor="text1"/>
        </w:rPr>
        <w:t>, A. E. (2025). Impact of financial technology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on accounting efficiency and supply chain performance in Nigeria's logistics sector. </w:t>
      </w:r>
      <w:r w:rsidRPr="00C5615F">
        <w:rPr>
          <w:rFonts w:ascii="Times New Roman" w:hAnsi="Times New Roman" w:cs="Times New Roman"/>
          <w:i/>
          <w:iCs/>
          <w:color w:val="000000" w:themeColor="text1"/>
        </w:rPr>
        <w:t>American Journal of Smart Technology and Solutions, 4</w:t>
      </w:r>
      <w:r w:rsidRPr="00C5615F">
        <w:rPr>
          <w:rFonts w:ascii="Times New Roman" w:hAnsi="Times New Roman" w:cs="Times New Roman"/>
          <w:color w:val="000000" w:themeColor="text1"/>
        </w:rPr>
        <w:t>(2), 63-69. </w:t>
      </w:r>
      <w:hyperlink r:id="rId13" w:tgtFrame="_blank" w:history="1">
        <w:r w:rsidRPr="00C5615F">
          <w:rPr>
            <w:rStyle w:val="Hyperlink"/>
            <w:rFonts w:ascii="Times New Roman" w:hAnsi="Times New Roman" w:cs="Times New Roman"/>
          </w:rPr>
          <w:t>https://doi.org/10.54536/ajsts.v4i2.5819</w:t>
        </w:r>
      </w:hyperlink>
    </w:p>
    <w:p w14:paraId="045E71A9"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Akone</w:t>
      </w:r>
      <w:proofErr w:type="spellEnd"/>
      <w:r w:rsidRPr="00C5615F">
        <w:rPr>
          <w:rFonts w:ascii="Times New Roman" w:hAnsi="Times New Roman" w:cs="Times New Roman"/>
          <w:color w:val="000000" w:themeColor="text1"/>
        </w:rPr>
        <w:t>, G. A., &amp; Kinyua, J. M. (2025). Supply chain resilience and organizational performance in emerging markets. </w:t>
      </w:r>
      <w:r w:rsidRPr="00C5615F">
        <w:rPr>
          <w:rFonts w:ascii="Times New Roman" w:hAnsi="Times New Roman" w:cs="Times New Roman"/>
          <w:i/>
          <w:iCs/>
          <w:color w:val="000000" w:themeColor="text1"/>
        </w:rPr>
        <w:t>Journal of Supply Chain Management, 61</w:t>
      </w:r>
      <w:r w:rsidRPr="00C5615F">
        <w:rPr>
          <w:rFonts w:ascii="Times New Roman" w:hAnsi="Times New Roman" w:cs="Times New Roman"/>
          <w:color w:val="000000" w:themeColor="text1"/>
        </w:rPr>
        <w:t>(2), 45-62.</w:t>
      </w:r>
    </w:p>
    <w:p w14:paraId="363B19CA"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Alabdullah</w:t>
      </w:r>
      <w:proofErr w:type="spellEnd"/>
      <w:r w:rsidRPr="00C5615F">
        <w:rPr>
          <w:rFonts w:ascii="Times New Roman" w:hAnsi="Times New Roman" w:cs="Times New Roman"/>
          <w:color w:val="000000" w:themeColor="text1"/>
        </w:rPr>
        <w:t>, T. T. Y. (2023). The impact of financial technology and risk management practices on corporate financial system profitability: Evidence from Kuwait. </w:t>
      </w:r>
      <w:proofErr w:type="spellStart"/>
      <w:r w:rsidRPr="00C5615F">
        <w:rPr>
          <w:rFonts w:ascii="Times New Roman" w:hAnsi="Times New Roman" w:cs="Times New Roman"/>
          <w:i/>
          <w:iCs/>
          <w:color w:val="000000" w:themeColor="text1"/>
        </w:rPr>
        <w:t>SocioEconomic</w:t>
      </w:r>
      <w:proofErr w:type="spellEnd"/>
      <w:r w:rsidRPr="00C5615F">
        <w:rPr>
          <w:rFonts w:ascii="Times New Roman" w:hAnsi="Times New Roman" w:cs="Times New Roman"/>
          <w:i/>
          <w:iCs/>
          <w:color w:val="000000" w:themeColor="text1"/>
        </w:rPr>
        <w:t xml:space="preserve"> Challenges, 7</w:t>
      </w:r>
      <w:r w:rsidRPr="00C5615F">
        <w:rPr>
          <w:rFonts w:ascii="Times New Roman" w:hAnsi="Times New Roman" w:cs="Times New Roman"/>
          <w:color w:val="000000" w:themeColor="text1"/>
        </w:rPr>
        <w:t>(3), 141-151.</w:t>
      </w:r>
    </w:p>
    <w:p w14:paraId="14593978"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Ali, F., Pervaiz, M. B., Kaleem, S., Amin, F., Khaliq, A. Y., &amp; Jadoon, A. K. (2025). </w:t>
      </w:r>
      <w:r>
        <w:rPr>
          <w:rFonts w:ascii="Times New Roman" w:hAnsi="Times New Roman" w:cs="Times New Roman"/>
          <w:color w:val="000000" w:themeColor="text1"/>
        </w:rPr>
        <w:t>FinTech</w:t>
      </w:r>
      <w:r w:rsidRPr="00C5615F">
        <w:rPr>
          <w:rFonts w:ascii="Times New Roman" w:hAnsi="Times New Roman" w:cs="Times New Roman"/>
          <w:color w:val="000000" w:themeColor="text1"/>
        </w:rPr>
        <w:t>-driven supply chain finance solutions: Enhancing liquidity access, cash flow stability, and credit risk mitigation in globalized value networks. </w:t>
      </w:r>
      <w:r w:rsidRPr="00C5615F">
        <w:rPr>
          <w:rFonts w:ascii="Times New Roman" w:hAnsi="Times New Roman" w:cs="Times New Roman"/>
          <w:i/>
          <w:iCs/>
          <w:color w:val="000000" w:themeColor="text1"/>
        </w:rPr>
        <w:t>ACADEMIA International Journal for Social Sciences, 4</w:t>
      </w:r>
      <w:r w:rsidRPr="00C5615F">
        <w:rPr>
          <w:rFonts w:ascii="Times New Roman" w:hAnsi="Times New Roman" w:cs="Times New Roman"/>
          <w:color w:val="000000" w:themeColor="text1"/>
        </w:rPr>
        <w:t>(1), 1045-1063. </w:t>
      </w:r>
      <w:hyperlink r:id="rId14" w:tgtFrame="_blank" w:history="1">
        <w:r w:rsidRPr="00C5615F">
          <w:rPr>
            <w:rStyle w:val="Hyperlink"/>
            <w:rFonts w:ascii="Times New Roman" w:hAnsi="Times New Roman" w:cs="Times New Roman"/>
          </w:rPr>
          <w:t>https://doi.org/10.63056/ACAD.004.01.0154</w:t>
        </w:r>
      </w:hyperlink>
    </w:p>
    <w:p w14:paraId="3DFE7754"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Ali, I., Rashid, M., Nautiyal, A., &amp; Som, B. K. (2024). Exploring the impact of recent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trends on supply chain finance efficiency and resilience. </w:t>
      </w:r>
      <w:r w:rsidRPr="00C5615F">
        <w:rPr>
          <w:rFonts w:ascii="Times New Roman" w:hAnsi="Times New Roman" w:cs="Times New Roman"/>
          <w:i/>
          <w:iCs/>
          <w:color w:val="000000" w:themeColor="text1"/>
        </w:rPr>
        <w:t>European Economic Letters, 14</w:t>
      </w:r>
      <w:r w:rsidRPr="00C5615F">
        <w:rPr>
          <w:rFonts w:ascii="Times New Roman" w:hAnsi="Times New Roman" w:cs="Times New Roman"/>
          <w:color w:val="000000" w:themeColor="text1"/>
        </w:rPr>
        <w:t>(1), 1340-1350. </w:t>
      </w:r>
      <w:hyperlink r:id="rId15" w:tgtFrame="_blank" w:history="1">
        <w:r w:rsidRPr="00C5615F">
          <w:rPr>
            <w:rStyle w:val="Hyperlink"/>
            <w:rFonts w:ascii="Times New Roman" w:hAnsi="Times New Roman" w:cs="Times New Roman"/>
          </w:rPr>
          <w:t>https://doi.org/10.52783/eel.v14i1.1185</w:t>
        </w:r>
      </w:hyperlink>
    </w:p>
    <w:p w14:paraId="663496F9"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Ali, M. A. (2024). The impact of financial technology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adoption on the performance and efficiency of small and medium enterprises (SMEs) in emerging markets: An empirical study. </w:t>
      </w:r>
      <w:r w:rsidRPr="00C5615F">
        <w:rPr>
          <w:rFonts w:ascii="Times New Roman" w:hAnsi="Times New Roman" w:cs="Times New Roman"/>
          <w:i/>
          <w:iCs/>
          <w:color w:val="000000" w:themeColor="text1"/>
        </w:rPr>
        <w:t xml:space="preserve">Jilin </w:t>
      </w:r>
      <w:proofErr w:type="spellStart"/>
      <w:r w:rsidRPr="00C5615F">
        <w:rPr>
          <w:rFonts w:ascii="Times New Roman" w:hAnsi="Times New Roman" w:cs="Times New Roman"/>
          <w:i/>
          <w:iCs/>
          <w:color w:val="000000" w:themeColor="text1"/>
        </w:rPr>
        <w:t>Daxue</w:t>
      </w:r>
      <w:proofErr w:type="spellEnd"/>
      <w:r w:rsidRPr="00C5615F">
        <w:rPr>
          <w:rFonts w:ascii="Times New Roman" w:hAnsi="Times New Roman" w:cs="Times New Roman"/>
          <w:i/>
          <w:iCs/>
          <w:color w:val="000000" w:themeColor="text1"/>
        </w:rPr>
        <w:t xml:space="preserve"> </w:t>
      </w:r>
      <w:proofErr w:type="spellStart"/>
      <w:r w:rsidRPr="00C5615F">
        <w:rPr>
          <w:rFonts w:ascii="Times New Roman" w:hAnsi="Times New Roman" w:cs="Times New Roman"/>
          <w:i/>
          <w:iCs/>
          <w:color w:val="000000" w:themeColor="text1"/>
        </w:rPr>
        <w:t>Xuebao</w:t>
      </w:r>
      <w:proofErr w:type="spellEnd"/>
      <w:r w:rsidRPr="00C5615F">
        <w:rPr>
          <w:rFonts w:ascii="Times New Roman" w:hAnsi="Times New Roman" w:cs="Times New Roman"/>
          <w:i/>
          <w:iCs/>
          <w:color w:val="000000" w:themeColor="text1"/>
        </w:rPr>
        <w:t xml:space="preserve"> (</w:t>
      </w:r>
      <w:proofErr w:type="spellStart"/>
      <w:r w:rsidRPr="00C5615F">
        <w:rPr>
          <w:rFonts w:ascii="Times New Roman" w:hAnsi="Times New Roman" w:cs="Times New Roman"/>
          <w:i/>
          <w:iCs/>
          <w:color w:val="000000" w:themeColor="text1"/>
        </w:rPr>
        <w:t>Gongxueban</w:t>
      </w:r>
      <w:proofErr w:type="spellEnd"/>
      <w:r w:rsidRPr="00C5615F">
        <w:rPr>
          <w:rFonts w:ascii="Times New Roman" w:hAnsi="Times New Roman" w:cs="Times New Roman"/>
          <w:i/>
          <w:iCs/>
          <w:color w:val="000000" w:themeColor="text1"/>
        </w:rPr>
        <w:t>)/Journal of Jilin University (Engineering and Technology Edition)</w:t>
      </w:r>
      <w:r w:rsidRPr="00C5615F">
        <w:rPr>
          <w:rFonts w:ascii="Times New Roman" w:hAnsi="Times New Roman" w:cs="Times New Roman"/>
          <w:color w:val="000000" w:themeColor="text1"/>
        </w:rPr>
        <w:t>, 43 (9), 10-25. </w:t>
      </w:r>
      <w:hyperlink r:id="rId16" w:tgtFrame="_blank" w:history="1">
        <w:r w:rsidRPr="00C5615F">
          <w:rPr>
            <w:rStyle w:val="Hyperlink"/>
            <w:rFonts w:ascii="Times New Roman" w:hAnsi="Times New Roman" w:cs="Times New Roman"/>
          </w:rPr>
          <w:t>https://doi.org/10.5281/zenodo.13738870</w:t>
        </w:r>
      </w:hyperlink>
    </w:p>
    <w:p w14:paraId="0A90B6E9"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Alkhawaldeh, B. Y., </w:t>
      </w:r>
      <w:proofErr w:type="spellStart"/>
      <w:r w:rsidRPr="00C5615F">
        <w:rPr>
          <w:rFonts w:ascii="Times New Roman" w:hAnsi="Times New Roman" w:cs="Times New Roman"/>
          <w:color w:val="000000" w:themeColor="text1"/>
        </w:rPr>
        <w:t>Alhawamdeh</w:t>
      </w:r>
      <w:proofErr w:type="spellEnd"/>
      <w:r w:rsidRPr="00C5615F">
        <w:rPr>
          <w:rFonts w:ascii="Times New Roman" w:hAnsi="Times New Roman" w:cs="Times New Roman"/>
          <w:color w:val="000000" w:themeColor="text1"/>
        </w:rPr>
        <w:t xml:space="preserve">, H., Al-Afeef, M. A. M., Al-Smadi, A. W., </w:t>
      </w:r>
      <w:proofErr w:type="spellStart"/>
      <w:r w:rsidRPr="00C5615F">
        <w:rPr>
          <w:rFonts w:ascii="Times New Roman" w:hAnsi="Times New Roman" w:cs="Times New Roman"/>
          <w:color w:val="000000" w:themeColor="text1"/>
        </w:rPr>
        <w:t>Almarshad</w:t>
      </w:r>
      <w:proofErr w:type="spellEnd"/>
      <w:r w:rsidRPr="00C5615F">
        <w:rPr>
          <w:rFonts w:ascii="Times New Roman" w:hAnsi="Times New Roman" w:cs="Times New Roman"/>
          <w:color w:val="000000" w:themeColor="text1"/>
        </w:rPr>
        <w:t xml:space="preserve">, M., </w:t>
      </w:r>
      <w:proofErr w:type="spellStart"/>
      <w:r w:rsidRPr="00C5615F">
        <w:rPr>
          <w:rFonts w:ascii="Times New Roman" w:hAnsi="Times New Roman" w:cs="Times New Roman"/>
          <w:color w:val="000000" w:themeColor="text1"/>
        </w:rPr>
        <w:t>Fraihat</w:t>
      </w:r>
      <w:proofErr w:type="spellEnd"/>
      <w:r w:rsidRPr="00C5615F">
        <w:rPr>
          <w:rFonts w:ascii="Times New Roman" w:hAnsi="Times New Roman" w:cs="Times New Roman"/>
          <w:color w:val="000000" w:themeColor="text1"/>
        </w:rPr>
        <w:t xml:space="preserve">, B. A. M., </w:t>
      </w:r>
      <w:proofErr w:type="spellStart"/>
      <w:r w:rsidRPr="00C5615F">
        <w:rPr>
          <w:rFonts w:ascii="Times New Roman" w:hAnsi="Times New Roman" w:cs="Times New Roman"/>
          <w:color w:val="000000" w:themeColor="text1"/>
        </w:rPr>
        <w:t>Soumadi</w:t>
      </w:r>
      <w:proofErr w:type="spellEnd"/>
      <w:r w:rsidRPr="00C5615F">
        <w:rPr>
          <w:rFonts w:ascii="Times New Roman" w:hAnsi="Times New Roman" w:cs="Times New Roman"/>
          <w:color w:val="000000" w:themeColor="text1"/>
        </w:rPr>
        <w:t xml:space="preserve">, M. M., </w:t>
      </w:r>
      <w:proofErr w:type="spellStart"/>
      <w:r w:rsidRPr="00C5615F">
        <w:rPr>
          <w:rFonts w:ascii="Times New Roman" w:hAnsi="Times New Roman" w:cs="Times New Roman"/>
          <w:color w:val="000000" w:themeColor="text1"/>
        </w:rPr>
        <w:t>Nawasra</w:t>
      </w:r>
      <w:proofErr w:type="spellEnd"/>
      <w:r w:rsidRPr="00C5615F">
        <w:rPr>
          <w:rFonts w:ascii="Times New Roman" w:hAnsi="Times New Roman" w:cs="Times New Roman"/>
          <w:color w:val="000000" w:themeColor="text1"/>
        </w:rPr>
        <w:t>, M., &amp; Alaa, A. A. (2023). The effect of financial technology on financial performance in Jordanian SMEs: The role of financial satisfaction. </w:t>
      </w:r>
      <w:r w:rsidRPr="00C5615F">
        <w:rPr>
          <w:rFonts w:ascii="Times New Roman" w:hAnsi="Times New Roman" w:cs="Times New Roman"/>
          <w:i/>
          <w:iCs/>
          <w:color w:val="000000" w:themeColor="text1"/>
        </w:rPr>
        <w:t>Uncertain Supply Chain Management, 11</w:t>
      </w:r>
      <w:r w:rsidRPr="00C5615F">
        <w:rPr>
          <w:rFonts w:ascii="Times New Roman" w:hAnsi="Times New Roman" w:cs="Times New Roman"/>
          <w:color w:val="000000" w:themeColor="text1"/>
        </w:rPr>
        <w:t>(3), 1019–1030.</w:t>
      </w:r>
    </w:p>
    <w:p w14:paraId="6CC5C40F"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Balogh, A. (2025). Financial technology innovations in corporate supply chain ecosystems: A practical framework based on academic review and case studies. </w:t>
      </w:r>
      <w:r w:rsidRPr="00C5615F">
        <w:rPr>
          <w:rFonts w:ascii="Times New Roman" w:hAnsi="Times New Roman" w:cs="Times New Roman"/>
          <w:i/>
          <w:iCs/>
          <w:color w:val="000000" w:themeColor="text1"/>
        </w:rPr>
        <w:t>2025 IEEE 19th International Symposium on Applied Computational Intelligence and Informatics (SACI)</w:t>
      </w:r>
      <w:r w:rsidRPr="00C5615F">
        <w:rPr>
          <w:rFonts w:ascii="Times New Roman" w:hAnsi="Times New Roman" w:cs="Times New Roman"/>
          <w:color w:val="000000" w:themeColor="text1"/>
        </w:rPr>
        <w:t>, 1-6.</w:t>
      </w:r>
    </w:p>
    <w:p w14:paraId="79FF7539"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Basdekidou</w:t>
      </w:r>
      <w:proofErr w:type="spellEnd"/>
      <w:r w:rsidRPr="00C5615F">
        <w:rPr>
          <w:rFonts w:ascii="Times New Roman" w:hAnsi="Times New Roman" w:cs="Times New Roman"/>
          <w:color w:val="000000" w:themeColor="text1"/>
        </w:rPr>
        <w:t xml:space="preserve">, V., &amp; </w:t>
      </w:r>
      <w:proofErr w:type="spellStart"/>
      <w:r w:rsidRPr="00C5615F">
        <w:rPr>
          <w:rFonts w:ascii="Times New Roman" w:hAnsi="Times New Roman" w:cs="Times New Roman"/>
          <w:color w:val="000000" w:themeColor="text1"/>
        </w:rPr>
        <w:t>Papapanagos</w:t>
      </w:r>
      <w:proofErr w:type="spellEnd"/>
      <w:r w:rsidRPr="00C5615F">
        <w:rPr>
          <w:rFonts w:ascii="Times New Roman" w:hAnsi="Times New Roman" w:cs="Times New Roman"/>
          <w:color w:val="000000" w:themeColor="text1"/>
        </w:rPr>
        <w:t xml:space="preserve">, H. (2024). Blockchain technology adoption for disrupting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functionalities: A systematic literature review for corporate management, supply chain, banking industry, and stock markets. </w:t>
      </w:r>
      <w:r w:rsidRPr="00C5615F">
        <w:rPr>
          <w:rFonts w:ascii="Times New Roman" w:hAnsi="Times New Roman" w:cs="Times New Roman"/>
          <w:i/>
          <w:iCs/>
          <w:color w:val="000000" w:themeColor="text1"/>
        </w:rPr>
        <w:t>Digital, 4</w:t>
      </w:r>
      <w:r w:rsidRPr="00C5615F">
        <w:rPr>
          <w:rFonts w:ascii="Times New Roman" w:hAnsi="Times New Roman" w:cs="Times New Roman"/>
          <w:color w:val="000000" w:themeColor="text1"/>
        </w:rPr>
        <w:t>(3), 762-803. </w:t>
      </w:r>
      <w:hyperlink r:id="rId17" w:tgtFrame="_blank" w:history="1">
        <w:r w:rsidRPr="00C5615F">
          <w:rPr>
            <w:rStyle w:val="Hyperlink"/>
            <w:rFonts w:ascii="Times New Roman" w:hAnsi="Times New Roman" w:cs="Times New Roman"/>
          </w:rPr>
          <w:t>https://doi.org/10.3390/digital4030039</w:t>
        </w:r>
      </w:hyperlink>
    </w:p>
    <w:p w14:paraId="5840FC9F"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Chen, P., Lei, X., Lin, O., &amp; Yuan, Y. (2025). The impact of blockchain financial technology transformation on supply chain disruption risks. </w:t>
      </w:r>
      <w:r w:rsidRPr="00C5615F">
        <w:rPr>
          <w:rFonts w:ascii="Times New Roman" w:hAnsi="Times New Roman" w:cs="Times New Roman"/>
          <w:i/>
          <w:iCs/>
          <w:color w:val="000000" w:themeColor="text1"/>
        </w:rPr>
        <w:t>International Review of Economics &amp; Finance, 102</w:t>
      </w:r>
      <w:r w:rsidRPr="00C5615F">
        <w:rPr>
          <w:rFonts w:ascii="Times New Roman" w:hAnsi="Times New Roman" w:cs="Times New Roman"/>
          <w:color w:val="000000" w:themeColor="text1"/>
        </w:rPr>
        <w:t>, 104343. </w:t>
      </w:r>
      <w:hyperlink r:id="rId18" w:tgtFrame="_blank" w:history="1">
        <w:r w:rsidRPr="00C5615F">
          <w:rPr>
            <w:rStyle w:val="Hyperlink"/>
            <w:rFonts w:ascii="Times New Roman" w:hAnsi="Times New Roman" w:cs="Times New Roman"/>
          </w:rPr>
          <w:t>https://doi.org/10.1016/j.iref.2025.104343</w:t>
        </w:r>
      </w:hyperlink>
    </w:p>
    <w:p w14:paraId="502855C6"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Chotia</w:t>
      </w:r>
      <w:proofErr w:type="spellEnd"/>
      <w:r w:rsidRPr="00C5615F">
        <w:rPr>
          <w:rFonts w:ascii="Times New Roman" w:hAnsi="Times New Roman" w:cs="Times New Roman"/>
          <w:color w:val="000000" w:themeColor="text1"/>
        </w:rPr>
        <w:t xml:space="preserve">, V., Sharma, P., </w:t>
      </w:r>
      <w:proofErr w:type="spellStart"/>
      <w:r w:rsidRPr="00C5615F">
        <w:rPr>
          <w:rFonts w:ascii="Times New Roman" w:hAnsi="Times New Roman" w:cs="Times New Roman"/>
          <w:color w:val="000000" w:themeColor="text1"/>
        </w:rPr>
        <w:t>Alofaysan</w:t>
      </w:r>
      <w:proofErr w:type="spellEnd"/>
      <w:r w:rsidRPr="00C5615F">
        <w:rPr>
          <w:rFonts w:ascii="Times New Roman" w:hAnsi="Times New Roman" w:cs="Times New Roman"/>
          <w:color w:val="000000" w:themeColor="text1"/>
        </w:rPr>
        <w:t xml:space="preserve">, H., Agarwal, V., &amp; Mammadov, A. (2025).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adoption and financial performance: The unrecognized contributions of supply chain finance and supply chain risk. </w:t>
      </w:r>
      <w:r w:rsidRPr="00C5615F">
        <w:rPr>
          <w:rFonts w:ascii="Times New Roman" w:hAnsi="Times New Roman" w:cs="Times New Roman"/>
          <w:i/>
          <w:iCs/>
          <w:color w:val="000000" w:themeColor="text1"/>
        </w:rPr>
        <w:t>IEEE Transactions on Engineering Management, 72</w:t>
      </w:r>
      <w:r w:rsidRPr="00C5615F">
        <w:rPr>
          <w:rFonts w:ascii="Times New Roman" w:hAnsi="Times New Roman" w:cs="Times New Roman"/>
          <w:color w:val="000000" w:themeColor="text1"/>
        </w:rPr>
        <w:t>, 2253-2266. </w:t>
      </w:r>
      <w:hyperlink r:id="rId19" w:tgtFrame="_blank" w:history="1">
        <w:r w:rsidRPr="00C5615F">
          <w:rPr>
            <w:rStyle w:val="Hyperlink"/>
            <w:rFonts w:ascii="Times New Roman" w:hAnsi="Times New Roman" w:cs="Times New Roman"/>
          </w:rPr>
          <w:t>https://doi.org/10.1109/TEM.2025.3572402</w:t>
        </w:r>
      </w:hyperlink>
    </w:p>
    <w:p w14:paraId="366F69FE"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Cohen, J. (1988). </w:t>
      </w:r>
      <w:r w:rsidRPr="00C5615F">
        <w:rPr>
          <w:rFonts w:ascii="Times New Roman" w:hAnsi="Times New Roman" w:cs="Times New Roman"/>
          <w:i/>
          <w:iCs/>
          <w:color w:val="000000" w:themeColor="text1"/>
        </w:rPr>
        <w:t xml:space="preserve">Statistical power analysis for the </w:t>
      </w:r>
      <w:proofErr w:type="spellStart"/>
      <w:r w:rsidRPr="00C5615F">
        <w:rPr>
          <w:rFonts w:ascii="Times New Roman" w:hAnsi="Times New Roman" w:cs="Times New Roman"/>
          <w:i/>
          <w:iCs/>
          <w:color w:val="000000" w:themeColor="text1"/>
        </w:rPr>
        <w:t>behavioral</w:t>
      </w:r>
      <w:proofErr w:type="spellEnd"/>
      <w:r w:rsidRPr="00C5615F">
        <w:rPr>
          <w:rFonts w:ascii="Times New Roman" w:hAnsi="Times New Roman" w:cs="Times New Roman"/>
          <w:i/>
          <w:iCs/>
          <w:color w:val="000000" w:themeColor="text1"/>
        </w:rPr>
        <w:t xml:space="preserve"> sciences</w:t>
      </w:r>
      <w:r w:rsidRPr="00C5615F">
        <w:rPr>
          <w:rFonts w:ascii="Times New Roman" w:hAnsi="Times New Roman" w:cs="Times New Roman"/>
          <w:color w:val="000000" w:themeColor="text1"/>
        </w:rPr>
        <w:t> (2nd ed.). Lawrence Erlbaum Associates.</w:t>
      </w:r>
    </w:p>
    <w:p w14:paraId="6B41FFAD"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Elsharif</w:t>
      </w:r>
      <w:proofErr w:type="spellEnd"/>
      <w:r w:rsidRPr="00C5615F">
        <w:rPr>
          <w:rFonts w:ascii="Times New Roman" w:hAnsi="Times New Roman" w:cs="Times New Roman"/>
          <w:color w:val="000000" w:themeColor="text1"/>
        </w:rPr>
        <w:t xml:space="preserve">, M. S. B., AL-Majali, M., </w:t>
      </w:r>
      <w:proofErr w:type="spellStart"/>
      <w:r w:rsidRPr="00C5615F">
        <w:rPr>
          <w:rFonts w:ascii="Times New Roman" w:hAnsi="Times New Roman" w:cs="Times New Roman"/>
          <w:color w:val="000000" w:themeColor="text1"/>
        </w:rPr>
        <w:t>Allahham</w:t>
      </w:r>
      <w:proofErr w:type="spellEnd"/>
      <w:r w:rsidRPr="00C5615F">
        <w:rPr>
          <w:rFonts w:ascii="Times New Roman" w:hAnsi="Times New Roman" w:cs="Times New Roman"/>
          <w:color w:val="000000" w:themeColor="text1"/>
        </w:rPr>
        <w:t xml:space="preserve">, M. I., &amp; </w:t>
      </w:r>
      <w:proofErr w:type="spellStart"/>
      <w:r w:rsidRPr="00C5615F">
        <w:rPr>
          <w:rFonts w:ascii="Times New Roman" w:hAnsi="Times New Roman" w:cs="Times New Roman"/>
          <w:color w:val="000000" w:themeColor="text1"/>
        </w:rPr>
        <w:t>Alfawaerh</w:t>
      </w:r>
      <w:proofErr w:type="spellEnd"/>
      <w:r w:rsidRPr="00C5615F">
        <w:rPr>
          <w:rFonts w:ascii="Times New Roman" w:hAnsi="Times New Roman" w:cs="Times New Roman"/>
          <w:color w:val="000000" w:themeColor="text1"/>
        </w:rPr>
        <w:t xml:space="preserve">, N. H. S. (2025). Impact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on operational efficiency in Jordan's industrial sector: The mediate role of supply chain resilience. </w:t>
      </w:r>
      <w:r w:rsidRPr="00C5615F">
        <w:rPr>
          <w:rFonts w:ascii="Times New Roman" w:hAnsi="Times New Roman" w:cs="Times New Roman"/>
          <w:i/>
          <w:iCs/>
          <w:color w:val="000000" w:themeColor="text1"/>
        </w:rPr>
        <w:t xml:space="preserve"> Lex </w:t>
      </w:r>
      <w:proofErr w:type="spellStart"/>
      <w:r w:rsidRPr="00C5615F">
        <w:rPr>
          <w:rFonts w:ascii="Times New Roman" w:hAnsi="Times New Roman" w:cs="Times New Roman"/>
          <w:i/>
          <w:iCs/>
          <w:color w:val="000000" w:themeColor="text1"/>
        </w:rPr>
        <w:t>Localis</w:t>
      </w:r>
      <w:proofErr w:type="spellEnd"/>
      <w:r w:rsidRPr="00C5615F">
        <w:rPr>
          <w:rFonts w:ascii="Times New Roman" w:hAnsi="Times New Roman" w:cs="Times New Roman"/>
          <w:i/>
          <w:iCs/>
          <w:color w:val="000000" w:themeColor="text1"/>
        </w:rPr>
        <w:t xml:space="preserve"> - Journal of Local Self-Government</w:t>
      </w:r>
      <w:r w:rsidRPr="00C5615F">
        <w:rPr>
          <w:rFonts w:ascii="Times New Roman" w:hAnsi="Times New Roman" w:cs="Times New Roman"/>
          <w:color w:val="000000" w:themeColor="text1"/>
        </w:rPr>
        <w:t>, 23 (S4), 2911-2924.</w:t>
      </w:r>
    </w:p>
    <w:p w14:paraId="5DFA77D9"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Feyen, E., Frost, J., Gambacorta, L., Natarajan, H., &amp; Saal, M. (2021).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and the digital transformation of financial services: Implications for market structure and public policy. </w:t>
      </w:r>
      <w:r w:rsidRPr="00C5615F">
        <w:rPr>
          <w:rFonts w:ascii="Times New Roman" w:hAnsi="Times New Roman" w:cs="Times New Roman"/>
          <w:i/>
          <w:iCs/>
          <w:color w:val="000000" w:themeColor="text1"/>
        </w:rPr>
        <w:t>BIS Papers, 117</w:t>
      </w:r>
      <w:r w:rsidRPr="00C5615F">
        <w:rPr>
          <w:rFonts w:ascii="Times New Roman" w:hAnsi="Times New Roman" w:cs="Times New Roman"/>
          <w:color w:val="000000" w:themeColor="text1"/>
        </w:rPr>
        <w:t>. Bank for International Settlements and World Bank Group.</w:t>
      </w:r>
    </w:p>
    <w:p w14:paraId="6CD49E2A"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Fountis</w:t>
      </w:r>
      <w:proofErr w:type="spellEnd"/>
      <w:r w:rsidRPr="00C5615F">
        <w:rPr>
          <w:rFonts w:ascii="Times New Roman" w:hAnsi="Times New Roman" w:cs="Times New Roman"/>
          <w:color w:val="000000" w:themeColor="text1"/>
        </w:rPr>
        <w:t xml:space="preserve">, A., &amp; Mukherjee, M. (2021). N26: A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 revolutionizing the banking sector's supply chain. </w:t>
      </w:r>
      <w:r w:rsidRPr="00C5615F">
        <w:rPr>
          <w:rFonts w:ascii="Times New Roman" w:hAnsi="Times New Roman" w:cs="Times New Roman"/>
          <w:i/>
          <w:iCs/>
          <w:color w:val="000000" w:themeColor="text1"/>
        </w:rPr>
        <w:t xml:space="preserve"> </w:t>
      </w:r>
      <w:proofErr w:type="spellStart"/>
      <w:r w:rsidRPr="00C5615F">
        <w:rPr>
          <w:rFonts w:ascii="Times New Roman" w:hAnsi="Times New Roman" w:cs="Times New Roman"/>
          <w:i/>
          <w:iCs/>
          <w:color w:val="000000" w:themeColor="text1"/>
        </w:rPr>
        <w:t>JournalNX</w:t>
      </w:r>
      <w:proofErr w:type="spellEnd"/>
      <w:r w:rsidRPr="00C5615F">
        <w:rPr>
          <w:rFonts w:ascii="Times New Roman" w:hAnsi="Times New Roman" w:cs="Times New Roman"/>
          <w:i/>
          <w:iCs/>
          <w:color w:val="000000" w:themeColor="text1"/>
        </w:rPr>
        <w:t>- A Multidisciplinary Peer Reviewed Journal</w:t>
      </w:r>
      <w:r w:rsidRPr="00C5615F">
        <w:rPr>
          <w:rFonts w:ascii="Times New Roman" w:hAnsi="Times New Roman" w:cs="Times New Roman"/>
          <w:color w:val="000000" w:themeColor="text1"/>
        </w:rPr>
        <w:t>, 7 (2), 389-404.</w:t>
      </w:r>
    </w:p>
    <w:p w14:paraId="33C4A566"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Guan, Y., Sun, N., Wu, S. J., &amp; Sun, Y. (2025). Supply chain finance,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development, and financing efficiency of SMEs in China. </w:t>
      </w:r>
      <w:r w:rsidRPr="00C5615F">
        <w:rPr>
          <w:rFonts w:ascii="Times New Roman" w:hAnsi="Times New Roman" w:cs="Times New Roman"/>
          <w:i/>
          <w:iCs/>
          <w:color w:val="000000" w:themeColor="text1"/>
        </w:rPr>
        <w:t>Administrative Sciences, 15</w:t>
      </w:r>
      <w:r w:rsidRPr="00C5615F">
        <w:rPr>
          <w:rFonts w:ascii="Times New Roman" w:hAnsi="Times New Roman" w:cs="Times New Roman"/>
          <w:color w:val="000000" w:themeColor="text1"/>
        </w:rPr>
        <w:t>(3), 86. </w:t>
      </w:r>
      <w:hyperlink r:id="rId20" w:tgtFrame="_blank" w:history="1">
        <w:r w:rsidRPr="00C5615F">
          <w:rPr>
            <w:rStyle w:val="Hyperlink"/>
            <w:rFonts w:ascii="Times New Roman" w:hAnsi="Times New Roman" w:cs="Times New Roman"/>
          </w:rPr>
          <w:t>https://doi.org/10.3390/admsci15030086</w:t>
        </w:r>
      </w:hyperlink>
    </w:p>
    <w:p w14:paraId="1A0A0283"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Hair, J. F., Risher, J. J., Sarstedt, M., &amp; Ringle, C. M. (2019). When to use and how to report the results of PLS-SEM. </w:t>
      </w:r>
      <w:r w:rsidRPr="00C5615F">
        <w:rPr>
          <w:rFonts w:ascii="Times New Roman" w:hAnsi="Times New Roman" w:cs="Times New Roman"/>
          <w:i/>
          <w:iCs/>
          <w:color w:val="000000" w:themeColor="text1"/>
        </w:rPr>
        <w:t>European Business Review, 31</w:t>
      </w:r>
      <w:r w:rsidRPr="00C5615F">
        <w:rPr>
          <w:rFonts w:ascii="Times New Roman" w:hAnsi="Times New Roman" w:cs="Times New Roman"/>
          <w:color w:val="000000" w:themeColor="text1"/>
        </w:rPr>
        <w:t>(1), 2-24. </w:t>
      </w:r>
      <w:hyperlink r:id="rId21" w:tgtFrame="_blank" w:history="1">
        <w:r w:rsidRPr="00C5615F">
          <w:rPr>
            <w:rStyle w:val="Hyperlink"/>
            <w:rFonts w:ascii="Times New Roman" w:hAnsi="Times New Roman" w:cs="Times New Roman"/>
          </w:rPr>
          <w:t>https://doi.org/10.1108/EBR-11-2018-0203</w:t>
        </w:r>
      </w:hyperlink>
    </w:p>
    <w:p w14:paraId="0D0F27DF"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Han, M., Rao, Y., &amp; Liu, T. (2025). The impact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on supply chain configuration from the perspective of the intensive margin. </w:t>
      </w:r>
      <w:r w:rsidRPr="00C5615F">
        <w:rPr>
          <w:rFonts w:ascii="Times New Roman" w:hAnsi="Times New Roman" w:cs="Times New Roman"/>
          <w:i/>
          <w:iCs/>
          <w:color w:val="000000" w:themeColor="text1"/>
        </w:rPr>
        <w:t>SSRN Working Paper Series</w:t>
      </w:r>
      <w:r w:rsidRPr="00C5615F">
        <w:rPr>
          <w:rFonts w:ascii="Times New Roman" w:hAnsi="Times New Roman" w:cs="Times New Roman"/>
          <w:color w:val="000000" w:themeColor="text1"/>
        </w:rPr>
        <w:t>. </w:t>
      </w:r>
      <w:hyperlink r:id="rId22" w:tgtFrame="_blank" w:history="1">
        <w:r w:rsidRPr="00C5615F">
          <w:rPr>
            <w:rStyle w:val="Hyperlink"/>
            <w:rFonts w:ascii="Times New Roman" w:hAnsi="Times New Roman" w:cs="Times New Roman"/>
          </w:rPr>
          <w:t>http://dx.doi.org/10.2139/ssrn.5614901</w:t>
        </w:r>
      </w:hyperlink>
    </w:p>
    <w:p w14:paraId="1979460B"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He, W., Zhang, Y., &amp; Wang, M. (2024).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supply chain concentration and enterprise digitization: Evidence from Chinese manufacturing listed companies. </w:t>
      </w:r>
      <w:r w:rsidRPr="00C5615F">
        <w:rPr>
          <w:rFonts w:ascii="Times New Roman" w:hAnsi="Times New Roman" w:cs="Times New Roman"/>
          <w:i/>
          <w:iCs/>
          <w:color w:val="000000" w:themeColor="text1"/>
        </w:rPr>
        <w:t>Finance Research Letters, 59</w:t>
      </w:r>
      <w:r w:rsidRPr="00C5615F">
        <w:rPr>
          <w:rFonts w:ascii="Times New Roman" w:hAnsi="Times New Roman" w:cs="Times New Roman"/>
          <w:color w:val="000000" w:themeColor="text1"/>
        </w:rPr>
        <w:t>, 104702. </w:t>
      </w:r>
      <w:hyperlink r:id="rId23" w:tgtFrame="_blank" w:history="1">
        <w:r w:rsidRPr="00C5615F">
          <w:rPr>
            <w:rStyle w:val="Hyperlink"/>
            <w:rFonts w:ascii="Times New Roman" w:hAnsi="Times New Roman" w:cs="Times New Roman"/>
          </w:rPr>
          <w:t>https://doi.org/10.1016/j.frl.2023.104702</w:t>
        </w:r>
      </w:hyperlink>
    </w:p>
    <w:p w14:paraId="5C80D808"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Henseler, J., Ringle, C. M., &amp; Sarstedt, M. (2015). A new criterion for assessing discriminant validity in variance-based structural equation </w:t>
      </w:r>
      <w:proofErr w:type="spellStart"/>
      <w:r w:rsidRPr="00C5615F">
        <w:rPr>
          <w:rFonts w:ascii="Times New Roman" w:hAnsi="Times New Roman" w:cs="Times New Roman"/>
          <w:color w:val="000000" w:themeColor="text1"/>
        </w:rPr>
        <w:t>modeling</w:t>
      </w:r>
      <w:proofErr w:type="spellEnd"/>
      <w:r w:rsidRPr="00C5615F">
        <w:rPr>
          <w:rFonts w:ascii="Times New Roman" w:hAnsi="Times New Roman" w:cs="Times New Roman"/>
          <w:color w:val="000000" w:themeColor="text1"/>
        </w:rPr>
        <w:t>. </w:t>
      </w:r>
      <w:r w:rsidRPr="00C5615F">
        <w:rPr>
          <w:rFonts w:ascii="Times New Roman" w:hAnsi="Times New Roman" w:cs="Times New Roman"/>
          <w:i/>
          <w:iCs/>
          <w:color w:val="000000" w:themeColor="text1"/>
        </w:rPr>
        <w:t>Journal of the Academy of Marketing Science, 43</w:t>
      </w:r>
      <w:r w:rsidRPr="00C5615F">
        <w:rPr>
          <w:rFonts w:ascii="Times New Roman" w:hAnsi="Times New Roman" w:cs="Times New Roman"/>
          <w:color w:val="000000" w:themeColor="text1"/>
        </w:rPr>
        <w:t>(1), 115-135. </w:t>
      </w:r>
      <w:hyperlink r:id="rId24" w:tgtFrame="_blank" w:history="1">
        <w:r w:rsidRPr="00C5615F">
          <w:rPr>
            <w:rStyle w:val="Hyperlink"/>
            <w:rFonts w:ascii="Times New Roman" w:hAnsi="Times New Roman" w:cs="Times New Roman"/>
          </w:rPr>
          <w:t>https://doi.org/10.1007/s11747-014-0403-8</w:t>
        </w:r>
      </w:hyperlink>
    </w:p>
    <w:p w14:paraId="55EC820C"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Hinga, J. (2024, April 15). The power of data analytics and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in supply chain management. </w:t>
      </w:r>
      <w:r w:rsidRPr="00C5615F">
        <w:rPr>
          <w:rFonts w:ascii="Times New Roman" w:hAnsi="Times New Roman" w:cs="Times New Roman"/>
          <w:i/>
          <w:iCs/>
          <w:color w:val="000000" w:themeColor="text1"/>
        </w:rPr>
        <w:t>Strathmore University Business School News</w:t>
      </w:r>
      <w:r w:rsidRPr="00C5615F">
        <w:rPr>
          <w:rFonts w:ascii="Times New Roman" w:hAnsi="Times New Roman" w:cs="Times New Roman"/>
          <w:color w:val="000000" w:themeColor="text1"/>
        </w:rPr>
        <w:t>. </w:t>
      </w:r>
      <w:hyperlink r:id="rId25" w:tgtFrame="_blank" w:history="1">
        <w:r w:rsidRPr="00C5615F">
          <w:rPr>
            <w:rStyle w:val="Hyperlink"/>
            <w:rFonts w:ascii="Times New Roman" w:hAnsi="Times New Roman" w:cs="Times New Roman"/>
          </w:rPr>
          <w:t>https://sbs.strathmore.edu/the-power-of-data-analytics-and-</w:t>
        </w:r>
        <w:r>
          <w:rPr>
            <w:rStyle w:val="Hyperlink"/>
            <w:rFonts w:ascii="Times New Roman" w:hAnsi="Times New Roman" w:cs="Times New Roman"/>
          </w:rPr>
          <w:t>FinTech</w:t>
        </w:r>
        <w:r w:rsidRPr="00C5615F">
          <w:rPr>
            <w:rStyle w:val="Hyperlink"/>
            <w:rFonts w:ascii="Times New Roman" w:hAnsi="Times New Roman" w:cs="Times New Roman"/>
          </w:rPr>
          <w:t>-in-supply-chain-management/</w:t>
        </w:r>
      </w:hyperlink>
    </w:p>
    <w:p w14:paraId="6D45E9B6" w14:textId="77777777" w:rsidR="002D2CA1" w:rsidRPr="000A5112" w:rsidRDefault="002D2CA1" w:rsidP="000A5112">
      <w:pPr>
        <w:spacing w:line="240" w:lineRule="auto"/>
        <w:ind w:left="567" w:hanging="567"/>
        <w:jc w:val="both"/>
        <w:rPr>
          <w:rFonts w:ascii="Times New Roman" w:hAnsi="Times New Roman" w:cs="Times New Roman"/>
          <w:color w:val="000000" w:themeColor="text1"/>
        </w:rPr>
      </w:pPr>
      <w:r w:rsidRPr="000A5112">
        <w:rPr>
          <w:rFonts w:ascii="Times New Roman" w:hAnsi="Times New Roman" w:cs="Times New Roman"/>
          <w:color w:val="000000" w:themeColor="text1"/>
        </w:rPr>
        <w:t xml:space="preserve">Idowu, A. O., &amp; </w:t>
      </w:r>
      <w:proofErr w:type="spellStart"/>
      <w:r w:rsidRPr="000A5112">
        <w:rPr>
          <w:rFonts w:ascii="Times New Roman" w:hAnsi="Times New Roman" w:cs="Times New Roman"/>
          <w:color w:val="000000" w:themeColor="text1"/>
        </w:rPr>
        <w:t>Aligamhe</w:t>
      </w:r>
      <w:proofErr w:type="spellEnd"/>
      <w:r w:rsidRPr="000A5112">
        <w:rPr>
          <w:rFonts w:ascii="Times New Roman" w:hAnsi="Times New Roman" w:cs="Times New Roman"/>
          <w:color w:val="000000" w:themeColor="text1"/>
        </w:rPr>
        <w:t xml:space="preserve">, V. I. (2023). Effect of payment delay on time performance of construction projects in Edo State, Nigeria. </w:t>
      </w:r>
      <w:r w:rsidRPr="000A5112">
        <w:rPr>
          <w:rFonts w:ascii="Times New Roman" w:hAnsi="Times New Roman" w:cs="Times New Roman"/>
          <w:i/>
          <w:iCs/>
          <w:color w:val="000000" w:themeColor="text1"/>
        </w:rPr>
        <w:t>IOSR Journal of Mechanical and Civil Engineering (IOSR-JMCE)</w:t>
      </w:r>
      <w:r w:rsidRPr="000A5112">
        <w:rPr>
          <w:rFonts w:ascii="Times New Roman" w:hAnsi="Times New Roman" w:cs="Times New Roman"/>
          <w:color w:val="000000" w:themeColor="text1"/>
        </w:rPr>
        <w:t xml:space="preserve">, 20(2, Ser. I), 01-06. </w:t>
      </w:r>
      <w:hyperlink r:id="rId26" w:tgtFrame="_blank" w:history="1">
        <w:r w:rsidRPr="000A5112">
          <w:rPr>
            <w:rStyle w:val="Hyperlink"/>
            <w:rFonts w:ascii="Times New Roman" w:hAnsi="Times New Roman" w:cs="Times New Roman"/>
          </w:rPr>
          <w:t>https://doi.org/10.9790/1684-2002010106</w:t>
        </w:r>
      </w:hyperlink>
    </w:p>
    <w:p w14:paraId="2E23E5C7"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Jaiyeoba, H. B., Salleh, H. M., </w:t>
      </w:r>
      <w:proofErr w:type="spellStart"/>
      <w:r w:rsidRPr="00C5615F">
        <w:rPr>
          <w:rFonts w:ascii="Times New Roman" w:hAnsi="Times New Roman" w:cs="Times New Roman"/>
          <w:color w:val="000000" w:themeColor="text1"/>
        </w:rPr>
        <w:t>Embi</w:t>
      </w:r>
      <w:proofErr w:type="spellEnd"/>
      <w:r w:rsidRPr="00C5615F">
        <w:rPr>
          <w:rFonts w:ascii="Times New Roman" w:hAnsi="Times New Roman" w:cs="Times New Roman"/>
          <w:color w:val="000000" w:themeColor="text1"/>
        </w:rPr>
        <w:t>, N. A. C., &amp; Bahari, S. S. (2025). The influence of internet-based financial innovations on the supply chain performance of halal SMEs. </w:t>
      </w:r>
      <w:r w:rsidRPr="00C5615F">
        <w:rPr>
          <w:rFonts w:ascii="Times New Roman" w:hAnsi="Times New Roman" w:cs="Times New Roman"/>
          <w:i/>
          <w:iCs/>
          <w:color w:val="000000" w:themeColor="text1"/>
        </w:rPr>
        <w:t>Journal of Financial Services Marketing, 30</w:t>
      </w:r>
      <w:r w:rsidRPr="00C5615F">
        <w:rPr>
          <w:rFonts w:ascii="Times New Roman" w:hAnsi="Times New Roman" w:cs="Times New Roman"/>
          <w:color w:val="000000" w:themeColor="text1"/>
        </w:rPr>
        <w:t>(20). </w:t>
      </w:r>
      <w:hyperlink r:id="rId27" w:tgtFrame="_blank" w:history="1">
        <w:r w:rsidRPr="00C5615F">
          <w:rPr>
            <w:rStyle w:val="Hyperlink"/>
            <w:rFonts w:ascii="Times New Roman" w:hAnsi="Times New Roman" w:cs="Times New Roman"/>
          </w:rPr>
          <w:t>https://doi.org/10.1057/s41264-025-00313-y</w:t>
        </w:r>
      </w:hyperlink>
    </w:p>
    <w:p w14:paraId="3232C41B"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Jia, F., Guo, J., Chen, L., &amp; Islam, N. (2024). Does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adoption improve sustainable supply chain management? An innovation-intensive environment perspective. </w:t>
      </w:r>
      <w:r w:rsidRPr="00C5615F">
        <w:rPr>
          <w:rFonts w:ascii="Times New Roman" w:hAnsi="Times New Roman" w:cs="Times New Roman"/>
          <w:i/>
          <w:iCs/>
          <w:color w:val="000000" w:themeColor="text1"/>
        </w:rPr>
        <w:t>IEEE Transactions on Engineering Management, 72</w:t>
      </w:r>
      <w:r w:rsidRPr="00C5615F">
        <w:rPr>
          <w:rFonts w:ascii="Times New Roman" w:hAnsi="Times New Roman" w:cs="Times New Roman"/>
          <w:color w:val="000000" w:themeColor="text1"/>
        </w:rPr>
        <w:t>, 210-226. </w:t>
      </w:r>
      <w:hyperlink r:id="rId28" w:tgtFrame="_blank" w:history="1">
        <w:r w:rsidRPr="00C5615F">
          <w:rPr>
            <w:rStyle w:val="Hyperlink"/>
            <w:rFonts w:ascii="Times New Roman" w:hAnsi="Times New Roman" w:cs="Times New Roman"/>
          </w:rPr>
          <w:t>https://doi.org/10.1109/TEM.2024.3515471</w:t>
        </w:r>
      </w:hyperlink>
    </w:p>
    <w:p w14:paraId="609A1E37"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Jia, W., Shafie, N. A., &amp; Kasim, E. S. (2025). The impact of digital technology on supply chain finance performance of Chinese SMEs - a systematic literature review. </w:t>
      </w:r>
      <w:r w:rsidRPr="00C5615F">
        <w:rPr>
          <w:rFonts w:ascii="Times New Roman" w:hAnsi="Times New Roman" w:cs="Times New Roman"/>
          <w:i/>
          <w:iCs/>
          <w:color w:val="000000" w:themeColor="text1"/>
        </w:rPr>
        <w:t>International Journal of Academic Research in Business and Social Sciences, 15</w:t>
      </w:r>
      <w:r w:rsidRPr="00C5615F">
        <w:rPr>
          <w:rFonts w:ascii="Times New Roman" w:hAnsi="Times New Roman" w:cs="Times New Roman"/>
          <w:color w:val="000000" w:themeColor="text1"/>
        </w:rPr>
        <w:t>(1), 1729–1749.</w:t>
      </w:r>
    </w:p>
    <w:p w14:paraId="13861F17" w14:textId="77777777" w:rsidR="002D2CA1" w:rsidRPr="00C161C1" w:rsidRDefault="002D2CA1" w:rsidP="00C161C1">
      <w:pPr>
        <w:spacing w:line="240" w:lineRule="auto"/>
        <w:ind w:left="567" w:hanging="567"/>
        <w:jc w:val="both"/>
        <w:rPr>
          <w:rFonts w:ascii="Times New Roman" w:hAnsi="Times New Roman" w:cs="Times New Roman"/>
          <w:color w:val="000000" w:themeColor="text1"/>
        </w:rPr>
      </w:pPr>
      <w:r w:rsidRPr="00C161C1">
        <w:rPr>
          <w:rFonts w:ascii="Times New Roman" w:hAnsi="Times New Roman" w:cs="Times New Roman"/>
          <w:color w:val="000000" w:themeColor="text1"/>
        </w:rPr>
        <w:t>Kang, X., &amp; Li, Z. (2025). Digital-Driven New Quality Productivity and Its Impact on Supply Chain Resilience: A Complex Network Approach Integrating the Hadamard Product. </w:t>
      </w:r>
      <w:r w:rsidRPr="00C161C1">
        <w:rPr>
          <w:rFonts w:ascii="Times New Roman" w:hAnsi="Times New Roman" w:cs="Times New Roman"/>
          <w:i/>
          <w:iCs/>
          <w:color w:val="000000" w:themeColor="text1"/>
        </w:rPr>
        <w:t>Applied Sciences</w:t>
      </w:r>
      <w:r w:rsidRPr="00C161C1">
        <w:rPr>
          <w:rFonts w:ascii="Times New Roman" w:hAnsi="Times New Roman" w:cs="Times New Roman"/>
          <w:color w:val="000000" w:themeColor="text1"/>
        </w:rPr>
        <w:t>, 15(20), 11193.</w:t>
      </w:r>
    </w:p>
    <w:p w14:paraId="1B63798B"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Kannan, N. (2019). </w:t>
      </w:r>
      <w:r>
        <w:rPr>
          <w:rFonts w:ascii="Times New Roman" w:hAnsi="Times New Roman" w:cs="Times New Roman"/>
          <w:i/>
          <w:iCs/>
          <w:color w:val="000000" w:themeColor="text1"/>
        </w:rPr>
        <w:t>FinTech</w:t>
      </w:r>
      <w:r w:rsidRPr="00C5615F">
        <w:rPr>
          <w:rFonts w:ascii="Times New Roman" w:hAnsi="Times New Roman" w:cs="Times New Roman"/>
          <w:i/>
          <w:iCs/>
          <w:color w:val="000000" w:themeColor="text1"/>
        </w:rPr>
        <w:t xml:space="preserve"> and international trade &amp; supply chain finance</w:t>
      </w:r>
      <w:r w:rsidRPr="00C5615F">
        <w:rPr>
          <w:rFonts w:ascii="Times New Roman" w:hAnsi="Times New Roman" w:cs="Times New Roman"/>
          <w:color w:val="000000" w:themeColor="text1"/>
        </w:rPr>
        <w:t> [Unpublished MSc research project]. National College of Ireland, Dublin.</w:t>
      </w:r>
    </w:p>
    <w:p w14:paraId="523A8836"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Kao, Y. C., Shen, K. Y., Lee, S. T., &amp; Shieh, J. C. P. (2022). Selecting the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strategy for supply chain finance: A hybrid decision approach for banks. </w:t>
      </w:r>
      <w:r w:rsidRPr="00C5615F">
        <w:rPr>
          <w:rFonts w:ascii="Times New Roman" w:hAnsi="Times New Roman" w:cs="Times New Roman"/>
          <w:i/>
          <w:iCs/>
          <w:color w:val="000000" w:themeColor="text1"/>
        </w:rPr>
        <w:t>Mathematics, 10</w:t>
      </w:r>
      <w:r w:rsidRPr="00C5615F">
        <w:rPr>
          <w:rFonts w:ascii="Times New Roman" w:hAnsi="Times New Roman" w:cs="Times New Roman"/>
          <w:color w:val="000000" w:themeColor="text1"/>
        </w:rPr>
        <w:t>(14), 2393. </w:t>
      </w:r>
      <w:hyperlink r:id="rId29" w:tgtFrame="_blank" w:history="1">
        <w:r w:rsidRPr="00C5615F">
          <w:rPr>
            <w:rStyle w:val="Hyperlink"/>
            <w:rFonts w:ascii="Times New Roman" w:hAnsi="Times New Roman" w:cs="Times New Roman"/>
          </w:rPr>
          <w:t>https://doi.org/10.3390/math10142393</w:t>
        </w:r>
      </w:hyperlink>
    </w:p>
    <w:p w14:paraId="2A885ABB"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Kayani, U., Dsouza, S., Husain, Z., Nawaz, F., &amp; Hasan, F. (2025). Does the performance of financial technology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firms matter: Evidence from North American and European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firms. </w:t>
      </w:r>
      <w:r w:rsidRPr="00C5615F">
        <w:rPr>
          <w:rFonts w:ascii="Times New Roman" w:hAnsi="Times New Roman" w:cs="Times New Roman"/>
          <w:i/>
          <w:iCs/>
          <w:color w:val="000000" w:themeColor="text1"/>
        </w:rPr>
        <w:t>Cogent Economics &amp; Finance, 13</w:t>
      </w:r>
      <w:r w:rsidRPr="00C5615F">
        <w:rPr>
          <w:rFonts w:ascii="Times New Roman" w:hAnsi="Times New Roman" w:cs="Times New Roman"/>
          <w:color w:val="000000" w:themeColor="text1"/>
        </w:rPr>
        <w:t>(1), 2451050.</w:t>
      </w:r>
    </w:p>
    <w:p w14:paraId="4C0D8CFA"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Khalil, M. A. (2025). The impact of financial technology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on financial performance under the moderating role of capital adequacy requirements in Egyptian Banks. </w:t>
      </w:r>
      <w:r w:rsidRPr="00C5615F">
        <w:rPr>
          <w:rFonts w:ascii="Times New Roman" w:hAnsi="Times New Roman" w:cs="Times New Roman"/>
          <w:i/>
          <w:iCs/>
          <w:color w:val="000000" w:themeColor="text1"/>
        </w:rPr>
        <w:t>Future Business Journal, 12</w:t>
      </w:r>
      <w:r w:rsidRPr="00C5615F">
        <w:rPr>
          <w:rFonts w:ascii="Times New Roman" w:hAnsi="Times New Roman" w:cs="Times New Roman"/>
          <w:color w:val="000000" w:themeColor="text1"/>
        </w:rPr>
        <w:t>(1), 1-26.</w:t>
      </w:r>
    </w:p>
    <w:p w14:paraId="3EE632E1"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Kim, J. S., &amp; Shin, N. (2019). The impact of blockchain technology application on supply chain partnership and performance. </w:t>
      </w:r>
      <w:r w:rsidRPr="00C5615F">
        <w:rPr>
          <w:rFonts w:ascii="Times New Roman" w:hAnsi="Times New Roman" w:cs="Times New Roman"/>
          <w:i/>
          <w:iCs/>
          <w:color w:val="000000" w:themeColor="text1"/>
        </w:rPr>
        <w:t>Sustainability, 11</w:t>
      </w:r>
      <w:r w:rsidRPr="00C5615F">
        <w:rPr>
          <w:rFonts w:ascii="Times New Roman" w:hAnsi="Times New Roman" w:cs="Times New Roman"/>
          <w:color w:val="000000" w:themeColor="text1"/>
        </w:rPr>
        <w:t>(21), 6181. </w:t>
      </w:r>
      <w:hyperlink r:id="rId30" w:tgtFrame="_blank" w:history="1">
        <w:r w:rsidRPr="00C5615F">
          <w:rPr>
            <w:rStyle w:val="Hyperlink"/>
            <w:rFonts w:ascii="Times New Roman" w:hAnsi="Times New Roman" w:cs="Times New Roman"/>
          </w:rPr>
          <w:t>https://doi.org/10.3390/su11216181</w:t>
        </w:r>
      </w:hyperlink>
    </w:p>
    <w:p w14:paraId="203AB656"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Kuang, Y. (2025). How does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affect corporate supply chain resilience? </w:t>
      </w:r>
      <w:r w:rsidRPr="00C5615F">
        <w:rPr>
          <w:rFonts w:ascii="Times New Roman" w:hAnsi="Times New Roman" w:cs="Times New Roman"/>
          <w:i/>
          <w:iCs/>
          <w:color w:val="000000" w:themeColor="text1"/>
        </w:rPr>
        <w:t>Journal of Education, Humanities and Social Sciences, 61</w:t>
      </w:r>
      <w:r w:rsidRPr="00C5615F">
        <w:rPr>
          <w:rFonts w:ascii="Times New Roman" w:hAnsi="Times New Roman" w:cs="Times New Roman"/>
          <w:color w:val="000000" w:themeColor="text1"/>
        </w:rPr>
        <w:t>, 134-140.</w:t>
      </w:r>
    </w:p>
    <w:p w14:paraId="0771B77E"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Kumari, A., &amp; Devi, C. N. (2022). The impact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and blockchain technologies on banking and financial services. </w:t>
      </w:r>
      <w:r w:rsidRPr="00C5615F">
        <w:rPr>
          <w:rFonts w:ascii="Times New Roman" w:hAnsi="Times New Roman" w:cs="Times New Roman"/>
          <w:i/>
          <w:iCs/>
          <w:color w:val="000000" w:themeColor="text1"/>
        </w:rPr>
        <w:t>Technology Innovation Management Review, 12</w:t>
      </w:r>
      <w:r w:rsidRPr="00C5615F">
        <w:rPr>
          <w:rFonts w:ascii="Times New Roman" w:hAnsi="Times New Roman" w:cs="Times New Roman"/>
          <w:color w:val="000000" w:themeColor="text1"/>
        </w:rPr>
        <w:t>(1/2), 22010204.</w:t>
      </w:r>
    </w:p>
    <w:p w14:paraId="309923BB"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Lee, H. H., Yang, S. A., &amp; Kim, K. (2019). The role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in mitigating information friction in supply chain finance. </w:t>
      </w:r>
      <w:r w:rsidRPr="00C5615F">
        <w:rPr>
          <w:rFonts w:ascii="Times New Roman" w:hAnsi="Times New Roman" w:cs="Times New Roman"/>
          <w:i/>
          <w:iCs/>
          <w:color w:val="000000" w:themeColor="text1"/>
        </w:rPr>
        <w:t>ADB Economics Working Paper Series, No. 599</w:t>
      </w:r>
      <w:r w:rsidRPr="00C5615F">
        <w:rPr>
          <w:rFonts w:ascii="Times New Roman" w:hAnsi="Times New Roman" w:cs="Times New Roman"/>
          <w:color w:val="000000" w:themeColor="text1"/>
        </w:rPr>
        <w:t>. Asian Development Bank.</w:t>
      </w:r>
    </w:p>
    <w:p w14:paraId="7DFC974B"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Li, J., He, Z., &amp; Wang, S. (2022). A survey of supply chain operation and finance with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Research framework and managerial insights. </w:t>
      </w:r>
      <w:r w:rsidRPr="00C5615F">
        <w:rPr>
          <w:rFonts w:ascii="Times New Roman" w:hAnsi="Times New Roman" w:cs="Times New Roman"/>
          <w:i/>
          <w:iCs/>
          <w:color w:val="000000" w:themeColor="text1"/>
        </w:rPr>
        <w:t>International Journal of Production Economics, 247</w:t>
      </w:r>
      <w:r w:rsidRPr="00C5615F">
        <w:rPr>
          <w:rFonts w:ascii="Times New Roman" w:hAnsi="Times New Roman" w:cs="Times New Roman"/>
          <w:color w:val="000000" w:themeColor="text1"/>
        </w:rPr>
        <w:t>, 108431. </w:t>
      </w:r>
      <w:hyperlink r:id="rId31" w:tgtFrame="_blank" w:history="1">
        <w:r w:rsidRPr="00C5615F">
          <w:rPr>
            <w:rStyle w:val="Hyperlink"/>
            <w:rFonts w:ascii="Times New Roman" w:hAnsi="Times New Roman" w:cs="Times New Roman"/>
          </w:rPr>
          <w:t>https://doi.org/10.1016/j.ijpe.2022.108431</w:t>
        </w:r>
      </w:hyperlink>
    </w:p>
    <w:p w14:paraId="5E451AB2"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Li, Y. (2024). </w:t>
      </w:r>
      <w:r w:rsidRPr="00C5615F">
        <w:rPr>
          <w:rFonts w:ascii="Times New Roman" w:hAnsi="Times New Roman" w:cs="Times New Roman"/>
          <w:i/>
          <w:iCs/>
          <w:color w:val="000000" w:themeColor="text1"/>
        </w:rPr>
        <w:t>Essays in financial technology: Banking efficiency and application of machine learning models in supply chain finance and credit risk assessment</w:t>
      </w:r>
      <w:r w:rsidRPr="00C5615F">
        <w:rPr>
          <w:rFonts w:ascii="Times New Roman" w:hAnsi="Times New Roman" w:cs="Times New Roman"/>
          <w:color w:val="000000" w:themeColor="text1"/>
        </w:rPr>
        <w:t> [Doctoral thesis, University of Glasgow]. Enlighten: Theses. </w:t>
      </w:r>
      <w:hyperlink r:id="rId32" w:tgtFrame="_blank" w:history="1">
        <w:r w:rsidRPr="00C5615F">
          <w:rPr>
            <w:rStyle w:val="Hyperlink"/>
            <w:rFonts w:ascii="Times New Roman" w:hAnsi="Times New Roman" w:cs="Times New Roman"/>
          </w:rPr>
          <w:t>https://theses.gla.ac.uk/84159/</w:t>
        </w:r>
      </w:hyperlink>
    </w:p>
    <w:p w14:paraId="1C1E01A6" w14:textId="77777777" w:rsidR="002D2CA1" w:rsidRPr="00EE6F01" w:rsidRDefault="002D2CA1" w:rsidP="00EE6F01">
      <w:pPr>
        <w:spacing w:line="240" w:lineRule="auto"/>
        <w:ind w:left="567" w:hanging="567"/>
        <w:jc w:val="both"/>
        <w:rPr>
          <w:rFonts w:ascii="Times New Roman" w:hAnsi="Times New Roman" w:cs="Times New Roman"/>
          <w:color w:val="000000" w:themeColor="text1"/>
        </w:rPr>
      </w:pPr>
      <w:r w:rsidRPr="00EE6F01">
        <w:rPr>
          <w:rFonts w:ascii="Times New Roman" w:hAnsi="Times New Roman" w:cs="Times New Roman"/>
          <w:color w:val="000000" w:themeColor="text1"/>
        </w:rPr>
        <w:t>Li, Y., Zhang, Y., &amp; Geng, L. (2024). Digital finance, financing constraints and supply chain resilience. </w:t>
      </w:r>
      <w:r w:rsidRPr="00EE6F01">
        <w:rPr>
          <w:rFonts w:ascii="Times New Roman" w:hAnsi="Times New Roman" w:cs="Times New Roman"/>
          <w:i/>
          <w:iCs/>
          <w:color w:val="000000" w:themeColor="text1"/>
        </w:rPr>
        <w:t>International Review of Economics &amp; Finance</w:t>
      </w:r>
      <w:r w:rsidRPr="00EE6F01">
        <w:rPr>
          <w:rFonts w:ascii="Times New Roman" w:hAnsi="Times New Roman" w:cs="Times New Roman"/>
          <w:color w:val="000000" w:themeColor="text1"/>
        </w:rPr>
        <w:t>, 96(Part A), 103545.</w:t>
      </w:r>
    </w:p>
    <w:p w14:paraId="4631EEC2"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Liu, F., Xie, L., &amp; Liu, W. (2025). Impact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on supply chain resilience. </w:t>
      </w:r>
      <w:r w:rsidRPr="00C5615F">
        <w:rPr>
          <w:rFonts w:ascii="Times New Roman" w:hAnsi="Times New Roman" w:cs="Times New Roman"/>
          <w:i/>
          <w:iCs/>
          <w:color w:val="000000" w:themeColor="text1"/>
        </w:rPr>
        <w:t>International Review of Financial Analysis, 103</w:t>
      </w:r>
      <w:r w:rsidRPr="00C5615F">
        <w:rPr>
          <w:rFonts w:ascii="Times New Roman" w:hAnsi="Times New Roman" w:cs="Times New Roman"/>
          <w:color w:val="000000" w:themeColor="text1"/>
        </w:rPr>
        <w:t>, 104241. </w:t>
      </w:r>
      <w:hyperlink r:id="rId33" w:tgtFrame="_blank" w:history="1">
        <w:r w:rsidRPr="00C5615F">
          <w:rPr>
            <w:rStyle w:val="Hyperlink"/>
            <w:rFonts w:ascii="Times New Roman" w:hAnsi="Times New Roman" w:cs="Times New Roman"/>
          </w:rPr>
          <w:t>https://doi.org/10.1016/j.irfa.2025.104241</w:t>
        </w:r>
      </w:hyperlink>
    </w:p>
    <w:p w14:paraId="04A15DD3"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Lontchi</w:t>
      </w:r>
      <w:proofErr w:type="spellEnd"/>
      <w:r w:rsidRPr="00C5615F">
        <w:rPr>
          <w:rFonts w:ascii="Times New Roman" w:hAnsi="Times New Roman" w:cs="Times New Roman"/>
          <w:color w:val="000000" w:themeColor="text1"/>
        </w:rPr>
        <w:t>, C. B., Yang, B., &amp; Shuaib, K. M. (2023). Effect of financial technology on SMEs performance in Cameroon amid COVID-19 recovery: The mediating effect of financial literacy. </w:t>
      </w:r>
      <w:r w:rsidRPr="00C5615F">
        <w:rPr>
          <w:rFonts w:ascii="Times New Roman" w:hAnsi="Times New Roman" w:cs="Times New Roman"/>
          <w:i/>
          <w:iCs/>
          <w:color w:val="000000" w:themeColor="text1"/>
        </w:rPr>
        <w:t>Sustainability, 15</w:t>
      </w:r>
      <w:r w:rsidRPr="00C5615F">
        <w:rPr>
          <w:rFonts w:ascii="Times New Roman" w:hAnsi="Times New Roman" w:cs="Times New Roman"/>
          <w:color w:val="000000" w:themeColor="text1"/>
        </w:rPr>
        <w:t>(3), 2171. </w:t>
      </w:r>
      <w:hyperlink r:id="rId34" w:tgtFrame="_blank" w:history="1">
        <w:r w:rsidRPr="00C5615F">
          <w:rPr>
            <w:rStyle w:val="Hyperlink"/>
            <w:rFonts w:ascii="Times New Roman" w:hAnsi="Times New Roman" w:cs="Times New Roman"/>
          </w:rPr>
          <w:t>https://doi.org/10.3390/su15032171</w:t>
        </w:r>
      </w:hyperlink>
    </w:p>
    <w:p w14:paraId="3D9916DC"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Lou, Y., Zhu, Q., &amp; Liang, C. (2025). Financial technology and firm operational resilience: The roles of supply chain resilience and marketing capability. </w:t>
      </w:r>
      <w:r w:rsidRPr="00C5615F">
        <w:rPr>
          <w:rFonts w:ascii="Times New Roman" w:hAnsi="Times New Roman" w:cs="Times New Roman"/>
          <w:i/>
          <w:iCs/>
          <w:color w:val="000000" w:themeColor="text1"/>
        </w:rPr>
        <w:t>International Review of Economics &amp; Finance, 104</w:t>
      </w:r>
      <w:r w:rsidRPr="00C5615F">
        <w:rPr>
          <w:rFonts w:ascii="Times New Roman" w:hAnsi="Times New Roman" w:cs="Times New Roman"/>
          <w:color w:val="000000" w:themeColor="text1"/>
        </w:rPr>
        <w:t>, 104744. </w:t>
      </w:r>
      <w:hyperlink r:id="rId35" w:tgtFrame="_blank" w:history="1">
        <w:r w:rsidRPr="00C5615F">
          <w:rPr>
            <w:rStyle w:val="Hyperlink"/>
            <w:rFonts w:ascii="Times New Roman" w:hAnsi="Times New Roman" w:cs="Times New Roman"/>
          </w:rPr>
          <w:t>https://doi.org/10.1016/j.iref.2025.104744</w:t>
        </w:r>
      </w:hyperlink>
    </w:p>
    <w:p w14:paraId="6E753D1B" w14:textId="77777777" w:rsidR="0072521D" w:rsidRPr="00736B1E" w:rsidRDefault="0072521D" w:rsidP="00EF7332">
      <w:pPr>
        <w:spacing w:line="240" w:lineRule="auto"/>
        <w:ind w:left="567" w:hanging="567"/>
        <w:jc w:val="both"/>
        <w:rPr>
          <w:rFonts w:ascii="Times New Roman" w:hAnsi="Times New Roman" w:cs="Times New Roman"/>
          <w:color w:val="000000" w:themeColor="text1"/>
        </w:rPr>
      </w:pPr>
      <w:proofErr w:type="spellStart"/>
      <w:r w:rsidRPr="000A5112">
        <w:rPr>
          <w:rFonts w:ascii="Times New Roman" w:hAnsi="Times New Roman" w:cs="Times New Roman"/>
          <w:color w:val="000000" w:themeColor="text1"/>
        </w:rPr>
        <w:t>Odenigbo</w:t>
      </w:r>
      <w:proofErr w:type="spellEnd"/>
      <w:r w:rsidRPr="000A5112">
        <w:rPr>
          <w:rFonts w:ascii="Times New Roman" w:hAnsi="Times New Roman" w:cs="Times New Roman"/>
          <w:color w:val="000000" w:themeColor="text1"/>
        </w:rPr>
        <w:t xml:space="preserve">, O. G., </w:t>
      </w:r>
      <w:proofErr w:type="spellStart"/>
      <w:r w:rsidRPr="000A5112">
        <w:rPr>
          <w:rFonts w:ascii="Times New Roman" w:hAnsi="Times New Roman" w:cs="Times New Roman"/>
          <w:color w:val="000000" w:themeColor="text1"/>
        </w:rPr>
        <w:t>Odusami</w:t>
      </w:r>
      <w:proofErr w:type="spellEnd"/>
      <w:r w:rsidRPr="000A5112">
        <w:rPr>
          <w:rFonts w:ascii="Times New Roman" w:hAnsi="Times New Roman" w:cs="Times New Roman"/>
          <w:color w:val="000000" w:themeColor="text1"/>
        </w:rPr>
        <w:t xml:space="preserve">, K. T., Okolie, K. C., &amp; Okafor, C. V. (2020). Causes of delayed payment in construction project in Nigeria. </w:t>
      </w:r>
      <w:r w:rsidRPr="000A5112">
        <w:rPr>
          <w:rFonts w:ascii="Times New Roman" w:hAnsi="Times New Roman" w:cs="Times New Roman"/>
          <w:i/>
          <w:iCs/>
          <w:color w:val="000000" w:themeColor="text1"/>
        </w:rPr>
        <w:t>European Journal of Engineering Research and Science (EJERS)</w:t>
      </w:r>
      <w:r w:rsidRPr="000A5112">
        <w:rPr>
          <w:rFonts w:ascii="Times New Roman" w:hAnsi="Times New Roman" w:cs="Times New Roman"/>
          <w:color w:val="000000" w:themeColor="text1"/>
        </w:rPr>
        <w:t xml:space="preserve">, 5(9), 1049-1053. </w:t>
      </w:r>
      <w:hyperlink r:id="rId36" w:tgtFrame="_blank" w:history="1">
        <w:r w:rsidRPr="000A5112">
          <w:rPr>
            <w:rStyle w:val="Hyperlink"/>
            <w:rFonts w:ascii="Times New Roman" w:hAnsi="Times New Roman" w:cs="Times New Roman"/>
          </w:rPr>
          <w:t>http://dx.doi.org/10.24018/ejers.2020.5.9.2066</w:t>
        </w:r>
      </w:hyperlink>
    </w:p>
    <w:p w14:paraId="22B63A09" w14:textId="77777777" w:rsidR="0072521D" w:rsidRPr="00C5615F" w:rsidRDefault="0072521D"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Ogbeta-Ogwu</w:t>
      </w:r>
      <w:proofErr w:type="spellEnd"/>
      <w:r w:rsidRPr="00C5615F">
        <w:rPr>
          <w:rFonts w:ascii="Times New Roman" w:hAnsi="Times New Roman" w:cs="Times New Roman"/>
          <w:color w:val="000000" w:themeColor="text1"/>
        </w:rPr>
        <w:t>, O., &amp; Chidi, O. T. (2025). Strategic agility and supply chain continuity in Nigerian public sector institutions. </w:t>
      </w:r>
      <w:r w:rsidRPr="00C5615F">
        <w:rPr>
          <w:rFonts w:ascii="Times New Roman" w:hAnsi="Times New Roman" w:cs="Times New Roman"/>
          <w:i/>
          <w:iCs/>
          <w:color w:val="000000" w:themeColor="text1"/>
        </w:rPr>
        <w:t>Journal of Public Procurement, 25</w:t>
      </w:r>
      <w:r w:rsidRPr="00C5615F">
        <w:rPr>
          <w:rFonts w:ascii="Times New Roman" w:hAnsi="Times New Roman" w:cs="Times New Roman"/>
          <w:color w:val="000000" w:themeColor="text1"/>
        </w:rPr>
        <w:t>(1), 78-95.</w:t>
      </w:r>
    </w:p>
    <w:p w14:paraId="43DD1D3F" w14:textId="77777777" w:rsidR="0072521D" w:rsidRPr="0072521D" w:rsidRDefault="0072521D" w:rsidP="0072521D">
      <w:pPr>
        <w:spacing w:line="240" w:lineRule="auto"/>
        <w:ind w:left="567" w:hanging="567"/>
        <w:jc w:val="both"/>
        <w:rPr>
          <w:rFonts w:ascii="Times New Roman" w:hAnsi="Times New Roman" w:cs="Times New Roman"/>
          <w:color w:val="000000" w:themeColor="text1"/>
          <w:lang w:val="en-NG"/>
        </w:rPr>
      </w:pPr>
      <w:proofErr w:type="spellStart"/>
      <w:r w:rsidRPr="0072521D">
        <w:rPr>
          <w:rFonts w:ascii="Times New Roman" w:hAnsi="Times New Roman" w:cs="Times New Roman"/>
          <w:color w:val="000000" w:themeColor="text1"/>
          <w:lang w:val="en-NG"/>
        </w:rPr>
        <w:t>Okegbemi</w:t>
      </w:r>
      <w:proofErr w:type="spellEnd"/>
      <w:r w:rsidRPr="0072521D">
        <w:rPr>
          <w:rFonts w:ascii="Times New Roman" w:hAnsi="Times New Roman" w:cs="Times New Roman"/>
          <w:color w:val="000000" w:themeColor="text1"/>
          <w:lang w:val="en-NG"/>
        </w:rPr>
        <w:t xml:space="preserve">, A. C. (2024). </w:t>
      </w:r>
      <w:r w:rsidRPr="0072521D">
        <w:rPr>
          <w:rFonts w:ascii="Times New Roman" w:hAnsi="Times New Roman" w:cs="Times New Roman"/>
          <w:i/>
          <w:iCs/>
          <w:color w:val="000000" w:themeColor="text1"/>
          <w:lang w:val="en-NG"/>
        </w:rPr>
        <w:t xml:space="preserve">Economic environment factors and how </w:t>
      </w:r>
      <w:proofErr w:type="gramStart"/>
      <w:r w:rsidRPr="0072521D">
        <w:rPr>
          <w:rFonts w:ascii="Times New Roman" w:hAnsi="Times New Roman" w:cs="Times New Roman"/>
          <w:i/>
          <w:iCs/>
          <w:color w:val="000000" w:themeColor="text1"/>
          <w:lang w:val="en-NG"/>
        </w:rPr>
        <w:t>they  suppress</w:t>
      </w:r>
      <w:proofErr w:type="gramEnd"/>
      <w:r w:rsidRPr="0072521D">
        <w:rPr>
          <w:rFonts w:ascii="Times New Roman" w:hAnsi="Times New Roman" w:cs="Times New Roman"/>
          <w:i/>
          <w:iCs/>
          <w:color w:val="000000" w:themeColor="text1"/>
          <w:lang w:val="en-NG"/>
        </w:rPr>
        <w:t xml:space="preserve">  </w:t>
      </w:r>
      <w:proofErr w:type="gramStart"/>
      <w:r w:rsidRPr="0072521D">
        <w:rPr>
          <w:rFonts w:ascii="Times New Roman" w:hAnsi="Times New Roman" w:cs="Times New Roman"/>
          <w:i/>
          <w:iCs/>
          <w:color w:val="000000" w:themeColor="text1"/>
          <w:lang w:val="en-NG"/>
        </w:rPr>
        <w:t>growth  and</w:t>
      </w:r>
      <w:proofErr w:type="gramEnd"/>
      <w:r w:rsidRPr="0072521D">
        <w:rPr>
          <w:rFonts w:ascii="Times New Roman" w:hAnsi="Times New Roman" w:cs="Times New Roman"/>
          <w:i/>
          <w:iCs/>
          <w:color w:val="000000" w:themeColor="text1"/>
          <w:lang w:val="en-NG"/>
        </w:rPr>
        <w:t xml:space="preserve">  </w:t>
      </w:r>
      <w:proofErr w:type="gramStart"/>
      <w:r w:rsidRPr="0072521D">
        <w:rPr>
          <w:rFonts w:ascii="Times New Roman" w:hAnsi="Times New Roman" w:cs="Times New Roman"/>
          <w:i/>
          <w:iCs/>
          <w:color w:val="000000" w:themeColor="text1"/>
          <w:lang w:val="en-NG"/>
        </w:rPr>
        <w:t>development  in</w:t>
      </w:r>
      <w:proofErr w:type="gramEnd"/>
      <w:r w:rsidRPr="0072521D">
        <w:rPr>
          <w:rFonts w:ascii="Times New Roman" w:hAnsi="Times New Roman" w:cs="Times New Roman"/>
          <w:i/>
          <w:iCs/>
          <w:color w:val="000000" w:themeColor="text1"/>
          <w:lang w:val="en-NG"/>
        </w:rPr>
        <w:t xml:space="preserve">  Nigeria.</w:t>
      </w:r>
      <w:r w:rsidRPr="0072521D">
        <w:rPr>
          <w:rFonts w:ascii="Times New Roman" w:hAnsi="Times New Roman" w:cs="Times New Roman"/>
          <w:color w:val="000000" w:themeColor="text1"/>
          <w:lang w:val="en-NG"/>
        </w:rPr>
        <w:t xml:space="preserve">  </w:t>
      </w:r>
      <w:proofErr w:type="gramStart"/>
      <w:r w:rsidRPr="0072521D">
        <w:rPr>
          <w:rFonts w:ascii="Times New Roman" w:hAnsi="Times New Roman" w:cs="Times New Roman"/>
          <w:color w:val="000000" w:themeColor="text1"/>
          <w:lang w:val="en-NG"/>
        </w:rPr>
        <w:t>Retrieved  from</w:t>
      </w:r>
      <w:proofErr w:type="gramEnd"/>
      <w:r w:rsidRPr="0072521D">
        <w:rPr>
          <w:rFonts w:ascii="Times New Roman" w:hAnsi="Times New Roman" w:cs="Times New Roman"/>
          <w:color w:val="000000" w:themeColor="text1"/>
          <w:lang w:val="en-NG"/>
        </w:rPr>
        <w:t xml:space="preserve"> </w:t>
      </w:r>
      <w:r>
        <w:rPr>
          <w:rFonts w:ascii="Times New Roman" w:hAnsi="Times New Roman" w:cs="Times New Roman"/>
          <w:color w:val="000000" w:themeColor="text1"/>
          <w:lang w:val="en-NG"/>
        </w:rPr>
        <w:t xml:space="preserve"> </w:t>
      </w:r>
      <w:r w:rsidRPr="0072521D">
        <w:rPr>
          <w:rFonts w:ascii="Times New Roman" w:hAnsi="Times New Roman" w:cs="Times New Roman"/>
          <w:color w:val="000000" w:themeColor="text1"/>
          <w:lang w:val="en-NG"/>
        </w:rPr>
        <w:t>https://www.academia.edu/122486898/Economic_Environment_Factors_and_How_They_Suppress_Growth_and_Development_in_Nigeria</w:t>
      </w:r>
    </w:p>
    <w:p w14:paraId="5391AFB0"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Prangan</w:t>
      </w:r>
      <w:proofErr w:type="spellEnd"/>
      <w:r w:rsidRPr="00C5615F">
        <w:rPr>
          <w:rFonts w:ascii="Times New Roman" w:hAnsi="Times New Roman" w:cs="Times New Roman"/>
          <w:color w:val="000000" w:themeColor="text1"/>
        </w:rPr>
        <w:t xml:space="preserve">, T. H., Ahmed, M. R., Islam, A., Islam, M. A., &amp; Mim, J. S. (2025). Evaluating the impact of sustainable supply chain management (SSCM) practices on business performance among </w:t>
      </w:r>
      <w:proofErr w:type="spellStart"/>
      <w:r w:rsidRPr="00C5615F">
        <w:rPr>
          <w:rFonts w:ascii="Times New Roman" w:hAnsi="Times New Roman" w:cs="Times New Roman"/>
          <w:color w:val="000000" w:themeColor="text1"/>
        </w:rPr>
        <w:t>agro</w:t>
      </w:r>
      <w:proofErr w:type="spellEnd"/>
      <w:r w:rsidRPr="00C5615F">
        <w:rPr>
          <w:rFonts w:ascii="Times New Roman" w:hAnsi="Times New Roman" w:cs="Times New Roman"/>
          <w:color w:val="000000" w:themeColor="text1"/>
        </w:rPr>
        <w:t xml:space="preserve">-based SMEs in Bangladesh: Mediating role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usability. </w:t>
      </w:r>
      <w:r w:rsidRPr="00C5615F">
        <w:rPr>
          <w:rFonts w:ascii="Times New Roman" w:hAnsi="Times New Roman" w:cs="Times New Roman"/>
          <w:i/>
          <w:iCs/>
          <w:color w:val="000000" w:themeColor="text1"/>
        </w:rPr>
        <w:t>Supply Chain Insider, 17</w:t>
      </w:r>
      <w:r w:rsidRPr="00C5615F">
        <w:rPr>
          <w:rFonts w:ascii="Times New Roman" w:hAnsi="Times New Roman" w:cs="Times New Roman"/>
          <w:color w:val="000000" w:themeColor="text1"/>
        </w:rPr>
        <w:t>(1), 207-268. </w:t>
      </w:r>
      <w:hyperlink r:id="rId37" w:tgtFrame="_blank" w:history="1">
        <w:r w:rsidRPr="00C5615F">
          <w:rPr>
            <w:rStyle w:val="Hyperlink"/>
            <w:rFonts w:ascii="Times New Roman" w:hAnsi="Times New Roman" w:cs="Times New Roman"/>
          </w:rPr>
          <w:t>https://doi.org/10.5281/zenodo.17285206</w:t>
        </w:r>
      </w:hyperlink>
    </w:p>
    <w:p w14:paraId="170DC79C"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Rais, F. Z., &amp; Rais, M. (2024). Financial technology and global supply chains integration towards a more efficient and cost-effective trade system. </w:t>
      </w:r>
      <w:r w:rsidRPr="00C5615F">
        <w:rPr>
          <w:rFonts w:ascii="Times New Roman" w:hAnsi="Times New Roman" w:cs="Times New Roman"/>
          <w:i/>
          <w:iCs/>
          <w:color w:val="000000" w:themeColor="text1"/>
        </w:rPr>
        <w:t>European Economic Letters, 14</w:t>
      </w:r>
      <w:r w:rsidRPr="00C5615F">
        <w:rPr>
          <w:rFonts w:ascii="Times New Roman" w:hAnsi="Times New Roman" w:cs="Times New Roman"/>
          <w:color w:val="000000" w:themeColor="text1"/>
        </w:rPr>
        <w:t>(3), 2349-2362.</w:t>
      </w:r>
    </w:p>
    <w:p w14:paraId="06AF68E4"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Rezniks</w:t>
      </w:r>
      <w:proofErr w:type="spellEnd"/>
      <w:r w:rsidRPr="00C5615F">
        <w:rPr>
          <w:rFonts w:ascii="Times New Roman" w:hAnsi="Times New Roman" w:cs="Times New Roman"/>
          <w:color w:val="000000" w:themeColor="text1"/>
        </w:rPr>
        <w:t xml:space="preserve">, A., </w:t>
      </w:r>
      <w:proofErr w:type="spellStart"/>
      <w:r w:rsidRPr="00C5615F">
        <w:rPr>
          <w:rFonts w:ascii="Times New Roman" w:hAnsi="Times New Roman" w:cs="Times New Roman"/>
          <w:color w:val="000000" w:themeColor="text1"/>
        </w:rPr>
        <w:t>Strebko</w:t>
      </w:r>
      <w:proofErr w:type="spellEnd"/>
      <w:r w:rsidRPr="00C5615F">
        <w:rPr>
          <w:rFonts w:ascii="Times New Roman" w:hAnsi="Times New Roman" w:cs="Times New Roman"/>
          <w:color w:val="000000" w:themeColor="text1"/>
        </w:rPr>
        <w:t xml:space="preserve">, J., Romanovs, A., </w:t>
      </w:r>
      <w:proofErr w:type="spellStart"/>
      <w:r w:rsidRPr="00C5615F">
        <w:rPr>
          <w:rFonts w:ascii="Times New Roman" w:hAnsi="Times New Roman" w:cs="Times New Roman"/>
          <w:color w:val="000000" w:themeColor="text1"/>
        </w:rPr>
        <w:t>Bikovska</w:t>
      </w:r>
      <w:proofErr w:type="spellEnd"/>
      <w:r w:rsidRPr="00C5615F">
        <w:rPr>
          <w:rFonts w:ascii="Times New Roman" w:hAnsi="Times New Roman" w:cs="Times New Roman"/>
          <w:color w:val="000000" w:themeColor="text1"/>
        </w:rPr>
        <w:t xml:space="preserve">, J., </w:t>
      </w:r>
      <w:proofErr w:type="spellStart"/>
      <w:r w:rsidRPr="00C5615F">
        <w:rPr>
          <w:rFonts w:ascii="Times New Roman" w:hAnsi="Times New Roman" w:cs="Times New Roman"/>
          <w:color w:val="000000" w:themeColor="text1"/>
        </w:rPr>
        <w:t>Lektauers</w:t>
      </w:r>
      <w:proofErr w:type="spellEnd"/>
      <w:r w:rsidRPr="00C5615F">
        <w:rPr>
          <w:rFonts w:ascii="Times New Roman" w:hAnsi="Times New Roman" w:cs="Times New Roman"/>
          <w:color w:val="000000" w:themeColor="text1"/>
        </w:rPr>
        <w:t xml:space="preserve">, A., &amp; </w:t>
      </w:r>
      <w:proofErr w:type="spellStart"/>
      <w:r w:rsidRPr="00C5615F">
        <w:rPr>
          <w:rFonts w:ascii="Times New Roman" w:hAnsi="Times New Roman" w:cs="Times New Roman"/>
          <w:color w:val="000000" w:themeColor="text1"/>
        </w:rPr>
        <w:t>Petuhova</w:t>
      </w:r>
      <w:proofErr w:type="spellEnd"/>
      <w:r w:rsidRPr="00C5615F">
        <w:rPr>
          <w:rFonts w:ascii="Times New Roman" w:hAnsi="Times New Roman" w:cs="Times New Roman"/>
          <w:color w:val="000000" w:themeColor="text1"/>
        </w:rPr>
        <w:t xml:space="preserve">, J. (2023).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in supply chains: Post-COVID challenges and solutions. </w:t>
      </w:r>
      <w:r w:rsidRPr="00C5615F">
        <w:rPr>
          <w:rFonts w:ascii="Times New Roman" w:hAnsi="Times New Roman" w:cs="Times New Roman"/>
          <w:i/>
          <w:iCs/>
          <w:color w:val="000000" w:themeColor="text1"/>
        </w:rPr>
        <w:t>WSEAS Transactions on Business and Economics, 20</w:t>
      </w:r>
      <w:r w:rsidRPr="00C5615F">
        <w:rPr>
          <w:rFonts w:ascii="Times New Roman" w:hAnsi="Times New Roman" w:cs="Times New Roman"/>
          <w:color w:val="000000" w:themeColor="text1"/>
        </w:rPr>
        <w:t>, 2627-2637. </w:t>
      </w:r>
      <w:hyperlink r:id="rId38" w:tgtFrame="_blank" w:history="1">
        <w:r w:rsidRPr="00C5615F">
          <w:rPr>
            <w:rStyle w:val="Hyperlink"/>
            <w:rFonts w:ascii="Times New Roman" w:hAnsi="Times New Roman" w:cs="Times New Roman"/>
          </w:rPr>
          <w:t>https://doi.org/10.37394/23207.2023.20.224</w:t>
        </w:r>
      </w:hyperlink>
    </w:p>
    <w:p w14:paraId="1257B5AB"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Rumky</w:t>
      </w:r>
      <w:proofErr w:type="spellEnd"/>
      <w:r w:rsidRPr="00C5615F">
        <w:rPr>
          <w:rFonts w:ascii="Times New Roman" w:hAnsi="Times New Roman" w:cs="Times New Roman"/>
          <w:color w:val="000000" w:themeColor="text1"/>
        </w:rPr>
        <w:t xml:space="preserve">, S. A., Latif, M. A., &amp; Hossain, M. (2023). Potential influence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on MSMEs supply chain performance improvement in Bangladesh. </w:t>
      </w:r>
      <w:r w:rsidRPr="00C5615F">
        <w:rPr>
          <w:rFonts w:ascii="Times New Roman" w:hAnsi="Times New Roman" w:cs="Times New Roman"/>
          <w:i/>
          <w:iCs/>
          <w:color w:val="000000" w:themeColor="text1"/>
        </w:rPr>
        <w:t>Supply Chain Insider, 9</w:t>
      </w:r>
      <w:r w:rsidRPr="00C5615F">
        <w:rPr>
          <w:rFonts w:ascii="Times New Roman" w:hAnsi="Times New Roman" w:cs="Times New Roman"/>
          <w:color w:val="000000" w:themeColor="text1"/>
        </w:rPr>
        <w:t>(1), 1-10. </w:t>
      </w:r>
      <w:hyperlink r:id="rId39" w:tgtFrame="_blank" w:history="1">
        <w:r w:rsidRPr="00C5615F">
          <w:rPr>
            <w:rStyle w:val="Hyperlink"/>
            <w:rFonts w:ascii="Times New Roman" w:hAnsi="Times New Roman" w:cs="Times New Roman"/>
          </w:rPr>
          <w:t>https://doi.org/10.5281/zenodo.10018606</w:t>
        </w:r>
      </w:hyperlink>
    </w:p>
    <w:p w14:paraId="49E1157F"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Song, H., Yu, K., Ganguly, A., &amp; </w:t>
      </w:r>
      <w:proofErr w:type="spellStart"/>
      <w:r w:rsidRPr="00C5615F">
        <w:rPr>
          <w:rFonts w:ascii="Times New Roman" w:hAnsi="Times New Roman" w:cs="Times New Roman"/>
          <w:color w:val="000000" w:themeColor="text1"/>
        </w:rPr>
        <w:t>Turson</w:t>
      </w:r>
      <w:proofErr w:type="spellEnd"/>
      <w:r w:rsidRPr="00C5615F">
        <w:rPr>
          <w:rFonts w:ascii="Times New Roman" w:hAnsi="Times New Roman" w:cs="Times New Roman"/>
          <w:color w:val="000000" w:themeColor="text1"/>
        </w:rPr>
        <w:t>, R. (2016). Supply chain network, information sharing and SME credit quality. </w:t>
      </w:r>
      <w:r w:rsidRPr="00C5615F">
        <w:rPr>
          <w:rFonts w:ascii="Times New Roman" w:hAnsi="Times New Roman" w:cs="Times New Roman"/>
          <w:i/>
          <w:iCs/>
          <w:color w:val="000000" w:themeColor="text1"/>
        </w:rPr>
        <w:t>Industrial Management &amp; Data Systems, 116</w:t>
      </w:r>
      <w:r w:rsidRPr="00C5615F">
        <w:rPr>
          <w:rFonts w:ascii="Times New Roman" w:hAnsi="Times New Roman" w:cs="Times New Roman"/>
          <w:color w:val="000000" w:themeColor="text1"/>
        </w:rPr>
        <w:t>(4), 740–758.</w:t>
      </w:r>
    </w:p>
    <w:p w14:paraId="5B0281B3"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Thottoli</w:t>
      </w:r>
      <w:proofErr w:type="spellEnd"/>
      <w:r w:rsidRPr="00C5615F">
        <w:rPr>
          <w:rFonts w:ascii="Times New Roman" w:hAnsi="Times New Roman" w:cs="Times New Roman"/>
          <w:color w:val="000000" w:themeColor="text1"/>
        </w:rPr>
        <w:t xml:space="preserve">, M. M., Islam, M. A., Ahsan, A., Yusof, M. F., Hassan, M. S., &amp; Chowdhury, R. S. (2024). Exploring mediating and moderating factors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adoption for innovations in SMEs. </w:t>
      </w:r>
      <w:r w:rsidRPr="00C5615F">
        <w:rPr>
          <w:rFonts w:ascii="Times New Roman" w:hAnsi="Times New Roman" w:cs="Times New Roman"/>
          <w:i/>
          <w:iCs/>
          <w:color w:val="000000" w:themeColor="text1"/>
        </w:rPr>
        <w:t>Cogent Economics &amp; Finance, 12</w:t>
      </w:r>
      <w:r w:rsidRPr="00C5615F">
        <w:rPr>
          <w:rFonts w:ascii="Times New Roman" w:hAnsi="Times New Roman" w:cs="Times New Roman"/>
          <w:color w:val="000000" w:themeColor="text1"/>
        </w:rPr>
        <w:t>(1), 2387443. </w:t>
      </w:r>
      <w:hyperlink r:id="rId40" w:tgtFrame="_blank" w:history="1">
        <w:r w:rsidRPr="00C5615F">
          <w:rPr>
            <w:rStyle w:val="Hyperlink"/>
            <w:rFonts w:ascii="Times New Roman" w:hAnsi="Times New Roman" w:cs="Times New Roman"/>
          </w:rPr>
          <w:t>https://doi.org/10.1080/23322039.2024.2387443</w:t>
        </w:r>
      </w:hyperlink>
    </w:p>
    <w:p w14:paraId="0A36A4B2"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Tsai, C., &amp; Peng, K. (2017). The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revolution and financial regulation: The case of online supply-chain financing. </w:t>
      </w:r>
      <w:r w:rsidRPr="00C5615F">
        <w:rPr>
          <w:rFonts w:ascii="Times New Roman" w:hAnsi="Times New Roman" w:cs="Times New Roman"/>
          <w:i/>
          <w:iCs/>
          <w:color w:val="000000" w:themeColor="text1"/>
        </w:rPr>
        <w:t>Asian Journal of Law and Society, 4</w:t>
      </w:r>
      <w:r w:rsidRPr="00C5615F">
        <w:rPr>
          <w:rFonts w:ascii="Times New Roman" w:hAnsi="Times New Roman" w:cs="Times New Roman"/>
          <w:color w:val="000000" w:themeColor="text1"/>
        </w:rPr>
        <w:t>(1), 109-130. </w:t>
      </w:r>
      <w:hyperlink r:id="rId41" w:tgtFrame="_blank" w:history="1">
        <w:r w:rsidRPr="00C5615F">
          <w:rPr>
            <w:rStyle w:val="Hyperlink"/>
            <w:rFonts w:ascii="Times New Roman" w:hAnsi="Times New Roman" w:cs="Times New Roman"/>
          </w:rPr>
          <w:t>https://doi.org/10.1017/als.2016.65</w:t>
        </w:r>
      </w:hyperlink>
    </w:p>
    <w:p w14:paraId="6D58ED05"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 xml:space="preserve">Xu, F., </w:t>
      </w:r>
      <w:proofErr w:type="spellStart"/>
      <w:r w:rsidRPr="00C5615F">
        <w:rPr>
          <w:rFonts w:ascii="Times New Roman" w:hAnsi="Times New Roman" w:cs="Times New Roman"/>
          <w:color w:val="000000" w:themeColor="text1"/>
        </w:rPr>
        <w:t>Kasperskaya</w:t>
      </w:r>
      <w:proofErr w:type="spellEnd"/>
      <w:r w:rsidRPr="00C5615F">
        <w:rPr>
          <w:rFonts w:ascii="Times New Roman" w:hAnsi="Times New Roman" w:cs="Times New Roman"/>
          <w:color w:val="000000" w:themeColor="text1"/>
        </w:rPr>
        <w:t xml:space="preserve">, Y., &amp; </w:t>
      </w:r>
      <w:proofErr w:type="spellStart"/>
      <w:r w:rsidRPr="00C5615F">
        <w:rPr>
          <w:rFonts w:ascii="Times New Roman" w:hAnsi="Times New Roman" w:cs="Times New Roman"/>
          <w:color w:val="000000" w:themeColor="text1"/>
        </w:rPr>
        <w:t>Sagarra</w:t>
      </w:r>
      <w:proofErr w:type="spellEnd"/>
      <w:r w:rsidRPr="00C5615F">
        <w:rPr>
          <w:rFonts w:ascii="Times New Roman" w:hAnsi="Times New Roman" w:cs="Times New Roman"/>
          <w:color w:val="000000" w:themeColor="text1"/>
        </w:rPr>
        <w:t xml:space="preserve">, M. (2025). The impact of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on bank performance: A systematic literature review. </w:t>
      </w:r>
      <w:r w:rsidRPr="00C5615F">
        <w:rPr>
          <w:rFonts w:ascii="Times New Roman" w:hAnsi="Times New Roman" w:cs="Times New Roman"/>
          <w:i/>
          <w:iCs/>
          <w:color w:val="000000" w:themeColor="text1"/>
        </w:rPr>
        <w:t>Digital Business, 5</w:t>
      </w:r>
      <w:r w:rsidRPr="00C5615F">
        <w:rPr>
          <w:rFonts w:ascii="Times New Roman" w:hAnsi="Times New Roman" w:cs="Times New Roman"/>
          <w:color w:val="000000" w:themeColor="text1"/>
        </w:rPr>
        <w:t>(2), 100131. </w:t>
      </w:r>
      <w:hyperlink r:id="rId42" w:tgtFrame="_blank" w:history="1">
        <w:r w:rsidRPr="00C5615F">
          <w:rPr>
            <w:rStyle w:val="Hyperlink"/>
            <w:rFonts w:ascii="Times New Roman" w:hAnsi="Times New Roman" w:cs="Times New Roman"/>
          </w:rPr>
          <w:t>https://doi.org/10.1016/j.digbus.2025.100131</w:t>
        </w:r>
      </w:hyperlink>
    </w:p>
    <w:p w14:paraId="0789C70A" w14:textId="77777777" w:rsidR="002D2CA1" w:rsidRPr="00C5615F" w:rsidRDefault="002D2CA1" w:rsidP="00F6185F">
      <w:pPr>
        <w:spacing w:line="240" w:lineRule="auto"/>
        <w:ind w:left="567" w:hanging="567"/>
        <w:jc w:val="both"/>
        <w:rPr>
          <w:rFonts w:ascii="Times New Roman" w:hAnsi="Times New Roman" w:cs="Times New Roman"/>
          <w:color w:val="000000" w:themeColor="text1"/>
        </w:rPr>
      </w:pPr>
      <w:r w:rsidRPr="00C5615F">
        <w:rPr>
          <w:rFonts w:ascii="Times New Roman" w:hAnsi="Times New Roman" w:cs="Times New Roman"/>
          <w:color w:val="000000" w:themeColor="text1"/>
        </w:rPr>
        <w:t>Yörük, P. A. (2025). The effects of artificial intelligence and financial technology innovations on corporate structure in joint stock companies. </w:t>
      </w:r>
      <w:r w:rsidRPr="00C5615F">
        <w:rPr>
          <w:rFonts w:ascii="Times New Roman" w:hAnsi="Times New Roman" w:cs="Times New Roman"/>
          <w:i/>
          <w:iCs/>
          <w:color w:val="000000" w:themeColor="text1"/>
        </w:rPr>
        <w:t>Canadian Journal of Educational and Social Studies, 5</w:t>
      </w:r>
      <w:r w:rsidRPr="00C5615F">
        <w:rPr>
          <w:rFonts w:ascii="Times New Roman" w:hAnsi="Times New Roman" w:cs="Times New Roman"/>
          <w:color w:val="000000" w:themeColor="text1"/>
        </w:rPr>
        <w:t>(4), 132-153. </w:t>
      </w:r>
      <w:hyperlink r:id="rId43" w:tgtFrame="_blank" w:history="1">
        <w:r w:rsidRPr="00C5615F">
          <w:rPr>
            <w:rStyle w:val="Hyperlink"/>
            <w:rFonts w:ascii="Times New Roman" w:hAnsi="Times New Roman" w:cs="Times New Roman"/>
          </w:rPr>
          <w:t>https://doi.org/10.53103/cjess.v5i4.380</w:t>
        </w:r>
      </w:hyperlink>
    </w:p>
    <w:p w14:paraId="4BA5859A" w14:textId="77777777" w:rsidR="002D2CA1" w:rsidRPr="00C5615F" w:rsidRDefault="002D2CA1" w:rsidP="00024419">
      <w:pPr>
        <w:spacing w:line="240" w:lineRule="auto"/>
        <w:ind w:left="567" w:hanging="567"/>
        <w:jc w:val="both"/>
        <w:rPr>
          <w:rFonts w:ascii="Times New Roman" w:hAnsi="Times New Roman" w:cs="Times New Roman"/>
          <w:color w:val="000000" w:themeColor="text1"/>
        </w:rPr>
      </w:pPr>
      <w:proofErr w:type="spellStart"/>
      <w:r w:rsidRPr="00C5615F">
        <w:rPr>
          <w:rFonts w:ascii="Times New Roman" w:hAnsi="Times New Roman" w:cs="Times New Roman"/>
          <w:color w:val="000000" w:themeColor="text1"/>
        </w:rPr>
        <w:t>Zulhelmy</w:t>
      </w:r>
      <w:proofErr w:type="spellEnd"/>
      <w:r w:rsidRPr="00C5615F">
        <w:rPr>
          <w:rFonts w:ascii="Times New Roman" w:hAnsi="Times New Roman" w:cs="Times New Roman"/>
          <w:color w:val="000000" w:themeColor="text1"/>
        </w:rPr>
        <w:t xml:space="preserve">, Firdaus, A. R., </w:t>
      </w:r>
      <w:proofErr w:type="spellStart"/>
      <w:r w:rsidRPr="00C5615F">
        <w:rPr>
          <w:rFonts w:ascii="Times New Roman" w:hAnsi="Times New Roman" w:cs="Times New Roman"/>
          <w:color w:val="000000" w:themeColor="text1"/>
        </w:rPr>
        <w:t>Fitrios</w:t>
      </w:r>
      <w:proofErr w:type="spellEnd"/>
      <w:r w:rsidRPr="00C5615F">
        <w:rPr>
          <w:rFonts w:ascii="Times New Roman" w:hAnsi="Times New Roman" w:cs="Times New Roman"/>
          <w:color w:val="000000" w:themeColor="text1"/>
        </w:rPr>
        <w:t xml:space="preserve">, R., &amp; Pratama, D. (2025). Impact of organizational readiness, management support, and </w:t>
      </w:r>
      <w:r>
        <w:rPr>
          <w:rFonts w:ascii="Times New Roman" w:hAnsi="Times New Roman" w:cs="Times New Roman"/>
          <w:color w:val="000000" w:themeColor="text1"/>
        </w:rPr>
        <w:t>FinTech</w:t>
      </w:r>
      <w:r w:rsidRPr="00C5615F">
        <w:rPr>
          <w:rFonts w:ascii="Times New Roman" w:hAnsi="Times New Roman" w:cs="Times New Roman"/>
          <w:color w:val="000000" w:themeColor="text1"/>
        </w:rPr>
        <w:t xml:space="preserve"> on MSMEs supply chain performance. </w:t>
      </w:r>
      <w:r w:rsidRPr="00C5615F">
        <w:rPr>
          <w:rFonts w:ascii="Times New Roman" w:hAnsi="Times New Roman" w:cs="Times New Roman"/>
          <w:i/>
          <w:iCs/>
          <w:color w:val="000000" w:themeColor="text1"/>
        </w:rPr>
        <w:t>Journal of Economics, Business, and Accountancy Ventura, 27</w:t>
      </w:r>
      <w:r w:rsidRPr="00C5615F">
        <w:rPr>
          <w:rFonts w:ascii="Times New Roman" w:hAnsi="Times New Roman" w:cs="Times New Roman"/>
          <w:color w:val="000000" w:themeColor="text1"/>
        </w:rPr>
        <w:t>(3), 411–429. </w:t>
      </w:r>
      <w:hyperlink r:id="rId44" w:tgtFrame="_blank" w:history="1">
        <w:r w:rsidRPr="00C5615F">
          <w:rPr>
            <w:rStyle w:val="Hyperlink"/>
            <w:rFonts w:ascii="Times New Roman" w:hAnsi="Times New Roman" w:cs="Times New Roman"/>
          </w:rPr>
          <w:t>https://doi.org/10.14414/jebav.v27i3.4518</w:t>
        </w:r>
      </w:hyperlink>
    </w:p>
    <w:sectPr w:rsidR="002D2CA1" w:rsidRPr="00C5615F" w:rsidSect="007C22E0">
      <w:footerReference w:type="default" r:id="rId45"/>
      <w:pgSz w:w="11906" w:h="16838"/>
      <w:pgMar w:top="709" w:right="1440" w:bottom="851"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A4BA" w14:textId="77777777" w:rsidR="00392DDC" w:rsidRDefault="00392DDC" w:rsidP="007C22E0">
      <w:pPr>
        <w:spacing w:after="0" w:line="240" w:lineRule="auto"/>
      </w:pPr>
      <w:r>
        <w:separator/>
      </w:r>
    </w:p>
  </w:endnote>
  <w:endnote w:type="continuationSeparator" w:id="0">
    <w:p w14:paraId="7997EC6E" w14:textId="77777777" w:rsidR="00392DDC" w:rsidRDefault="00392DDC" w:rsidP="007C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63272359"/>
      <w:docPartObj>
        <w:docPartGallery w:val="Page Numbers (Bottom of Page)"/>
        <w:docPartUnique/>
      </w:docPartObj>
    </w:sdtPr>
    <w:sdtEndPr>
      <w:rPr>
        <w:noProof/>
      </w:rPr>
    </w:sdtEndPr>
    <w:sdtContent>
      <w:p w14:paraId="31C836E0" w14:textId="4B6231AD" w:rsidR="007C22E0" w:rsidRPr="007C22E0" w:rsidRDefault="007C22E0" w:rsidP="007C22E0">
        <w:pPr>
          <w:pStyle w:val="Footer"/>
          <w:spacing w:before="240"/>
          <w:jc w:val="center"/>
          <w:rPr>
            <w:rFonts w:ascii="Times New Roman" w:hAnsi="Times New Roman" w:cs="Times New Roman"/>
          </w:rPr>
        </w:pPr>
        <w:r w:rsidRPr="007C22E0">
          <w:rPr>
            <w:rFonts w:ascii="Times New Roman" w:hAnsi="Times New Roman" w:cs="Times New Roman"/>
          </w:rPr>
          <w:fldChar w:fldCharType="begin"/>
        </w:r>
        <w:r w:rsidRPr="007C22E0">
          <w:rPr>
            <w:rFonts w:ascii="Times New Roman" w:hAnsi="Times New Roman" w:cs="Times New Roman"/>
          </w:rPr>
          <w:instrText xml:space="preserve"> PAGE   \* MERGEFORMAT </w:instrText>
        </w:r>
        <w:r w:rsidRPr="007C22E0">
          <w:rPr>
            <w:rFonts w:ascii="Times New Roman" w:hAnsi="Times New Roman" w:cs="Times New Roman"/>
          </w:rPr>
          <w:fldChar w:fldCharType="separate"/>
        </w:r>
        <w:r w:rsidRPr="007C22E0">
          <w:rPr>
            <w:rFonts w:ascii="Times New Roman" w:hAnsi="Times New Roman" w:cs="Times New Roman"/>
            <w:noProof/>
          </w:rPr>
          <w:t>2</w:t>
        </w:r>
        <w:r w:rsidRPr="007C22E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2611" w14:textId="77777777" w:rsidR="00392DDC" w:rsidRDefault="00392DDC" w:rsidP="007C22E0">
      <w:pPr>
        <w:spacing w:after="0" w:line="240" w:lineRule="auto"/>
      </w:pPr>
      <w:r>
        <w:separator/>
      </w:r>
    </w:p>
  </w:footnote>
  <w:footnote w:type="continuationSeparator" w:id="0">
    <w:p w14:paraId="13FE9ED9" w14:textId="77777777" w:rsidR="00392DDC" w:rsidRDefault="00392DDC" w:rsidP="007C2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521"/>
    <w:multiLevelType w:val="multilevel"/>
    <w:tmpl w:val="404C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5425"/>
    <w:multiLevelType w:val="hybridMultilevel"/>
    <w:tmpl w:val="BE764768"/>
    <w:lvl w:ilvl="0" w:tplc="2000001B">
      <w:start w:val="1"/>
      <w:numFmt w:val="lowerRoman"/>
      <w:lvlText w:val="%1."/>
      <w:lvlJc w:val="righ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15:restartNumberingAfterBreak="0">
    <w:nsid w:val="025E7C1D"/>
    <w:multiLevelType w:val="multilevel"/>
    <w:tmpl w:val="69FA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C79C8"/>
    <w:multiLevelType w:val="multilevel"/>
    <w:tmpl w:val="5E3E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06B18"/>
    <w:multiLevelType w:val="multilevel"/>
    <w:tmpl w:val="983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94D2D"/>
    <w:multiLevelType w:val="multilevel"/>
    <w:tmpl w:val="F0AA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57FBC"/>
    <w:multiLevelType w:val="multilevel"/>
    <w:tmpl w:val="233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67C84"/>
    <w:multiLevelType w:val="hybridMultilevel"/>
    <w:tmpl w:val="235E4BA8"/>
    <w:lvl w:ilvl="0" w:tplc="1EFA9F3A">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09762D9C"/>
    <w:multiLevelType w:val="multilevel"/>
    <w:tmpl w:val="D008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F112DF"/>
    <w:multiLevelType w:val="multilevel"/>
    <w:tmpl w:val="4A10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35C23"/>
    <w:multiLevelType w:val="multilevel"/>
    <w:tmpl w:val="D6FE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B7ADB"/>
    <w:multiLevelType w:val="multilevel"/>
    <w:tmpl w:val="F468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A206B"/>
    <w:multiLevelType w:val="multilevel"/>
    <w:tmpl w:val="B71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901BDB"/>
    <w:multiLevelType w:val="multilevel"/>
    <w:tmpl w:val="B67C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1E69CE"/>
    <w:multiLevelType w:val="hybridMultilevel"/>
    <w:tmpl w:val="C510843A"/>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15:restartNumberingAfterBreak="0">
    <w:nsid w:val="11B91036"/>
    <w:multiLevelType w:val="multilevel"/>
    <w:tmpl w:val="3C28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1A3396"/>
    <w:multiLevelType w:val="multilevel"/>
    <w:tmpl w:val="74B2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345355"/>
    <w:multiLevelType w:val="multilevel"/>
    <w:tmpl w:val="75B2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7D4B59"/>
    <w:multiLevelType w:val="multilevel"/>
    <w:tmpl w:val="AD24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F97799"/>
    <w:multiLevelType w:val="multilevel"/>
    <w:tmpl w:val="23FE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65106D"/>
    <w:multiLevelType w:val="multilevel"/>
    <w:tmpl w:val="D638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FB1609"/>
    <w:multiLevelType w:val="multilevel"/>
    <w:tmpl w:val="28C8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110FDB"/>
    <w:multiLevelType w:val="multilevel"/>
    <w:tmpl w:val="062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A556F4"/>
    <w:multiLevelType w:val="multilevel"/>
    <w:tmpl w:val="35D2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D04DCD"/>
    <w:multiLevelType w:val="multilevel"/>
    <w:tmpl w:val="1EA86C18"/>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4A081C"/>
    <w:multiLevelType w:val="multilevel"/>
    <w:tmpl w:val="BA34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83217C"/>
    <w:multiLevelType w:val="multilevel"/>
    <w:tmpl w:val="77D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373045"/>
    <w:multiLevelType w:val="multilevel"/>
    <w:tmpl w:val="00EC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39639B"/>
    <w:multiLevelType w:val="multilevel"/>
    <w:tmpl w:val="2080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551294"/>
    <w:multiLevelType w:val="multilevel"/>
    <w:tmpl w:val="DE00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E53596"/>
    <w:multiLevelType w:val="multilevel"/>
    <w:tmpl w:val="E7E2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901F6F"/>
    <w:multiLevelType w:val="hybridMultilevel"/>
    <w:tmpl w:val="2D36C33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2" w15:restartNumberingAfterBreak="0">
    <w:nsid w:val="1EB77AD2"/>
    <w:multiLevelType w:val="multilevel"/>
    <w:tmpl w:val="45F2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C9335E"/>
    <w:multiLevelType w:val="multilevel"/>
    <w:tmpl w:val="D8F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1D5299"/>
    <w:multiLevelType w:val="multilevel"/>
    <w:tmpl w:val="0E76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BA5DD7"/>
    <w:multiLevelType w:val="multilevel"/>
    <w:tmpl w:val="0E4CBA1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CB7095"/>
    <w:multiLevelType w:val="multilevel"/>
    <w:tmpl w:val="A5C2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D44173"/>
    <w:multiLevelType w:val="multilevel"/>
    <w:tmpl w:val="55A0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174FD2"/>
    <w:multiLevelType w:val="multilevel"/>
    <w:tmpl w:val="E232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9407C8"/>
    <w:multiLevelType w:val="multilevel"/>
    <w:tmpl w:val="6AF2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A9388B"/>
    <w:multiLevelType w:val="multilevel"/>
    <w:tmpl w:val="FC7C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D076B9"/>
    <w:multiLevelType w:val="multilevel"/>
    <w:tmpl w:val="B290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3D4B8B"/>
    <w:multiLevelType w:val="multilevel"/>
    <w:tmpl w:val="90F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4D3C43"/>
    <w:multiLevelType w:val="multilevel"/>
    <w:tmpl w:val="252A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601B6E"/>
    <w:multiLevelType w:val="hybridMultilevel"/>
    <w:tmpl w:val="F6F0130C"/>
    <w:lvl w:ilvl="0" w:tplc="9CD065F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21834F4F"/>
    <w:multiLevelType w:val="multilevel"/>
    <w:tmpl w:val="C31C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2F0A4D"/>
    <w:multiLevelType w:val="multilevel"/>
    <w:tmpl w:val="943A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95432D"/>
    <w:multiLevelType w:val="multilevel"/>
    <w:tmpl w:val="BF84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5C1119"/>
    <w:multiLevelType w:val="multilevel"/>
    <w:tmpl w:val="108893F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B57344"/>
    <w:multiLevelType w:val="multilevel"/>
    <w:tmpl w:val="97A6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5E33D3A"/>
    <w:multiLevelType w:val="multilevel"/>
    <w:tmpl w:val="19F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99014D"/>
    <w:multiLevelType w:val="multilevel"/>
    <w:tmpl w:val="3CB42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1F7E4F"/>
    <w:multiLevelType w:val="multilevel"/>
    <w:tmpl w:val="E9BA2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325D40"/>
    <w:multiLevelType w:val="hybridMultilevel"/>
    <w:tmpl w:val="517A44C2"/>
    <w:lvl w:ilvl="0" w:tplc="2000001B">
      <w:start w:val="1"/>
      <w:numFmt w:val="lowerRoman"/>
      <w:lvlText w:val="%1."/>
      <w:lvlJc w:val="righ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54" w15:restartNumberingAfterBreak="0">
    <w:nsid w:val="279F3F08"/>
    <w:multiLevelType w:val="multilevel"/>
    <w:tmpl w:val="C97C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12540E"/>
    <w:multiLevelType w:val="multilevel"/>
    <w:tmpl w:val="B97C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CF128F"/>
    <w:multiLevelType w:val="multilevel"/>
    <w:tmpl w:val="7A08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CD0144"/>
    <w:multiLevelType w:val="multilevel"/>
    <w:tmpl w:val="678E1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DE605E8"/>
    <w:multiLevelType w:val="multilevel"/>
    <w:tmpl w:val="7D5E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F7A0599"/>
    <w:multiLevelType w:val="multilevel"/>
    <w:tmpl w:val="F172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059146D"/>
    <w:multiLevelType w:val="multilevel"/>
    <w:tmpl w:val="BE60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2AC397B"/>
    <w:multiLevelType w:val="multilevel"/>
    <w:tmpl w:val="C0FE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1C098B"/>
    <w:multiLevelType w:val="multilevel"/>
    <w:tmpl w:val="A06A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882934"/>
    <w:multiLevelType w:val="multilevel"/>
    <w:tmpl w:val="6BDC79A8"/>
    <w:lvl w:ilvl="0">
      <w:start w:val="1"/>
      <w:numFmt w:val="lowerRoman"/>
      <w:lvlText w:val="%1."/>
      <w:lvlJc w:val="right"/>
      <w:pPr>
        <w:tabs>
          <w:tab w:val="num" w:pos="720"/>
        </w:tabs>
        <w:ind w:left="720" w:hanging="360"/>
      </w:pPr>
      <w:rPr>
        <w:rFonts w:hint="default"/>
        <w:sz w:val="22"/>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3A759D2"/>
    <w:multiLevelType w:val="hybridMultilevel"/>
    <w:tmpl w:val="5FFCD5D2"/>
    <w:lvl w:ilvl="0" w:tplc="38E0695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5" w15:restartNumberingAfterBreak="0">
    <w:nsid w:val="34670EF7"/>
    <w:multiLevelType w:val="multilevel"/>
    <w:tmpl w:val="9E28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F96084"/>
    <w:multiLevelType w:val="multilevel"/>
    <w:tmpl w:val="DB8C49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143D"/>
    <w:multiLevelType w:val="multilevel"/>
    <w:tmpl w:val="57B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A19230F"/>
    <w:multiLevelType w:val="multilevel"/>
    <w:tmpl w:val="660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4411F2"/>
    <w:multiLevelType w:val="multilevel"/>
    <w:tmpl w:val="6AAE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4A70A1"/>
    <w:multiLevelType w:val="multilevel"/>
    <w:tmpl w:val="5A18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DDF5803"/>
    <w:multiLevelType w:val="multilevel"/>
    <w:tmpl w:val="51B8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EDB220D"/>
    <w:multiLevelType w:val="multilevel"/>
    <w:tmpl w:val="29DA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105535"/>
    <w:multiLevelType w:val="multilevel"/>
    <w:tmpl w:val="3492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304042"/>
    <w:multiLevelType w:val="multilevel"/>
    <w:tmpl w:val="D950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1E06A13"/>
    <w:multiLevelType w:val="multilevel"/>
    <w:tmpl w:val="35D4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2BD0D4B"/>
    <w:multiLevelType w:val="hybridMultilevel"/>
    <w:tmpl w:val="48AC3DEC"/>
    <w:lvl w:ilvl="0" w:tplc="20000005">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7" w15:restartNumberingAfterBreak="0">
    <w:nsid w:val="42FB49F8"/>
    <w:multiLevelType w:val="multilevel"/>
    <w:tmpl w:val="D76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4227EB4"/>
    <w:multiLevelType w:val="multilevel"/>
    <w:tmpl w:val="17E8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5B86C26"/>
    <w:multiLevelType w:val="multilevel"/>
    <w:tmpl w:val="7E4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783DD3"/>
    <w:multiLevelType w:val="multilevel"/>
    <w:tmpl w:val="EFFE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0B6FB5"/>
    <w:multiLevelType w:val="multilevel"/>
    <w:tmpl w:val="73B8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9DD6BAB"/>
    <w:multiLevelType w:val="multilevel"/>
    <w:tmpl w:val="7580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AFE3AB8"/>
    <w:multiLevelType w:val="multilevel"/>
    <w:tmpl w:val="EB6A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B1A6373"/>
    <w:multiLevelType w:val="multilevel"/>
    <w:tmpl w:val="F1A2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C5473A3"/>
    <w:multiLevelType w:val="multilevel"/>
    <w:tmpl w:val="1626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F927EF"/>
    <w:multiLevelType w:val="multilevel"/>
    <w:tmpl w:val="8E8A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D102EE8"/>
    <w:multiLevelType w:val="multilevel"/>
    <w:tmpl w:val="674E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DED54FB"/>
    <w:multiLevelType w:val="multilevel"/>
    <w:tmpl w:val="C65A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5C5334"/>
    <w:multiLevelType w:val="multilevel"/>
    <w:tmpl w:val="8BC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E804A16"/>
    <w:multiLevelType w:val="multilevel"/>
    <w:tmpl w:val="D95E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E9C70E2"/>
    <w:multiLevelType w:val="multilevel"/>
    <w:tmpl w:val="23FE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08B17F4"/>
    <w:multiLevelType w:val="multilevel"/>
    <w:tmpl w:val="52F0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0E10FDB"/>
    <w:multiLevelType w:val="multilevel"/>
    <w:tmpl w:val="1326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1637806"/>
    <w:multiLevelType w:val="multilevel"/>
    <w:tmpl w:val="BDDA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1E45866"/>
    <w:multiLevelType w:val="multilevel"/>
    <w:tmpl w:val="FA08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29F5ACB"/>
    <w:multiLevelType w:val="multilevel"/>
    <w:tmpl w:val="D702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373BD0"/>
    <w:multiLevelType w:val="multilevel"/>
    <w:tmpl w:val="C6D8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4AC063F"/>
    <w:multiLevelType w:val="hybridMultilevel"/>
    <w:tmpl w:val="BC8AA008"/>
    <w:lvl w:ilvl="0" w:tplc="BA54DF80">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9" w15:restartNumberingAfterBreak="0">
    <w:nsid w:val="54F21E32"/>
    <w:multiLevelType w:val="multilevel"/>
    <w:tmpl w:val="3484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416EFD"/>
    <w:multiLevelType w:val="hybridMultilevel"/>
    <w:tmpl w:val="1B46C44E"/>
    <w:lvl w:ilvl="0" w:tplc="69D0E822">
      <w:start w:val="1"/>
      <w:numFmt w:val="lowerRoman"/>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1" w15:restartNumberingAfterBreak="0">
    <w:nsid w:val="567918E6"/>
    <w:multiLevelType w:val="multilevel"/>
    <w:tmpl w:val="CADABD6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9932783"/>
    <w:multiLevelType w:val="multilevel"/>
    <w:tmpl w:val="F4D0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CC07ADE"/>
    <w:multiLevelType w:val="multilevel"/>
    <w:tmpl w:val="F24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F1504E"/>
    <w:multiLevelType w:val="multilevel"/>
    <w:tmpl w:val="0558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D042341"/>
    <w:multiLevelType w:val="multilevel"/>
    <w:tmpl w:val="6F3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7232EA"/>
    <w:multiLevelType w:val="multilevel"/>
    <w:tmpl w:val="02D4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47036D"/>
    <w:multiLevelType w:val="multilevel"/>
    <w:tmpl w:val="19E6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737CDB"/>
    <w:multiLevelType w:val="multilevel"/>
    <w:tmpl w:val="6478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1A1314"/>
    <w:multiLevelType w:val="multilevel"/>
    <w:tmpl w:val="3BD2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1360D25"/>
    <w:multiLevelType w:val="multilevel"/>
    <w:tmpl w:val="0C22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1EB4F00"/>
    <w:multiLevelType w:val="hybridMultilevel"/>
    <w:tmpl w:val="D48E01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621E75C7"/>
    <w:multiLevelType w:val="multilevel"/>
    <w:tmpl w:val="54AE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073F14"/>
    <w:multiLevelType w:val="multilevel"/>
    <w:tmpl w:val="4626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59F4512"/>
    <w:multiLevelType w:val="multilevel"/>
    <w:tmpl w:val="FD589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6645B95"/>
    <w:multiLevelType w:val="multilevel"/>
    <w:tmpl w:val="53B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7F0BB4"/>
    <w:multiLevelType w:val="multilevel"/>
    <w:tmpl w:val="6830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B707A85"/>
    <w:multiLevelType w:val="multilevel"/>
    <w:tmpl w:val="451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9B6EFC"/>
    <w:multiLevelType w:val="multilevel"/>
    <w:tmpl w:val="122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C51284F"/>
    <w:multiLevelType w:val="multilevel"/>
    <w:tmpl w:val="301A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D0107F"/>
    <w:multiLevelType w:val="multilevel"/>
    <w:tmpl w:val="09242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DF0505C"/>
    <w:multiLevelType w:val="multilevel"/>
    <w:tmpl w:val="4EA8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D93BD4"/>
    <w:multiLevelType w:val="multilevel"/>
    <w:tmpl w:val="08D8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FF023A3"/>
    <w:multiLevelType w:val="multilevel"/>
    <w:tmpl w:val="BB2C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1B85DBF"/>
    <w:multiLevelType w:val="multilevel"/>
    <w:tmpl w:val="55F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DC4321"/>
    <w:multiLevelType w:val="multilevel"/>
    <w:tmpl w:val="2052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2017251"/>
    <w:multiLevelType w:val="multilevel"/>
    <w:tmpl w:val="A1B2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0E6DFA"/>
    <w:multiLevelType w:val="multilevel"/>
    <w:tmpl w:val="E3BA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6612D3"/>
    <w:multiLevelType w:val="multilevel"/>
    <w:tmpl w:val="BDDC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DC262D"/>
    <w:multiLevelType w:val="multilevel"/>
    <w:tmpl w:val="AC5E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93F3437"/>
    <w:multiLevelType w:val="multilevel"/>
    <w:tmpl w:val="D1EC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B0701C7"/>
    <w:multiLevelType w:val="hybridMultilevel"/>
    <w:tmpl w:val="D2742908"/>
    <w:lvl w:ilvl="0" w:tplc="D9B2FCAA">
      <w:start w:val="1"/>
      <w:numFmt w:val="decimal"/>
      <w:lvlText w:val="(%1)"/>
      <w:lvlJc w:val="left"/>
      <w:pPr>
        <w:ind w:left="1084" w:hanging="37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2" w15:restartNumberingAfterBreak="0">
    <w:nsid w:val="7B94286D"/>
    <w:multiLevelType w:val="multilevel"/>
    <w:tmpl w:val="4AC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C1D24E1"/>
    <w:multiLevelType w:val="multilevel"/>
    <w:tmpl w:val="08F4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CD7070E"/>
    <w:multiLevelType w:val="hybridMultilevel"/>
    <w:tmpl w:val="ABF66D7A"/>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5" w15:restartNumberingAfterBreak="0">
    <w:nsid w:val="7D8A5D2D"/>
    <w:multiLevelType w:val="hybridMultilevel"/>
    <w:tmpl w:val="A96C2DB0"/>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6" w15:restartNumberingAfterBreak="0">
    <w:nsid w:val="7ED92747"/>
    <w:multiLevelType w:val="hybridMultilevel"/>
    <w:tmpl w:val="153861E8"/>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16cid:durableId="346637679">
    <w:abstractNumId w:val="117"/>
  </w:num>
  <w:num w:numId="2" w16cid:durableId="573589714">
    <w:abstractNumId w:val="4"/>
  </w:num>
  <w:num w:numId="3" w16cid:durableId="441463361">
    <w:abstractNumId w:val="113"/>
  </w:num>
  <w:num w:numId="4" w16cid:durableId="1592621586">
    <w:abstractNumId w:val="21"/>
  </w:num>
  <w:num w:numId="5" w16cid:durableId="1019938382">
    <w:abstractNumId w:val="95"/>
  </w:num>
  <w:num w:numId="6" w16cid:durableId="974869270">
    <w:abstractNumId w:val="23"/>
  </w:num>
  <w:num w:numId="7" w16cid:durableId="126944903">
    <w:abstractNumId w:val="20"/>
  </w:num>
  <w:num w:numId="8" w16cid:durableId="629090020">
    <w:abstractNumId w:val="67"/>
  </w:num>
  <w:num w:numId="9" w16cid:durableId="850072599">
    <w:abstractNumId w:val="118"/>
  </w:num>
  <w:num w:numId="10" w16cid:durableId="115029132">
    <w:abstractNumId w:val="74"/>
  </w:num>
  <w:num w:numId="11" w16cid:durableId="688914781">
    <w:abstractNumId w:val="57"/>
  </w:num>
  <w:num w:numId="12" w16cid:durableId="729764318">
    <w:abstractNumId w:val="120"/>
  </w:num>
  <w:num w:numId="13" w16cid:durableId="50546096">
    <w:abstractNumId w:val="114"/>
  </w:num>
  <w:num w:numId="14" w16cid:durableId="1285189233">
    <w:abstractNumId w:val="66"/>
  </w:num>
  <w:num w:numId="15" w16cid:durableId="738095566">
    <w:abstractNumId w:val="99"/>
  </w:num>
  <w:num w:numId="16" w16cid:durableId="83769443">
    <w:abstractNumId w:val="136"/>
  </w:num>
  <w:num w:numId="17" w16cid:durableId="1586452543">
    <w:abstractNumId w:val="27"/>
  </w:num>
  <w:num w:numId="18" w16cid:durableId="159127245">
    <w:abstractNumId w:val="52"/>
  </w:num>
  <w:num w:numId="19" w16cid:durableId="824585952">
    <w:abstractNumId w:val="48"/>
  </w:num>
  <w:num w:numId="20" w16cid:durableId="654795846">
    <w:abstractNumId w:val="71"/>
  </w:num>
  <w:num w:numId="21" w16cid:durableId="1809087450">
    <w:abstractNumId w:val="53"/>
  </w:num>
  <w:num w:numId="22" w16cid:durableId="1671715655">
    <w:abstractNumId w:val="131"/>
  </w:num>
  <w:num w:numId="23" w16cid:durableId="1838184619">
    <w:abstractNumId w:val="1"/>
  </w:num>
  <w:num w:numId="24" w16cid:durableId="1092361895">
    <w:abstractNumId w:val="100"/>
  </w:num>
  <w:num w:numId="25" w16cid:durableId="1796944671">
    <w:abstractNumId w:val="12"/>
  </w:num>
  <w:num w:numId="26" w16cid:durableId="523206057">
    <w:abstractNumId w:val="16"/>
  </w:num>
  <w:num w:numId="27" w16cid:durableId="248538546">
    <w:abstractNumId w:val="34"/>
  </w:num>
  <w:num w:numId="28" w16cid:durableId="1998727512">
    <w:abstractNumId w:val="82"/>
  </w:num>
  <w:num w:numId="29" w16cid:durableId="1454207735">
    <w:abstractNumId w:val="91"/>
  </w:num>
  <w:num w:numId="30" w16cid:durableId="913318123">
    <w:abstractNumId w:val="7"/>
  </w:num>
  <w:num w:numId="31" w16cid:durableId="430207344">
    <w:abstractNumId w:val="22"/>
  </w:num>
  <w:num w:numId="32" w16cid:durableId="1551191837">
    <w:abstractNumId w:val="63"/>
  </w:num>
  <w:num w:numId="33" w16cid:durableId="1373189251">
    <w:abstractNumId w:val="24"/>
  </w:num>
  <w:num w:numId="34" w16cid:durableId="1266812385">
    <w:abstractNumId w:val="5"/>
  </w:num>
  <w:num w:numId="35" w16cid:durableId="1208107133">
    <w:abstractNumId w:val="125"/>
  </w:num>
  <w:num w:numId="36" w16cid:durableId="1868828307">
    <w:abstractNumId w:val="19"/>
  </w:num>
  <w:num w:numId="37" w16cid:durableId="2003581744">
    <w:abstractNumId w:val="101"/>
  </w:num>
  <w:num w:numId="38" w16cid:durableId="1396665105">
    <w:abstractNumId w:val="115"/>
  </w:num>
  <w:num w:numId="39" w16cid:durableId="1178303361">
    <w:abstractNumId w:val="84"/>
  </w:num>
  <w:num w:numId="40" w16cid:durableId="1040008078">
    <w:abstractNumId w:val="105"/>
  </w:num>
  <w:num w:numId="41" w16cid:durableId="1333800872">
    <w:abstractNumId w:val="30"/>
  </w:num>
  <w:num w:numId="42" w16cid:durableId="202376726">
    <w:abstractNumId w:val="69"/>
  </w:num>
  <w:num w:numId="43" w16cid:durableId="1847862101">
    <w:abstractNumId w:val="60"/>
  </w:num>
  <w:num w:numId="44" w16cid:durableId="1825899680">
    <w:abstractNumId w:val="40"/>
  </w:num>
  <w:num w:numId="45" w16cid:durableId="1357460178">
    <w:abstractNumId w:val="116"/>
  </w:num>
  <w:num w:numId="46" w16cid:durableId="995375281">
    <w:abstractNumId w:val="122"/>
  </w:num>
  <w:num w:numId="47" w16cid:durableId="1127818820">
    <w:abstractNumId w:val="36"/>
  </w:num>
  <w:num w:numId="48" w16cid:durableId="1417243261">
    <w:abstractNumId w:val="17"/>
  </w:num>
  <w:num w:numId="49" w16cid:durableId="924144176">
    <w:abstractNumId w:val="112"/>
  </w:num>
  <w:num w:numId="50" w16cid:durableId="1422608634">
    <w:abstractNumId w:val="62"/>
  </w:num>
  <w:num w:numId="51" w16cid:durableId="1238321760">
    <w:abstractNumId w:val="43"/>
  </w:num>
  <w:num w:numId="52" w16cid:durableId="1442997483">
    <w:abstractNumId w:val="3"/>
  </w:num>
  <w:num w:numId="53" w16cid:durableId="1392655058">
    <w:abstractNumId w:val="96"/>
  </w:num>
  <w:num w:numId="54" w16cid:durableId="1921988340">
    <w:abstractNumId w:val="0"/>
  </w:num>
  <w:num w:numId="55" w16cid:durableId="434635534">
    <w:abstractNumId w:val="132"/>
  </w:num>
  <w:num w:numId="56" w16cid:durableId="820804570">
    <w:abstractNumId w:val="88"/>
  </w:num>
  <w:num w:numId="57" w16cid:durableId="1826050705">
    <w:abstractNumId w:val="68"/>
  </w:num>
  <w:num w:numId="58" w16cid:durableId="1920825583">
    <w:abstractNumId w:val="130"/>
  </w:num>
  <w:num w:numId="59" w16cid:durableId="183370891">
    <w:abstractNumId w:val="70"/>
  </w:num>
  <w:num w:numId="60" w16cid:durableId="1181428446">
    <w:abstractNumId w:val="92"/>
  </w:num>
  <w:num w:numId="61" w16cid:durableId="263272905">
    <w:abstractNumId w:val="78"/>
  </w:num>
  <w:num w:numId="62" w16cid:durableId="602691001">
    <w:abstractNumId w:val="72"/>
  </w:num>
  <w:num w:numId="63" w16cid:durableId="390229865">
    <w:abstractNumId w:val="109"/>
  </w:num>
  <w:num w:numId="64" w16cid:durableId="275528969">
    <w:abstractNumId w:val="56"/>
  </w:num>
  <w:num w:numId="65" w16cid:durableId="1320579098">
    <w:abstractNumId w:val="61"/>
  </w:num>
  <w:num w:numId="66" w16cid:durableId="748356325">
    <w:abstractNumId w:val="123"/>
  </w:num>
  <w:num w:numId="67" w16cid:durableId="561258573">
    <w:abstractNumId w:val="124"/>
  </w:num>
  <w:num w:numId="68" w16cid:durableId="1530023673">
    <w:abstractNumId w:val="102"/>
  </w:num>
  <w:num w:numId="69" w16cid:durableId="1179589344">
    <w:abstractNumId w:val="25"/>
  </w:num>
  <w:num w:numId="70" w16cid:durableId="1076588769">
    <w:abstractNumId w:val="79"/>
  </w:num>
  <w:num w:numId="71" w16cid:durableId="1033967097">
    <w:abstractNumId w:val="42"/>
  </w:num>
  <w:num w:numId="72" w16cid:durableId="1093362170">
    <w:abstractNumId w:val="65"/>
  </w:num>
  <w:num w:numId="73" w16cid:durableId="134177977">
    <w:abstractNumId w:val="15"/>
  </w:num>
  <w:num w:numId="74" w16cid:durableId="2056924741">
    <w:abstractNumId w:val="85"/>
  </w:num>
  <w:num w:numId="75" w16cid:durableId="2137597730">
    <w:abstractNumId w:val="77"/>
  </w:num>
  <w:num w:numId="76" w16cid:durableId="832987148">
    <w:abstractNumId w:val="106"/>
  </w:num>
  <w:num w:numId="77" w16cid:durableId="1189222745">
    <w:abstractNumId w:val="121"/>
  </w:num>
  <w:num w:numId="78" w16cid:durableId="1948850988">
    <w:abstractNumId w:val="28"/>
  </w:num>
  <w:num w:numId="79" w16cid:durableId="551961503">
    <w:abstractNumId w:val="18"/>
  </w:num>
  <w:num w:numId="80" w16cid:durableId="967318473">
    <w:abstractNumId w:val="119"/>
  </w:num>
  <w:num w:numId="81" w16cid:durableId="1228609015">
    <w:abstractNumId w:val="45"/>
  </w:num>
  <w:num w:numId="82" w16cid:durableId="1448424008">
    <w:abstractNumId w:val="54"/>
  </w:num>
  <w:num w:numId="83" w16cid:durableId="255094151">
    <w:abstractNumId w:val="39"/>
  </w:num>
  <w:num w:numId="84" w16cid:durableId="853307854">
    <w:abstractNumId w:val="47"/>
  </w:num>
  <w:num w:numId="85" w16cid:durableId="1597865133">
    <w:abstractNumId w:val="59"/>
  </w:num>
  <w:num w:numId="86" w16cid:durableId="1652246703">
    <w:abstractNumId w:val="80"/>
  </w:num>
  <w:num w:numId="87" w16cid:durableId="1652564900">
    <w:abstractNumId w:val="41"/>
  </w:num>
  <w:num w:numId="88" w16cid:durableId="1391152929">
    <w:abstractNumId w:val="75"/>
  </w:num>
  <w:num w:numId="89" w16cid:durableId="636187531">
    <w:abstractNumId w:val="128"/>
  </w:num>
  <w:num w:numId="90" w16cid:durableId="732314306">
    <w:abstractNumId w:val="37"/>
  </w:num>
  <w:num w:numId="91" w16cid:durableId="1282303995">
    <w:abstractNumId w:val="94"/>
  </w:num>
  <w:num w:numId="92" w16cid:durableId="351344296">
    <w:abstractNumId w:val="107"/>
  </w:num>
  <w:num w:numId="93" w16cid:durableId="13843032">
    <w:abstractNumId w:val="26"/>
  </w:num>
  <w:num w:numId="94" w16cid:durableId="1991322730">
    <w:abstractNumId w:val="8"/>
  </w:num>
  <w:num w:numId="95" w16cid:durableId="457145505">
    <w:abstractNumId w:val="86"/>
  </w:num>
  <w:num w:numId="96" w16cid:durableId="1959220846">
    <w:abstractNumId w:val="13"/>
  </w:num>
  <w:num w:numId="97" w16cid:durableId="1420640157">
    <w:abstractNumId w:val="129"/>
  </w:num>
  <w:num w:numId="98" w16cid:durableId="1895968030">
    <w:abstractNumId w:val="103"/>
  </w:num>
  <w:num w:numId="99" w16cid:durableId="1523663806">
    <w:abstractNumId w:val="50"/>
  </w:num>
  <w:num w:numId="100" w16cid:durableId="2005276695">
    <w:abstractNumId w:val="32"/>
  </w:num>
  <w:num w:numId="101" w16cid:durableId="1149858200">
    <w:abstractNumId w:val="127"/>
  </w:num>
  <w:num w:numId="102" w16cid:durableId="1244531993">
    <w:abstractNumId w:val="33"/>
  </w:num>
  <w:num w:numId="103" w16cid:durableId="169151321">
    <w:abstractNumId w:val="29"/>
  </w:num>
  <w:num w:numId="104" w16cid:durableId="1300459181">
    <w:abstractNumId w:val="104"/>
  </w:num>
  <w:num w:numId="105" w16cid:durableId="1625693252">
    <w:abstractNumId w:val="46"/>
  </w:num>
  <w:num w:numId="106" w16cid:durableId="1661540166">
    <w:abstractNumId w:val="9"/>
  </w:num>
  <w:num w:numId="107" w16cid:durableId="536044670">
    <w:abstractNumId w:val="73"/>
  </w:num>
  <w:num w:numId="108" w16cid:durableId="1126696448">
    <w:abstractNumId w:val="10"/>
  </w:num>
  <w:num w:numId="109" w16cid:durableId="1132937776">
    <w:abstractNumId w:val="110"/>
  </w:num>
  <w:num w:numId="110" w16cid:durableId="1268075579">
    <w:abstractNumId w:val="87"/>
  </w:num>
  <w:num w:numId="111" w16cid:durableId="1285967074">
    <w:abstractNumId w:val="83"/>
  </w:num>
  <w:num w:numId="112" w16cid:durableId="1231111079">
    <w:abstractNumId w:val="58"/>
  </w:num>
  <w:num w:numId="113" w16cid:durableId="399376703">
    <w:abstractNumId w:val="38"/>
  </w:num>
  <w:num w:numId="114" w16cid:durableId="1325088146">
    <w:abstractNumId w:val="133"/>
  </w:num>
  <w:num w:numId="115" w16cid:durableId="1740706242">
    <w:abstractNumId w:val="89"/>
  </w:num>
  <w:num w:numId="116" w16cid:durableId="1855804972">
    <w:abstractNumId w:val="93"/>
  </w:num>
  <w:num w:numId="117" w16cid:durableId="1218199729">
    <w:abstractNumId w:val="55"/>
  </w:num>
  <w:num w:numId="118" w16cid:durableId="444010383">
    <w:abstractNumId w:val="6"/>
  </w:num>
  <w:num w:numId="119" w16cid:durableId="77098001">
    <w:abstractNumId w:val="108"/>
  </w:num>
  <w:num w:numId="120" w16cid:durableId="1399132439">
    <w:abstractNumId w:val="11"/>
  </w:num>
  <w:num w:numId="121" w16cid:durableId="1554849251">
    <w:abstractNumId w:val="90"/>
  </w:num>
  <w:num w:numId="122" w16cid:durableId="1776051407">
    <w:abstractNumId w:val="97"/>
  </w:num>
  <w:num w:numId="123" w16cid:durableId="529800905">
    <w:abstractNumId w:val="49"/>
  </w:num>
  <w:num w:numId="124" w16cid:durableId="1024752356">
    <w:abstractNumId w:val="81"/>
  </w:num>
  <w:num w:numId="125" w16cid:durableId="849947509">
    <w:abstractNumId w:val="111"/>
  </w:num>
  <w:num w:numId="126" w16cid:durableId="990718443">
    <w:abstractNumId w:val="44"/>
  </w:num>
  <w:num w:numId="127" w16cid:durableId="508907754">
    <w:abstractNumId w:val="2"/>
  </w:num>
  <w:num w:numId="128" w16cid:durableId="754399276">
    <w:abstractNumId w:val="126"/>
  </w:num>
  <w:num w:numId="129" w16cid:durableId="1473716871">
    <w:abstractNumId w:val="76"/>
  </w:num>
  <w:num w:numId="130" w16cid:durableId="1442335631">
    <w:abstractNumId w:val="135"/>
  </w:num>
  <w:num w:numId="131" w16cid:durableId="297883147">
    <w:abstractNumId w:val="31"/>
  </w:num>
  <w:num w:numId="132" w16cid:durableId="90202102">
    <w:abstractNumId w:val="51"/>
  </w:num>
  <w:num w:numId="133" w16cid:durableId="1436825530">
    <w:abstractNumId w:val="14"/>
  </w:num>
  <w:num w:numId="134" w16cid:durableId="2013145291">
    <w:abstractNumId w:val="64"/>
  </w:num>
  <w:num w:numId="135" w16cid:durableId="1000546305">
    <w:abstractNumId w:val="35"/>
  </w:num>
  <w:num w:numId="136" w16cid:durableId="2109500633">
    <w:abstractNumId w:val="134"/>
  </w:num>
  <w:num w:numId="137" w16cid:durableId="163085672">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C4"/>
    <w:rsid w:val="00001DB9"/>
    <w:rsid w:val="00002D2F"/>
    <w:rsid w:val="000069EB"/>
    <w:rsid w:val="00011946"/>
    <w:rsid w:val="00013374"/>
    <w:rsid w:val="00015187"/>
    <w:rsid w:val="00015C89"/>
    <w:rsid w:val="00016A80"/>
    <w:rsid w:val="00020B62"/>
    <w:rsid w:val="00024419"/>
    <w:rsid w:val="00027ECD"/>
    <w:rsid w:val="000325C5"/>
    <w:rsid w:val="0003372A"/>
    <w:rsid w:val="00042C8C"/>
    <w:rsid w:val="00043400"/>
    <w:rsid w:val="00045076"/>
    <w:rsid w:val="00047081"/>
    <w:rsid w:val="00047CC0"/>
    <w:rsid w:val="000506D4"/>
    <w:rsid w:val="000543C1"/>
    <w:rsid w:val="00063BD5"/>
    <w:rsid w:val="00065520"/>
    <w:rsid w:val="000756E2"/>
    <w:rsid w:val="00075881"/>
    <w:rsid w:val="00075A55"/>
    <w:rsid w:val="0007751C"/>
    <w:rsid w:val="000778EF"/>
    <w:rsid w:val="0008272C"/>
    <w:rsid w:val="00082B3F"/>
    <w:rsid w:val="00082CEC"/>
    <w:rsid w:val="0008311C"/>
    <w:rsid w:val="0008526F"/>
    <w:rsid w:val="00085373"/>
    <w:rsid w:val="000867EE"/>
    <w:rsid w:val="00093663"/>
    <w:rsid w:val="00094129"/>
    <w:rsid w:val="00094169"/>
    <w:rsid w:val="000A3D99"/>
    <w:rsid w:val="000A5112"/>
    <w:rsid w:val="000A77CE"/>
    <w:rsid w:val="000B024B"/>
    <w:rsid w:val="000B08AA"/>
    <w:rsid w:val="000B4ADC"/>
    <w:rsid w:val="000B6927"/>
    <w:rsid w:val="000B6981"/>
    <w:rsid w:val="000C3C0C"/>
    <w:rsid w:val="000C61E9"/>
    <w:rsid w:val="000D172E"/>
    <w:rsid w:val="000D18BB"/>
    <w:rsid w:val="000D191E"/>
    <w:rsid w:val="000D2EA2"/>
    <w:rsid w:val="000D3062"/>
    <w:rsid w:val="000D6475"/>
    <w:rsid w:val="000E472B"/>
    <w:rsid w:val="000E50C1"/>
    <w:rsid w:val="000E737B"/>
    <w:rsid w:val="000E73B5"/>
    <w:rsid w:val="000F08D3"/>
    <w:rsid w:val="000F2727"/>
    <w:rsid w:val="000F2953"/>
    <w:rsid w:val="00100BB5"/>
    <w:rsid w:val="00101B63"/>
    <w:rsid w:val="00107E19"/>
    <w:rsid w:val="00110D55"/>
    <w:rsid w:val="00116F0E"/>
    <w:rsid w:val="00126296"/>
    <w:rsid w:val="00130A52"/>
    <w:rsid w:val="001348B2"/>
    <w:rsid w:val="00134FDA"/>
    <w:rsid w:val="0013587A"/>
    <w:rsid w:val="00140AC9"/>
    <w:rsid w:val="00147C32"/>
    <w:rsid w:val="00151CFB"/>
    <w:rsid w:val="001521CF"/>
    <w:rsid w:val="001538B6"/>
    <w:rsid w:val="00154185"/>
    <w:rsid w:val="00157B87"/>
    <w:rsid w:val="00162824"/>
    <w:rsid w:val="00163F9B"/>
    <w:rsid w:val="00164703"/>
    <w:rsid w:val="001648E5"/>
    <w:rsid w:val="0016571D"/>
    <w:rsid w:val="0017178E"/>
    <w:rsid w:val="00171B23"/>
    <w:rsid w:val="00176F8C"/>
    <w:rsid w:val="00177224"/>
    <w:rsid w:val="00186257"/>
    <w:rsid w:val="00190953"/>
    <w:rsid w:val="00194B8B"/>
    <w:rsid w:val="00195F4E"/>
    <w:rsid w:val="00197E8F"/>
    <w:rsid w:val="001A1D77"/>
    <w:rsid w:val="001A2BDA"/>
    <w:rsid w:val="001A3CAA"/>
    <w:rsid w:val="001B0784"/>
    <w:rsid w:val="001B12FC"/>
    <w:rsid w:val="001B3F34"/>
    <w:rsid w:val="001B535E"/>
    <w:rsid w:val="001B7502"/>
    <w:rsid w:val="001C2D6F"/>
    <w:rsid w:val="001C3498"/>
    <w:rsid w:val="001D0CF7"/>
    <w:rsid w:val="001D2844"/>
    <w:rsid w:val="001D2FF2"/>
    <w:rsid w:val="001D38F0"/>
    <w:rsid w:val="001D7EE2"/>
    <w:rsid w:val="001E1065"/>
    <w:rsid w:val="001E17C7"/>
    <w:rsid w:val="001E5727"/>
    <w:rsid w:val="001F329F"/>
    <w:rsid w:val="001F7F53"/>
    <w:rsid w:val="00202CF0"/>
    <w:rsid w:val="0020494D"/>
    <w:rsid w:val="00213598"/>
    <w:rsid w:val="00213946"/>
    <w:rsid w:val="0022086B"/>
    <w:rsid w:val="00223621"/>
    <w:rsid w:val="00225485"/>
    <w:rsid w:val="00227EC1"/>
    <w:rsid w:val="002311DB"/>
    <w:rsid w:val="00237010"/>
    <w:rsid w:val="00237B45"/>
    <w:rsid w:val="002404C0"/>
    <w:rsid w:val="00240C34"/>
    <w:rsid w:val="0024342F"/>
    <w:rsid w:val="00244710"/>
    <w:rsid w:val="002454E3"/>
    <w:rsid w:val="00247C7A"/>
    <w:rsid w:val="00250964"/>
    <w:rsid w:val="002605D4"/>
    <w:rsid w:val="002624E3"/>
    <w:rsid w:val="00265A32"/>
    <w:rsid w:val="0026715C"/>
    <w:rsid w:val="00267BDB"/>
    <w:rsid w:val="00270D93"/>
    <w:rsid w:val="00272CDE"/>
    <w:rsid w:val="00273D46"/>
    <w:rsid w:val="0027497A"/>
    <w:rsid w:val="00275FD2"/>
    <w:rsid w:val="00277BA9"/>
    <w:rsid w:val="00281CE2"/>
    <w:rsid w:val="00292B05"/>
    <w:rsid w:val="002A4A7E"/>
    <w:rsid w:val="002B04CC"/>
    <w:rsid w:val="002B115B"/>
    <w:rsid w:val="002B5E1A"/>
    <w:rsid w:val="002C0E61"/>
    <w:rsid w:val="002C2EDB"/>
    <w:rsid w:val="002C3B91"/>
    <w:rsid w:val="002D2CA1"/>
    <w:rsid w:val="002D5468"/>
    <w:rsid w:val="002D64E4"/>
    <w:rsid w:val="002E0572"/>
    <w:rsid w:val="002E1C6A"/>
    <w:rsid w:val="002E2449"/>
    <w:rsid w:val="002E7B2B"/>
    <w:rsid w:val="002F2F58"/>
    <w:rsid w:val="002F35A0"/>
    <w:rsid w:val="002F6B9D"/>
    <w:rsid w:val="002F7DA4"/>
    <w:rsid w:val="003018B4"/>
    <w:rsid w:val="00307F19"/>
    <w:rsid w:val="00310D10"/>
    <w:rsid w:val="0031128A"/>
    <w:rsid w:val="00311F28"/>
    <w:rsid w:val="00316A49"/>
    <w:rsid w:val="003175A0"/>
    <w:rsid w:val="00317A64"/>
    <w:rsid w:val="00321960"/>
    <w:rsid w:val="00325694"/>
    <w:rsid w:val="00326652"/>
    <w:rsid w:val="00327429"/>
    <w:rsid w:val="003310A3"/>
    <w:rsid w:val="0033299E"/>
    <w:rsid w:val="003336BC"/>
    <w:rsid w:val="003351A2"/>
    <w:rsid w:val="0034140E"/>
    <w:rsid w:val="0034364F"/>
    <w:rsid w:val="00352700"/>
    <w:rsid w:val="003529AF"/>
    <w:rsid w:val="00353AC8"/>
    <w:rsid w:val="00354EE4"/>
    <w:rsid w:val="00357DAC"/>
    <w:rsid w:val="003659EB"/>
    <w:rsid w:val="003676E0"/>
    <w:rsid w:val="00370D13"/>
    <w:rsid w:val="00372EE6"/>
    <w:rsid w:val="00386686"/>
    <w:rsid w:val="00386BEB"/>
    <w:rsid w:val="00392DDC"/>
    <w:rsid w:val="00392F69"/>
    <w:rsid w:val="00394648"/>
    <w:rsid w:val="003947A1"/>
    <w:rsid w:val="003A1CFD"/>
    <w:rsid w:val="003A3458"/>
    <w:rsid w:val="003A36D6"/>
    <w:rsid w:val="003A6B05"/>
    <w:rsid w:val="003B14AB"/>
    <w:rsid w:val="003B19F9"/>
    <w:rsid w:val="003B5777"/>
    <w:rsid w:val="003B7E0B"/>
    <w:rsid w:val="003B7E48"/>
    <w:rsid w:val="003C3929"/>
    <w:rsid w:val="003C45A9"/>
    <w:rsid w:val="003C4DE7"/>
    <w:rsid w:val="003C7DDE"/>
    <w:rsid w:val="003E0897"/>
    <w:rsid w:val="003E16C0"/>
    <w:rsid w:val="003E268E"/>
    <w:rsid w:val="003E2D3A"/>
    <w:rsid w:val="003E3188"/>
    <w:rsid w:val="003E4DB3"/>
    <w:rsid w:val="003F0A22"/>
    <w:rsid w:val="003F0D60"/>
    <w:rsid w:val="003F14EE"/>
    <w:rsid w:val="003F1DE1"/>
    <w:rsid w:val="003F5D30"/>
    <w:rsid w:val="003F6A28"/>
    <w:rsid w:val="00406CC8"/>
    <w:rsid w:val="004076FD"/>
    <w:rsid w:val="004107ED"/>
    <w:rsid w:val="004136E1"/>
    <w:rsid w:val="00420935"/>
    <w:rsid w:val="00423F24"/>
    <w:rsid w:val="00426C34"/>
    <w:rsid w:val="00430D8B"/>
    <w:rsid w:val="004376CB"/>
    <w:rsid w:val="00440513"/>
    <w:rsid w:val="00440D15"/>
    <w:rsid w:val="00444511"/>
    <w:rsid w:val="00444843"/>
    <w:rsid w:val="004466B7"/>
    <w:rsid w:val="00463263"/>
    <w:rsid w:val="00465338"/>
    <w:rsid w:val="00466D56"/>
    <w:rsid w:val="00467C05"/>
    <w:rsid w:val="004726B8"/>
    <w:rsid w:val="00480A3A"/>
    <w:rsid w:val="00483A24"/>
    <w:rsid w:val="00484A41"/>
    <w:rsid w:val="00487DD1"/>
    <w:rsid w:val="004951CC"/>
    <w:rsid w:val="00495660"/>
    <w:rsid w:val="0049662E"/>
    <w:rsid w:val="00496E3E"/>
    <w:rsid w:val="004A16DA"/>
    <w:rsid w:val="004A5971"/>
    <w:rsid w:val="004A6786"/>
    <w:rsid w:val="004A6C0C"/>
    <w:rsid w:val="004B0532"/>
    <w:rsid w:val="004B10B3"/>
    <w:rsid w:val="004B6A3D"/>
    <w:rsid w:val="004B7298"/>
    <w:rsid w:val="004C38B1"/>
    <w:rsid w:val="004C4BDB"/>
    <w:rsid w:val="004C702B"/>
    <w:rsid w:val="004D19DE"/>
    <w:rsid w:val="004D6CE8"/>
    <w:rsid w:val="004E1D6E"/>
    <w:rsid w:val="004E40F5"/>
    <w:rsid w:val="004E70A2"/>
    <w:rsid w:val="004F4BA4"/>
    <w:rsid w:val="004F766D"/>
    <w:rsid w:val="005005E8"/>
    <w:rsid w:val="00501AC6"/>
    <w:rsid w:val="005063D3"/>
    <w:rsid w:val="00510563"/>
    <w:rsid w:val="0051319A"/>
    <w:rsid w:val="00515F70"/>
    <w:rsid w:val="005202D2"/>
    <w:rsid w:val="005208F1"/>
    <w:rsid w:val="00525B5C"/>
    <w:rsid w:val="00530E67"/>
    <w:rsid w:val="0055042C"/>
    <w:rsid w:val="00554229"/>
    <w:rsid w:val="005560AB"/>
    <w:rsid w:val="00556C7E"/>
    <w:rsid w:val="0055700B"/>
    <w:rsid w:val="005617A2"/>
    <w:rsid w:val="0056363D"/>
    <w:rsid w:val="00564297"/>
    <w:rsid w:val="00570DCC"/>
    <w:rsid w:val="005724A3"/>
    <w:rsid w:val="00572A88"/>
    <w:rsid w:val="00581683"/>
    <w:rsid w:val="005861C6"/>
    <w:rsid w:val="0058713B"/>
    <w:rsid w:val="005908F3"/>
    <w:rsid w:val="00592057"/>
    <w:rsid w:val="00593F59"/>
    <w:rsid w:val="00595B18"/>
    <w:rsid w:val="00597971"/>
    <w:rsid w:val="005A0AC2"/>
    <w:rsid w:val="005A11B5"/>
    <w:rsid w:val="005A4C3A"/>
    <w:rsid w:val="005A6A72"/>
    <w:rsid w:val="005B0984"/>
    <w:rsid w:val="005B662F"/>
    <w:rsid w:val="005C5D80"/>
    <w:rsid w:val="005D2696"/>
    <w:rsid w:val="005D71A1"/>
    <w:rsid w:val="005D75E8"/>
    <w:rsid w:val="005E1515"/>
    <w:rsid w:val="005E21CD"/>
    <w:rsid w:val="005E58AE"/>
    <w:rsid w:val="005E6BD4"/>
    <w:rsid w:val="005F0E3C"/>
    <w:rsid w:val="005F358C"/>
    <w:rsid w:val="005F4C11"/>
    <w:rsid w:val="005F5061"/>
    <w:rsid w:val="005F660E"/>
    <w:rsid w:val="005F7923"/>
    <w:rsid w:val="00602A29"/>
    <w:rsid w:val="00603A2F"/>
    <w:rsid w:val="006049A0"/>
    <w:rsid w:val="00607D15"/>
    <w:rsid w:val="006113DD"/>
    <w:rsid w:val="00614C2A"/>
    <w:rsid w:val="00622646"/>
    <w:rsid w:val="00624185"/>
    <w:rsid w:val="006246E1"/>
    <w:rsid w:val="00627997"/>
    <w:rsid w:val="00630558"/>
    <w:rsid w:val="00632CE8"/>
    <w:rsid w:val="006360C2"/>
    <w:rsid w:val="00640436"/>
    <w:rsid w:val="00642A3D"/>
    <w:rsid w:val="006433EC"/>
    <w:rsid w:val="00643946"/>
    <w:rsid w:val="00644B74"/>
    <w:rsid w:val="00644F8D"/>
    <w:rsid w:val="006501FB"/>
    <w:rsid w:val="0065469A"/>
    <w:rsid w:val="006566EE"/>
    <w:rsid w:val="00656A73"/>
    <w:rsid w:val="00667F2F"/>
    <w:rsid w:val="00671FC4"/>
    <w:rsid w:val="006752B1"/>
    <w:rsid w:val="00677E10"/>
    <w:rsid w:val="0068426A"/>
    <w:rsid w:val="00686895"/>
    <w:rsid w:val="00687A9D"/>
    <w:rsid w:val="0069091E"/>
    <w:rsid w:val="00693CB9"/>
    <w:rsid w:val="006A6C30"/>
    <w:rsid w:val="006B0739"/>
    <w:rsid w:val="006B2875"/>
    <w:rsid w:val="006B4BCD"/>
    <w:rsid w:val="006C1797"/>
    <w:rsid w:val="006C3632"/>
    <w:rsid w:val="006C4741"/>
    <w:rsid w:val="006C719B"/>
    <w:rsid w:val="006D1C63"/>
    <w:rsid w:val="006D75B2"/>
    <w:rsid w:val="006E3879"/>
    <w:rsid w:val="006E4988"/>
    <w:rsid w:val="006F26D4"/>
    <w:rsid w:val="006F3988"/>
    <w:rsid w:val="00700F0F"/>
    <w:rsid w:val="007150D4"/>
    <w:rsid w:val="00715F37"/>
    <w:rsid w:val="007202DA"/>
    <w:rsid w:val="007215E4"/>
    <w:rsid w:val="00722106"/>
    <w:rsid w:val="0072521D"/>
    <w:rsid w:val="00725EB0"/>
    <w:rsid w:val="00733214"/>
    <w:rsid w:val="0073512E"/>
    <w:rsid w:val="00736B1E"/>
    <w:rsid w:val="00741BBF"/>
    <w:rsid w:val="0074470B"/>
    <w:rsid w:val="00747244"/>
    <w:rsid w:val="00750B93"/>
    <w:rsid w:val="0075258C"/>
    <w:rsid w:val="007533CA"/>
    <w:rsid w:val="00754161"/>
    <w:rsid w:val="00764D7F"/>
    <w:rsid w:val="00765BB2"/>
    <w:rsid w:val="00772097"/>
    <w:rsid w:val="00772789"/>
    <w:rsid w:val="00785F06"/>
    <w:rsid w:val="00786B2D"/>
    <w:rsid w:val="00786FA3"/>
    <w:rsid w:val="00793C17"/>
    <w:rsid w:val="007956FD"/>
    <w:rsid w:val="00796564"/>
    <w:rsid w:val="00797A13"/>
    <w:rsid w:val="007A1D1F"/>
    <w:rsid w:val="007A447A"/>
    <w:rsid w:val="007A47A3"/>
    <w:rsid w:val="007A524A"/>
    <w:rsid w:val="007A62F8"/>
    <w:rsid w:val="007B7DAD"/>
    <w:rsid w:val="007C0883"/>
    <w:rsid w:val="007C0B60"/>
    <w:rsid w:val="007C22E0"/>
    <w:rsid w:val="007C289B"/>
    <w:rsid w:val="007D1BC7"/>
    <w:rsid w:val="007D7B39"/>
    <w:rsid w:val="007E00E0"/>
    <w:rsid w:val="007E0951"/>
    <w:rsid w:val="007E29CF"/>
    <w:rsid w:val="007F16F9"/>
    <w:rsid w:val="007F6BB7"/>
    <w:rsid w:val="00801577"/>
    <w:rsid w:val="00804EA6"/>
    <w:rsid w:val="00805DAA"/>
    <w:rsid w:val="00805E80"/>
    <w:rsid w:val="0080706B"/>
    <w:rsid w:val="0081084F"/>
    <w:rsid w:val="008166B0"/>
    <w:rsid w:val="008247B4"/>
    <w:rsid w:val="00837133"/>
    <w:rsid w:val="008430B5"/>
    <w:rsid w:val="00847B52"/>
    <w:rsid w:val="008512B9"/>
    <w:rsid w:val="0085216B"/>
    <w:rsid w:val="00854E37"/>
    <w:rsid w:val="00854F20"/>
    <w:rsid w:val="00860370"/>
    <w:rsid w:val="008613F6"/>
    <w:rsid w:val="00864A8D"/>
    <w:rsid w:val="008675F9"/>
    <w:rsid w:val="008678B8"/>
    <w:rsid w:val="008719CA"/>
    <w:rsid w:val="00873B2A"/>
    <w:rsid w:val="00875420"/>
    <w:rsid w:val="008807F7"/>
    <w:rsid w:val="00883A3D"/>
    <w:rsid w:val="00885847"/>
    <w:rsid w:val="00885E03"/>
    <w:rsid w:val="0088788D"/>
    <w:rsid w:val="00890F76"/>
    <w:rsid w:val="008919AE"/>
    <w:rsid w:val="00896D42"/>
    <w:rsid w:val="00897538"/>
    <w:rsid w:val="008A092C"/>
    <w:rsid w:val="008B37B1"/>
    <w:rsid w:val="008B4C4E"/>
    <w:rsid w:val="008B6C7B"/>
    <w:rsid w:val="008B7883"/>
    <w:rsid w:val="008C01E3"/>
    <w:rsid w:val="008C6805"/>
    <w:rsid w:val="008D1588"/>
    <w:rsid w:val="008D297E"/>
    <w:rsid w:val="008D486A"/>
    <w:rsid w:val="008D4CAB"/>
    <w:rsid w:val="008D6AF7"/>
    <w:rsid w:val="008D70C9"/>
    <w:rsid w:val="008E11CF"/>
    <w:rsid w:val="008E4EC1"/>
    <w:rsid w:val="008E66EB"/>
    <w:rsid w:val="008E7AD8"/>
    <w:rsid w:val="008F0CE4"/>
    <w:rsid w:val="008F1EDA"/>
    <w:rsid w:val="008F280D"/>
    <w:rsid w:val="008F6C54"/>
    <w:rsid w:val="00905EA0"/>
    <w:rsid w:val="00906CF2"/>
    <w:rsid w:val="009112B8"/>
    <w:rsid w:val="00917C60"/>
    <w:rsid w:val="00923529"/>
    <w:rsid w:val="0092398C"/>
    <w:rsid w:val="00926DF0"/>
    <w:rsid w:val="00930FE3"/>
    <w:rsid w:val="00931AD6"/>
    <w:rsid w:val="00932F48"/>
    <w:rsid w:val="00935B7F"/>
    <w:rsid w:val="009368BE"/>
    <w:rsid w:val="009447D8"/>
    <w:rsid w:val="00944DCA"/>
    <w:rsid w:val="00946102"/>
    <w:rsid w:val="00946563"/>
    <w:rsid w:val="0094703B"/>
    <w:rsid w:val="009470D2"/>
    <w:rsid w:val="00952773"/>
    <w:rsid w:val="0095545C"/>
    <w:rsid w:val="00964666"/>
    <w:rsid w:val="00965143"/>
    <w:rsid w:val="009666E6"/>
    <w:rsid w:val="009718E2"/>
    <w:rsid w:val="009734E2"/>
    <w:rsid w:val="009746AC"/>
    <w:rsid w:val="00974A0E"/>
    <w:rsid w:val="00974F17"/>
    <w:rsid w:val="0098407D"/>
    <w:rsid w:val="0099156D"/>
    <w:rsid w:val="00991AF5"/>
    <w:rsid w:val="0099352E"/>
    <w:rsid w:val="009A139E"/>
    <w:rsid w:val="009A3D3E"/>
    <w:rsid w:val="009B183E"/>
    <w:rsid w:val="009B6DC9"/>
    <w:rsid w:val="009C0F3F"/>
    <w:rsid w:val="009C1F45"/>
    <w:rsid w:val="009C3643"/>
    <w:rsid w:val="009C3C37"/>
    <w:rsid w:val="009C4976"/>
    <w:rsid w:val="009C518D"/>
    <w:rsid w:val="009C64E0"/>
    <w:rsid w:val="009C7304"/>
    <w:rsid w:val="009D07B9"/>
    <w:rsid w:val="009D0E9B"/>
    <w:rsid w:val="009D2E0F"/>
    <w:rsid w:val="009D4372"/>
    <w:rsid w:val="009D4E75"/>
    <w:rsid w:val="009D77D4"/>
    <w:rsid w:val="009E446B"/>
    <w:rsid w:val="009E7BE1"/>
    <w:rsid w:val="009E7D47"/>
    <w:rsid w:val="009F060F"/>
    <w:rsid w:val="009F6240"/>
    <w:rsid w:val="00A02C1F"/>
    <w:rsid w:val="00A03225"/>
    <w:rsid w:val="00A04406"/>
    <w:rsid w:val="00A067E6"/>
    <w:rsid w:val="00A07399"/>
    <w:rsid w:val="00A15C23"/>
    <w:rsid w:val="00A17152"/>
    <w:rsid w:val="00A171AC"/>
    <w:rsid w:val="00A20D43"/>
    <w:rsid w:val="00A25BF6"/>
    <w:rsid w:val="00A26F78"/>
    <w:rsid w:val="00A30A08"/>
    <w:rsid w:val="00A33431"/>
    <w:rsid w:val="00A4071D"/>
    <w:rsid w:val="00A40AEB"/>
    <w:rsid w:val="00A459AD"/>
    <w:rsid w:val="00A501A8"/>
    <w:rsid w:val="00A53F6E"/>
    <w:rsid w:val="00A607F3"/>
    <w:rsid w:val="00A64324"/>
    <w:rsid w:val="00A67394"/>
    <w:rsid w:val="00A71A46"/>
    <w:rsid w:val="00A7689F"/>
    <w:rsid w:val="00A85780"/>
    <w:rsid w:val="00A86ED7"/>
    <w:rsid w:val="00A8719F"/>
    <w:rsid w:val="00A90E7C"/>
    <w:rsid w:val="00AA27BC"/>
    <w:rsid w:val="00AA2F26"/>
    <w:rsid w:val="00AA3FA6"/>
    <w:rsid w:val="00AA4023"/>
    <w:rsid w:val="00AB08EF"/>
    <w:rsid w:val="00AB5501"/>
    <w:rsid w:val="00AB629C"/>
    <w:rsid w:val="00AC0FAF"/>
    <w:rsid w:val="00AC16A4"/>
    <w:rsid w:val="00AC1FE8"/>
    <w:rsid w:val="00AC568F"/>
    <w:rsid w:val="00AD2EDA"/>
    <w:rsid w:val="00AD4E5F"/>
    <w:rsid w:val="00AD5E37"/>
    <w:rsid w:val="00AE180D"/>
    <w:rsid w:val="00AE235E"/>
    <w:rsid w:val="00AE2E01"/>
    <w:rsid w:val="00AE77D6"/>
    <w:rsid w:val="00AF2345"/>
    <w:rsid w:val="00AF64C1"/>
    <w:rsid w:val="00AF6F99"/>
    <w:rsid w:val="00AF788B"/>
    <w:rsid w:val="00B024AA"/>
    <w:rsid w:val="00B02705"/>
    <w:rsid w:val="00B04F83"/>
    <w:rsid w:val="00B168C4"/>
    <w:rsid w:val="00B20C9D"/>
    <w:rsid w:val="00B20F7B"/>
    <w:rsid w:val="00B22B17"/>
    <w:rsid w:val="00B247E7"/>
    <w:rsid w:val="00B2629A"/>
    <w:rsid w:val="00B35AFA"/>
    <w:rsid w:val="00B405A2"/>
    <w:rsid w:val="00B41D0B"/>
    <w:rsid w:val="00B52BBC"/>
    <w:rsid w:val="00B531AC"/>
    <w:rsid w:val="00B53BCC"/>
    <w:rsid w:val="00B60E1E"/>
    <w:rsid w:val="00B62FE6"/>
    <w:rsid w:val="00B63FCD"/>
    <w:rsid w:val="00B67E4D"/>
    <w:rsid w:val="00B70538"/>
    <w:rsid w:val="00B71245"/>
    <w:rsid w:val="00B71C58"/>
    <w:rsid w:val="00B72C36"/>
    <w:rsid w:val="00B75489"/>
    <w:rsid w:val="00B76112"/>
    <w:rsid w:val="00B762F5"/>
    <w:rsid w:val="00B81F03"/>
    <w:rsid w:val="00B85354"/>
    <w:rsid w:val="00B865C1"/>
    <w:rsid w:val="00B873E8"/>
    <w:rsid w:val="00B87AE9"/>
    <w:rsid w:val="00B9118C"/>
    <w:rsid w:val="00B9489F"/>
    <w:rsid w:val="00B94A60"/>
    <w:rsid w:val="00BA03F6"/>
    <w:rsid w:val="00BA76D8"/>
    <w:rsid w:val="00BB0421"/>
    <w:rsid w:val="00BB7D49"/>
    <w:rsid w:val="00BC33D5"/>
    <w:rsid w:val="00BC720B"/>
    <w:rsid w:val="00BC76D6"/>
    <w:rsid w:val="00BC7EF5"/>
    <w:rsid w:val="00BD07EB"/>
    <w:rsid w:val="00BD0800"/>
    <w:rsid w:val="00BD291B"/>
    <w:rsid w:val="00BD30BD"/>
    <w:rsid w:val="00BD33CB"/>
    <w:rsid w:val="00BD5292"/>
    <w:rsid w:val="00BD5574"/>
    <w:rsid w:val="00BE3553"/>
    <w:rsid w:val="00BE5CC8"/>
    <w:rsid w:val="00BE5FDF"/>
    <w:rsid w:val="00BE7584"/>
    <w:rsid w:val="00BF0F53"/>
    <w:rsid w:val="00BF15A8"/>
    <w:rsid w:val="00BF6A6D"/>
    <w:rsid w:val="00C03C5F"/>
    <w:rsid w:val="00C1098B"/>
    <w:rsid w:val="00C161C1"/>
    <w:rsid w:val="00C222A7"/>
    <w:rsid w:val="00C3218A"/>
    <w:rsid w:val="00C324D8"/>
    <w:rsid w:val="00C364B4"/>
    <w:rsid w:val="00C37C44"/>
    <w:rsid w:val="00C45793"/>
    <w:rsid w:val="00C524F0"/>
    <w:rsid w:val="00C5297B"/>
    <w:rsid w:val="00C54B56"/>
    <w:rsid w:val="00C5615F"/>
    <w:rsid w:val="00C63BDA"/>
    <w:rsid w:val="00C65F8A"/>
    <w:rsid w:val="00C71C9B"/>
    <w:rsid w:val="00C731DE"/>
    <w:rsid w:val="00C734DA"/>
    <w:rsid w:val="00C7545D"/>
    <w:rsid w:val="00C8381C"/>
    <w:rsid w:val="00C8666F"/>
    <w:rsid w:val="00C8691D"/>
    <w:rsid w:val="00C92398"/>
    <w:rsid w:val="00C97289"/>
    <w:rsid w:val="00C977FA"/>
    <w:rsid w:val="00CA1333"/>
    <w:rsid w:val="00CA282A"/>
    <w:rsid w:val="00CA70A5"/>
    <w:rsid w:val="00CB00A7"/>
    <w:rsid w:val="00CB5260"/>
    <w:rsid w:val="00CB67E8"/>
    <w:rsid w:val="00CB6E04"/>
    <w:rsid w:val="00CB6E1F"/>
    <w:rsid w:val="00CC442F"/>
    <w:rsid w:val="00CD0E99"/>
    <w:rsid w:val="00CD1B69"/>
    <w:rsid w:val="00CD6756"/>
    <w:rsid w:val="00CD6BD7"/>
    <w:rsid w:val="00CD7968"/>
    <w:rsid w:val="00CE23C2"/>
    <w:rsid w:val="00CE306C"/>
    <w:rsid w:val="00CF23B2"/>
    <w:rsid w:val="00CF2E94"/>
    <w:rsid w:val="00CF54C6"/>
    <w:rsid w:val="00CF7219"/>
    <w:rsid w:val="00D00743"/>
    <w:rsid w:val="00D038EF"/>
    <w:rsid w:val="00D03F0D"/>
    <w:rsid w:val="00D06C73"/>
    <w:rsid w:val="00D1244E"/>
    <w:rsid w:val="00D155C7"/>
    <w:rsid w:val="00D163FC"/>
    <w:rsid w:val="00D20619"/>
    <w:rsid w:val="00D26E94"/>
    <w:rsid w:val="00D3105F"/>
    <w:rsid w:val="00D31C95"/>
    <w:rsid w:val="00D32034"/>
    <w:rsid w:val="00D3396E"/>
    <w:rsid w:val="00D33E35"/>
    <w:rsid w:val="00D37A56"/>
    <w:rsid w:val="00D47A57"/>
    <w:rsid w:val="00D50FF7"/>
    <w:rsid w:val="00D51979"/>
    <w:rsid w:val="00D5505E"/>
    <w:rsid w:val="00D615CE"/>
    <w:rsid w:val="00D66F23"/>
    <w:rsid w:val="00D67A89"/>
    <w:rsid w:val="00D73754"/>
    <w:rsid w:val="00D74768"/>
    <w:rsid w:val="00D837D7"/>
    <w:rsid w:val="00D85CE6"/>
    <w:rsid w:val="00D862C8"/>
    <w:rsid w:val="00D905CD"/>
    <w:rsid w:val="00D9130D"/>
    <w:rsid w:val="00D95985"/>
    <w:rsid w:val="00DA163B"/>
    <w:rsid w:val="00DA188E"/>
    <w:rsid w:val="00DA2086"/>
    <w:rsid w:val="00DA2706"/>
    <w:rsid w:val="00DA4F15"/>
    <w:rsid w:val="00DA517E"/>
    <w:rsid w:val="00DB16EA"/>
    <w:rsid w:val="00DB2246"/>
    <w:rsid w:val="00DB2315"/>
    <w:rsid w:val="00DC033E"/>
    <w:rsid w:val="00DC11AA"/>
    <w:rsid w:val="00DC153D"/>
    <w:rsid w:val="00DC4D57"/>
    <w:rsid w:val="00DC516A"/>
    <w:rsid w:val="00DC6133"/>
    <w:rsid w:val="00DD070D"/>
    <w:rsid w:val="00DD3857"/>
    <w:rsid w:val="00DE1F72"/>
    <w:rsid w:val="00DE25EB"/>
    <w:rsid w:val="00DE4488"/>
    <w:rsid w:val="00DE7DAD"/>
    <w:rsid w:val="00DF05F8"/>
    <w:rsid w:val="00DF2842"/>
    <w:rsid w:val="00DF4F35"/>
    <w:rsid w:val="00E027EC"/>
    <w:rsid w:val="00E02FC2"/>
    <w:rsid w:val="00E07697"/>
    <w:rsid w:val="00E12F83"/>
    <w:rsid w:val="00E155B7"/>
    <w:rsid w:val="00E20AF4"/>
    <w:rsid w:val="00E2101A"/>
    <w:rsid w:val="00E22D79"/>
    <w:rsid w:val="00E2482E"/>
    <w:rsid w:val="00E24BF7"/>
    <w:rsid w:val="00E34059"/>
    <w:rsid w:val="00E36CD2"/>
    <w:rsid w:val="00E4528B"/>
    <w:rsid w:val="00E45AC3"/>
    <w:rsid w:val="00E54CEB"/>
    <w:rsid w:val="00E55B1E"/>
    <w:rsid w:val="00E61940"/>
    <w:rsid w:val="00E663C1"/>
    <w:rsid w:val="00E757E2"/>
    <w:rsid w:val="00E829A0"/>
    <w:rsid w:val="00E85F0F"/>
    <w:rsid w:val="00E86DD4"/>
    <w:rsid w:val="00E87F7C"/>
    <w:rsid w:val="00E91426"/>
    <w:rsid w:val="00E9171D"/>
    <w:rsid w:val="00E93733"/>
    <w:rsid w:val="00E94B53"/>
    <w:rsid w:val="00E977E8"/>
    <w:rsid w:val="00EB0CAF"/>
    <w:rsid w:val="00EB31A3"/>
    <w:rsid w:val="00EB345F"/>
    <w:rsid w:val="00EB5E84"/>
    <w:rsid w:val="00EC0E15"/>
    <w:rsid w:val="00EC5D2D"/>
    <w:rsid w:val="00EC60AC"/>
    <w:rsid w:val="00EC75E5"/>
    <w:rsid w:val="00ED3CF8"/>
    <w:rsid w:val="00ED4575"/>
    <w:rsid w:val="00ED6DBB"/>
    <w:rsid w:val="00EE0CA1"/>
    <w:rsid w:val="00EE22A4"/>
    <w:rsid w:val="00EE6F01"/>
    <w:rsid w:val="00EF2930"/>
    <w:rsid w:val="00EF7332"/>
    <w:rsid w:val="00F02CE6"/>
    <w:rsid w:val="00F05CA7"/>
    <w:rsid w:val="00F20D66"/>
    <w:rsid w:val="00F216EF"/>
    <w:rsid w:val="00F22C21"/>
    <w:rsid w:val="00F24320"/>
    <w:rsid w:val="00F32567"/>
    <w:rsid w:val="00F346DA"/>
    <w:rsid w:val="00F37D6F"/>
    <w:rsid w:val="00F41627"/>
    <w:rsid w:val="00F43017"/>
    <w:rsid w:val="00F5041C"/>
    <w:rsid w:val="00F538DC"/>
    <w:rsid w:val="00F56299"/>
    <w:rsid w:val="00F564EF"/>
    <w:rsid w:val="00F600AE"/>
    <w:rsid w:val="00F60AE7"/>
    <w:rsid w:val="00F6185F"/>
    <w:rsid w:val="00F71560"/>
    <w:rsid w:val="00F71CD9"/>
    <w:rsid w:val="00F73254"/>
    <w:rsid w:val="00F80FAC"/>
    <w:rsid w:val="00F85F20"/>
    <w:rsid w:val="00F92449"/>
    <w:rsid w:val="00F94841"/>
    <w:rsid w:val="00F952DF"/>
    <w:rsid w:val="00FA2D4A"/>
    <w:rsid w:val="00FB5D72"/>
    <w:rsid w:val="00FC226B"/>
    <w:rsid w:val="00FC2648"/>
    <w:rsid w:val="00FC2CCE"/>
    <w:rsid w:val="00FC5304"/>
    <w:rsid w:val="00FC71ED"/>
    <w:rsid w:val="00FD6A03"/>
    <w:rsid w:val="00FD6B13"/>
    <w:rsid w:val="00FE59EF"/>
    <w:rsid w:val="00FE635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78F41"/>
  <w15:chartTrackingRefBased/>
  <w15:docId w15:val="{E5D6C1B5-0F89-4642-8A6D-760E08D5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8C4"/>
  </w:style>
  <w:style w:type="paragraph" w:styleId="Heading1">
    <w:name w:val="heading 1"/>
    <w:basedOn w:val="Normal"/>
    <w:next w:val="Normal"/>
    <w:link w:val="Heading1Char"/>
    <w:uiPriority w:val="9"/>
    <w:qFormat/>
    <w:rsid w:val="00B16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6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6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6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6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6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16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6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6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8C4"/>
    <w:rPr>
      <w:rFonts w:eastAsiaTheme="majorEastAsia" w:cstheme="majorBidi"/>
      <w:color w:val="272727" w:themeColor="text1" w:themeTint="D8"/>
    </w:rPr>
  </w:style>
  <w:style w:type="paragraph" w:styleId="Title">
    <w:name w:val="Title"/>
    <w:basedOn w:val="Normal"/>
    <w:next w:val="Normal"/>
    <w:link w:val="TitleChar"/>
    <w:uiPriority w:val="10"/>
    <w:qFormat/>
    <w:rsid w:val="00B16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8C4"/>
    <w:pPr>
      <w:spacing w:before="160"/>
      <w:jc w:val="center"/>
    </w:pPr>
    <w:rPr>
      <w:i/>
      <w:iCs/>
      <w:color w:val="404040" w:themeColor="text1" w:themeTint="BF"/>
    </w:rPr>
  </w:style>
  <w:style w:type="character" w:customStyle="1" w:styleId="QuoteChar">
    <w:name w:val="Quote Char"/>
    <w:basedOn w:val="DefaultParagraphFont"/>
    <w:link w:val="Quote"/>
    <w:uiPriority w:val="29"/>
    <w:rsid w:val="00B168C4"/>
    <w:rPr>
      <w:i/>
      <w:iCs/>
      <w:color w:val="404040" w:themeColor="text1" w:themeTint="BF"/>
    </w:rPr>
  </w:style>
  <w:style w:type="paragraph" w:styleId="ListParagraph">
    <w:name w:val="List Paragraph"/>
    <w:aliases w:val="References,Bullets"/>
    <w:basedOn w:val="Normal"/>
    <w:link w:val="ListParagraphChar"/>
    <w:uiPriority w:val="34"/>
    <w:qFormat/>
    <w:rsid w:val="00B168C4"/>
    <w:pPr>
      <w:ind w:left="720"/>
      <w:contextualSpacing/>
    </w:pPr>
  </w:style>
  <w:style w:type="character" w:styleId="IntenseEmphasis">
    <w:name w:val="Intense Emphasis"/>
    <w:basedOn w:val="DefaultParagraphFont"/>
    <w:uiPriority w:val="21"/>
    <w:qFormat/>
    <w:rsid w:val="00B168C4"/>
    <w:rPr>
      <w:i/>
      <w:iCs/>
      <w:color w:val="2F5496" w:themeColor="accent1" w:themeShade="BF"/>
    </w:rPr>
  </w:style>
  <w:style w:type="paragraph" w:styleId="IntenseQuote">
    <w:name w:val="Intense Quote"/>
    <w:basedOn w:val="Normal"/>
    <w:next w:val="Normal"/>
    <w:link w:val="IntenseQuoteChar"/>
    <w:uiPriority w:val="30"/>
    <w:qFormat/>
    <w:rsid w:val="00B16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8C4"/>
    <w:rPr>
      <w:i/>
      <w:iCs/>
      <w:color w:val="2F5496" w:themeColor="accent1" w:themeShade="BF"/>
    </w:rPr>
  </w:style>
  <w:style w:type="character" w:styleId="IntenseReference">
    <w:name w:val="Intense Reference"/>
    <w:basedOn w:val="DefaultParagraphFont"/>
    <w:uiPriority w:val="32"/>
    <w:qFormat/>
    <w:rsid w:val="00B168C4"/>
    <w:rPr>
      <w:b/>
      <w:bCs/>
      <w:smallCaps/>
      <w:color w:val="2F5496" w:themeColor="accent1" w:themeShade="BF"/>
      <w:spacing w:val="5"/>
    </w:rPr>
  </w:style>
  <w:style w:type="table" w:styleId="TableGridLight">
    <w:name w:val="Grid Table Light"/>
    <w:basedOn w:val="TableNormal"/>
    <w:uiPriority w:val="40"/>
    <w:rsid w:val="00B168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168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168C4"/>
    <w:rPr>
      <w:color w:val="0563C1" w:themeColor="hyperlink"/>
      <w:u w:val="single"/>
    </w:rPr>
  </w:style>
  <w:style w:type="character" w:styleId="UnresolvedMention">
    <w:name w:val="Unresolved Mention"/>
    <w:basedOn w:val="DefaultParagraphFont"/>
    <w:uiPriority w:val="99"/>
    <w:semiHidden/>
    <w:unhideWhenUsed/>
    <w:rsid w:val="00B168C4"/>
    <w:rPr>
      <w:color w:val="605E5C"/>
      <w:shd w:val="clear" w:color="auto" w:fill="E1DFDD"/>
    </w:rPr>
  </w:style>
  <w:style w:type="table" w:styleId="TableGrid">
    <w:name w:val="Table Grid"/>
    <w:basedOn w:val="TableNormal"/>
    <w:uiPriority w:val="39"/>
    <w:rsid w:val="00B1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Bullets Char"/>
    <w:link w:val="ListParagraph"/>
    <w:uiPriority w:val="34"/>
    <w:rsid w:val="00B168C4"/>
  </w:style>
  <w:style w:type="table" w:customStyle="1" w:styleId="TableGrid2">
    <w:name w:val="Table Grid2"/>
    <w:basedOn w:val="TableNormal"/>
    <w:next w:val="TableGrid"/>
    <w:uiPriority w:val="59"/>
    <w:rsid w:val="00B168C4"/>
    <w:pPr>
      <w:spacing w:after="0" w:line="240" w:lineRule="auto"/>
    </w:pPr>
    <w:rPr>
      <w:kern w:val="0"/>
      <w:sz w:val="21"/>
      <w:szCs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168C4"/>
    <w:pPr>
      <w:spacing w:line="259" w:lineRule="auto"/>
    </w:pPr>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B16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8C4"/>
  </w:style>
  <w:style w:type="paragraph" w:styleId="Footer">
    <w:name w:val="footer"/>
    <w:basedOn w:val="Normal"/>
    <w:link w:val="FooterChar"/>
    <w:uiPriority w:val="99"/>
    <w:unhideWhenUsed/>
    <w:rsid w:val="00B16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8C4"/>
  </w:style>
  <w:style w:type="paragraph" w:styleId="NormalWeb">
    <w:name w:val="Normal (Web)"/>
    <w:basedOn w:val="Normal"/>
    <w:uiPriority w:val="99"/>
    <w:semiHidden/>
    <w:unhideWhenUsed/>
    <w:rsid w:val="00B168C4"/>
    <w:rPr>
      <w:rFonts w:ascii="Times New Roman" w:hAnsi="Times New Roman" w:cs="Times New Roman"/>
    </w:rPr>
  </w:style>
  <w:style w:type="paragraph" w:customStyle="1" w:styleId="Default">
    <w:name w:val="Default"/>
    <w:link w:val="DefaultChar"/>
    <w:qFormat/>
    <w:rsid w:val="00B168C4"/>
    <w:pPr>
      <w:autoSpaceDE w:val="0"/>
      <w:autoSpaceDN w:val="0"/>
      <w:adjustRightInd w:val="0"/>
      <w:spacing w:after="0" w:line="240" w:lineRule="auto"/>
    </w:pPr>
    <w:rPr>
      <w:rFonts w:ascii="Calibri" w:eastAsia="Calibri" w:hAnsi="Calibri" w:cs="Calibri"/>
      <w:color w:val="000000"/>
      <w:kern w:val="0"/>
      <w:lang w:val="en-US"/>
      <w14:ligatures w14:val="none"/>
    </w:rPr>
  </w:style>
  <w:style w:type="character" w:customStyle="1" w:styleId="DefaultChar">
    <w:name w:val="Default Char"/>
    <w:link w:val="Default"/>
    <w:rsid w:val="00B168C4"/>
    <w:rPr>
      <w:rFonts w:ascii="Calibri" w:eastAsia="Calibri" w:hAnsi="Calibri" w:cs="Calibri"/>
      <w:color w:val="000000"/>
      <w:kern w:val="0"/>
      <w:lang w:val="en-US"/>
      <w14:ligatures w14:val="none"/>
    </w:rPr>
  </w:style>
  <w:style w:type="character" w:customStyle="1" w:styleId="A9">
    <w:name w:val="A9"/>
    <w:uiPriority w:val="99"/>
    <w:rsid w:val="00B168C4"/>
    <w:rPr>
      <w:b/>
      <w:bCs/>
      <w:color w:val="000000"/>
    </w:rPr>
  </w:style>
  <w:style w:type="paragraph" w:customStyle="1" w:styleId="MediumShading1-Accent21">
    <w:name w:val="Medium Shading 1 - Accent 21"/>
    <w:uiPriority w:val="1"/>
    <w:qFormat/>
    <w:rsid w:val="00B168C4"/>
    <w:pPr>
      <w:spacing w:after="0" w:line="240" w:lineRule="auto"/>
    </w:pPr>
    <w:rPr>
      <w:rFonts w:ascii="Calibri" w:eastAsia="Times New Roman" w:hAnsi="Calibri" w:cs="Times New Roman"/>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536/ajsts.v4i2.5819" TargetMode="External"/><Relationship Id="rId18" Type="http://schemas.openxmlformats.org/officeDocument/2006/relationships/hyperlink" Target="https://doi.org/10.1016/j.iref.2025.104343" TargetMode="External"/><Relationship Id="rId26" Type="http://schemas.openxmlformats.org/officeDocument/2006/relationships/hyperlink" Target="https://www.google.com/search?q=https://doi.org/10.9790/1684-2002010106" TargetMode="External"/><Relationship Id="rId39" Type="http://schemas.openxmlformats.org/officeDocument/2006/relationships/hyperlink" Target="https://doi.org/10.5281/zenodo.10018606" TargetMode="External"/><Relationship Id="rId21" Type="http://schemas.openxmlformats.org/officeDocument/2006/relationships/hyperlink" Target="https://doi.org/10.1108/EBR-11-2018-0203" TargetMode="External"/><Relationship Id="rId34" Type="http://schemas.openxmlformats.org/officeDocument/2006/relationships/hyperlink" Target="https://doi.org/10.3390/su15032171" TargetMode="External"/><Relationship Id="rId42" Type="http://schemas.openxmlformats.org/officeDocument/2006/relationships/hyperlink" Target="https://doi.org/10.1016/j.digbus.2025.100131"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13738870" TargetMode="External"/><Relationship Id="rId29" Type="http://schemas.openxmlformats.org/officeDocument/2006/relationships/hyperlink" Target="https://doi.org/10.3390/math101423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07/s11747-014-0403-8" TargetMode="External"/><Relationship Id="rId32" Type="http://schemas.openxmlformats.org/officeDocument/2006/relationships/hyperlink" Target="https://theses.gla.ac.uk/84159/" TargetMode="External"/><Relationship Id="rId37" Type="http://schemas.openxmlformats.org/officeDocument/2006/relationships/hyperlink" Target="https://doi.org/10.5281/zenodo.17285206" TargetMode="External"/><Relationship Id="rId40" Type="http://schemas.openxmlformats.org/officeDocument/2006/relationships/hyperlink" Target="https://doi.org/10.1080/23322039.2024.2387443"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2783/eel.v14i1.1185" TargetMode="External"/><Relationship Id="rId23" Type="http://schemas.openxmlformats.org/officeDocument/2006/relationships/hyperlink" Target="https://doi.org/10.1016/j.frl.2023.104702" TargetMode="External"/><Relationship Id="rId28" Type="http://schemas.openxmlformats.org/officeDocument/2006/relationships/hyperlink" Target="https://doi.org/10.1109/TEM.2024.3515471" TargetMode="External"/><Relationship Id="rId36" Type="http://schemas.openxmlformats.org/officeDocument/2006/relationships/hyperlink" Target="http://dx.doi.org/10.24018/ejers.2020.5.9.2066" TargetMode="External"/><Relationship Id="rId10" Type="http://schemas.openxmlformats.org/officeDocument/2006/relationships/image" Target="media/image1.png"/><Relationship Id="rId19" Type="http://schemas.openxmlformats.org/officeDocument/2006/relationships/hyperlink" Target="https://doi.org/10.1109/TEM.2025.3572402" TargetMode="External"/><Relationship Id="rId31" Type="http://schemas.openxmlformats.org/officeDocument/2006/relationships/hyperlink" Target="https://doi.org/10.1016/j.ijpe.2022.108431" TargetMode="External"/><Relationship Id="rId44" Type="http://schemas.openxmlformats.org/officeDocument/2006/relationships/hyperlink" Target="https://doi.org/10.14414/jebav.v27i3.4518" TargetMode="External"/><Relationship Id="rId4" Type="http://schemas.openxmlformats.org/officeDocument/2006/relationships/settings" Target="settings.xml"/><Relationship Id="rId9" Type="http://schemas.openxmlformats.org/officeDocument/2006/relationships/hyperlink" Target="mailto:sasaruwa@gmail.com" TargetMode="External"/><Relationship Id="rId14" Type="http://schemas.openxmlformats.org/officeDocument/2006/relationships/hyperlink" Target="https://doi.org/10.63056/ACAD.004.01.0154" TargetMode="External"/><Relationship Id="rId22" Type="http://schemas.openxmlformats.org/officeDocument/2006/relationships/hyperlink" Target="http://dx.doi.org/10.2139/ssrn.5614901" TargetMode="External"/><Relationship Id="rId27" Type="http://schemas.openxmlformats.org/officeDocument/2006/relationships/hyperlink" Target="https://doi.org/10.1057/s41264-025-00313-y" TargetMode="External"/><Relationship Id="rId30" Type="http://schemas.openxmlformats.org/officeDocument/2006/relationships/hyperlink" Target="https://doi.org/10.3390/su11216181" TargetMode="External"/><Relationship Id="rId35" Type="http://schemas.openxmlformats.org/officeDocument/2006/relationships/hyperlink" Target="https://doi.org/10.1016/j.iref.2025.104744" TargetMode="External"/><Relationship Id="rId43" Type="http://schemas.openxmlformats.org/officeDocument/2006/relationships/hyperlink" Target="https://doi.org/10.53103/cjess.v5i4.380" TargetMode="External"/><Relationship Id="rId8" Type="http://schemas.openxmlformats.org/officeDocument/2006/relationships/hyperlink" Target="mailto:goodobij@gmail.com"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3390/digital4030039" TargetMode="External"/><Relationship Id="rId25" Type="http://schemas.openxmlformats.org/officeDocument/2006/relationships/hyperlink" Target="https://sbs.strathmore.edu/the-power-of-data-analytics-and-fintech-in-supply-chain-management/" TargetMode="External"/><Relationship Id="rId33" Type="http://schemas.openxmlformats.org/officeDocument/2006/relationships/hyperlink" Target="https://doi.org/10.1016/j.irfa.2025.104241" TargetMode="External"/><Relationship Id="rId38" Type="http://schemas.openxmlformats.org/officeDocument/2006/relationships/hyperlink" Target="https://doi.org/10.37394/23207.2023.20.224" TargetMode="External"/><Relationship Id="rId46" Type="http://schemas.openxmlformats.org/officeDocument/2006/relationships/fontTable" Target="fontTable.xml"/><Relationship Id="rId20" Type="http://schemas.openxmlformats.org/officeDocument/2006/relationships/hyperlink" Target="https://doi.org/10.3390/admsci15030086" TargetMode="External"/><Relationship Id="rId41" Type="http://schemas.openxmlformats.org/officeDocument/2006/relationships/hyperlink" Target="https://doi.org/10.1017/als.201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7435F-D1D1-498A-B882-2A4B91CD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19</Pages>
  <Words>8919</Words>
  <Characters>50840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ZANES INTERNET RESOURCE</dc:creator>
  <cp:keywords/>
  <dc:description/>
  <cp:lastModifiedBy>ZANES INTERNET RESOURCE</cp:lastModifiedBy>
  <cp:revision>1242</cp:revision>
  <cp:lastPrinted>2026-02-25T23:37:00Z</cp:lastPrinted>
  <dcterms:created xsi:type="dcterms:W3CDTF">2026-02-09T11:40:00Z</dcterms:created>
  <dcterms:modified xsi:type="dcterms:W3CDTF">2026-03-02T11:52:00Z</dcterms:modified>
</cp:coreProperties>
</file>