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A9E0A" w14:textId="77777777" w:rsidR="00067F0F" w:rsidRDefault="00E76092" w:rsidP="00067F0F">
      <w:pPr>
        <w:spacing w:line="360" w:lineRule="auto"/>
        <w:rPr>
          <w:rFonts w:ascii="Times New Roman" w:hAnsi="Times New Roman" w:cs="Times New Roman"/>
          <w:b/>
          <w:bCs/>
        </w:rPr>
      </w:pPr>
      <w:r w:rsidRPr="005E4243">
        <w:rPr>
          <w:rFonts w:ascii="Times New Roman" w:hAnsi="Times New Roman" w:cs="Times New Roman"/>
          <w:b/>
          <w:bCs/>
        </w:rPr>
        <w:t>Assessment of Nutritional Status and Utilization of Government Welfare Schemes among Below-Income and Middle-Class Households in Dehra Block of Kangra District, Himachal Pradesh</w:t>
      </w:r>
    </w:p>
    <w:p w14:paraId="4B7D5DD8" w14:textId="77777777" w:rsidR="00067F0F" w:rsidRDefault="000D016F" w:rsidP="00067F0F">
      <w:pPr>
        <w:spacing w:line="360" w:lineRule="auto"/>
        <w:jc w:val="right"/>
        <w:rPr>
          <w:rFonts w:ascii="Times New Roman" w:hAnsi="Times New Roman" w:cs="Times New Roman"/>
          <w:b/>
          <w:bCs/>
          <w:vertAlign w:val="superscript"/>
        </w:rPr>
      </w:pPr>
      <w:r w:rsidRPr="005E4243">
        <w:rPr>
          <w:rFonts w:ascii="Times New Roman" w:hAnsi="Times New Roman" w:cs="Times New Roman"/>
          <w:b/>
          <w:bCs/>
        </w:rPr>
        <w:t>Nok Singh</w:t>
      </w:r>
      <w:r w:rsidR="00067F0F">
        <w:rPr>
          <w:rFonts w:ascii="Times New Roman" w:hAnsi="Times New Roman" w:cs="Times New Roman"/>
          <w:b/>
          <w:bCs/>
          <w:vertAlign w:val="superscript"/>
        </w:rPr>
        <w:t xml:space="preserve">1 </w:t>
      </w:r>
      <w:r w:rsidR="00067F0F">
        <w:rPr>
          <w:rFonts w:ascii="Times New Roman" w:hAnsi="Times New Roman" w:cs="Times New Roman"/>
          <w:b/>
          <w:bCs/>
        </w:rPr>
        <w:t xml:space="preserve">and </w:t>
      </w:r>
      <w:r w:rsidR="00067F0F" w:rsidRPr="005E4243">
        <w:rPr>
          <w:rFonts w:ascii="Times New Roman" w:hAnsi="Times New Roman" w:cs="Times New Roman"/>
          <w:b/>
          <w:bCs/>
        </w:rPr>
        <w:t>Prof. (Dr) Shashi Punam</w:t>
      </w:r>
      <w:r w:rsidR="00067F0F">
        <w:rPr>
          <w:rFonts w:ascii="Times New Roman" w:hAnsi="Times New Roman" w:cs="Times New Roman"/>
          <w:b/>
          <w:bCs/>
          <w:vertAlign w:val="superscript"/>
        </w:rPr>
        <w:t>2</w:t>
      </w:r>
    </w:p>
    <w:p w14:paraId="7CB8D6D5" w14:textId="464BAD26" w:rsidR="003D0260" w:rsidRDefault="00067F0F" w:rsidP="000D016F">
      <w:pPr>
        <w:spacing w:after="0" w:line="240" w:lineRule="auto"/>
        <w:jc w:val="right"/>
        <w:rPr>
          <w:rFonts w:ascii="Times New Roman" w:hAnsi="Times New Roman" w:cs="Times New Roman"/>
        </w:rPr>
      </w:pPr>
      <w:r>
        <w:rPr>
          <w:rFonts w:ascii="Times New Roman" w:hAnsi="Times New Roman" w:cs="Times New Roman"/>
          <w:vertAlign w:val="superscript"/>
        </w:rPr>
        <w:t>1</w:t>
      </w:r>
      <w:r w:rsidR="003D0260" w:rsidRPr="005E4243">
        <w:rPr>
          <w:rFonts w:ascii="Times New Roman" w:hAnsi="Times New Roman" w:cs="Times New Roman"/>
        </w:rPr>
        <w:t>Ph.D Research Scholar, Department of Social Work, Central University of Himachal Pradesh</w:t>
      </w:r>
    </w:p>
    <w:p w14:paraId="76E4C9B3" w14:textId="5C5F7B26" w:rsidR="000D016F" w:rsidRPr="00067F0F" w:rsidRDefault="00067F0F" w:rsidP="00067F0F">
      <w:pPr>
        <w:spacing w:line="360" w:lineRule="auto"/>
        <w:jc w:val="right"/>
        <w:rPr>
          <w:rFonts w:ascii="Times New Roman" w:hAnsi="Times New Roman" w:cs="Times New Roman"/>
        </w:rPr>
      </w:pPr>
      <w:r>
        <w:rPr>
          <w:rFonts w:ascii="Times New Roman" w:hAnsi="Times New Roman" w:cs="Times New Roman"/>
          <w:vertAlign w:val="superscript"/>
        </w:rPr>
        <w:t>2</w:t>
      </w:r>
      <w:r w:rsidRPr="005E4243">
        <w:rPr>
          <w:rFonts w:ascii="Times New Roman" w:hAnsi="Times New Roman" w:cs="Times New Roman"/>
        </w:rPr>
        <w:t>Professor, Department of Social Work, Central University of Himachal Pradesh</w:t>
      </w:r>
    </w:p>
    <w:p w14:paraId="58FA4769" w14:textId="183CFDE4" w:rsidR="003D0260" w:rsidRPr="005E4243" w:rsidRDefault="003D0260" w:rsidP="008F0E4A">
      <w:pPr>
        <w:spacing w:line="360" w:lineRule="auto"/>
        <w:jc w:val="both"/>
        <w:rPr>
          <w:rFonts w:ascii="Times New Roman" w:hAnsi="Times New Roman" w:cs="Times New Roman"/>
          <w:b/>
          <w:bCs/>
        </w:rPr>
      </w:pPr>
      <w:r w:rsidRPr="005E4243">
        <w:rPr>
          <w:rFonts w:ascii="Times New Roman" w:hAnsi="Times New Roman" w:cs="Times New Roman"/>
          <w:b/>
          <w:bCs/>
        </w:rPr>
        <w:t>Abstract</w:t>
      </w:r>
    </w:p>
    <w:p w14:paraId="57B80BAD" w14:textId="77777777" w:rsidR="00480715" w:rsidRPr="005E4243" w:rsidRDefault="00480715" w:rsidP="00480715">
      <w:pPr>
        <w:spacing w:line="360" w:lineRule="auto"/>
        <w:jc w:val="both"/>
        <w:rPr>
          <w:rFonts w:ascii="Times New Roman" w:hAnsi="Times New Roman" w:cs="Times New Roman"/>
        </w:rPr>
      </w:pPr>
      <w:r w:rsidRPr="005E4243">
        <w:rPr>
          <w:rFonts w:ascii="Times New Roman" w:hAnsi="Times New Roman" w:cs="Times New Roman"/>
        </w:rPr>
        <w:t>Malnutrition continues to be a major public health challenge in India, particularly among vulnerable population groups. This study assesses the nutritional status and utilization of government nutrition and health welfare schemes among Below Income Group and Middle-Class households in Dehra Block of Kangra District, Himachal Pradesh. A community-based cross-sectional design was adopted, using primary data collected through structured household questionnaires. The study focuses on children aged 0–6 years and women, examining dietary patterns, socio-economic determinants, and the prevalence of health problems such as anemia and childhood illnesses. It also evaluates awareness and utilization of schemes including ICDS, POSHAN Abhiyaan, and PDS. The findings highlight significant gaps in awareness, access, and service delivery, underscoring the need for strengthened implementation and targeted interventions to improve nutritional outcomes.</w:t>
      </w:r>
    </w:p>
    <w:p w14:paraId="38401DE6" w14:textId="3C6B84E8" w:rsidR="00480715" w:rsidRPr="005E4243" w:rsidRDefault="00E76092" w:rsidP="008F0E4A">
      <w:pPr>
        <w:spacing w:line="360" w:lineRule="auto"/>
        <w:jc w:val="both"/>
        <w:rPr>
          <w:rFonts w:ascii="Times New Roman" w:hAnsi="Times New Roman" w:cs="Times New Roman"/>
        </w:rPr>
      </w:pPr>
      <w:r w:rsidRPr="005E4243">
        <w:rPr>
          <w:rFonts w:ascii="Times New Roman" w:hAnsi="Times New Roman" w:cs="Times New Roman"/>
          <w:b/>
          <w:bCs/>
        </w:rPr>
        <w:t>Key Words:</w:t>
      </w:r>
      <w:r w:rsidRPr="005E4243">
        <w:rPr>
          <w:rFonts w:ascii="Times New Roman" w:hAnsi="Times New Roman" w:cs="Times New Roman"/>
        </w:rPr>
        <w:t xml:space="preserve"> Nutritional Status; Malnutrition; Dietary Patterns; Government Welfare Schemes; Women and Child Health; Socio-Economic Factors; Anemia; Dehra Block; Kangra, Himachal Pradesh</w:t>
      </w:r>
    </w:p>
    <w:p w14:paraId="0290732A" w14:textId="77777777" w:rsidR="00480715" w:rsidRPr="005E4243" w:rsidRDefault="00480715" w:rsidP="00480715">
      <w:pPr>
        <w:spacing w:line="360" w:lineRule="auto"/>
        <w:jc w:val="both"/>
        <w:rPr>
          <w:rFonts w:ascii="Times New Roman" w:hAnsi="Times New Roman" w:cs="Times New Roman"/>
          <w:b/>
          <w:bCs/>
        </w:rPr>
      </w:pPr>
      <w:r w:rsidRPr="005E4243">
        <w:rPr>
          <w:rFonts w:ascii="Times New Roman" w:hAnsi="Times New Roman" w:cs="Times New Roman"/>
          <w:b/>
          <w:bCs/>
        </w:rPr>
        <w:t>Introduction</w:t>
      </w:r>
    </w:p>
    <w:p w14:paraId="7DDA0020" w14:textId="77777777" w:rsidR="00067F0F" w:rsidRDefault="004F68CC" w:rsidP="00480715">
      <w:pPr>
        <w:spacing w:line="360" w:lineRule="auto"/>
        <w:jc w:val="both"/>
        <w:rPr>
          <w:rFonts w:ascii="Times New Roman" w:hAnsi="Times New Roman" w:cs="Times New Roman"/>
        </w:rPr>
      </w:pPr>
      <w:r w:rsidRPr="005E4243">
        <w:rPr>
          <w:rFonts w:ascii="Times New Roman" w:hAnsi="Times New Roman" w:cs="Times New Roman"/>
        </w:rPr>
        <w:t xml:space="preserve">India became one of the most rapidly developing economies, as well as a powerful state in the world; nevertheless, malnutrition has remained a dangerous social issue, especially in the population groups that are highly vulnerable to this problem, i.e., children, women, and families with low earnings. Malnutrition is a condition caused by insufficient, excessive, and unbalanced consumption of calories and other vital nutrients, such as proteins, vitamins, and minerals, which negatively influence physical development, cognitive abilities, immune system and overall health (World Health Organization [WHO], 2021). Malnutrition is often referred as a hidden hunger as it </w:t>
      </w:r>
      <w:r w:rsidRPr="005E4243">
        <w:rPr>
          <w:rFonts w:ascii="Times New Roman" w:hAnsi="Times New Roman" w:cs="Times New Roman"/>
        </w:rPr>
        <w:lastRenderedPageBreak/>
        <w:t xml:space="preserve">compromises the human capital formation and is one of the greatest impediments to sustainable socio-economic development. Malnutrition takes several shapes particularly in children such as stunting (low height-for-age), wasting (low weight-for-height), and underweight (low weight-for-age). These are chronic and acute measures of child nutritional status and health and are used universally as indicators of child health and nutrition. </w:t>
      </w:r>
    </w:p>
    <w:p w14:paraId="5409B721" w14:textId="77777777" w:rsidR="00067F0F" w:rsidRDefault="004F68CC" w:rsidP="00480715">
      <w:pPr>
        <w:spacing w:line="360" w:lineRule="auto"/>
        <w:jc w:val="both"/>
        <w:rPr>
          <w:rFonts w:ascii="Times New Roman" w:hAnsi="Times New Roman" w:cs="Times New Roman"/>
        </w:rPr>
      </w:pPr>
      <w:r w:rsidRPr="005E4243">
        <w:rPr>
          <w:rFonts w:ascii="Times New Roman" w:hAnsi="Times New Roman" w:cs="Times New Roman"/>
        </w:rPr>
        <w:t xml:space="preserve">As per the National Family Health Survey (NFHS-5), these malnutrition types persist among a considerable percentage of Indian children, being more common in the rural and socio-economically disadvantaged areas (International Institute for Population Sciences 2 and ICF, 2021). Other nutritional deficiencies affecting women especially pregnant and lactating mothers are anemia and this has adverse effects on maternal health and survival of children. Malnutrition is still disproportionately experienced by rural India because of the structural inequalities prevailing in the country, such as poverty, food insecurity, low educational achievements, poor access to healthcare facilities, poor sanitation, and low awareness of the benefits of balanced nutrition and dieting practices. Socio-economic factors including income, occupation, family size, education level, housing conditions, safe drinking water, and sanitation facilities have a strong impact on the nutritional status of a household. All these factors interrelate in complicated ways to determine the eating habits, health seeking behavior, and use of government welfare schemes (UNICEF, 2020). In a bid to mitigate the issue of a high malnutrition prevalence rate, the Government of India has introduced a number of nutrition- and health-oriented initiatives, such as the Integrated Child Development Services (ICDS), Poshan Abhiyaan (National Nutrition Mission), Mid-Day Meal Scheme, Public Distribution System (PDS), and the initiatives of the National Health Mission. Such programs are to enhance nutritional intake, maternal and child health services, curb anemia, and involve community in nutrition enhancement. Those efforts notwithstanding, the effect of such schemes is unequal, especially at the grassroots level, because of the lack of awareness, access, and successful implementation (Ministry of Women and Child Development, 2021). </w:t>
      </w:r>
    </w:p>
    <w:p w14:paraId="44D76C51" w14:textId="77777777" w:rsidR="00067F0F" w:rsidRDefault="004F68CC" w:rsidP="00480715">
      <w:pPr>
        <w:spacing w:line="360" w:lineRule="auto"/>
        <w:jc w:val="both"/>
        <w:rPr>
          <w:rFonts w:ascii="Times New Roman" w:hAnsi="Times New Roman" w:cs="Times New Roman"/>
        </w:rPr>
      </w:pPr>
      <w:r w:rsidRPr="005E4243">
        <w:rPr>
          <w:rFonts w:ascii="Times New Roman" w:hAnsi="Times New Roman" w:cs="Times New Roman"/>
        </w:rPr>
        <w:t xml:space="preserve">Himachal Pradesh is considered as a relatively better performing state in regard to health and social indicators but still there exists intra-state disparities particularly in rural and semi-rural regions. Dehra Block is a region in Kangra District that is typified by mixed livelihoods in the form of agriculture, daily wage labor, livestock rearing and informal employment. The population below Income Group (BPL) households in the region are forced to endure chronic food insecurity because </w:t>
      </w:r>
      <w:r w:rsidRPr="005E4243">
        <w:rPr>
          <w:rFonts w:ascii="Times New Roman" w:hAnsi="Times New Roman" w:cs="Times New Roman"/>
        </w:rPr>
        <w:lastRenderedPageBreak/>
        <w:t xml:space="preserve">of low and fluctuating income, and households in the middle classes can also experience nutritional deficiencies that begin due to dietary imbalance, nutritional awareness, and changing lifestyles, in addition to increasing food prices. They continue to be the most nutritionally vulnerable groups, children aged 0-6 years old, and women of reproductive age, both in the two categories of socio-economic groups. Nutrition is a key factor in growth, development, and survival of human beings. Proper consumption of both macronutrients (carbohydrates, proteins, and fats) and micronutrients (iron, iodine, zinc, vitamin A, and folic acid) is critical to sustain physiological processes and functions, immune defense, cognitive development, and productivity during a lifetime (Gropper and Smith, 2018). At crucial life stages and especially, in pregnancy, infancy, and early childhood, good nutrition is essential to avert low birth weight, stunting, and developmental shortcomings in the long-term (Black et al., 2013). </w:t>
      </w:r>
    </w:p>
    <w:p w14:paraId="70029133" w14:textId="13C34269" w:rsidR="00480715" w:rsidRPr="005E4243" w:rsidRDefault="004F68CC" w:rsidP="00480715">
      <w:pPr>
        <w:spacing w:line="360" w:lineRule="auto"/>
        <w:jc w:val="both"/>
        <w:rPr>
          <w:rFonts w:ascii="Times New Roman" w:hAnsi="Times New Roman" w:cs="Times New Roman"/>
        </w:rPr>
      </w:pPr>
      <w:r w:rsidRPr="005E4243">
        <w:rPr>
          <w:rFonts w:ascii="Times New Roman" w:hAnsi="Times New Roman" w:cs="Times New Roman"/>
        </w:rPr>
        <w:t xml:space="preserve">On the other hand, poor nutrition predisposes people to infections, lowers the learning ability, efficiency at work, and runs the intergenerational cycle of poverty and malnutrition. The public health and economic impact of malnutrition is far reaching too. It has also been found that early-life undernutrition leads to high risk of non-communicable diseases like diabetes, high blood pressure and cardiovascular diseases in adulthood which has been called the developmental origins of health and disease (Barker, 2007). On the macro level, malnutrition contributes to low labor productivity, higher spending on healthcare, and major losses to the economy, which constitute a large proportion of the GDP of developing nations (World Bank, 2020). It is on this ground that the current research aims to discuss the nutritional status of children (0-6 years old) and women and the use of government nutrition and health welfare programs among the households of Below Income Group and Middle-Class households in Dehra Block, Kangra District, Himachal Pradesh. Combining socio-economic, dietary, health, and institutional aspects, the study will help bring up a holistic picture of malnutrition at the household level. It is hoped that the findings can be used in evidence-based policy changes and community-level interventions to help India change its name to </w:t>
      </w:r>
      <w:proofErr w:type="spellStart"/>
      <w:r w:rsidRPr="005E4243">
        <w:rPr>
          <w:rFonts w:ascii="Times New Roman" w:hAnsi="Times New Roman" w:cs="Times New Roman"/>
        </w:rPr>
        <w:t>Suposhit</w:t>
      </w:r>
      <w:proofErr w:type="spellEnd"/>
      <w:r w:rsidRPr="005E4243">
        <w:rPr>
          <w:rFonts w:ascii="Times New Roman" w:hAnsi="Times New Roman" w:cs="Times New Roman"/>
        </w:rPr>
        <w:t xml:space="preserve"> Bharat (Well-Nourished India) instead of </w:t>
      </w:r>
      <w:proofErr w:type="spellStart"/>
      <w:r w:rsidRPr="005E4243">
        <w:rPr>
          <w:rFonts w:ascii="Times New Roman" w:hAnsi="Times New Roman" w:cs="Times New Roman"/>
        </w:rPr>
        <w:t>Kuposhan</w:t>
      </w:r>
      <w:proofErr w:type="spellEnd"/>
      <w:r w:rsidRPr="005E4243">
        <w:rPr>
          <w:rFonts w:ascii="Times New Roman" w:hAnsi="Times New Roman" w:cs="Times New Roman"/>
        </w:rPr>
        <w:t xml:space="preserve"> Bharat (Malnourished India).</w:t>
      </w:r>
    </w:p>
    <w:p w14:paraId="323F94AC" w14:textId="77777777" w:rsidR="004F68CC" w:rsidRPr="005E4243" w:rsidRDefault="004F68CC" w:rsidP="00F95E1F">
      <w:pPr>
        <w:spacing w:line="360" w:lineRule="auto"/>
        <w:jc w:val="both"/>
        <w:rPr>
          <w:rFonts w:ascii="Times New Roman" w:hAnsi="Times New Roman" w:cs="Times New Roman"/>
          <w:b/>
          <w:bCs/>
        </w:rPr>
      </w:pPr>
      <w:r w:rsidRPr="005E4243">
        <w:rPr>
          <w:rFonts w:ascii="Times New Roman" w:hAnsi="Times New Roman" w:cs="Times New Roman"/>
          <w:b/>
          <w:bCs/>
        </w:rPr>
        <w:t xml:space="preserve">Review of Literature </w:t>
      </w:r>
    </w:p>
    <w:p w14:paraId="00D79AF2" w14:textId="77777777" w:rsidR="004F68CC" w:rsidRPr="005E4243" w:rsidRDefault="004F68CC" w:rsidP="00F95E1F">
      <w:pPr>
        <w:spacing w:line="360" w:lineRule="auto"/>
        <w:jc w:val="both"/>
        <w:rPr>
          <w:rFonts w:ascii="Times New Roman" w:hAnsi="Times New Roman" w:cs="Times New Roman"/>
        </w:rPr>
      </w:pPr>
      <w:r w:rsidRPr="005E4243">
        <w:rPr>
          <w:rFonts w:ascii="Times New Roman" w:hAnsi="Times New Roman" w:cs="Times New Roman"/>
        </w:rPr>
        <w:t xml:space="preserve">The existing literature on malnutrition in India indicates that the condition is highly linked to poverty, lack of maternal education, poor sanitation, and lack of proper healthcare facilities. The UNICEF (2019) also notes that the problem of malnutrition is a cause and an effect of poverty that </w:t>
      </w:r>
      <w:r w:rsidRPr="005E4243">
        <w:rPr>
          <w:rFonts w:ascii="Times New Roman" w:hAnsi="Times New Roman" w:cs="Times New Roman"/>
        </w:rPr>
        <w:lastRenderedPageBreak/>
        <w:t xml:space="preserve">leads to an intergenerational cycle of deprivation. Children born by mothers who are malnourished are prone to low birth weight, stunting, and cognitive impairment. The reports provided by NFHS have been showing that child malnutrition is higher in the rural areas than in the urban areas. Research by Smith and Haddad (2015) shows that the child malnutrition is minimized considerably with the progress of female education and household income. Nevertheless, economic development will not be adequate without a fair provision of nutrition and health services. The studies on the field of ICDS and Anganwadi services indicate that despite the overall better levels of food supplementation and immunization, issues like inconsistency, food quality, the absence of awareness, and ineffective monitoring are the reasons that limit the effectiveness of these programs (Kapur, 2018). Poshan Abhiyaan is an initiative that has potential to improve nutritional delivery by converging and using technology, but is encountering both block and village gaps in implementation. Research in Himachal Pradesh shows more positive results of nutrition indicators than on the national level, but there are still those areas where undernourishment is prevalent, particularly in marginalized and rural groups (Sharma &amp; Thakur, 2020). There has been limited research specifically on Dehra Block and therefore, there is a need to have localized research, which reflects the realities of socio-cultural and economic conditions. </w:t>
      </w:r>
    </w:p>
    <w:p w14:paraId="7B7E1F06" w14:textId="77777777" w:rsidR="004F68CC" w:rsidRPr="005E4243" w:rsidRDefault="004F68CC" w:rsidP="00F95E1F">
      <w:pPr>
        <w:spacing w:line="360" w:lineRule="auto"/>
        <w:jc w:val="both"/>
        <w:rPr>
          <w:rFonts w:ascii="Times New Roman" w:hAnsi="Times New Roman" w:cs="Times New Roman"/>
          <w:b/>
          <w:bCs/>
        </w:rPr>
      </w:pPr>
      <w:r w:rsidRPr="005E4243">
        <w:rPr>
          <w:rFonts w:ascii="Times New Roman" w:hAnsi="Times New Roman" w:cs="Times New Roman"/>
          <w:b/>
          <w:bCs/>
        </w:rPr>
        <w:t xml:space="preserve">Research Objectives </w:t>
      </w:r>
    </w:p>
    <w:p w14:paraId="19A5E833" w14:textId="35F32BDB" w:rsidR="005E4243" w:rsidRPr="005E4243" w:rsidRDefault="004F68CC" w:rsidP="005E4243">
      <w:pPr>
        <w:pStyle w:val="ListParagraph"/>
        <w:numPr>
          <w:ilvl w:val="0"/>
          <w:numId w:val="47"/>
        </w:numPr>
        <w:spacing w:line="360" w:lineRule="auto"/>
        <w:jc w:val="both"/>
        <w:rPr>
          <w:rFonts w:ascii="Times New Roman" w:hAnsi="Times New Roman" w:cs="Times New Roman"/>
        </w:rPr>
      </w:pPr>
      <w:r w:rsidRPr="005E4243">
        <w:rPr>
          <w:rFonts w:ascii="Times New Roman" w:hAnsi="Times New Roman" w:cs="Times New Roman"/>
        </w:rPr>
        <w:t xml:space="preserve">The aim of the study is to determine the nutritional status of children (0-6 years) and women in Below Income Group and Middle-Class families in Dehra Block. </w:t>
      </w:r>
    </w:p>
    <w:p w14:paraId="6CBA619B" w14:textId="77777777" w:rsidR="005E4243" w:rsidRDefault="004F68CC" w:rsidP="005E4243">
      <w:pPr>
        <w:pStyle w:val="ListParagraph"/>
        <w:numPr>
          <w:ilvl w:val="0"/>
          <w:numId w:val="47"/>
        </w:numPr>
        <w:spacing w:line="360" w:lineRule="auto"/>
        <w:jc w:val="both"/>
        <w:rPr>
          <w:rFonts w:ascii="Times New Roman" w:hAnsi="Times New Roman" w:cs="Times New Roman"/>
        </w:rPr>
      </w:pPr>
      <w:r w:rsidRPr="005E4243">
        <w:rPr>
          <w:rFonts w:ascii="Times New Roman" w:hAnsi="Times New Roman" w:cs="Times New Roman"/>
        </w:rPr>
        <w:t xml:space="preserve">To analyze the socio-economic conditions that affected the household food and nutrition practices. To examine food habits and the proportion of food intake amongst families. </w:t>
      </w:r>
    </w:p>
    <w:p w14:paraId="2F22EB7E" w14:textId="5F52209F" w:rsidR="005E4243" w:rsidRPr="005E4243" w:rsidRDefault="004F68CC" w:rsidP="005E4243">
      <w:pPr>
        <w:pStyle w:val="ListParagraph"/>
        <w:numPr>
          <w:ilvl w:val="0"/>
          <w:numId w:val="47"/>
        </w:numPr>
        <w:spacing w:line="360" w:lineRule="auto"/>
        <w:jc w:val="both"/>
        <w:rPr>
          <w:rFonts w:ascii="Times New Roman" w:hAnsi="Times New Roman" w:cs="Times New Roman"/>
        </w:rPr>
      </w:pPr>
      <w:r w:rsidRPr="005E4243">
        <w:rPr>
          <w:rFonts w:ascii="Times New Roman" w:hAnsi="Times New Roman" w:cs="Times New Roman"/>
        </w:rPr>
        <w:t xml:space="preserve">To examine the occurrence of such health issues as anemia and childhood diseases. </w:t>
      </w:r>
    </w:p>
    <w:p w14:paraId="34CD93FC" w14:textId="21EDA8D7" w:rsidR="004F68CC" w:rsidRPr="005E4243" w:rsidRDefault="004F68CC" w:rsidP="005E4243">
      <w:pPr>
        <w:pStyle w:val="ListParagraph"/>
        <w:numPr>
          <w:ilvl w:val="0"/>
          <w:numId w:val="47"/>
        </w:numPr>
        <w:spacing w:line="360" w:lineRule="auto"/>
        <w:jc w:val="both"/>
        <w:rPr>
          <w:rFonts w:ascii="Times New Roman" w:hAnsi="Times New Roman" w:cs="Times New Roman"/>
        </w:rPr>
      </w:pPr>
      <w:r w:rsidRPr="005E4243">
        <w:rPr>
          <w:rFonts w:ascii="Times New Roman" w:hAnsi="Times New Roman" w:cs="Times New Roman"/>
        </w:rPr>
        <w:t xml:space="preserve">To determine the level of awareness of government nutrition and health </w:t>
      </w:r>
      <w:proofErr w:type="spellStart"/>
      <w:r w:rsidRPr="005E4243">
        <w:rPr>
          <w:rFonts w:ascii="Times New Roman" w:hAnsi="Times New Roman" w:cs="Times New Roman"/>
        </w:rPr>
        <w:t>programmes</w:t>
      </w:r>
      <w:proofErr w:type="spellEnd"/>
      <w:r w:rsidRPr="005E4243">
        <w:rPr>
          <w:rFonts w:ascii="Times New Roman" w:hAnsi="Times New Roman" w:cs="Times New Roman"/>
        </w:rPr>
        <w:t xml:space="preserve"> and the level of use of the same. In order to determine service delivery gaps and beneficiary issues. </w:t>
      </w:r>
    </w:p>
    <w:p w14:paraId="67408132" w14:textId="77777777" w:rsidR="004F68CC" w:rsidRPr="005E4243" w:rsidRDefault="004F68CC" w:rsidP="00F95E1F">
      <w:pPr>
        <w:spacing w:line="360" w:lineRule="auto"/>
        <w:jc w:val="both"/>
        <w:rPr>
          <w:rFonts w:ascii="Times New Roman" w:hAnsi="Times New Roman" w:cs="Times New Roman"/>
          <w:b/>
          <w:bCs/>
        </w:rPr>
      </w:pPr>
      <w:r w:rsidRPr="005E4243">
        <w:rPr>
          <w:rFonts w:ascii="Times New Roman" w:hAnsi="Times New Roman" w:cs="Times New Roman"/>
          <w:b/>
          <w:bCs/>
        </w:rPr>
        <w:t>Significance of the Study</w:t>
      </w:r>
    </w:p>
    <w:p w14:paraId="6EE3847B" w14:textId="4DB3012A" w:rsidR="004F68CC" w:rsidRPr="005E4243" w:rsidRDefault="004F68CC" w:rsidP="00F95E1F">
      <w:pPr>
        <w:spacing w:line="360" w:lineRule="auto"/>
        <w:jc w:val="both"/>
        <w:rPr>
          <w:rFonts w:ascii="Times New Roman" w:hAnsi="Times New Roman" w:cs="Times New Roman"/>
        </w:rPr>
      </w:pPr>
      <w:r w:rsidRPr="005E4243">
        <w:rPr>
          <w:rFonts w:ascii="Times New Roman" w:hAnsi="Times New Roman" w:cs="Times New Roman"/>
          <w:b/>
          <w:bCs/>
        </w:rPr>
        <w:t xml:space="preserve"> </w:t>
      </w:r>
      <w:r w:rsidRPr="005E4243">
        <w:rPr>
          <w:rFonts w:ascii="Times New Roman" w:hAnsi="Times New Roman" w:cs="Times New Roman"/>
        </w:rPr>
        <w:t xml:space="preserve">The current research is very important because it offers a block-level data on nutritional conditions and malnutrition rate in Dehra Block of Kangra District, Himachal Pradesh that lacks sufficient micro-level data. The analysis of the ground-level operation and use of the schemes of nutrition related government welfare provides the practical knowledge about their coverage, efficiency, and </w:t>
      </w:r>
      <w:r w:rsidRPr="005E4243">
        <w:rPr>
          <w:rFonts w:ascii="Times New Roman" w:hAnsi="Times New Roman" w:cs="Times New Roman"/>
        </w:rPr>
        <w:lastRenderedPageBreak/>
        <w:t xml:space="preserve">gaps on the current situation. It is hoped that the findings will help policy makers, health officials, social workers, NGOs and frontline health workers to plan and make specific, need-based intervention on vulnerable populations like children and women. Besides, the paper is a contribution to the emerging body of academic knowledge about </w:t>
      </w:r>
      <w:proofErr w:type="spellStart"/>
      <w:r w:rsidRPr="005E4243">
        <w:rPr>
          <w:rFonts w:ascii="Times New Roman" w:hAnsi="Times New Roman" w:cs="Times New Roman"/>
        </w:rPr>
        <w:t>Kuposhit</w:t>
      </w:r>
      <w:proofErr w:type="spellEnd"/>
      <w:r w:rsidRPr="005E4243">
        <w:rPr>
          <w:rFonts w:ascii="Times New Roman" w:hAnsi="Times New Roman" w:cs="Times New Roman"/>
        </w:rPr>
        <w:t xml:space="preserve"> Bharat and rural nutrition, as well as, facilitates community awareness and advocacy to enhance nutritional outcomes and empower community health efforts. </w:t>
      </w:r>
    </w:p>
    <w:p w14:paraId="2529CE75" w14:textId="77777777" w:rsidR="004F68CC" w:rsidRPr="005E4243" w:rsidRDefault="004F68CC" w:rsidP="00F95E1F">
      <w:pPr>
        <w:spacing w:line="360" w:lineRule="auto"/>
        <w:jc w:val="both"/>
        <w:rPr>
          <w:rFonts w:ascii="Times New Roman" w:hAnsi="Times New Roman" w:cs="Times New Roman"/>
          <w:b/>
          <w:bCs/>
        </w:rPr>
      </w:pPr>
      <w:r w:rsidRPr="005E4243">
        <w:rPr>
          <w:rFonts w:ascii="Times New Roman" w:hAnsi="Times New Roman" w:cs="Times New Roman"/>
          <w:b/>
          <w:bCs/>
        </w:rPr>
        <w:t xml:space="preserve">Research Gap </w:t>
      </w:r>
    </w:p>
    <w:p w14:paraId="36859643" w14:textId="295E63DD" w:rsidR="004F68CC" w:rsidRPr="005E4243" w:rsidRDefault="004F68CC" w:rsidP="00F95E1F">
      <w:pPr>
        <w:spacing w:line="360" w:lineRule="auto"/>
        <w:jc w:val="both"/>
        <w:rPr>
          <w:rFonts w:ascii="Times New Roman" w:hAnsi="Times New Roman" w:cs="Times New Roman"/>
        </w:rPr>
      </w:pPr>
      <w:r w:rsidRPr="005E4243">
        <w:rPr>
          <w:rFonts w:ascii="Times New Roman" w:hAnsi="Times New Roman" w:cs="Times New Roman"/>
        </w:rPr>
        <w:t>The analysis of the literature at hand shows that there are some significant gaps, which render the current study. The research on localized block-level studies of the nutritional status of households in the Dehra Block of Kangra District is lacking even though the socio-economic and health statuses in the region are varied. Besides, there is a dearth of comparative studies on Below Poverty Line (BPL) and middle-class households, thus leaving an incomplete picture on nutritional inequalities among income groups. The available literature also has the tendency to study socio-economic factors, dietary habits, health outcomes, and government welfare plans separately, as opposed to taking a holistic solution. Also, the lack of qualitative insights into the experiences, perception, and barriers to access and use of government nutrition and health schemes in beneficiaries is also evident. As a solution to these gaps, the current research takes an extensive and localized method to deliver a comprehensive insight of nutritional status and scheme usage in the study region.</w:t>
      </w:r>
    </w:p>
    <w:p w14:paraId="71AECB01" w14:textId="77777777" w:rsidR="00067F0F" w:rsidRDefault="004F68CC" w:rsidP="00F95E1F">
      <w:pPr>
        <w:spacing w:line="360" w:lineRule="auto"/>
        <w:jc w:val="both"/>
        <w:rPr>
          <w:rFonts w:ascii="Times New Roman" w:hAnsi="Times New Roman" w:cs="Times New Roman"/>
          <w:b/>
          <w:bCs/>
        </w:rPr>
      </w:pPr>
      <w:r w:rsidRPr="005E4243">
        <w:rPr>
          <w:rFonts w:ascii="Times New Roman" w:hAnsi="Times New Roman" w:cs="Times New Roman"/>
          <w:b/>
          <w:bCs/>
        </w:rPr>
        <w:t xml:space="preserve"> </w:t>
      </w:r>
    </w:p>
    <w:p w14:paraId="313F0BFD" w14:textId="5678C1C7" w:rsidR="004F68CC" w:rsidRPr="005E4243" w:rsidRDefault="004F68CC" w:rsidP="00F95E1F">
      <w:pPr>
        <w:spacing w:line="360" w:lineRule="auto"/>
        <w:jc w:val="both"/>
        <w:rPr>
          <w:rFonts w:ascii="Times New Roman" w:hAnsi="Times New Roman" w:cs="Times New Roman"/>
          <w:b/>
          <w:bCs/>
        </w:rPr>
      </w:pPr>
      <w:r w:rsidRPr="005E4243">
        <w:rPr>
          <w:rFonts w:ascii="Times New Roman" w:hAnsi="Times New Roman" w:cs="Times New Roman"/>
          <w:b/>
          <w:bCs/>
        </w:rPr>
        <w:t xml:space="preserve">Research Methodology </w:t>
      </w:r>
    </w:p>
    <w:p w14:paraId="3440B106" w14:textId="3DE264BA" w:rsidR="00480715" w:rsidRPr="005E4243" w:rsidRDefault="004F68CC" w:rsidP="00F95E1F">
      <w:pPr>
        <w:spacing w:line="360" w:lineRule="auto"/>
        <w:jc w:val="both"/>
        <w:rPr>
          <w:rFonts w:ascii="Times New Roman" w:hAnsi="Times New Roman" w:cs="Times New Roman"/>
          <w:caps/>
        </w:rPr>
      </w:pPr>
      <w:r w:rsidRPr="005E4243">
        <w:rPr>
          <w:rFonts w:ascii="Times New Roman" w:hAnsi="Times New Roman" w:cs="Times New Roman"/>
        </w:rPr>
        <w:t>The current study had a descriptive cross-sectional research design; the study aimed to examine the nutritional status and reliance on government welfare programs among the below-income and middle-class families in Dehra Block of Kangra District, Himachal Pradesh. The data collection was done using a structured questionnaire on 30 households as the primary data. The questions in the questionnaire included the socio-demographic factors, dietary habits, nutritional habits, health conditions of children and women, awareness and use of government programs. Purposive sampling was utilized in the selection of the respondents. The data obtained were entered in codes, tabulated and analyzed by the simple percentage analysis and results were displayed in tables, pie charts and bar diagrams so that they can be easily interpreted.</w:t>
      </w:r>
    </w:p>
    <w:p w14:paraId="6354D88E" w14:textId="77777777" w:rsidR="00866896" w:rsidRPr="005E4243" w:rsidRDefault="00866896" w:rsidP="00852FE7">
      <w:pPr>
        <w:spacing w:line="360" w:lineRule="auto"/>
        <w:jc w:val="both"/>
        <w:rPr>
          <w:rFonts w:ascii="Times New Roman" w:hAnsi="Times New Roman" w:cs="Times New Roman"/>
          <w:b/>
          <w:bCs/>
          <w:caps/>
        </w:rPr>
      </w:pPr>
      <w:r w:rsidRPr="005E4243">
        <w:rPr>
          <w:rFonts w:ascii="Times New Roman" w:hAnsi="Times New Roman" w:cs="Times New Roman"/>
          <w:b/>
          <w:bCs/>
          <w:caps/>
        </w:rPr>
        <w:lastRenderedPageBreak/>
        <w:t xml:space="preserve">DISCUSSION AND ANALYSIS </w:t>
      </w:r>
    </w:p>
    <w:p w14:paraId="4E0463A4" w14:textId="4D366E34" w:rsidR="00866896" w:rsidRPr="005E4243" w:rsidRDefault="00866896" w:rsidP="00852FE7">
      <w:pPr>
        <w:spacing w:line="360" w:lineRule="auto"/>
        <w:jc w:val="both"/>
        <w:rPr>
          <w:rFonts w:ascii="Times New Roman" w:hAnsi="Times New Roman" w:cs="Times New Roman"/>
          <w:caps/>
        </w:rPr>
      </w:pPr>
      <w:r w:rsidRPr="005E4243">
        <w:rPr>
          <w:rFonts w:ascii="Times New Roman" w:hAnsi="Times New Roman" w:cs="Times New Roman"/>
        </w:rPr>
        <w:t xml:space="preserve">The case study of 30 households in the Dehra Block of the Kangra District, Himachal Pradesh, demonstrates a complicated structural interaction between socio-economic vulnerability, food habits, and the effectiveness of the government-level health interventions. Demographic profile shows the presence of a young and economically active population, with more than 76 percent of the respondents falling within the age group of 18 and 45 but the downside is the huge educational shortage as a third of the sample was illiterate. This state of having no formal education presents a long-term obstacle to absorbing health-related information, and stumbling through bureaucratic welfare systems. The community is economically very unstable; 60 per cent of families live on daily wage labor, and a whopping 60 per cent of families live on less than 10,000 per month; therefore, the financial ability to ensure nutritional security is fragile. Although there were certain improvements in the housing conditions, half of the population is living in pucca houses, but the fact that 26.7 do not have access to basic toilet facilities is constantly threatening the general health because of the elevated risk of waterborne diseases and infections. The dietary patterns sound strong at first glance, as 86.7% of the families eat three meals per day and the reported intake of the high-protein group, such as eggs or meat, is high; however, a more in-depth examination reveals that only 70% are the ones that regularly have access to high-quality proteins (e.g., eggs or meat), and 80% often eat fried foods, which indicates an underlying hidden hunger in which caloric content would be adequate, but the nutrient density would be low. This is supported by the observation that although 83.3 percent of households said that they feed children separate nutritious food and 76.7 percent feed the pregnant women special diets, 26.7 percent of children were found to be malnourished (underweight or wasted). These malnutrition rates have been also directly linked to a morbidity rate of 30 percent in children within the last six months that can be directly related to the malnutrition rates, and this indicates a cycle of sickness and nutrient loss. Moreover, the institutional support demonstrates an ambivalent face: on the one hand, ASHA and Anganwadi workers have high physical presence with 76.7 percent home-visit rate, although on the other hand, there are still systemic gaps because 36.7 percent of pregnant and lactating women receive no needed iron and calcium supplements, and most of them (60 percent) have no idea about the flagship Poshan Abhiyaan. Finally, the data indicates that despite the fact that the mechanics of service delivery are partially present, a combination of low educational attainment, extreme income variability, and low awareness of national nutrition missions does not allow translating the </w:t>
      </w:r>
      <w:r w:rsidRPr="005E4243">
        <w:rPr>
          <w:rFonts w:ascii="Times New Roman" w:hAnsi="Times New Roman" w:cs="Times New Roman"/>
        </w:rPr>
        <w:lastRenderedPageBreak/>
        <w:t>daily meals into positive health outcomes and a more integrated approach to service delivery that goes beyond pure food distribution to a complex economic empowerment and the focus on national nutrition education is needed. The given data is a full picture of the nutritional status and the use of the government welfare schemes among the below-income and middle-class families in the Dehra Block, Kangra District, Himachal Pradesh. The analysis is designed to support the research objectives by solving the socio-economic factors, dietary patterns, health problems, and program awareness. The demographics population of the households surveyed has shown that the population is mainly composed of young-middle aged adult population with 40% falling within the age bracket of 18-30 and 36.7% within the age bracket of 31-45. Incidentally, the number of interviewees who are illiterate is very high (33.3%), and those who have attained higher secondary education and those who have attained primary education are 23.3% and 23.3% respectively. Such a diverse educational experience indicates that information dissemination may be difficult especially to government welfare schemes 1. Most of the families are small (3-4 members, 40%) and medium (5-6 members, 30%), which is something that can affect the utilization of resources on a per-capita basis. It is important to note that the surveyed households all belong to those having at least one child of the age 0-6 years, with 36.7% of them having three children in this age bracket, which is why the demographic target is concentrated on young families. Most families (60 percent) engage in daily wage earners as their major source of income and this leads to instability in earnings, with forty percent of the families earning [?]5,000-[?]10,000 monthly and 20 percent earning less than [?]5,000 monthly. This economic weakness is also manifested in the housing conditions where half of them is in pucca houses, 30 in semi-pucca houses, and 20 in kutcha houses 3. Although 73.3 percent of them have toilet facilities, 26.7 percent of them do not have what is considered the most basic sanitation and this is important in matters of health outcomes.</w:t>
      </w:r>
    </w:p>
    <w:p w14:paraId="1CE0AD76" w14:textId="6ACC00A9" w:rsidR="00866896" w:rsidRPr="005E4243" w:rsidRDefault="00866896" w:rsidP="00852FE7">
      <w:pPr>
        <w:spacing w:line="360" w:lineRule="auto"/>
        <w:jc w:val="both"/>
        <w:rPr>
          <w:rFonts w:ascii="Times New Roman" w:hAnsi="Times New Roman" w:cs="Times New Roman"/>
          <w:b/>
          <w:bCs/>
          <w:sz w:val="28"/>
          <w:szCs w:val="28"/>
        </w:rPr>
      </w:pPr>
      <w:r w:rsidRPr="005E4243">
        <w:rPr>
          <w:rFonts w:ascii="Times New Roman" w:hAnsi="Times New Roman" w:cs="Times New Roman"/>
          <w:b/>
          <w:bCs/>
          <w:sz w:val="28"/>
          <w:szCs w:val="28"/>
        </w:rPr>
        <w:t>Nutritional Analysis and Socio-Economic Analysis</w:t>
      </w:r>
    </w:p>
    <w:p w14:paraId="15AEB7C0" w14:textId="413B9BEA" w:rsidR="00866896" w:rsidRPr="005E4243" w:rsidRDefault="00866896" w:rsidP="00852FE7">
      <w:pPr>
        <w:spacing w:line="360" w:lineRule="auto"/>
        <w:jc w:val="both"/>
        <w:rPr>
          <w:rFonts w:ascii="Times New Roman" w:hAnsi="Times New Roman" w:cs="Times New Roman"/>
          <w:b/>
          <w:bCs/>
        </w:rPr>
      </w:pPr>
      <w:r w:rsidRPr="005E4243">
        <w:rPr>
          <w:rFonts w:ascii="Times New Roman" w:hAnsi="Times New Roman" w:cs="Times New Roman"/>
          <w:b/>
          <w:bCs/>
        </w:rPr>
        <w:t>Eating Patterns and Frequencies of Food Consumption</w:t>
      </w:r>
    </w:p>
    <w:p w14:paraId="6A405264" w14:textId="77777777" w:rsidR="00866896" w:rsidRPr="005E4243" w:rsidRDefault="00866896" w:rsidP="00852FE7">
      <w:pPr>
        <w:spacing w:line="360" w:lineRule="auto"/>
        <w:jc w:val="both"/>
        <w:rPr>
          <w:rFonts w:ascii="Times New Roman" w:hAnsi="Times New Roman" w:cs="Times New Roman"/>
        </w:rPr>
      </w:pPr>
      <w:r w:rsidRPr="005E4243">
        <w:rPr>
          <w:rFonts w:ascii="Times New Roman" w:hAnsi="Times New Roman" w:cs="Times New Roman"/>
        </w:rPr>
        <w:t>This paper shows that the meal frequency is rather constant, 86.7 percent of families have three meals a day and 13.3 percent have two meals a day. Although, the decreasing meal frequency of a minority might mean food insecurity or economic distress 89. The percentage consumption of the cereals/maize (100%), vegetables (96.7%), pulses (93.3%), fruits (83.3%), and milk products (83.3%) is high in the inclusion of food items in regular meals. Eggs/meat/</w:t>
      </w:r>
      <w:proofErr w:type="spellStart"/>
      <w:r w:rsidRPr="005E4243">
        <w:rPr>
          <w:rFonts w:ascii="Times New Roman" w:hAnsi="Times New Roman" w:cs="Times New Roman"/>
        </w:rPr>
        <w:t>fishs</w:t>
      </w:r>
      <w:proofErr w:type="spellEnd"/>
      <w:r w:rsidRPr="005E4243">
        <w:rPr>
          <w:rFonts w:ascii="Times New Roman" w:hAnsi="Times New Roman" w:cs="Times New Roman"/>
        </w:rPr>
        <w:t xml:space="preserve"> are known to be </w:t>
      </w:r>
      <w:r w:rsidRPr="005E4243">
        <w:rPr>
          <w:rFonts w:ascii="Times New Roman" w:hAnsi="Times New Roman" w:cs="Times New Roman"/>
        </w:rPr>
        <w:lastRenderedPageBreak/>
        <w:t xml:space="preserve">the proteins sources used among 70 percent of diet, as well as fried products, are also prominent in 80 percent of the diets. This implies a diverse diet, but a high rate of consumption of fried items is a nutritional behavior, which may be explored more 10. </w:t>
      </w:r>
    </w:p>
    <w:p w14:paraId="2F43092C" w14:textId="20333D67" w:rsidR="00866896" w:rsidRPr="005E4243" w:rsidRDefault="00866896" w:rsidP="00852FE7">
      <w:pPr>
        <w:spacing w:line="360" w:lineRule="auto"/>
        <w:jc w:val="both"/>
        <w:rPr>
          <w:rFonts w:ascii="Times New Roman" w:hAnsi="Times New Roman" w:cs="Times New Roman"/>
          <w:b/>
          <w:bCs/>
        </w:rPr>
      </w:pPr>
      <w:r w:rsidRPr="005E4243">
        <w:rPr>
          <w:rFonts w:ascii="Times New Roman" w:hAnsi="Times New Roman" w:cs="Times New Roman"/>
          <w:b/>
          <w:bCs/>
        </w:rPr>
        <w:t>The visual materials need to be referred to original research literature</w:t>
      </w:r>
    </w:p>
    <w:p w14:paraId="76D20866" w14:textId="77777777" w:rsidR="00866896" w:rsidRPr="005E4243" w:rsidRDefault="00866896" w:rsidP="00852FE7">
      <w:pPr>
        <w:spacing w:line="360" w:lineRule="auto"/>
        <w:jc w:val="both"/>
        <w:rPr>
          <w:rFonts w:ascii="Times New Roman" w:hAnsi="Times New Roman" w:cs="Times New Roman"/>
        </w:rPr>
      </w:pPr>
      <w:r w:rsidRPr="005E4243">
        <w:rPr>
          <w:rFonts w:ascii="Times New Roman" w:hAnsi="Times New Roman" w:cs="Times New Roman"/>
        </w:rPr>
        <w:t xml:space="preserve">An important result is the importance of nutrition in the household in favor of children: 83.3% of the households give children separate nutritious food such as pulses, milk, fruits, and eggs. In the same way, 76.7 percent of pregnant and lactating mothers are fed on special nutritious food. This shows the high household or communal level of awareness on the significance of maternal and child nutrition, which is comparable with the suggestion that interventions should be targeted at the first 1000 days of life. Nevertheless, there is a serious gap as one-fifth of pregnant and lactating women do not take these specialized nutritional supplements (23.3). </w:t>
      </w:r>
    </w:p>
    <w:p w14:paraId="7D4F6E7D" w14:textId="77777777" w:rsidR="00866896" w:rsidRPr="005E4243" w:rsidRDefault="00866896" w:rsidP="00852FE7">
      <w:pPr>
        <w:spacing w:line="360" w:lineRule="auto"/>
        <w:jc w:val="both"/>
        <w:rPr>
          <w:rFonts w:ascii="Times New Roman" w:hAnsi="Times New Roman" w:cs="Times New Roman"/>
          <w:b/>
          <w:bCs/>
        </w:rPr>
      </w:pPr>
      <w:r w:rsidRPr="005E4243">
        <w:rPr>
          <w:rFonts w:ascii="Times New Roman" w:hAnsi="Times New Roman" w:cs="Times New Roman"/>
          <w:b/>
          <w:bCs/>
        </w:rPr>
        <w:t>Malnutrition and Health Problems Prevalence</w:t>
      </w:r>
    </w:p>
    <w:p w14:paraId="1B7F67C8" w14:textId="77777777" w:rsidR="00866896" w:rsidRPr="005E4243" w:rsidRDefault="00866896" w:rsidP="00852FE7">
      <w:pPr>
        <w:spacing w:line="360" w:lineRule="auto"/>
        <w:jc w:val="both"/>
        <w:rPr>
          <w:rFonts w:ascii="Times New Roman" w:hAnsi="Times New Roman" w:cs="Times New Roman"/>
        </w:rPr>
      </w:pPr>
      <w:r w:rsidRPr="005E4243">
        <w:rPr>
          <w:rFonts w:ascii="Times New Roman" w:hAnsi="Times New Roman" w:cs="Times New Roman"/>
        </w:rPr>
        <w:t xml:space="preserve">The research discovered that 73.3 percent of the respondents say that the children never feel hungry, another 16.7 percent say that they feel hungry rarely and 10 percent say they feel hungry occasionally. This indicates that 26.7 percent of the children experience some form of food inadequacy, thus areas can be improved by use of welfare programs. Moreover, weight and height of children are regularly checked (76.7%), which indicates proper awareness of health, which may be supported by the Anganwadi centers or the governmental programs. Nevertheless, only 23.3 percent of households engage in regular growth monitoring, and this would result in malnutrition being detected late. </w:t>
      </w:r>
    </w:p>
    <w:p w14:paraId="41C7AAD3" w14:textId="3FD64E1C" w:rsidR="00866896" w:rsidRPr="005E4243" w:rsidRDefault="00866896" w:rsidP="00852FE7">
      <w:pPr>
        <w:spacing w:line="360" w:lineRule="auto"/>
        <w:jc w:val="both"/>
        <w:rPr>
          <w:rFonts w:ascii="Times New Roman" w:hAnsi="Times New Roman" w:cs="Times New Roman"/>
        </w:rPr>
      </w:pPr>
      <w:r w:rsidRPr="005E4243">
        <w:rPr>
          <w:rFonts w:ascii="Times New Roman" w:hAnsi="Times New Roman" w:cs="Times New Roman"/>
        </w:rPr>
        <w:t xml:space="preserve">On the child illness, a third of children had been ill with serious illnesses such as anemia, fever or weakness within the last six months and the remaining 70% had not. This 30 percent disease rate is equivalent to the 26.7 percent malnutrition of children (underweight, weak or wasted) in the households surveyed. The close relationship between malnutrition and illness supports the importance of combined health and nutrition interventions. Maternal anemia is an important population health concern in India as well, and iron and folic acid supplementation interventions are essential. Nevertheless, the proportion of pregnant and lactating women who do not take regular iron, folic acid, calcium tablets and polio drops is 36.7 percent which is a significant lapse in medical supplementation. </w:t>
      </w:r>
    </w:p>
    <w:p w14:paraId="3F2F3516" w14:textId="77777777" w:rsidR="006D4B97" w:rsidRDefault="006D4B97" w:rsidP="00852FE7">
      <w:pPr>
        <w:spacing w:line="360" w:lineRule="auto"/>
        <w:jc w:val="both"/>
        <w:rPr>
          <w:rFonts w:ascii="Times New Roman" w:hAnsi="Times New Roman" w:cs="Times New Roman"/>
          <w:b/>
          <w:bCs/>
        </w:rPr>
      </w:pPr>
    </w:p>
    <w:p w14:paraId="77555157" w14:textId="73592D63" w:rsidR="00866896" w:rsidRPr="005E4243" w:rsidRDefault="00866896" w:rsidP="00852FE7">
      <w:pPr>
        <w:spacing w:line="360" w:lineRule="auto"/>
        <w:jc w:val="both"/>
        <w:rPr>
          <w:rFonts w:ascii="Times New Roman" w:hAnsi="Times New Roman" w:cs="Times New Roman"/>
          <w:b/>
          <w:bCs/>
        </w:rPr>
      </w:pPr>
      <w:r w:rsidRPr="005E4243">
        <w:rPr>
          <w:rFonts w:ascii="Times New Roman" w:hAnsi="Times New Roman" w:cs="Times New Roman"/>
          <w:b/>
          <w:bCs/>
        </w:rPr>
        <w:t xml:space="preserve">Knowledge and Consumption of Government Nutrition and Health </w:t>
      </w:r>
      <w:proofErr w:type="spellStart"/>
      <w:r w:rsidRPr="005E4243">
        <w:rPr>
          <w:rFonts w:ascii="Times New Roman" w:hAnsi="Times New Roman" w:cs="Times New Roman"/>
          <w:b/>
          <w:bCs/>
        </w:rPr>
        <w:t>Programmes</w:t>
      </w:r>
      <w:proofErr w:type="spellEnd"/>
    </w:p>
    <w:p w14:paraId="3D46512E" w14:textId="77777777" w:rsidR="00067F0F" w:rsidRDefault="00866896" w:rsidP="00852FE7">
      <w:pPr>
        <w:spacing w:line="360" w:lineRule="auto"/>
        <w:jc w:val="both"/>
        <w:rPr>
          <w:rFonts w:ascii="Times New Roman" w:hAnsi="Times New Roman" w:cs="Times New Roman"/>
        </w:rPr>
      </w:pPr>
      <w:r w:rsidRPr="005E4243">
        <w:rPr>
          <w:rFonts w:ascii="Times New Roman" w:hAnsi="Times New Roman" w:cs="Times New Roman"/>
        </w:rPr>
        <w:t xml:space="preserve">One of the most important observations is that Poshan Abhiyaan (National Nutrition Mission) is not widely known, and 60% of the respondents are not aware of the program. Only 40% reported awareness. As a Jan Andolan-people movement in order to reduce and anemia, Poshan Abhiyaan is intended to be community-oriented. This ignorance implies that a stiff reinforcement of local communication and media advocacy practices is required to target households below-income and middle-class. Although the awareness of particular programs is low, contact on frontline health workers seems high. A large proportion (76.7) of the households indicated that they were visited by ASHA (Accredited Social Health Activist) workers or other health center workers on a regular basis. Such frequency of visits implies the dynamic control of the maternal and child health, which is essential to the success of the welfare schemes and the assessment of the nutritional status provided by governments in general. </w:t>
      </w:r>
    </w:p>
    <w:p w14:paraId="529F91CF" w14:textId="6BA1E7CB" w:rsidR="00866896" w:rsidRPr="005E4243" w:rsidRDefault="00866896" w:rsidP="00852FE7">
      <w:pPr>
        <w:spacing w:line="360" w:lineRule="auto"/>
        <w:jc w:val="both"/>
        <w:rPr>
          <w:rFonts w:ascii="Times New Roman" w:hAnsi="Times New Roman" w:cs="Times New Roman"/>
        </w:rPr>
      </w:pPr>
      <w:r w:rsidRPr="005E4243">
        <w:rPr>
          <w:rFonts w:ascii="Times New Roman" w:hAnsi="Times New Roman" w:cs="Times New Roman"/>
        </w:rPr>
        <w:t xml:space="preserve">Nevertheless, a significant proportion of households (23.3) lack regular visits, which means that there is an outreach gap that has to be bridged. Availability of ASHA workers as community health workers is essential in applying interventions such as, where an assess-classify-treat algorithm is systematic to deal with prevalent childhood diseases and malnutrition. Loopholes in the Service Provision and Problems encountered by the beneficiaries. </w:t>
      </w:r>
    </w:p>
    <w:p w14:paraId="6E23D2DD" w14:textId="4DA5240E" w:rsidR="00866896" w:rsidRPr="005E4243" w:rsidRDefault="00866896" w:rsidP="00852FE7">
      <w:pPr>
        <w:spacing w:line="360" w:lineRule="auto"/>
        <w:jc w:val="both"/>
        <w:rPr>
          <w:rFonts w:ascii="Times New Roman" w:hAnsi="Times New Roman" w:cs="Times New Roman"/>
          <w:b/>
          <w:bCs/>
        </w:rPr>
      </w:pPr>
      <w:r w:rsidRPr="005E4243">
        <w:rPr>
          <w:rFonts w:ascii="Times New Roman" w:hAnsi="Times New Roman" w:cs="Times New Roman"/>
          <w:b/>
          <w:bCs/>
        </w:rPr>
        <w:t xml:space="preserve">It is discussed that there are a number of gaps: </w:t>
      </w:r>
    </w:p>
    <w:p w14:paraId="5788C1BD" w14:textId="77777777" w:rsidR="006D4B97" w:rsidRDefault="00866896" w:rsidP="00852FE7">
      <w:pPr>
        <w:spacing w:line="360" w:lineRule="auto"/>
        <w:jc w:val="both"/>
        <w:rPr>
          <w:rFonts w:ascii="Times New Roman" w:hAnsi="Times New Roman" w:cs="Times New Roman"/>
          <w:b/>
          <w:bCs/>
        </w:rPr>
      </w:pPr>
      <w:r w:rsidRPr="005E4243">
        <w:rPr>
          <w:rFonts w:ascii="Times New Roman" w:hAnsi="Times New Roman" w:cs="Times New Roman"/>
          <w:b/>
          <w:bCs/>
        </w:rPr>
        <w:t xml:space="preserve">Awareness Gap: </w:t>
      </w:r>
    </w:p>
    <w:p w14:paraId="37DDDB00" w14:textId="11146C3B" w:rsidR="00866896" w:rsidRPr="005E4243" w:rsidRDefault="00866896" w:rsidP="00852FE7">
      <w:pPr>
        <w:spacing w:line="360" w:lineRule="auto"/>
        <w:jc w:val="both"/>
        <w:rPr>
          <w:rFonts w:ascii="Times New Roman" w:hAnsi="Times New Roman" w:cs="Times New Roman"/>
          <w:b/>
          <w:bCs/>
        </w:rPr>
      </w:pPr>
      <w:r w:rsidRPr="005E4243">
        <w:rPr>
          <w:rFonts w:ascii="Times New Roman" w:hAnsi="Times New Roman" w:cs="Times New Roman"/>
        </w:rPr>
        <w:t>The high level of lack of awareness (60%) on Poshan Abhiyaan is one of the biggest obstacles to the successful use of the scheme 15. Such gap is very worrying especially considering the aim of the mission which is to decrease stunting and anemia.</w:t>
      </w:r>
      <w:r w:rsidRPr="005E4243">
        <w:rPr>
          <w:rFonts w:ascii="Times New Roman" w:hAnsi="Times New Roman" w:cs="Times New Roman"/>
          <w:b/>
          <w:bCs/>
        </w:rPr>
        <w:t xml:space="preserve"> </w:t>
      </w:r>
    </w:p>
    <w:p w14:paraId="696F4C71" w14:textId="77777777" w:rsidR="00067F0F" w:rsidRDefault="00866896" w:rsidP="00852FE7">
      <w:pPr>
        <w:spacing w:line="360" w:lineRule="auto"/>
        <w:jc w:val="both"/>
        <w:rPr>
          <w:rFonts w:ascii="Times New Roman" w:hAnsi="Times New Roman" w:cs="Times New Roman"/>
          <w:b/>
          <w:bCs/>
        </w:rPr>
      </w:pPr>
      <w:r w:rsidRPr="005E4243">
        <w:rPr>
          <w:rFonts w:ascii="Times New Roman" w:hAnsi="Times New Roman" w:cs="Times New Roman"/>
          <w:b/>
          <w:bCs/>
        </w:rPr>
        <w:t>Supplementation Gap</w:t>
      </w:r>
      <w:r w:rsidR="00393E38">
        <w:rPr>
          <w:rFonts w:ascii="Times New Roman" w:hAnsi="Times New Roman" w:cs="Times New Roman"/>
          <w:b/>
          <w:bCs/>
        </w:rPr>
        <w:t xml:space="preserve">: </w:t>
      </w:r>
    </w:p>
    <w:p w14:paraId="2FD78580" w14:textId="0C35078C" w:rsidR="00866896" w:rsidRPr="00393E38" w:rsidRDefault="00866896" w:rsidP="00852FE7">
      <w:pPr>
        <w:spacing w:line="360" w:lineRule="auto"/>
        <w:jc w:val="both"/>
        <w:rPr>
          <w:rFonts w:ascii="Times New Roman" w:hAnsi="Times New Roman" w:cs="Times New Roman"/>
          <w:b/>
          <w:bCs/>
        </w:rPr>
      </w:pPr>
      <w:r w:rsidRPr="005E4243">
        <w:rPr>
          <w:rFonts w:ascii="Times New Roman" w:hAnsi="Times New Roman" w:cs="Times New Roman"/>
        </w:rPr>
        <w:t>More than one-third (36.7) of pregnant and lactating women do not take the necessary medical supplements, such as iron, folic acid, calcium, and polio drop. This is a direct threat to maternal and child health outcomes.</w:t>
      </w:r>
    </w:p>
    <w:p w14:paraId="0C3CA5CE" w14:textId="77777777" w:rsidR="00067F0F" w:rsidRDefault="00067F0F" w:rsidP="00852FE7">
      <w:pPr>
        <w:spacing w:line="360" w:lineRule="auto"/>
        <w:jc w:val="both"/>
        <w:rPr>
          <w:rFonts w:ascii="Times New Roman" w:hAnsi="Times New Roman" w:cs="Times New Roman"/>
          <w:b/>
          <w:bCs/>
        </w:rPr>
      </w:pPr>
    </w:p>
    <w:p w14:paraId="330BAED0" w14:textId="6DD47FED" w:rsidR="00067F0F" w:rsidRDefault="00067F0F" w:rsidP="00852FE7">
      <w:pPr>
        <w:spacing w:line="360" w:lineRule="auto"/>
        <w:jc w:val="both"/>
        <w:rPr>
          <w:rFonts w:ascii="Times New Roman" w:hAnsi="Times New Roman" w:cs="Times New Roman"/>
          <w:b/>
          <w:bCs/>
        </w:rPr>
      </w:pPr>
      <w:r w:rsidRPr="005E4243">
        <w:rPr>
          <w:rFonts w:ascii="Times New Roman" w:hAnsi="Times New Roman" w:cs="Times New Roman"/>
          <w:b/>
          <w:bCs/>
        </w:rPr>
        <w:lastRenderedPageBreak/>
        <w:t xml:space="preserve">Food Insecurity: </w:t>
      </w:r>
    </w:p>
    <w:p w14:paraId="1BD4E914" w14:textId="575A0200" w:rsidR="00067F0F" w:rsidRDefault="00067F0F" w:rsidP="00852FE7">
      <w:pPr>
        <w:spacing w:line="360" w:lineRule="auto"/>
        <w:jc w:val="both"/>
        <w:rPr>
          <w:rFonts w:ascii="Times New Roman" w:hAnsi="Times New Roman" w:cs="Times New Roman"/>
          <w:b/>
          <w:bCs/>
        </w:rPr>
      </w:pPr>
      <w:r w:rsidRPr="005E4243">
        <w:rPr>
          <w:rFonts w:ascii="Times New Roman" w:hAnsi="Times New Roman" w:cs="Times New Roman"/>
        </w:rPr>
        <w:t xml:space="preserve">Most people are food secure, however, 26.7% of children occasionally or rarely experience hunger implying that the current schemes may not effectively cover the vulnerable groups. </w:t>
      </w:r>
    </w:p>
    <w:p w14:paraId="7C71C890" w14:textId="342833F9" w:rsidR="005E4243" w:rsidRPr="005E4243" w:rsidRDefault="00866896" w:rsidP="00852FE7">
      <w:pPr>
        <w:spacing w:line="360" w:lineRule="auto"/>
        <w:jc w:val="both"/>
        <w:rPr>
          <w:rFonts w:ascii="Times New Roman" w:hAnsi="Times New Roman" w:cs="Times New Roman"/>
          <w:b/>
          <w:bCs/>
        </w:rPr>
      </w:pPr>
      <w:r w:rsidRPr="005E4243">
        <w:rPr>
          <w:rFonts w:ascii="Times New Roman" w:hAnsi="Times New Roman" w:cs="Times New Roman"/>
          <w:b/>
          <w:bCs/>
        </w:rPr>
        <w:t xml:space="preserve">Sanitation: </w:t>
      </w:r>
    </w:p>
    <w:p w14:paraId="51543CF4" w14:textId="77777777" w:rsidR="005E4243" w:rsidRPr="005E4243" w:rsidRDefault="00866896" w:rsidP="00852FE7">
      <w:pPr>
        <w:spacing w:line="360" w:lineRule="auto"/>
        <w:jc w:val="both"/>
        <w:rPr>
          <w:rFonts w:ascii="Times New Roman" w:hAnsi="Times New Roman" w:cs="Times New Roman"/>
        </w:rPr>
      </w:pPr>
      <w:r w:rsidRPr="005E4243">
        <w:rPr>
          <w:rFonts w:ascii="Times New Roman" w:hAnsi="Times New Roman" w:cs="Times New Roman"/>
        </w:rPr>
        <w:t xml:space="preserve">This insufficient provision of toilets among the 26.7% of households is a contributing factor to environmental health problems, which may raise the risks of malnutrition through environmental mechanisms such as Environmental Enteric Dysfunction (EED). </w:t>
      </w:r>
    </w:p>
    <w:p w14:paraId="21DBF73F" w14:textId="77777777" w:rsidR="005E4243" w:rsidRPr="005E4243" w:rsidRDefault="00866896" w:rsidP="00852FE7">
      <w:pPr>
        <w:spacing w:line="360" w:lineRule="auto"/>
        <w:jc w:val="both"/>
        <w:rPr>
          <w:rFonts w:ascii="Times New Roman" w:hAnsi="Times New Roman" w:cs="Times New Roman"/>
          <w:b/>
          <w:bCs/>
        </w:rPr>
      </w:pPr>
      <w:r w:rsidRPr="005E4243">
        <w:rPr>
          <w:rFonts w:ascii="Times New Roman" w:hAnsi="Times New Roman" w:cs="Times New Roman"/>
          <w:b/>
          <w:bCs/>
        </w:rPr>
        <w:t xml:space="preserve">Health Worker Reach: </w:t>
      </w:r>
    </w:p>
    <w:p w14:paraId="00039F29" w14:textId="77777777" w:rsidR="005E4243" w:rsidRPr="005E4243" w:rsidRDefault="00866896" w:rsidP="00852FE7">
      <w:pPr>
        <w:spacing w:line="360" w:lineRule="auto"/>
        <w:jc w:val="both"/>
        <w:rPr>
          <w:rFonts w:ascii="Times New Roman" w:hAnsi="Times New Roman" w:cs="Times New Roman"/>
        </w:rPr>
      </w:pPr>
      <w:r w:rsidRPr="005E4243">
        <w:rPr>
          <w:rFonts w:ascii="Times New Roman" w:hAnsi="Times New Roman" w:cs="Times New Roman"/>
        </w:rPr>
        <w:t>Although this is quite high, the fact that a quarter (23.3) of the households do not have regularly visited ASHA workers implies that not all families are covered and thus may fail to receive important health and nutrition information and connections to schemes.</w:t>
      </w:r>
    </w:p>
    <w:p w14:paraId="6EED5B63" w14:textId="77777777" w:rsidR="00067F0F" w:rsidRDefault="00067F0F" w:rsidP="005E4243">
      <w:pPr>
        <w:spacing w:line="360" w:lineRule="auto"/>
        <w:jc w:val="both"/>
        <w:rPr>
          <w:rFonts w:ascii="Times New Roman" w:hAnsi="Times New Roman" w:cs="Times New Roman"/>
          <w:b/>
          <w:bCs/>
          <w:sz w:val="28"/>
          <w:szCs w:val="28"/>
        </w:rPr>
      </w:pPr>
    </w:p>
    <w:p w14:paraId="78DC7A2C" w14:textId="0DB1894F" w:rsidR="005E4243" w:rsidRPr="005E4243" w:rsidRDefault="005E4243" w:rsidP="005E4243">
      <w:pPr>
        <w:spacing w:line="360" w:lineRule="auto"/>
        <w:jc w:val="both"/>
        <w:rPr>
          <w:rFonts w:ascii="Times New Roman" w:hAnsi="Times New Roman" w:cs="Times New Roman"/>
          <w:b/>
          <w:bCs/>
          <w:sz w:val="28"/>
          <w:szCs w:val="28"/>
        </w:rPr>
      </w:pPr>
      <w:r w:rsidRPr="005E4243">
        <w:rPr>
          <w:rFonts w:ascii="Times New Roman" w:hAnsi="Times New Roman" w:cs="Times New Roman"/>
          <w:b/>
          <w:bCs/>
          <w:sz w:val="28"/>
          <w:szCs w:val="28"/>
        </w:rPr>
        <w:t>Recommendations and Suggestions</w:t>
      </w:r>
    </w:p>
    <w:p w14:paraId="763C5245" w14:textId="77777777" w:rsidR="005E4243" w:rsidRPr="005E4243" w:rsidRDefault="005E4243" w:rsidP="005E4243">
      <w:pPr>
        <w:spacing w:line="360" w:lineRule="auto"/>
        <w:jc w:val="both"/>
        <w:rPr>
          <w:rFonts w:ascii="Times New Roman" w:hAnsi="Times New Roman" w:cs="Times New Roman"/>
          <w:b/>
          <w:bCs/>
        </w:rPr>
      </w:pPr>
      <w:r w:rsidRPr="005E4243">
        <w:rPr>
          <w:rFonts w:ascii="Times New Roman" w:hAnsi="Times New Roman" w:cs="Times New Roman"/>
          <w:b/>
          <w:bCs/>
        </w:rPr>
        <w:t xml:space="preserve">Empower Communication and Advocacy on Poshan Abhiyaan: </w:t>
      </w:r>
    </w:p>
    <w:p w14:paraId="53F5DA76" w14:textId="19CAC499" w:rsidR="006D4B97" w:rsidRPr="006D4B97" w:rsidRDefault="005E4243" w:rsidP="005E4243">
      <w:pPr>
        <w:spacing w:line="360" w:lineRule="auto"/>
        <w:jc w:val="both"/>
        <w:rPr>
          <w:rFonts w:ascii="Times New Roman" w:hAnsi="Times New Roman" w:cs="Times New Roman"/>
        </w:rPr>
      </w:pPr>
      <w:r w:rsidRPr="005E4243">
        <w:rPr>
          <w:rFonts w:ascii="Times New Roman" w:hAnsi="Times New Roman" w:cs="Times New Roman"/>
        </w:rPr>
        <w:t xml:space="preserve">In a bid to eliminate the 60% ill-informed, a localized communication approach is essential. This must entail community-based media, pictorial instructions to the illiterate groups, and specific campaigning that tells on the merits and points of access of the Poshan Abhiyaan to the local languages. The high contact with the community should be further enabled by providing ASHA workers with simple tools of conveying information about the mission through clear, simple messaging tools. </w:t>
      </w:r>
    </w:p>
    <w:p w14:paraId="3EB41BAF" w14:textId="4FC1AC25" w:rsidR="005E4243" w:rsidRPr="005E4243" w:rsidRDefault="005E4243" w:rsidP="005E4243">
      <w:pPr>
        <w:spacing w:line="360" w:lineRule="auto"/>
        <w:jc w:val="both"/>
        <w:rPr>
          <w:rFonts w:ascii="Times New Roman" w:hAnsi="Times New Roman" w:cs="Times New Roman"/>
          <w:b/>
          <w:bCs/>
        </w:rPr>
      </w:pPr>
      <w:r w:rsidRPr="005E4243">
        <w:rPr>
          <w:rFonts w:ascii="Times New Roman" w:hAnsi="Times New Roman" w:cs="Times New Roman"/>
          <w:b/>
          <w:bCs/>
        </w:rPr>
        <w:t xml:space="preserve">Coverage of Maternal and Child Health Supplements: </w:t>
      </w:r>
    </w:p>
    <w:p w14:paraId="3E8D26F7" w14:textId="3E46D708" w:rsidR="005E4243" w:rsidRPr="005E4243" w:rsidRDefault="005E4243" w:rsidP="005E4243">
      <w:pPr>
        <w:spacing w:line="360" w:lineRule="auto"/>
        <w:jc w:val="both"/>
        <w:rPr>
          <w:rFonts w:ascii="Times New Roman" w:hAnsi="Times New Roman" w:cs="Times New Roman"/>
          <w:b/>
          <w:bCs/>
        </w:rPr>
      </w:pPr>
      <w:r w:rsidRPr="005E4243">
        <w:rPr>
          <w:rFonts w:ascii="Times New Roman" w:hAnsi="Times New Roman" w:cs="Times New Roman"/>
        </w:rPr>
        <w:t>The 36.7 percent disparity in delivering iron, folic acid, calcium and polio drop to pregnant and lactating mothers needs to be reduced. This necessitates effective supply chain control, which can be done regularly by ASHA workers and maybe an incentivization program to follow. Counseling on the significance of these supplements should also be done regularly to enhance uptake</w:t>
      </w:r>
      <w:r w:rsidRPr="005E4243">
        <w:rPr>
          <w:rFonts w:ascii="Times New Roman" w:hAnsi="Times New Roman" w:cs="Times New Roman"/>
          <w:b/>
          <w:bCs/>
        </w:rPr>
        <w:t>.</w:t>
      </w:r>
    </w:p>
    <w:p w14:paraId="4C045C75" w14:textId="77777777" w:rsidR="00067F0F" w:rsidRDefault="00067F0F" w:rsidP="005E4243">
      <w:pPr>
        <w:spacing w:line="360" w:lineRule="auto"/>
        <w:jc w:val="both"/>
        <w:rPr>
          <w:rFonts w:ascii="Times New Roman" w:hAnsi="Times New Roman" w:cs="Times New Roman"/>
          <w:b/>
          <w:bCs/>
        </w:rPr>
      </w:pPr>
    </w:p>
    <w:p w14:paraId="0C9EAC5B" w14:textId="22D7CDF1" w:rsidR="005E4243" w:rsidRPr="005E4243" w:rsidRDefault="005E4243" w:rsidP="005E4243">
      <w:pPr>
        <w:spacing w:line="360" w:lineRule="auto"/>
        <w:jc w:val="both"/>
        <w:rPr>
          <w:rFonts w:ascii="Times New Roman" w:hAnsi="Times New Roman" w:cs="Times New Roman"/>
          <w:b/>
          <w:bCs/>
        </w:rPr>
      </w:pPr>
      <w:r w:rsidRPr="005E4243">
        <w:rPr>
          <w:rFonts w:ascii="Times New Roman" w:hAnsi="Times New Roman" w:cs="Times New Roman"/>
          <w:b/>
          <w:bCs/>
        </w:rPr>
        <w:lastRenderedPageBreak/>
        <w:t xml:space="preserve"> Food Insecurity Interventions: </w:t>
      </w:r>
    </w:p>
    <w:p w14:paraId="1AD82C72" w14:textId="77777777" w:rsidR="005E4243" w:rsidRPr="005E4243" w:rsidRDefault="005E4243" w:rsidP="005E4243">
      <w:pPr>
        <w:spacing w:line="360" w:lineRule="auto"/>
        <w:jc w:val="both"/>
        <w:rPr>
          <w:rFonts w:ascii="Times New Roman" w:hAnsi="Times New Roman" w:cs="Times New Roman"/>
        </w:rPr>
      </w:pPr>
      <w:r w:rsidRPr="005E4243">
        <w:rPr>
          <w:rFonts w:ascii="Times New Roman" w:hAnsi="Times New Roman" w:cs="Times New Roman"/>
        </w:rPr>
        <w:t xml:space="preserve">The prevalence of food insecurity is low with most families indicating that they are food secure, but the occasional hunger experienced by 26.7% of children needs specific interventions. This might involve increasing food ration, conditional cash transfers based on nutritional performance, or funding the community food banks within vulnerable regions. It is also important to understand the seasonal patterns of food insecurity so as to design effective interventions. </w:t>
      </w:r>
    </w:p>
    <w:p w14:paraId="619F2839" w14:textId="77777777" w:rsidR="005E4243" w:rsidRPr="005E4243" w:rsidRDefault="005E4243" w:rsidP="005E4243">
      <w:pPr>
        <w:spacing w:line="360" w:lineRule="auto"/>
        <w:jc w:val="both"/>
        <w:rPr>
          <w:rFonts w:ascii="Times New Roman" w:hAnsi="Times New Roman" w:cs="Times New Roman"/>
          <w:b/>
          <w:bCs/>
        </w:rPr>
      </w:pPr>
      <w:r w:rsidRPr="005E4243">
        <w:rPr>
          <w:rFonts w:ascii="Times New Roman" w:hAnsi="Times New Roman" w:cs="Times New Roman"/>
          <w:b/>
          <w:bCs/>
        </w:rPr>
        <w:t>Enhance Sanitation facilities:</w:t>
      </w:r>
    </w:p>
    <w:p w14:paraId="1DEA00C6" w14:textId="77777777" w:rsidR="005E4243" w:rsidRPr="005E4243" w:rsidRDefault="005E4243" w:rsidP="005E4243">
      <w:pPr>
        <w:spacing w:line="360" w:lineRule="auto"/>
        <w:jc w:val="both"/>
        <w:rPr>
          <w:rFonts w:ascii="Times New Roman" w:hAnsi="Times New Roman" w:cs="Times New Roman"/>
        </w:rPr>
      </w:pPr>
      <w:r w:rsidRPr="005E4243">
        <w:rPr>
          <w:rFonts w:ascii="Times New Roman" w:hAnsi="Times New Roman" w:cs="Times New Roman"/>
          <w:b/>
          <w:bCs/>
        </w:rPr>
        <w:t xml:space="preserve"> </w:t>
      </w:r>
      <w:r w:rsidRPr="005E4243">
        <w:rPr>
          <w:rFonts w:ascii="Times New Roman" w:hAnsi="Times New Roman" w:cs="Times New Roman"/>
        </w:rPr>
        <w:t xml:space="preserve">This is basic, as 26.7 percent of households lack toilet facilities. This is in line with the larger programs that are essential in the prevention of infectious diseases that lead to malnutrition especially the Environmental Enteric Dysfunction (EED) and stunting. Sanitation programs of the government to the rural population must be strictly followed and observed. </w:t>
      </w:r>
    </w:p>
    <w:p w14:paraId="05740681" w14:textId="77777777" w:rsidR="005E4243" w:rsidRPr="005E4243" w:rsidRDefault="005E4243" w:rsidP="005E4243">
      <w:pPr>
        <w:spacing w:line="360" w:lineRule="auto"/>
        <w:jc w:val="both"/>
        <w:rPr>
          <w:rFonts w:ascii="Times New Roman" w:hAnsi="Times New Roman" w:cs="Times New Roman"/>
          <w:b/>
          <w:bCs/>
        </w:rPr>
      </w:pPr>
      <w:r w:rsidRPr="005E4243">
        <w:rPr>
          <w:rFonts w:ascii="Times New Roman" w:hAnsi="Times New Roman" w:cs="Times New Roman"/>
          <w:b/>
          <w:bCs/>
        </w:rPr>
        <w:t xml:space="preserve">Increase Health Worker Outreach and Training: </w:t>
      </w:r>
    </w:p>
    <w:p w14:paraId="222B7101" w14:textId="77777777" w:rsidR="005E4243" w:rsidRPr="005E4243" w:rsidRDefault="005E4243" w:rsidP="005E4243">
      <w:pPr>
        <w:spacing w:line="360" w:lineRule="auto"/>
        <w:jc w:val="both"/>
        <w:rPr>
          <w:rFonts w:ascii="Times New Roman" w:hAnsi="Times New Roman" w:cs="Times New Roman"/>
        </w:rPr>
      </w:pPr>
      <w:r w:rsidRPr="005E4243">
        <w:rPr>
          <w:rFonts w:ascii="Times New Roman" w:hAnsi="Times New Roman" w:cs="Times New Roman"/>
        </w:rPr>
        <w:t>Although contact with ASHA workers is usually satisfactory, it is essential to make sure that the rest of 23.3% of households could be approached on a regular basis. This can be through hiring more ASHA workers, ensuring that they have better plans of work or giving them more training on how to identify and refer malnourished children, particularly those with severe acute malnutrition. Quick identification of vulnerable children may be achieved with the help of such tools as Mid-Upper Arm Circumference (MUAC) tapes.</w:t>
      </w:r>
    </w:p>
    <w:p w14:paraId="0D3D5048" w14:textId="77777777" w:rsidR="005E4243" w:rsidRPr="005E4243" w:rsidRDefault="005E4243" w:rsidP="005E4243">
      <w:pPr>
        <w:spacing w:line="360" w:lineRule="auto"/>
        <w:jc w:val="both"/>
        <w:rPr>
          <w:rFonts w:ascii="Times New Roman" w:hAnsi="Times New Roman" w:cs="Times New Roman"/>
          <w:b/>
          <w:bCs/>
        </w:rPr>
      </w:pPr>
      <w:r w:rsidRPr="005E4243">
        <w:rPr>
          <w:rFonts w:ascii="Times New Roman" w:hAnsi="Times New Roman" w:cs="Times New Roman"/>
          <w:b/>
          <w:bCs/>
        </w:rPr>
        <w:t xml:space="preserve"> Economic Empowerment and Livelihood Diversification: </w:t>
      </w:r>
    </w:p>
    <w:p w14:paraId="470AE18F" w14:textId="77777777" w:rsidR="005E4243" w:rsidRPr="005E4243" w:rsidRDefault="005E4243" w:rsidP="005E4243">
      <w:pPr>
        <w:spacing w:line="360" w:lineRule="auto"/>
        <w:jc w:val="both"/>
        <w:rPr>
          <w:rFonts w:ascii="Times New Roman" w:hAnsi="Times New Roman" w:cs="Times New Roman"/>
        </w:rPr>
      </w:pPr>
      <w:r w:rsidRPr="005E4243">
        <w:rPr>
          <w:rFonts w:ascii="Times New Roman" w:hAnsi="Times New Roman" w:cs="Times New Roman"/>
        </w:rPr>
        <w:t xml:space="preserve">Since the prevalence of daily wage workers is very high and there is need to be stabilized due to fluctuating incomes, livelihood diversification, skill building programs, and access to micro-credit facilities can be used to improve household food security and general resilience. </w:t>
      </w:r>
    </w:p>
    <w:p w14:paraId="3D96B69F" w14:textId="77777777" w:rsidR="005E4243" w:rsidRPr="005E4243" w:rsidRDefault="005E4243" w:rsidP="005E4243">
      <w:pPr>
        <w:spacing w:line="360" w:lineRule="auto"/>
        <w:jc w:val="both"/>
        <w:rPr>
          <w:rFonts w:ascii="Times New Roman" w:hAnsi="Times New Roman" w:cs="Times New Roman"/>
          <w:b/>
          <w:bCs/>
        </w:rPr>
      </w:pPr>
      <w:r w:rsidRPr="005E4243">
        <w:rPr>
          <w:rFonts w:ascii="Times New Roman" w:hAnsi="Times New Roman" w:cs="Times New Roman"/>
          <w:b/>
          <w:bCs/>
        </w:rPr>
        <w:t xml:space="preserve">Combined Health and Nutrition: </w:t>
      </w:r>
    </w:p>
    <w:p w14:paraId="52EEA395" w14:textId="77777777" w:rsidR="005E4243" w:rsidRPr="005E4243" w:rsidRDefault="005E4243" w:rsidP="005E4243">
      <w:pPr>
        <w:spacing w:line="360" w:lineRule="auto"/>
        <w:jc w:val="both"/>
        <w:rPr>
          <w:rFonts w:ascii="Times New Roman" w:hAnsi="Times New Roman" w:cs="Times New Roman"/>
        </w:rPr>
      </w:pPr>
      <w:r w:rsidRPr="005E4243">
        <w:rPr>
          <w:rFonts w:ascii="Times New Roman" w:hAnsi="Times New Roman" w:cs="Times New Roman"/>
        </w:rPr>
        <w:t xml:space="preserve">Since child diseases (30% rate) are closely connected with malnutrition (26.7% prevalence), a more integrated model of health and nutrition services delivery is to be encouraged. This would also guarantee that malnutrition and sick children are also analyzed and vice versa so that they can be treated holistically and the sick children tend to get early interventions. </w:t>
      </w:r>
    </w:p>
    <w:p w14:paraId="1E21EECD" w14:textId="37ADE559" w:rsidR="006D4B97" w:rsidRPr="006D4B97" w:rsidRDefault="006D4B97" w:rsidP="006D4B97">
      <w:pPr>
        <w:spacing w:line="360" w:lineRule="auto"/>
        <w:jc w:val="both"/>
        <w:rPr>
          <w:rFonts w:ascii="Times New Roman" w:hAnsi="Times New Roman" w:cs="Times New Roman"/>
          <w:b/>
          <w:bCs/>
          <w:sz w:val="28"/>
          <w:szCs w:val="28"/>
        </w:rPr>
      </w:pPr>
      <w:r w:rsidRPr="006D4B97">
        <w:rPr>
          <w:rFonts w:ascii="Times New Roman" w:hAnsi="Times New Roman" w:cs="Times New Roman"/>
          <w:b/>
          <w:bCs/>
          <w:sz w:val="28"/>
          <w:szCs w:val="28"/>
        </w:rPr>
        <w:t xml:space="preserve">Conclusion </w:t>
      </w:r>
    </w:p>
    <w:p w14:paraId="2FBF71C9" w14:textId="77777777" w:rsidR="006D4B97" w:rsidRDefault="006D4B97" w:rsidP="006D4B97">
      <w:pPr>
        <w:spacing w:line="360" w:lineRule="auto"/>
        <w:jc w:val="both"/>
        <w:rPr>
          <w:rFonts w:ascii="Times New Roman" w:hAnsi="Times New Roman" w:cs="Times New Roman"/>
        </w:rPr>
      </w:pPr>
      <w:r w:rsidRPr="005E4243">
        <w:rPr>
          <w:rFonts w:ascii="Times New Roman" w:hAnsi="Times New Roman" w:cs="Times New Roman"/>
        </w:rPr>
        <w:lastRenderedPageBreak/>
        <w:t>Research in the Dehra Block indicates that the relationship between socio-economic factors, diet, and health outcome consists of a complicated situation affecting the nutritional status. Although positive signs are present: high meal frequency, mixed diets in most families, and nutrition prioritization to children and pregnant/lactating women, the real struggle still remains. These are low awareness about flagship nutrition initiatives such as Poshan Abhiyaan, large number of children and women having malnutrition and illness, and a lack of essential medical supplementation and sanitation facilities. The economic vulnerability of those households is also high by the fact that the majority of them rely on daily wage labor and also on the lower income levels, which directly affects their food security and access to proper nutrition.</w:t>
      </w:r>
      <w:r>
        <w:rPr>
          <w:rFonts w:ascii="Times New Roman" w:hAnsi="Times New Roman" w:cs="Times New Roman"/>
        </w:rPr>
        <w:t xml:space="preserve"> </w:t>
      </w:r>
      <w:r w:rsidRPr="005E4243">
        <w:rPr>
          <w:rFonts w:ascii="Times New Roman" w:hAnsi="Times New Roman" w:cs="Times New Roman"/>
        </w:rPr>
        <w:t>With a multi-level and focused intervention, the nutritional health of children and women would be greatly enhanced in Dehra Block, which would serve the overall objectives of eliminating malnutrition in India.</w:t>
      </w:r>
    </w:p>
    <w:p w14:paraId="33C1FC30" w14:textId="77777777" w:rsidR="005A3166" w:rsidRPr="005E4243" w:rsidRDefault="005A3166" w:rsidP="00DF5818">
      <w:pPr>
        <w:spacing w:line="360" w:lineRule="auto"/>
        <w:jc w:val="both"/>
        <w:rPr>
          <w:rFonts w:ascii="Times New Roman" w:hAnsi="Times New Roman" w:cs="Times New Roman"/>
        </w:rPr>
      </w:pPr>
    </w:p>
    <w:p w14:paraId="3D34F02C" w14:textId="3B33D65B" w:rsidR="00AE5947" w:rsidRPr="00067F0F" w:rsidRDefault="00AE5947" w:rsidP="004F68CC">
      <w:pPr>
        <w:spacing w:line="360" w:lineRule="auto"/>
        <w:rPr>
          <w:rFonts w:ascii="Times New Roman" w:eastAsia="Times New Roman" w:hAnsi="Times New Roman" w:cs="Times New Roman"/>
          <w:b/>
          <w:bCs/>
          <w:caps/>
          <w:kern w:val="0"/>
          <w:szCs w:val="24"/>
          <w14:ligatures w14:val="none"/>
        </w:rPr>
      </w:pPr>
      <w:r w:rsidRPr="00067F0F">
        <w:rPr>
          <w:rFonts w:ascii="Times New Roman" w:eastAsia="Times New Roman" w:hAnsi="Times New Roman" w:cs="Times New Roman"/>
          <w:b/>
          <w:bCs/>
          <w:caps/>
          <w:kern w:val="0"/>
          <w:szCs w:val="24"/>
          <w14:ligatures w14:val="none"/>
        </w:rPr>
        <w:t xml:space="preserve">References </w:t>
      </w:r>
    </w:p>
    <w:p w14:paraId="69E182D1"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Barker, D. J. P. (2007). The developmental origins of adult disease. Journal of the American College of Nutrition, 26(6), 588S–595S.</w:t>
      </w:r>
    </w:p>
    <w:p w14:paraId="0B648264" w14:textId="3A3B08AE"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 xml:space="preserve">Black, R. E., Victora, C. G., Walker, S. P., &amp; the Maternal and Child Nutrition Study Group. (2013). Maternal and child undernutrition and overweight in low-income and middle-income countries. The Lancet, 382(9890), 427–451. </w:t>
      </w:r>
      <w:hyperlink r:id="rId5" w:history="1">
        <w:r w:rsidRPr="005E4243">
          <w:rPr>
            <w:rStyle w:val="Hyperlink"/>
            <w:rFonts w:ascii="Times New Roman" w:hAnsi="Times New Roman" w:cs="Times New Roman"/>
            <w:szCs w:val="24"/>
          </w:rPr>
          <w:t>https://doi.org/10.1016/S0140-6736(13)60937-X</w:t>
        </w:r>
      </w:hyperlink>
      <w:r w:rsidRPr="005E4243">
        <w:rPr>
          <w:rFonts w:ascii="Times New Roman" w:hAnsi="Times New Roman" w:cs="Times New Roman"/>
          <w:szCs w:val="24"/>
        </w:rPr>
        <w:t xml:space="preserve"> </w:t>
      </w:r>
    </w:p>
    <w:p w14:paraId="2B020456"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Government of India. (2018). Poshan Abhiyaan: National Nutrition Mission—Operational guidelines. Ministry of Women and Child Development.</w:t>
      </w:r>
    </w:p>
    <w:p w14:paraId="076D2DF0"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Government of India. (2021). National Family Health Survey (NFHS-5), 2019–2021: India fact sheet. Ministry of Health and Family Welfare.</w:t>
      </w:r>
    </w:p>
    <w:p w14:paraId="028809BD"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Gropper, S. S., &amp; Smith, J. L. (2018). Advanced nutrition and human metabolism (7th ed.). Cengage Learning.</w:t>
      </w:r>
    </w:p>
    <w:p w14:paraId="37EA37F4"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International Institute for Population Sciences (IIPS), &amp; ICF. (2021). National Family Health Survey (NFHS-5), India. IIPS.</w:t>
      </w:r>
    </w:p>
    <w:p w14:paraId="2F71707F"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International Institute for Population Sciences. (2021). National Family Health Survey (NFHS-5), 2019–2021: Himachal Pradesh. IIPS.</w:t>
      </w:r>
    </w:p>
    <w:p w14:paraId="2DF59559"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lastRenderedPageBreak/>
        <w:t>Kapur, D. (2018). Reforming the Integrated Child Development Services (ICDS) scheme in India. Economic and Political Weekly, 53(41), 45–52.</w:t>
      </w:r>
    </w:p>
    <w:p w14:paraId="416F4FAC"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Ministry of Health and Family Welfare. (2020). Anemia Mukt Bharat: Strategy document. Government of India.</w:t>
      </w:r>
    </w:p>
    <w:p w14:paraId="6650593E"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Ministry of Women and Child Development. (2019). Integrated Child Development Services (ICDS) scheme: Framework for implementation. Government of India.</w:t>
      </w:r>
    </w:p>
    <w:p w14:paraId="337C7E9C"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Ministry of Women and Child Development. (2021). Poshan Abhiyaan: National Nutrition Mission. Government of India.</w:t>
      </w:r>
    </w:p>
    <w:p w14:paraId="4A11ED67"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NITI Aayog. (2022). National Multidimensional Poverty Index: A progress review. Government of India.</w:t>
      </w:r>
    </w:p>
    <w:p w14:paraId="2CCD743E"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Sharma, R., &amp; Thakur, S. (2020). Nutritional status of children under five years in rural Himachal Pradesh. Indian Journal of Community Health, 32(2), 215–221.</w:t>
      </w:r>
    </w:p>
    <w:p w14:paraId="60F1309C" w14:textId="1AFF57FB"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 xml:space="preserve">Smith, L. C., &amp; Haddad, L. (2015). Reducing child undernutrition: Past drivers and priorities for the post-MDG era. World Development, 68, 180–204. </w:t>
      </w:r>
      <w:hyperlink r:id="rId6" w:history="1">
        <w:r w:rsidRPr="005E4243">
          <w:rPr>
            <w:rStyle w:val="Hyperlink"/>
            <w:rFonts w:ascii="Times New Roman" w:hAnsi="Times New Roman" w:cs="Times New Roman"/>
            <w:szCs w:val="24"/>
          </w:rPr>
          <w:t>https://doi.org/10.1016/j.worlddev.2014.11.014</w:t>
        </w:r>
      </w:hyperlink>
    </w:p>
    <w:p w14:paraId="1FE2B275"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UNICEF. (2019). The state of the world’s children 2019: Children, food and nutrition. UNICEF.</w:t>
      </w:r>
    </w:p>
    <w:p w14:paraId="56E4E78D"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UNICEF. (2020). Improving child nutrition: The achievable imperative for global progress. UNICEF.</w:t>
      </w:r>
    </w:p>
    <w:p w14:paraId="2693FD24"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United Nations. (2020). World nutrition report 2020: Action on equity to end malnutrition. United Nations.</w:t>
      </w:r>
    </w:p>
    <w:p w14:paraId="16631DA8"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World Bank. (2020). The economic costs of malnutrition. World Bank Group.</w:t>
      </w:r>
    </w:p>
    <w:p w14:paraId="737565C2" w14:textId="77777777" w:rsidR="004F68CC" w:rsidRPr="005E4243" w:rsidRDefault="004F68CC" w:rsidP="004F68CC">
      <w:pPr>
        <w:spacing w:line="360" w:lineRule="auto"/>
        <w:jc w:val="both"/>
        <w:rPr>
          <w:rFonts w:ascii="Times New Roman" w:hAnsi="Times New Roman" w:cs="Times New Roman"/>
          <w:szCs w:val="24"/>
        </w:rPr>
      </w:pPr>
      <w:r w:rsidRPr="005E4243">
        <w:rPr>
          <w:rFonts w:ascii="Times New Roman" w:hAnsi="Times New Roman" w:cs="Times New Roman"/>
          <w:szCs w:val="24"/>
        </w:rPr>
        <w:t>World Health Organization. (2021). Guideline: Assessing and managing children at primary health-care facilities to prevent overweight and obesity in the context of the double burden of malnutrition. WHO.</w:t>
      </w:r>
    </w:p>
    <w:p w14:paraId="79CDB85D" w14:textId="77777777" w:rsidR="004F68CC" w:rsidRPr="004F68CC" w:rsidRDefault="004F68CC" w:rsidP="004F68CC">
      <w:pPr>
        <w:spacing w:line="360" w:lineRule="auto"/>
        <w:rPr>
          <w:rFonts w:ascii="Times New Roman" w:hAnsi="Times New Roman" w:cs="Times New Roman"/>
          <w:szCs w:val="24"/>
        </w:rPr>
      </w:pPr>
      <w:r w:rsidRPr="005E4243">
        <w:rPr>
          <w:rFonts w:ascii="Times New Roman" w:hAnsi="Times New Roman" w:cs="Times New Roman"/>
          <w:szCs w:val="24"/>
        </w:rPr>
        <w:t xml:space="preserve">World Health Organization. (2021). </w:t>
      </w:r>
      <w:r w:rsidRPr="005E4243">
        <w:rPr>
          <w:rFonts w:ascii="Times New Roman" w:hAnsi="Times New Roman" w:cs="Times New Roman"/>
          <w:i/>
          <w:iCs/>
          <w:szCs w:val="24"/>
        </w:rPr>
        <w:t>Malnutrition</w:t>
      </w:r>
      <w:r w:rsidRPr="005E4243">
        <w:rPr>
          <w:rFonts w:ascii="Times New Roman" w:hAnsi="Times New Roman" w:cs="Times New Roman"/>
          <w:szCs w:val="24"/>
        </w:rPr>
        <w:t>. WHO.</w:t>
      </w:r>
    </w:p>
    <w:p w14:paraId="7FCBAEE5" w14:textId="77777777" w:rsidR="004F68CC" w:rsidRPr="004F68CC" w:rsidRDefault="004F68CC" w:rsidP="004F68CC">
      <w:pPr>
        <w:spacing w:line="360" w:lineRule="auto"/>
        <w:rPr>
          <w:rFonts w:ascii="Times New Roman" w:hAnsi="Times New Roman" w:cs="Times New Roman"/>
          <w:szCs w:val="24"/>
        </w:rPr>
      </w:pPr>
    </w:p>
    <w:p w14:paraId="04E42779" w14:textId="77777777" w:rsidR="004F68CC" w:rsidRPr="000D016F" w:rsidRDefault="004F68CC" w:rsidP="004F68CC">
      <w:pPr>
        <w:spacing w:line="360" w:lineRule="auto"/>
        <w:rPr>
          <w:rFonts w:ascii="Times New Roman" w:hAnsi="Times New Roman" w:cs="Times New Roman"/>
          <w:szCs w:val="24"/>
        </w:rPr>
      </w:pPr>
    </w:p>
    <w:sectPr w:rsidR="004F68CC" w:rsidRPr="000D016F" w:rsidSect="006D4B97">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7F0"/>
    <w:multiLevelType w:val="multilevel"/>
    <w:tmpl w:val="746A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E03BB"/>
    <w:multiLevelType w:val="multilevel"/>
    <w:tmpl w:val="73BC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00B13"/>
    <w:multiLevelType w:val="multilevel"/>
    <w:tmpl w:val="28E2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16455"/>
    <w:multiLevelType w:val="multilevel"/>
    <w:tmpl w:val="CB8C6A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515C8"/>
    <w:multiLevelType w:val="multilevel"/>
    <w:tmpl w:val="B30C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97A8F"/>
    <w:multiLevelType w:val="hybridMultilevel"/>
    <w:tmpl w:val="4F028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12A66"/>
    <w:multiLevelType w:val="multilevel"/>
    <w:tmpl w:val="676A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951F8"/>
    <w:multiLevelType w:val="multilevel"/>
    <w:tmpl w:val="9A4E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AF7406"/>
    <w:multiLevelType w:val="multilevel"/>
    <w:tmpl w:val="B706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1544A5"/>
    <w:multiLevelType w:val="multilevel"/>
    <w:tmpl w:val="4D26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2C0BE9"/>
    <w:multiLevelType w:val="multilevel"/>
    <w:tmpl w:val="1A74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2D27A8"/>
    <w:multiLevelType w:val="multilevel"/>
    <w:tmpl w:val="0F52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F6F80"/>
    <w:multiLevelType w:val="multilevel"/>
    <w:tmpl w:val="B514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707DBE"/>
    <w:multiLevelType w:val="multilevel"/>
    <w:tmpl w:val="86D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CD011A"/>
    <w:multiLevelType w:val="multilevel"/>
    <w:tmpl w:val="FB6E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F648F"/>
    <w:multiLevelType w:val="multilevel"/>
    <w:tmpl w:val="1E72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883A35"/>
    <w:multiLevelType w:val="multilevel"/>
    <w:tmpl w:val="A90C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CF2E7E"/>
    <w:multiLevelType w:val="multilevel"/>
    <w:tmpl w:val="8AA4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EE499D"/>
    <w:multiLevelType w:val="multilevel"/>
    <w:tmpl w:val="9A90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5A70C1"/>
    <w:multiLevelType w:val="multilevel"/>
    <w:tmpl w:val="CEC4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8B14898"/>
    <w:multiLevelType w:val="multilevel"/>
    <w:tmpl w:val="552A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163CF"/>
    <w:multiLevelType w:val="multilevel"/>
    <w:tmpl w:val="939A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583064"/>
    <w:multiLevelType w:val="multilevel"/>
    <w:tmpl w:val="2F6EF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254FB8"/>
    <w:multiLevelType w:val="multilevel"/>
    <w:tmpl w:val="1652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EC035A"/>
    <w:multiLevelType w:val="multilevel"/>
    <w:tmpl w:val="6154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89426C"/>
    <w:multiLevelType w:val="multilevel"/>
    <w:tmpl w:val="C46A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01383F"/>
    <w:multiLevelType w:val="multilevel"/>
    <w:tmpl w:val="03E49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D31B6F"/>
    <w:multiLevelType w:val="multilevel"/>
    <w:tmpl w:val="3CFC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FF24FD"/>
    <w:multiLevelType w:val="multilevel"/>
    <w:tmpl w:val="77C8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A70978"/>
    <w:multiLevelType w:val="multilevel"/>
    <w:tmpl w:val="C0E4997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D86835"/>
    <w:multiLevelType w:val="multilevel"/>
    <w:tmpl w:val="2FC02B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A24042"/>
    <w:multiLevelType w:val="multilevel"/>
    <w:tmpl w:val="A8D2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E2376D"/>
    <w:multiLevelType w:val="multilevel"/>
    <w:tmpl w:val="20A6D9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25B4692"/>
    <w:multiLevelType w:val="multilevel"/>
    <w:tmpl w:val="4978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290BD5"/>
    <w:multiLevelType w:val="multilevel"/>
    <w:tmpl w:val="1788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4B0DEB"/>
    <w:multiLevelType w:val="multilevel"/>
    <w:tmpl w:val="3404D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244CE5"/>
    <w:multiLevelType w:val="multilevel"/>
    <w:tmpl w:val="5BFE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05767D"/>
    <w:multiLevelType w:val="multilevel"/>
    <w:tmpl w:val="DD2C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DC14D1"/>
    <w:multiLevelType w:val="multilevel"/>
    <w:tmpl w:val="B1245E8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7D783E"/>
    <w:multiLevelType w:val="multilevel"/>
    <w:tmpl w:val="50F4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EF6C7D"/>
    <w:multiLevelType w:val="multilevel"/>
    <w:tmpl w:val="72CE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EF1F9A"/>
    <w:multiLevelType w:val="multilevel"/>
    <w:tmpl w:val="1AC8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352C2C"/>
    <w:multiLevelType w:val="multilevel"/>
    <w:tmpl w:val="BE5A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AB45BD"/>
    <w:multiLevelType w:val="multilevel"/>
    <w:tmpl w:val="544A1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C27985"/>
    <w:multiLevelType w:val="hybridMultilevel"/>
    <w:tmpl w:val="71DEB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EA757B"/>
    <w:multiLevelType w:val="multilevel"/>
    <w:tmpl w:val="849E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7F17D9"/>
    <w:multiLevelType w:val="multilevel"/>
    <w:tmpl w:val="2620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8323">
    <w:abstractNumId w:val="43"/>
  </w:num>
  <w:num w:numId="2" w16cid:durableId="1876188701">
    <w:abstractNumId w:val="8"/>
  </w:num>
  <w:num w:numId="3" w16cid:durableId="1077165235">
    <w:abstractNumId w:val="27"/>
  </w:num>
  <w:num w:numId="4" w16cid:durableId="2101834574">
    <w:abstractNumId w:val="39"/>
  </w:num>
  <w:num w:numId="5" w16cid:durableId="518276503">
    <w:abstractNumId w:val="30"/>
  </w:num>
  <w:num w:numId="6" w16cid:durableId="2002464569">
    <w:abstractNumId w:val="2"/>
  </w:num>
  <w:num w:numId="7" w16cid:durableId="711803715">
    <w:abstractNumId w:val="35"/>
  </w:num>
  <w:num w:numId="8" w16cid:durableId="408583401">
    <w:abstractNumId w:val="21"/>
  </w:num>
  <w:num w:numId="9" w16cid:durableId="695303546">
    <w:abstractNumId w:val="26"/>
  </w:num>
  <w:num w:numId="10" w16cid:durableId="1973097971">
    <w:abstractNumId w:val="3"/>
  </w:num>
  <w:num w:numId="11" w16cid:durableId="255867436">
    <w:abstractNumId w:val="32"/>
  </w:num>
  <w:num w:numId="12" w16cid:durableId="173883864">
    <w:abstractNumId w:val="38"/>
  </w:num>
  <w:num w:numId="13" w16cid:durableId="20010280">
    <w:abstractNumId w:val="29"/>
  </w:num>
  <w:num w:numId="14" w16cid:durableId="736365472">
    <w:abstractNumId w:val="44"/>
  </w:num>
  <w:num w:numId="15" w16cid:durableId="216596629">
    <w:abstractNumId w:val="31"/>
  </w:num>
  <w:num w:numId="16" w16cid:durableId="88699650">
    <w:abstractNumId w:val="34"/>
  </w:num>
  <w:num w:numId="17" w16cid:durableId="918367595">
    <w:abstractNumId w:val="41"/>
  </w:num>
  <w:num w:numId="18" w16cid:durableId="425688482">
    <w:abstractNumId w:val="46"/>
  </w:num>
  <w:num w:numId="19" w16cid:durableId="2026054964">
    <w:abstractNumId w:val="22"/>
  </w:num>
  <w:num w:numId="20" w16cid:durableId="324361269">
    <w:abstractNumId w:val="45"/>
  </w:num>
  <w:num w:numId="21" w16cid:durableId="84963073">
    <w:abstractNumId w:val="13"/>
  </w:num>
  <w:num w:numId="22" w16cid:durableId="17777074">
    <w:abstractNumId w:val="18"/>
  </w:num>
  <w:num w:numId="23" w16cid:durableId="325090702">
    <w:abstractNumId w:val="36"/>
  </w:num>
  <w:num w:numId="24" w16cid:durableId="1655841869">
    <w:abstractNumId w:val="9"/>
  </w:num>
  <w:num w:numId="25" w16cid:durableId="1718161722">
    <w:abstractNumId w:val="12"/>
  </w:num>
  <w:num w:numId="26" w16cid:durableId="2112778468">
    <w:abstractNumId w:val="0"/>
  </w:num>
  <w:num w:numId="27" w16cid:durableId="71003741">
    <w:abstractNumId w:val="7"/>
  </w:num>
  <w:num w:numId="28" w16cid:durableId="1159080872">
    <w:abstractNumId w:val="16"/>
  </w:num>
  <w:num w:numId="29" w16cid:durableId="58333901">
    <w:abstractNumId w:val="14"/>
  </w:num>
  <w:num w:numId="30" w16cid:durableId="1175071010">
    <w:abstractNumId w:val="37"/>
  </w:num>
  <w:num w:numId="31" w16cid:durableId="1231036489">
    <w:abstractNumId w:val="17"/>
  </w:num>
  <w:num w:numId="32" w16cid:durableId="1865367420">
    <w:abstractNumId w:val="11"/>
  </w:num>
  <w:num w:numId="33" w16cid:durableId="1833788407">
    <w:abstractNumId w:val="19"/>
  </w:num>
  <w:num w:numId="34" w16cid:durableId="1078867422">
    <w:abstractNumId w:val="6"/>
  </w:num>
  <w:num w:numId="35" w16cid:durableId="1538157875">
    <w:abstractNumId w:val="28"/>
  </w:num>
  <w:num w:numId="36" w16cid:durableId="1186820731">
    <w:abstractNumId w:val="40"/>
  </w:num>
  <w:num w:numId="37" w16cid:durableId="85005080">
    <w:abstractNumId w:val="15"/>
  </w:num>
  <w:num w:numId="38" w16cid:durableId="1750885142">
    <w:abstractNumId w:val="33"/>
  </w:num>
  <w:num w:numId="39" w16cid:durableId="894778819">
    <w:abstractNumId w:val="10"/>
  </w:num>
  <w:num w:numId="40" w16cid:durableId="2126776698">
    <w:abstractNumId w:val="20"/>
  </w:num>
  <w:num w:numId="41" w16cid:durableId="877739055">
    <w:abstractNumId w:val="1"/>
  </w:num>
  <w:num w:numId="42" w16cid:durableId="1871450056">
    <w:abstractNumId w:val="25"/>
  </w:num>
  <w:num w:numId="43" w16cid:durableId="755396816">
    <w:abstractNumId w:val="42"/>
  </w:num>
  <w:num w:numId="44" w16cid:durableId="1694302221">
    <w:abstractNumId w:val="4"/>
  </w:num>
  <w:num w:numId="45" w16cid:durableId="1758404224">
    <w:abstractNumId w:val="23"/>
  </w:num>
  <w:num w:numId="46" w16cid:durableId="1821968091">
    <w:abstractNumId w:val="24"/>
  </w:num>
  <w:num w:numId="47" w16cid:durableId="1245844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F1"/>
    <w:rsid w:val="00006ABC"/>
    <w:rsid w:val="00021B0A"/>
    <w:rsid w:val="00040067"/>
    <w:rsid w:val="000660F4"/>
    <w:rsid w:val="00067F0F"/>
    <w:rsid w:val="000D016F"/>
    <w:rsid w:val="00107425"/>
    <w:rsid w:val="00113E04"/>
    <w:rsid w:val="00130773"/>
    <w:rsid w:val="00192608"/>
    <w:rsid w:val="00235556"/>
    <w:rsid w:val="00261FCC"/>
    <w:rsid w:val="002658D4"/>
    <w:rsid w:val="002B3CD2"/>
    <w:rsid w:val="00313182"/>
    <w:rsid w:val="00320A02"/>
    <w:rsid w:val="00366342"/>
    <w:rsid w:val="00393E38"/>
    <w:rsid w:val="00396D6D"/>
    <w:rsid w:val="003A4E67"/>
    <w:rsid w:val="003D0260"/>
    <w:rsid w:val="00454902"/>
    <w:rsid w:val="00480715"/>
    <w:rsid w:val="004F68CC"/>
    <w:rsid w:val="005729DA"/>
    <w:rsid w:val="00586187"/>
    <w:rsid w:val="005A3166"/>
    <w:rsid w:val="005E4243"/>
    <w:rsid w:val="005F2EBF"/>
    <w:rsid w:val="00614EDF"/>
    <w:rsid w:val="0062521D"/>
    <w:rsid w:val="00633594"/>
    <w:rsid w:val="006D4B97"/>
    <w:rsid w:val="006F22D4"/>
    <w:rsid w:val="007D738F"/>
    <w:rsid w:val="0084094D"/>
    <w:rsid w:val="00852FE7"/>
    <w:rsid w:val="0085713F"/>
    <w:rsid w:val="00866896"/>
    <w:rsid w:val="008A01C9"/>
    <w:rsid w:val="008F0E4A"/>
    <w:rsid w:val="00964CF5"/>
    <w:rsid w:val="00970E49"/>
    <w:rsid w:val="009B49F8"/>
    <w:rsid w:val="009C1383"/>
    <w:rsid w:val="009D6947"/>
    <w:rsid w:val="009E3AF1"/>
    <w:rsid w:val="00A42037"/>
    <w:rsid w:val="00A91881"/>
    <w:rsid w:val="00AA6CC2"/>
    <w:rsid w:val="00AB76A0"/>
    <w:rsid w:val="00AE5947"/>
    <w:rsid w:val="00B90386"/>
    <w:rsid w:val="00BD63F1"/>
    <w:rsid w:val="00C55CE1"/>
    <w:rsid w:val="00C70C8B"/>
    <w:rsid w:val="00C96FA5"/>
    <w:rsid w:val="00CA4621"/>
    <w:rsid w:val="00D46B11"/>
    <w:rsid w:val="00D70AF3"/>
    <w:rsid w:val="00DC4858"/>
    <w:rsid w:val="00DF5818"/>
    <w:rsid w:val="00DF66CF"/>
    <w:rsid w:val="00DF7F32"/>
    <w:rsid w:val="00E76092"/>
    <w:rsid w:val="00EA222B"/>
    <w:rsid w:val="00F8269F"/>
    <w:rsid w:val="00F95E1F"/>
    <w:rsid w:val="00F97D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3FAEB"/>
  <w15:chartTrackingRefBased/>
  <w15:docId w15:val="{B8B83F00-9783-4D03-A4B8-C0321ACA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AF1"/>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9E3AF1"/>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unhideWhenUsed/>
    <w:qFormat/>
    <w:rsid w:val="009E3AF1"/>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E3A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A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AF1"/>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9E3AF1"/>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rsid w:val="009E3AF1"/>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E3A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A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AF1"/>
    <w:rPr>
      <w:rFonts w:eastAsiaTheme="majorEastAsia" w:cstheme="majorBidi"/>
      <w:color w:val="272727" w:themeColor="text1" w:themeTint="D8"/>
    </w:rPr>
  </w:style>
  <w:style w:type="paragraph" w:styleId="Title">
    <w:name w:val="Title"/>
    <w:basedOn w:val="Normal"/>
    <w:next w:val="Normal"/>
    <w:link w:val="TitleChar"/>
    <w:uiPriority w:val="10"/>
    <w:qFormat/>
    <w:rsid w:val="009E3AF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E3AF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E3AF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E3AF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E3AF1"/>
    <w:pPr>
      <w:spacing w:before="160"/>
      <w:jc w:val="center"/>
    </w:pPr>
    <w:rPr>
      <w:i/>
      <w:iCs/>
      <w:color w:val="404040" w:themeColor="text1" w:themeTint="BF"/>
    </w:rPr>
  </w:style>
  <w:style w:type="character" w:customStyle="1" w:styleId="QuoteChar">
    <w:name w:val="Quote Char"/>
    <w:basedOn w:val="DefaultParagraphFont"/>
    <w:link w:val="Quote"/>
    <w:uiPriority w:val="29"/>
    <w:rsid w:val="009E3AF1"/>
    <w:rPr>
      <w:i/>
      <w:iCs/>
      <w:color w:val="404040" w:themeColor="text1" w:themeTint="BF"/>
    </w:rPr>
  </w:style>
  <w:style w:type="paragraph" w:styleId="ListParagraph">
    <w:name w:val="List Paragraph"/>
    <w:basedOn w:val="Normal"/>
    <w:uiPriority w:val="34"/>
    <w:qFormat/>
    <w:rsid w:val="009E3AF1"/>
    <w:pPr>
      <w:ind w:left="720"/>
      <w:contextualSpacing/>
    </w:pPr>
  </w:style>
  <w:style w:type="character" w:styleId="IntenseEmphasis">
    <w:name w:val="Intense Emphasis"/>
    <w:basedOn w:val="DefaultParagraphFont"/>
    <w:uiPriority w:val="21"/>
    <w:qFormat/>
    <w:rsid w:val="009E3AF1"/>
    <w:rPr>
      <w:i/>
      <w:iCs/>
      <w:color w:val="0F4761" w:themeColor="accent1" w:themeShade="BF"/>
    </w:rPr>
  </w:style>
  <w:style w:type="paragraph" w:styleId="IntenseQuote">
    <w:name w:val="Intense Quote"/>
    <w:basedOn w:val="Normal"/>
    <w:next w:val="Normal"/>
    <w:link w:val="IntenseQuoteChar"/>
    <w:uiPriority w:val="30"/>
    <w:qFormat/>
    <w:rsid w:val="009E3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AF1"/>
    <w:rPr>
      <w:i/>
      <w:iCs/>
      <w:color w:val="0F4761" w:themeColor="accent1" w:themeShade="BF"/>
    </w:rPr>
  </w:style>
  <w:style w:type="character" w:styleId="IntenseReference">
    <w:name w:val="Intense Reference"/>
    <w:basedOn w:val="DefaultParagraphFont"/>
    <w:uiPriority w:val="32"/>
    <w:qFormat/>
    <w:rsid w:val="009E3AF1"/>
    <w:rPr>
      <w:b/>
      <w:bCs/>
      <w:smallCaps/>
      <w:color w:val="0F4761" w:themeColor="accent1" w:themeShade="BF"/>
      <w:spacing w:val="5"/>
    </w:rPr>
  </w:style>
  <w:style w:type="character" w:styleId="Strong">
    <w:name w:val="Strong"/>
    <w:basedOn w:val="DefaultParagraphFont"/>
    <w:uiPriority w:val="22"/>
    <w:qFormat/>
    <w:rsid w:val="00AE5947"/>
    <w:rPr>
      <w:b/>
      <w:bCs/>
    </w:rPr>
  </w:style>
  <w:style w:type="paragraph" w:styleId="NormalWeb">
    <w:name w:val="Normal (Web)"/>
    <w:basedOn w:val="Normal"/>
    <w:uiPriority w:val="99"/>
    <w:semiHidden/>
    <w:unhideWhenUsed/>
    <w:rsid w:val="00AE5947"/>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AE5947"/>
    <w:rPr>
      <w:i/>
      <w:iCs/>
    </w:rPr>
  </w:style>
  <w:style w:type="character" w:styleId="Hyperlink">
    <w:name w:val="Hyperlink"/>
    <w:basedOn w:val="DefaultParagraphFont"/>
    <w:uiPriority w:val="99"/>
    <w:unhideWhenUsed/>
    <w:rsid w:val="004F68CC"/>
    <w:rPr>
      <w:color w:val="467886" w:themeColor="hyperlink"/>
      <w:u w:val="single"/>
    </w:rPr>
  </w:style>
  <w:style w:type="character" w:styleId="UnresolvedMention">
    <w:name w:val="Unresolved Mention"/>
    <w:basedOn w:val="DefaultParagraphFont"/>
    <w:uiPriority w:val="99"/>
    <w:semiHidden/>
    <w:unhideWhenUsed/>
    <w:rsid w:val="004F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worlddev.2014.11.014" TargetMode="External"/><Relationship Id="rId5" Type="http://schemas.openxmlformats.org/officeDocument/2006/relationships/hyperlink" Target="https://doi.org/10.1016/S0140-6736(13)60937-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490</TotalTime>
  <Pages>14</Pages>
  <Words>4623</Words>
  <Characters>26357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 Singh Thakur</dc:creator>
  <cp:keywords/>
  <dc:description/>
  <cp:lastModifiedBy>Aarush Singh Thakur</cp:lastModifiedBy>
  <cp:revision>85</cp:revision>
  <dcterms:created xsi:type="dcterms:W3CDTF">2026-01-02T11:21:00Z</dcterms:created>
  <dcterms:modified xsi:type="dcterms:W3CDTF">2026-01-30T19:32:00Z</dcterms:modified>
</cp:coreProperties>
</file>