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720" w:line="276" w:lineRule="auto"/>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Educational Brand Positioning in Online and Offline Coaching Centers: A Study of Student Perception and Learning Experience</w:t>
      </w:r>
    </w:p>
    <w:p w:rsidR="00000000" w:rsidDel="00000000" w:rsidP="00000000" w:rsidRDefault="00000000" w:rsidRPr="00000000" w14:paraId="00000002">
      <w:pPr>
        <w:spacing w:after="100" w:before="100" w:line="276" w:lineRule="auto"/>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Gargi Sansanwal</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Carolene Nongrum</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and Prashanth Cherian Kochuveetil</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¹Member, National Institute of Fashion Technology (NIFT), Bangalore, India</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²Member, National Institute of Fashion Technology (NIFT), Bangalore, India</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³Member, National Institute of Fashion Technology (NIFT), Bangalore, India </w:t>
      </w:r>
      <w:r w:rsidDel="00000000" w:rsidR="00000000" w:rsidRPr="00000000">
        <w:rPr>
          <w:rtl w:val="0"/>
        </w:rPr>
      </w:r>
    </w:p>
    <w:p w:rsidR="00000000" w:rsidDel="00000000" w:rsidP="00000000" w:rsidRDefault="00000000" w:rsidRPr="00000000" w14:paraId="00000008">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uwx5py9gz46a" w:id="0"/>
      <w:bookmarkEnd w:id="0"/>
      <w:r w:rsidDel="00000000" w:rsidR="00000000" w:rsidRPr="00000000">
        <w:rPr>
          <w:rFonts w:ascii="Times New Roman" w:cs="Times New Roman" w:eastAsia="Times New Roman" w:hAnsi="Times New Roman"/>
          <w:b w:val="1"/>
          <w:bCs w:val="1"/>
          <w:sz w:val="20"/>
          <w:szCs w:val="20"/>
          <w:rtl w:val="0"/>
        </w:rPr>
        <w:t xml:space="preserve">ABSTRACT</w:t>
      </w:r>
    </w:p>
    <w:p w:rsidR="00000000" w:rsidDel="00000000" w:rsidP="00000000" w:rsidRDefault="00000000" w:rsidRPr="00000000" w14:paraId="00000009">
      <w:pPr>
        <w:spacing w:after="16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Purpose </w:t>
      </w:r>
      <w:r w:rsidDel="00000000" w:rsidR="00000000" w:rsidRPr="00000000">
        <w:rPr>
          <w:rFonts w:ascii="Times New Roman" w:cs="Times New Roman" w:eastAsia="Times New Roman" w:hAnsi="Times New Roman"/>
          <w:sz w:val="18"/>
          <w:szCs w:val="18"/>
          <w:rtl w:val="0"/>
        </w:rPr>
        <w:t xml:space="preserve">This study examines the expectation–experience gap in online and offline coaching centers in India through the lens of perceived brand positioning and student satisfaction, and tests whether gap scores and mode differences are statistically significant rather than merely descriptive.</w:t>
      </w:r>
    </w:p>
    <w:p w:rsidR="00000000" w:rsidDel="00000000" w:rsidP="00000000" w:rsidRDefault="00000000" w:rsidRPr="00000000" w14:paraId="0000000A">
      <w:pPr>
        <w:spacing w:after="16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Design/methodology/approach </w:t>
      </w:r>
      <w:r w:rsidDel="00000000" w:rsidR="00000000" w:rsidRPr="00000000">
        <w:rPr>
          <w:rFonts w:ascii="Times New Roman" w:cs="Times New Roman" w:eastAsia="Times New Roman" w:hAnsi="Times New Roman"/>
          <w:sz w:val="18"/>
          <w:szCs w:val="18"/>
          <w:rtl w:val="0"/>
        </w:rPr>
        <w:t xml:space="preserve">A quantitative cross-sectional survey was administered via Google Forms (April 6–10, 2026), yielding N = 96 valid responses from coaching center students in India. Data were collected on four constructs using a 7-point Likert scale. Analyses included Cronbach’s alpha, Shapiro–Wilk normality tests, one-sample t-tests on gap scores, and one-way ANOVA with Bonferroni-corrected post-hoc comparisons across online, offline, and hybrid coaching modes.</w:t>
      </w:r>
    </w:p>
    <w:p w:rsidR="00000000" w:rsidDel="00000000" w:rsidP="00000000" w:rsidRDefault="00000000" w:rsidRPr="00000000" w14:paraId="0000000B">
      <w:pPr>
        <w:spacing w:after="16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Findings </w:t>
      </w:r>
      <w:r w:rsidDel="00000000" w:rsidR="00000000" w:rsidRPr="00000000">
        <w:rPr>
          <w:rFonts w:ascii="Cardo" w:cs="Cardo" w:eastAsia="Cardo" w:hAnsi="Cardo"/>
          <w:sz w:val="18"/>
          <w:szCs w:val="18"/>
          <w:rtl w:val="0"/>
        </w:rPr>
        <w:t xml:space="preserve">All four constructs demonstrated excellent internal consistency (α = .890–.948). One-sample t-tests confirmed that all three expectation–experience gap scores were significantly negative (Brand Promise: M = −0.667, p &lt; .001; Teaching Quality: M = −0.604, p &lt; .001; Doubt-Solving: M = −0.635, p = .001). ANOVA revealed significant mode differences on all constructs (all p &lt; .01, η² = 0.103–0.121), with hybrid students scoring significantly higher than both online and offline students.</w:t>
      </w:r>
    </w:p>
    <w:p w:rsidR="00000000" w:rsidDel="00000000" w:rsidP="00000000" w:rsidRDefault="00000000" w:rsidRPr="00000000" w14:paraId="0000000C">
      <w:pPr>
        <w:spacing w:after="16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Research limitations/implications </w:t>
      </w:r>
      <w:r w:rsidDel="00000000" w:rsidR="00000000" w:rsidRPr="00000000">
        <w:rPr>
          <w:rFonts w:ascii="Times New Roman" w:cs="Times New Roman" w:eastAsia="Times New Roman" w:hAnsi="Times New Roman"/>
          <w:sz w:val="18"/>
          <w:szCs w:val="18"/>
          <w:rtl w:val="0"/>
        </w:rPr>
        <w:t xml:space="preserve">Convenience sampling and a relatively small sample limit generalisability. Two-item constructs, while reliable, restrict construct validity claims. Future studies should employ larger, nationally representative samples, multi-item scales, and non-parametric tests given confirmed non-normality.</w:t>
      </w:r>
    </w:p>
    <w:p w:rsidR="00000000" w:rsidDel="00000000" w:rsidP="00000000" w:rsidRDefault="00000000" w:rsidRPr="00000000" w14:paraId="0000000D">
      <w:pPr>
        <w:spacing w:after="16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Practical implications </w:t>
      </w:r>
      <w:r w:rsidDel="00000000" w:rsidR="00000000" w:rsidRPr="00000000">
        <w:rPr>
          <w:rFonts w:ascii="Times New Roman" w:cs="Times New Roman" w:eastAsia="Times New Roman" w:hAnsi="Times New Roman"/>
          <w:sz w:val="18"/>
          <w:szCs w:val="18"/>
          <w:rtl w:val="0"/>
        </w:rPr>
        <w:t xml:space="preserve">Coaching centers should audit and recalibrate marketing claims, particularly regarding teaching quality and mentorship. Investment in hybrid delivery infrastructure is recommended given its statistically confirmed superiority across all measured outcomes.</w:t>
      </w:r>
    </w:p>
    <w:p w:rsidR="00000000" w:rsidDel="00000000" w:rsidP="00000000" w:rsidRDefault="00000000" w:rsidRPr="00000000" w14:paraId="0000000E">
      <w:pPr>
        <w:spacing w:after="160" w:line="276"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Originality/value </w:t>
      </w:r>
      <w:r w:rsidDel="00000000" w:rsidR="00000000" w:rsidRPr="00000000">
        <w:rPr>
          <w:rFonts w:ascii="Times New Roman" w:cs="Times New Roman" w:eastAsia="Times New Roman" w:hAnsi="Times New Roman"/>
          <w:sz w:val="18"/>
          <w:szCs w:val="18"/>
          <w:rtl w:val="0"/>
        </w:rPr>
        <w:t xml:space="preserve">This study provides the first inferentially validated application of SERVQUAL gap analysis to the Indian coaching center sector, integrating brand authenticity theory, Expectancy Disconfirmation Theory, and blended learning research within a unified measurement framework. The inferential confirmation of gap scores advances beyond prior descriptive applications.</w:t>
      </w:r>
    </w:p>
    <w:p w:rsidR="00000000" w:rsidDel="00000000" w:rsidP="00000000" w:rsidRDefault="00000000" w:rsidRPr="00000000" w14:paraId="0000000F">
      <w:pPr>
        <w:spacing w:after="100" w:before="10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bCs w:val="1"/>
          <w:sz w:val="18"/>
          <w:szCs w:val="18"/>
          <w:rtl w:val="0"/>
        </w:rPr>
        <w:t xml:space="preserve">Keywords: </w:t>
      </w:r>
      <w:r w:rsidDel="00000000" w:rsidR="00000000" w:rsidRPr="00000000">
        <w:rPr>
          <w:rFonts w:ascii="Times New Roman" w:cs="Times New Roman" w:eastAsia="Times New Roman" w:hAnsi="Times New Roman"/>
          <w:sz w:val="18"/>
          <w:szCs w:val="18"/>
          <w:rtl w:val="0"/>
        </w:rPr>
        <w:t xml:space="preserve">brand positioning; student perception; coaching centers; SERVQUAL; expectation–experience gap; ANOVA; Shapiro–Wilk; Bonferroni correction; hybrid learning</w:t>
      </w:r>
    </w:p>
    <w:p w:rsidR="00000000" w:rsidDel="00000000" w:rsidP="00000000" w:rsidRDefault="00000000" w:rsidRPr="00000000" w14:paraId="00000010">
      <w:pPr>
        <w:spacing w:after="100" w:before="100"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1">
      <w:pPr>
        <w:spacing w:after="100" w:before="100"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2">
      <w:pPr>
        <w:spacing w:after="100" w:before="100"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3">
      <w:pPr>
        <w:spacing w:after="100" w:before="100"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4">
      <w:pPr>
        <w:spacing w:after="100" w:before="100"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5">
      <w:pPr>
        <w:spacing w:after="100" w:before="100" w:line="276"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AUTHOR CONTRIBUTIONS (CREDIT)</w:t>
      </w:r>
    </w:p>
    <w:p w:rsidR="00000000" w:rsidDel="00000000" w:rsidP="00000000" w:rsidRDefault="00000000" w:rsidRPr="00000000" w14:paraId="00000016">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Author contributions are reported in accordance with the Contributor Roles Taxonomy (CRediT)</w:t>
      </w:r>
    </w:p>
    <w:p w:rsidR="00000000" w:rsidDel="00000000" w:rsidP="00000000" w:rsidRDefault="00000000" w:rsidRPr="00000000" w14:paraId="00000017">
      <w:pPr>
        <w:spacing w:after="100" w:before="1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Gargi Sansanwal: </w:t>
      </w:r>
      <w:r w:rsidDel="00000000" w:rsidR="00000000" w:rsidRPr="00000000">
        <w:rPr>
          <w:rFonts w:ascii="Times New Roman" w:cs="Times New Roman" w:eastAsia="Times New Roman" w:hAnsi="Times New Roman"/>
          <w:sz w:val="20"/>
          <w:szCs w:val="20"/>
          <w:rtl w:val="0"/>
        </w:rPr>
        <w:t xml:space="preserve">Conceptualization, Data curation, Investigation, Writing - original draft preparation, Writing - review &amp; editing. </w:t>
      </w:r>
    </w:p>
    <w:p w:rsidR="00000000" w:rsidDel="00000000" w:rsidP="00000000" w:rsidRDefault="00000000" w:rsidRPr="00000000" w14:paraId="00000018">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Carolene Nongrum: </w:t>
      </w:r>
      <w:r w:rsidDel="00000000" w:rsidR="00000000" w:rsidRPr="00000000">
        <w:rPr>
          <w:rFonts w:ascii="Times New Roman" w:cs="Times New Roman" w:eastAsia="Times New Roman" w:hAnsi="Times New Roman"/>
          <w:sz w:val="20"/>
          <w:szCs w:val="20"/>
          <w:rtl w:val="0"/>
        </w:rPr>
        <w:t xml:space="preserve">Data curation, Formal analysis, Visualization, Writing - original draft preparation, Writing - review &amp; editing.</w:t>
      </w:r>
      <w:r w:rsidDel="00000000" w:rsidR="00000000" w:rsidRPr="00000000">
        <w:rPr>
          <w:rtl w:val="0"/>
        </w:rPr>
      </w:r>
    </w:p>
    <w:p w:rsidR="00000000" w:rsidDel="00000000" w:rsidP="00000000" w:rsidRDefault="00000000" w:rsidRPr="00000000" w14:paraId="00000019">
      <w:pPr>
        <w:spacing w:after="160" w:line="276"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Prashanth Cherian Kochuveetil: </w:t>
      </w:r>
      <w:r w:rsidDel="00000000" w:rsidR="00000000" w:rsidRPr="00000000">
        <w:rPr>
          <w:rFonts w:ascii="Times New Roman" w:cs="Times New Roman" w:eastAsia="Times New Roman" w:hAnsi="Times New Roman"/>
          <w:sz w:val="20"/>
          <w:szCs w:val="20"/>
          <w:rtl w:val="0"/>
        </w:rPr>
        <w:t xml:space="preserve">Supervision, Methodology guidance, Academic guidance. </w:t>
      </w:r>
      <w:r w:rsidDel="00000000" w:rsidR="00000000" w:rsidRPr="00000000">
        <w:rPr>
          <w:rtl w:val="0"/>
        </w:rPr>
      </w:r>
    </w:p>
    <w:p w:rsidR="00000000" w:rsidDel="00000000" w:rsidP="00000000" w:rsidRDefault="00000000" w:rsidRPr="00000000" w14:paraId="0000001A">
      <w:pPr>
        <w:spacing w:after="160" w:line="276"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1. INTRODUCTION</w:t>
      </w:r>
    </w:p>
    <w:p w:rsidR="00000000" w:rsidDel="00000000" w:rsidP="00000000" w:rsidRDefault="00000000" w:rsidRPr="00000000" w14:paraId="0000001B">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private coaching industry in India has grown substantially over the past two decades, driven by intensified competition for professional examinations, university admissions, and skill certification. Coaching centers whether operating in physical classrooms or through digital platforms invest heavily in brand communication, positioning themselves as providers of innovative pedagogy, personalised mentorship, and verified academic outcomes. Brand positioning, as understood in this paper, refers to the perceived image occupying a student’s mental space regarding a coaching institution, shaped by its marketing claims, reputation, and observable service attributes (Kotler &amp; Fox, 1995). This paper explicitly interprets brand positioning from the student’s perspective, rather than as an analysis of specific institutions or named brands.</w:t>
      </w:r>
    </w:p>
    <w:p w:rsidR="00000000" w:rsidDel="00000000" w:rsidP="00000000" w:rsidRDefault="00000000" w:rsidRPr="00000000" w14:paraId="0000001C">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Despite the proliferation of coaching options across online and offline formats, a persistent concern in the educational services literature is the gap between institutional promises and the experiences students actually receive. Service quality research has long established that perceived quality is a function of the discrepancy between expectations and actual performance (Parasuraman et al., 1988). When this discrepancy is negative, that is, when actual performance falls below expectations, dissatisfaction, reduced loyalty, and negative word-of-mouth typically follow (Oliver, 1980).</w:t>
      </w:r>
    </w:p>
    <w:p w:rsidR="00000000" w:rsidDel="00000000" w:rsidP="00000000" w:rsidRDefault="00000000" w:rsidRPr="00000000" w14:paraId="0000001D">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further dimension concerns coaching delivery mode. The rapid expansion of online coaching platforms since 2020, accelerated by the COVID-19 pandemic, has created a landscape in which students choose between fully offline, fully online, or hybrid modes. Empirical research comparing learning modalities suggests that blended approaches tend to produce the most favourable outcomes (Means et al., 2009); however, limited research has examined this within the specific context of Indian competitive examination coaching.</w:t>
      </w:r>
    </w:p>
    <w:p w:rsidR="00000000" w:rsidDel="00000000" w:rsidP="00000000" w:rsidRDefault="00000000" w:rsidRPr="00000000" w14:paraId="0000001E">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present study addresses this gap by examining how perceived brand positioning influences student satisfaction and learning experience across coaching modes, using both descriptive and inferential statistical analyses to confirm the significance of observed patterns.</w:t>
      </w:r>
    </w:p>
    <w:p w:rsidR="00000000" w:rsidDel="00000000" w:rsidP="00000000" w:rsidRDefault="00000000" w:rsidRPr="00000000" w14:paraId="0000001F">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1z3zrlb7xh6h" w:id="1"/>
      <w:bookmarkEnd w:id="1"/>
      <w:r w:rsidDel="00000000" w:rsidR="00000000" w:rsidRPr="00000000">
        <w:rPr>
          <w:rFonts w:ascii="Times New Roman" w:cs="Times New Roman" w:eastAsia="Times New Roman" w:hAnsi="Times New Roman"/>
          <w:b w:val="1"/>
          <w:bCs w:val="1"/>
          <w:sz w:val="20"/>
          <w:szCs w:val="20"/>
          <w:rtl w:val="0"/>
        </w:rPr>
        <w:t xml:space="preserve">2. LITERATURE REVIEW</w:t>
      </w:r>
    </w:p>
    <w:p w:rsidR="00000000" w:rsidDel="00000000" w:rsidP="00000000" w:rsidRDefault="00000000" w:rsidRPr="00000000" w14:paraId="00000020">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r7ahta576kbb" w:id="2"/>
      <w:bookmarkEnd w:id="2"/>
      <w:r w:rsidDel="00000000" w:rsidR="00000000" w:rsidRPr="00000000">
        <w:rPr>
          <w:rFonts w:ascii="Times New Roman" w:cs="Times New Roman" w:eastAsia="Times New Roman" w:hAnsi="Times New Roman"/>
          <w:b w:val="1"/>
          <w:bCs w:val="1"/>
          <w:sz w:val="20"/>
          <w:szCs w:val="20"/>
          <w:rtl w:val="0"/>
        </w:rPr>
        <w:t xml:space="preserve">2.1 Student Perceptions of Educational Quality</w:t>
      </w:r>
    </w:p>
    <w:p w:rsidR="00000000" w:rsidDel="00000000" w:rsidP="00000000" w:rsidRDefault="00000000" w:rsidRPr="00000000" w14:paraId="00000021">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perception plays a central role in evaluating educational quality. Yang and Cornelius (2005) found that students valued flexibility, affordability, and digital resource access, while dissatisfaction arose from delayed feedback, lack of interaction, and poor course design. Aguirre et al. (2022) identified learning quality, technology access, and learning challenges as key predictors of student satisfaction, reporting high reliability (α = .954; α = .948). These findings confirm that educational quality is multidimensional and perception-driven, shaped by both institutional and systemic factors. When these factors are not effectively delivered, a gap emerges between institutional promises and student experiences.</w:t>
      </w:r>
    </w:p>
    <w:p w:rsidR="00000000" w:rsidDel="00000000" w:rsidP="00000000" w:rsidRDefault="00000000" w:rsidRPr="00000000" w14:paraId="00000022">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lj6euvpwps4s" w:id="3"/>
      <w:bookmarkEnd w:id="3"/>
      <w:r w:rsidDel="00000000" w:rsidR="00000000" w:rsidRPr="00000000">
        <w:rPr>
          <w:rFonts w:ascii="Times New Roman" w:cs="Times New Roman" w:eastAsia="Times New Roman" w:hAnsi="Times New Roman"/>
          <w:b w:val="1"/>
          <w:bCs w:val="1"/>
          <w:sz w:val="20"/>
          <w:szCs w:val="20"/>
          <w:rtl w:val="0"/>
        </w:rPr>
        <w:t xml:space="preserve">2.2 Service Quality Gaps: The SERVQUAL Framework</w:t>
      </w:r>
    </w:p>
    <w:p w:rsidR="00000000" w:rsidDel="00000000" w:rsidP="00000000" w:rsidRDefault="00000000" w:rsidRPr="00000000" w14:paraId="00000023">
      <w:pPr>
        <w:spacing w:after="160" w:line="276" w:lineRule="auto"/>
        <w:jc w:val="both"/>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The SERVQUAL model (Parasuraman et al., 1985) conceptualises service quality as SQ = P − E (Perception minus Expectation). Abili et al. (2012) found significant negative gaps across all five SERVQUAL dimensions in higher education (p &lt; .05), particularly in responsiveness. Mishra et al. (2023) integrated institutional and LMS service quality, demonstrating their joint influence on student satisfaction and brand equity an insight particularly relevant to hybrid coaching contexts.</w:t>
      </w:r>
    </w:p>
    <w:p w:rsidR="00000000" w:rsidDel="00000000" w:rsidP="00000000" w:rsidRDefault="00000000" w:rsidRPr="00000000" w14:paraId="00000024">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5iouaeqvus0a" w:id="4"/>
      <w:bookmarkEnd w:id="4"/>
      <w:r w:rsidDel="00000000" w:rsidR="00000000" w:rsidRPr="00000000">
        <w:rPr>
          <w:rFonts w:ascii="Times New Roman" w:cs="Times New Roman" w:eastAsia="Times New Roman" w:hAnsi="Times New Roman"/>
          <w:b w:val="1"/>
          <w:bCs w:val="1"/>
          <w:sz w:val="20"/>
          <w:szCs w:val="20"/>
          <w:rtl w:val="0"/>
        </w:rPr>
        <w:t xml:space="preserve">2.3 Brand Equity, Reputation, and Loyalty</w:t>
      </w:r>
    </w:p>
    <w:p w:rsidR="00000000" w:rsidDel="00000000" w:rsidP="00000000" w:rsidRDefault="00000000" w:rsidRPr="00000000" w14:paraId="00000025">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Kaushal and Ali (2020) found that institutional reputation strongly affects student satisfaction (γ = 0.669, p &lt; .001) and loyalty, with satisfaction acting as a partial mediator. Morhart et al. (2015) conceptualised brand credibility through consistency, integrity, and promise fulfilment. Long-term student loyalty depends on perceived authenticity and the consistent delivery of institutional promises.</w:t>
      </w:r>
    </w:p>
    <w:p w:rsidR="00000000" w:rsidDel="00000000" w:rsidP="00000000" w:rsidRDefault="00000000" w:rsidRPr="00000000" w14:paraId="00000026">
      <w:pPr>
        <w:spacing w:after="160" w:line="276"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2.4 Online Learning Satisfaction and Interaction</w:t>
      </w:r>
    </w:p>
    <w:p w:rsidR="00000000" w:rsidDel="00000000" w:rsidP="00000000" w:rsidRDefault="00000000" w:rsidRPr="00000000" w14:paraId="00000027">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Alqurashi (2019) found that learner–content interaction was the strongest predictor of student satisfaction (t = 7.340, p &lt; .001) in online environments, while self-efficacy was the strongest predictor of perceived learning (t = 4.422, p &lt; .001). Coaching centers promising interactive learning must ensure strong instructor engagement, as failure to deliver results in perception gaps and reduced satisfaction. Self-efficacy, grounded in Bandura’s (1977) social learning theory, also shapes perceived career readiness.</w:t>
      </w:r>
    </w:p>
    <w:p w:rsidR="00000000" w:rsidDel="00000000" w:rsidP="00000000" w:rsidRDefault="00000000" w:rsidRPr="00000000" w14:paraId="00000028">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te0ay25svq7" w:id="5"/>
      <w:bookmarkEnd w:id="5"/>
      <w:r w:rsidDel="00000000" w:rsidR="00000000" w:rsidRPr="00000000">
        <w:rPr>
          <w:rFonts w:ascii="Times New Roman" w:cs="Times New Roman" w:eastAsia="Times New Roman" w:hAnsi="Times New Roman"/>
          <w:b w:val="1"/>
          <w:bCs w:val="1"/>
          <w:sz w:val="20"/>
          <w:szCs w:val="20"/>
          <w:rtl w:val="0"/>
        </w:rPr>
        <w:t xml:space="preserve">2.5 E-Learning Effectiveness and System Quality</w:t>
      </w:r>
    </w:p>
    <w:p w:rsidR="00000000" w:rsidDel="00000000" w:rsidP="00000000" w:rsidRDefault="00000000" w:rsidRPr="00000000" w14:paraId="00000029">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Liaw (2008) identified self-efficacy, multimedia quality, and system quality as determinants of e-learning satisfaction (R² = 0.651) and effectiveness (R² = 0.681; α = 0.97). Self-efficacy contributed 50.5% of explained variance in satisfaction. Despite moderately positive attitudes, student concerns regarding interactivity and system quality were persistent, reinforcing the importance of measuring expectation–experience gaps rather than satisfaction alone.</w:t>
      </w:r>
    </w:p>
    <w:p w:rsidR="00000000" w:rsidDel="00000000" w:rsidP="00000000" w:rsidRDefault="00000000" w:rsidRPr="00000000" w14:paraId="0000002A">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lrlmamn7348z" w:id="6"/>
      <w:bookmarkEnd w:id="6"/>
      <w:r w:rsidDel="00000000" w:rsidR="00000000" w:rsidRPr="00000000">
        <w:rPr>
          <w:rFonts w:ascii="Times New Roman" w:cs="Times New Roman" w:eastAsia="Times New Roman" w:hAnsi="Times New Roman"/>
          <w:b w:val="1"/>
          <w:bCs w:val="1"/>
          <w:sz w:val="20"/>
          <w:szCs w:val="20"/>
          <w:rtl w:val="0"/>
        </w:rPr>
        <w:t xml:space="preserve">2.6 Synthesis: Multi-Level Measurement Framework</w:t>
      </w:r>
    </w:p>
    <w:p w:rsidR="00000000" w:rsidDel="00000000" w:rsidP="00000000" w:rsidRDefault="00000000" w:rsidRPr="00000000" w14:paraId="0000002B">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reviewed literature supports a multi-level measurement framework integrating Likert scales (ordinal), gap scores (interval), and objective performance metrics (ratio). Ramsden (1991) validated ordinal Likert instruments for teaching quality assessment. The present study adopts this approach while adding inferential statistical tests ANOVA, t-tests, and Shapiro Wilk that prior descriptive-only studies lack, directly responding to calls in the literature for inferential validation of educational perception research.</w:t>
      </w:r>
    </w:p>
    <w:p w:rsidR="00000000" w:rsidDel="00000000" w:rsidP="00000000" w:rsidRDefault="00000000" w:rsidRPr="00000000" w14:paraId="0000002C">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no2zybeei1un" w:id="7"/>
      <w:bookmarkEnd w:id="7"/>
      <w:r w:rsidDel="00000000" w:rsidR="00000000" w:rsidRPr="00000000">
        <w:rPr>
          <w:rtl w:val="0"/>
        </w:rPr>
      </w:r>
    </w:p>
    <w:p w:rsidR="00000000" w:rsidDel="00000000" w:rsidP="00000000" w:rsidRDefault="00000000" w:rsidRPr="00000000" w14:paraId="0000002D">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598cedv4pdd2" w:id="8"/>
      <w:bookmarkEnd w:id="8"/>
      <w:r w:rsidDel="00000000" w:rsidR="00000000" w:rsidRPr="00000000">
        <w:rPr>
          <w:rFonts w:ascii="Times New Roman" w:cs="Times New Roman" w:eastAsia="Times New Roman" w:hAnsi="Times New Roman"/>
          <w:b w:val="1"/>
          <w:bCs w:val="1"/>
          <w:sz w:val="20"/>
          <w:szCs w:val="20"/>
          <w:rtl w:val="0"/>
        </w:rPr>
        <w:t xml:space="preserve">3. THEORETICAL FRAMEWORK</w:t>
      </w:r>
    </w:p>
    <w:p w:rsidR="00000000" w:rsidDel="00000000" w:rsidP="00000000" w:rsidRDefault="00000000" w:rsidRPr="00000000" w14:paraId="0000002E">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ax0r0brhm6np" w:id="9"/>
      <w:bookmarkEnd w:id="9"/>
      <w:r w:rsidDel="00000000" w:rsidR="00000000" w:rsidRPr="00000000">
        <w:rPr>
          <w:rFonts w:ascii="Times New Roman" w:cs="Times New Roman" w:eastAsia="Times New Roman" w:hAnsi="Times New Roman"/>
          <w:b w:val="1"/>
          <w:bCs w:val="1"/>
          <w:sz w:val="20"/>
          <w:szCs w:val="20"/>
          <w:rtl w:val="0"/>
        </w:rPr>
        <w:t xml:space="preserve">3.1 Underpinning Theories</w:t>
      </w:r>
    </w:p>
    <w:p w:rsidR="00000000" w:rsidDel="00000000" w:rsidP="00000000" w:rsidRDefault="00000000" w:rsidRPr="00000000" w14:paraId="0000002F">
      <w:pPr>
        <w:pStyle w:val="Heading3"/>
        <w:keepNext w:val="0"/>
        <w:keepLines w:val="0"/>
        <w:spacing w:before="280" w:line="276" w:lineRule="auto"/>
        <w:rPr>
          <w:rFonts w:ascii="Times New Roman" w:cs="Times New Roman" w:eastAsia="Times New Roman" w:hAnsi="Times New Roman"/>
          <w:b w:val="1"/>
          <w:bCs w:val="1"/>
          <w:color w:val="000000"/>
          <w:sz w:val="20"/>
          <w:szCs w:val="20"/>
        </w:rPr>
      </w:pPr>
      <w:bookmarkStart w:colFirst="0" w:colLast="0" w:name="_fhzwivbqs80s" w:id="10"/>
      <w:bookmarkEnd w:id="10"/>
      <w:r w:rsidDel="00000000" w:rsidR="00000000" w:rsidRPr="00000000">
        <w:rPr>
          <w:rFonts w:ascii="Times New Roman" w:cs="Times New Roman" w:eastAsia="Times New Roman" w:hAnsi="Times New Roman"/>
          <w:b w:val="1"/>
          <w:bCs w:val="1"/>
          <w:color w:val="000000"/>
          <w:sz w:val="20"/>
          <w:szCs w:val="20"/>
          <w:rtl w:val="0"/>
        </w:rPr>
        <w:t xml:space="preserve">SERVQUAL and the Gap Model (Parasuraman et al., 1985)</w:t>
      </w:r>
    </w:p>
    <w:p w:rsidR="00000000" w:rsidDel="00000000" w:rsidP="00000000" w:rsidRDefault="00000000" w:rsidRPr="00000000" w14:paraId="00000030">
      <w:pPr>
        <w:spacing w:after="160" w:line="276" w:lineRule="auto"/>
        <w:jc w:val="both"/>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The Service Quality Gap Model conceptualises quality as the computed difference between customer expectations (E) and perceptions of actual performance (P), expressed as SQ = P − E. Negative gap scores indicate service underdelivery. This study advances beyond prior descriptive applications of SERVQUAL by submitting gap scores to one-sample t-tests to determine whether observed gaps are statistically significantly different from zero.</w:t>
      </w:r>
    </w:p>
    <w:p w:rsidR="00000000" w:rsidDel="00000000" w:rsidP="00000000" w:rsidRDefault="00000000" w:rsidRPr="00000000" w14:paraId="00000031">
      <w:pPr>
        <w:pStyle w:val="Heading3"/>
        <w:keepNext w:val="0"/>
        <w:keepLines w:val="0"/>
        <w:spacing w:before="280" w:line="276" w:lineRule="auto"/>
        <w:rPr>
          <w:rFonts w:ascii="Times New Roman" w:cs="Times New Roman" w:eastAsia="Times New Roman" w:hAnsi="Times New Roman"/>
          <w:b w:val="1"/>
          <w:bCs w:val="1"/>
          <w:color w:val="000000"/>
          <w:sz w:val="20"/>
          <w:szCs w:val="20"/>
        </w:rPr>
      </w:pPr>
      <w:bookmarkStart w:colFirst="0" w:colLast="0" w:name="_3komiajc54r0" w:id="11"/>
      <w:bookmarkEnd w:id="11"/>
      <w:r w:rsidDel="00000000" w:rsidR="00000000" w:rsidRPr="00000000">
        <w:rPr>
          <w:rFonts w:ascii="Times New Roman" w:cs="Times New Roman" w:eastAsia="Times New Roman" w:hAnsi="Times New Roman"/>
          <w:b w:val="1"/>
          <w:bCs w:val="1"/>
          <w:color w:val="000000"/>
          <w:sz w:val="20"/>
          <w:szCs w:val="20"/>
          <w:rtl w:val="0"/>
        </w:rPr>
        <w:t xml:space="preserve">Brand Authenticity Theory (Morhart et al., 2015) </w:t>
      </w:r>
    </w:p>
    <w:p w:rsidR="00000000" w:rsidDel="00000000" w:rsidP="00000000" w:rsidRDefault="00000000" w:rsidRPr="00000000" w14:paraId="00000032">
      <w:pPr>
        <w:pStyle w:val="Heading3"/>
        <w:keepNext w:val="0"/>
        <w:keepLines w:val="0"/>
        <w:spacing w:before="280" w:line="276" w:lineRule="auto"/>
        <w:rPr>
          <w:rFonts w:ascii="Times New Roman" w:cs="Times New Roman" w:eastAsia="Times New Roman" w:hAnsi="Times New Roman"/>
          <w:color w:val="000000"/>
          <w:sz w:val="20"/>
          <w:szCs w:val="20"/>
        </w:rPr>
      </w:pPr>
      <w:bookmarkStart w:colFirst="0" w:colLast="0" w:name="_dptn5284kyuc" w:id="12"/>
      <w:bookmarkEnd w:id="12"/>
      <w:r w:rsidDel="00000000" w:rsidR="00000000" w:rsidRPr="00000000">
        <w:rPr>
          <w:rFonts w:ascii="Times New Roman" w:cs="Times New Roman" w:eastAsia="Times New Roman" w:hAnsi="Times New Roman"/>
          <w:color w:val="000000"/>
          <w:sz w:val="20"/>
          <w:szCs w:val="20"/>
          <w:rtl w:val="0"/>
        </w:rPr>
        <w:t xml:space="preserve">The Brand Authenticity Scale conceptualises credibility as comprising consistency, integrity, and promise fulfilment. Items Q5 and Q9 operationalise these dimensions, with high reliability confirmed (α = .919).</w:t>
      </w:r>
    </w:p>
    <w:p w:rsidR="00000000" w:rsidDel="00000000" w:rsidP="00000000" w:rsidRDefault="00000000" w:rsidRPr="00000000" w14:paraId="00000033">
      <w:pPr>
        <w:pStyle w:val="Heading3"/>
        <w:keepNext w:val="0"/>
        <w:keepLines w:val="0"/>
        <w:spacing w:before="280" w:line="276" w:lineRule="auto"/>
        <w:rPr>
          <w:rFonts w:ascii="Times New Roman" w:cs="Times New Roman" w:eastAsia="Times New Roman" w:hAnsi="Times New Roman"/>
          <w:b w:val="1"/>
          <w:bCs w:val="1"/>
          <w:color w:val="000000"/>
          <w:sz w:val="20"/>
          <w:szCs w:val="20"/>
        </w:rPr>
      </w:pPr>
      <w:bookmarkStart w:colFirst="0" w:colLast="0" w:name="_dm3xy7ra8vlw" w:id="13"/>
      <w:bookmarkEnd w:id="13"/>
      <w:r w:rsidDel="00000000" w:rsidR="00000000" w:rsidRPr="00000000">
        <w:rPr>
          <w:rFonts w:ascii="Times New Roman" w:cs="Times New Roman" w:eastAsia="Times New Roman" w:hAnsi="Times New Roman"/>
          <w:b w:val="1"/>
          <w:bCs w:val="1"/>
          <w:color w:val="000000"/>
          <w:sz w:val="20"/>
          <w:szCs w:val="20"/>
          <w:rtl w:val="0"/>
        </w:rPr>
        <w:t xml:space="preserve">Expectancy Disconfirmation Theory (Oliver, 1980)</w:t>
      </w:r>
    </w:p>
    <w:p w:rsidR="00000000" w:rsidDel="00000000" w:rsidP="00000000" w:rsidRDefault="00000000" w:rsidRPr="00000000" w14:paraId="00000034">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Oliver’s (1980) theory posits that satisfaction is determined by the confirmation or disconfirmation of prior expectations. Negative disconfirmation produces dissatisfaction, explaining the moderate satisfaction scores (M = 4.05/7) and subdued recommendation intent (Q8, M = 3.93/7) observed when coaching center services systematically fell below promises.</w:t>
      </w:r>
    </w:p>
    <w:p w:rsidR="00000000" w:rsidDel="00000000" w:rsidP="00000000" w:rsidRDefault="00000000" w:rsidRPr="00000000" w14:paraId="00000035">
      <w:pPr>
        <w:pStyle w:val="Heading3"/>
        <w:keepNext w:val="0"/>
        <w:keepLines w:val="0"/>
        <w:spacing w:before="280" w:line="276" w:lineRule="auto"/>
        <w:rPr>
          <w:rFonts w:ascii="Times New Roman" w:cs="Times New Roman" w:eastAsia="Times New Roman" w:hAnsi="Times New Roman"/>
          <w:b w:val="1"/>
          <w:bCs w:val="1"/>
          <w:color w:val="000000"/>
          <w:sz w:val="20"/>
          <w:szCs w:val="20"/>
        </w:rPr>
      </w:pPr>
      <w:bookmarkStart w:colFirst="0" w:colLast="0" w:name="_qawicsu159ua" w:id="14"/>
      <w:bookmarkEnd w:id="14"/>
      <w:r w:rsidDel="00000000" w:rsidR="00000000" w:rsidRPr="00000000">
        <w:rPr>
          <w:rFonts w:ascii="Times New Roman" w:cs="Times New Roman" w:eastAsia="Times New Roman" w:hAnsi="Times New Roman"/>
          <w:b w:val="1"/>
          <w:bCs w:val="1"/>
          <w:color w:val="000000"/>
          <w:sz w:val="20"/>
          <w:szCs w:val="20"/>
          <w:rtl w:val="0"/>
        </w:rPr>
        <w:t xml:space="preserve">Self-Efficacy Theory (Bandura, 1977)</w:t>
      </w:r>
    </w:p>
    <w:p w:rsidR="00000000" w:rsidDel="00000000" w:rsidP="00000000" w:rsidRDefault="00000000" w:rsidRPr="00000000" w14:paraId="00000036">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Bandura’s (1977) Self-Efficacy Theory provides the basis for the Career Readiness construct. ANOVA revealed significant coaching-mode differences in Career Readiness (F(2,93) = 6.331, p = .003), with hybrid students significantly outperforming online and offline students.</w:t>
      </w:r>
    </w:p>
    <w:p w:rsidR="00000000" w:rsidDel="00000000" w:rsidP="00000000" w:rsidRDefault="00000000" w:rsidRPr="00000000" w14:paraId="00000037">
      <w:pPr>
        <w:pStyle w:val="Heading2"/>
        <w:keepNext w:val="0"/>
        <w:keepLines w:val="0"/>
        <w:spacing w:after="80" w:line="276" w:lineRule="auto"/>
        <w:rPr>
          <w:rFonts w:ascii="Times New Roman" w:cs="Times New Roman" w:eastAsia="Times New Roman" w:hAnsi="Times New Roman"/>
          <w:b w:val="1"/>
          <w:bCs w:val="1"/>
          <w:sz w:val="20"/>
          <w:szCs w:val="20"/>
          <w:highlight w:val="white"/>
        </w:rPr>
      </w:pPr>
      <w:bookmarkStart w:colFirst="0" w:colLast="0" w:name="_7oln2slhhfu1" w:id="15"/>
      <w:bookmarkEnd w:id="15"/>
      <w:r w:rsidDel="00000000" w:rsidR="00000000" w:rsidRPr="00000000">
        <w:rPr>
          <w:rFonts w:ascii="Times New Roman" w:cs="Times New Roman" w:eastAsia="Times New Roman" w:hAnsi="Times New Roman"/>
          <w:b w:val="1"/>
          <w:bCs w:val="1"/>
          <w:sz w:val="20"/>
          <w:szCs w:val="20"/>
          <w:highlight w:val="white"/>
          <w:rtl w:val="0"/>
        </w:rPr>
        <w:t xml:space="preserve">3.2 Research Hypotheses</w:t>
      </w:r>
    </w:p>
    <w:p w:rsidR="00000000" w:rsidDel="00000000" w:rsidP="00000000" w:rsidRDefault="00000000" w:rsidRPr="00000000" w14:paraId="00000038">
      <w:pPr>
        <w:spacing w:after="160" w:line="276"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Based on the theoretical framework and literature review, the following hypotheses were formulated:</w:t>
      </w:r>
    </w:p>
    <w:p w:rsidR="00000000" w:rsidDel="00000000" w:rsidP="00000000" w:rsidRDefault="00000000" w:rsidRPr="00000000" w14:paraId="00000039">
      <w:pPr>
        <w:spacing w:after="160" w:line="276"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H1: The expectation–experience gap across all three service dimensions will be significantly negative, indicating systematic service underdelivery.</w:t>
      </w:r>
    </w:p>
    <w:p w:rsidR="00000000" w:rsidDel="00000000" w:rsidP="00000000" w:rsidRDefault="00000000" w:rsidRPr="00000000" w14:paraId="0000003A">
      <w:pPr>
        <w:spacing w:after="160" w:line="276"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H2: There will be significant differences in Brand Credibility, Teaching Quality, Student Satisfaction, and Career Readiness across online, offline, and hybrid coaching modes.</w:t>
      </w:r>
    </w:p>
    <w:p w:rsidR="00000000" w:rsidDel="00000000" w:rsidP="00000000" w:rsidRDefault="00000000" w:rsidRPr="00000000" w14:paraId="0000003B">
      <w:pPr>
        <w:spacing w:after="160" w:line="276"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H3: Hybrid-mode students will report significantly higher construct means than both online and offline students on all four constructs.</w:t>
      </w:r>
    </w:p>
    <w:p w:rsidR="00000000" w:rsidDel="00000000" w:rsidP="00000000" w:rsidRDefault="00000000" w:rsidRPr="00000000" w14:paraId="0000003C">
      <w:pPr>
        <w:spacing w:after="160" w:line="276"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H4: The constructs and gap distributions will show significant departures from normality.</w:t>
      </w:r>
    </w:p>
    <w:p w:rsidR="00000000" w:rsidDel="00000000" w:rsidP="00000000" w:rsidRDefault="00000000" w:rsidRPr="00000000" w14:paraId="0000003D">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23y0m4zi8m0p" w:id="16"/>
      <w:bookmarkEnd w:id="16"/>
      <w:r w:rsidDel="00000000" w:rsidR="00000000" w:rsidRPr="00000000">
        <w:rPr>
          <w:rtl w:val="0"/>
        </w:rPr>
      </w:r>
    </w:p>
    <w:p w:rsidR="00000000" w:rsidDel="00000000" w:rsidP="00000000" w:rsidRDefault="00000000" w:rsidRPr="00000000" w14:paraId="0000003E">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hslsnvzejfy9" w:id="17"/>
      <w:bookmarkEnd w:id="17"/>
      <w:r w:rsidDel="00000000" w:rsidR="00000000" w:rsidRPr="00000000">
        <w:rPr>
          <w:rFonts w:ascii="Times New Roman" w:cs="Times New Roman" w:eastAsia="Times New Roman" w:hAnsi="Times New Roman"/>
          <w:b w:val="1"/>
          <w:bCs w:val="1"/>
          <w:sz w:val="20"/>
          <w:szCs w:val="20"/>
          <w:rtl w:val="0"/>
        </w:rPr>
        <w:t xml:space="preserve">3.3 Conceptual Framework</w:t>
      </w:r>
    </w:p>
    <w:p w:rsidR="00000000" w:rsidDel="00000000" w:rsidP="00000000" w:rsidRDefault="00000000" w:rsidRPr="00000000" w14:paraId="0000003F">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positioning (as communicated through institutional marketing) is the independent variable. Student perceptions of brand credibility, teaching quality, satisfaction, and career readiness serve as dependent variables. The expectation–experience gap functions both as a dependent variable (gap scores) and as the mediating mechanism between brand communication and satisfaction outcomes. Coaching modality (online, offline, hybrid) is treated as a moderating variable.</w:t>
      </w:r>
    </w:p>
    <w:p w:rsidR="00000000" w:rsidDel="00000000" w:rsidP="00000000" w:rsidRDefault="00000000" w:rsidRPr="00000000" w14:paraId="00000040">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1f9mcbuy243x" w:id="18"/>
      <w:bookmarkEnd w:id="18"/>
      <w:r w:rsidDel="00000000" w:rsidR="00000000" w:rsidRPr="00000000">
        <w:rPr>
          <w:rFonts w:ascii="Times New Roman" w:cs="Times New Roman" w:eastAsia="Times New Roman" w:hAnsi="Times New Roman"/>
          <w:b w:val="1"/>
          <w:bCs w:val="1"/>
          <w:sz w:val="20"/>
          <w:szCs w:val="20"/>
          <w:rtl w:val="0"/>
        </w:rPr>
        <w:t xml:space="preserve">4. METHODOLOGY</w:t>
      </w:r>
    </w:p>
    <w:p w:rsidR="00000000" w:rsidDel="00000000" w:rsidP="00000000" w:rsidRDefault="00000000" w:rsidRPr="00000000" w14:paraId="00000041">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lzypmvnh0hud" w:id="19"/>
      <w:bookmarkEnd w:id="19"/>
      <w:r w:rsidDel="00000000" w:rsidR="00000000" w:rsidRPr="00000000">
        <w:rPr>
          <w:rFonts w:ascii="Times New Roman" w:cs="Times New Roman" w:eastAsia="Times New Roman" w:hAnsi="Times New Roman"/>
          <w:b w:val="1"/>
          <w:bCs w:val="1"/>
          <w:sz w:val="20"/>
          <w:szCs w:val="20"/>
          <w:rtl w:val="0"/>
        </w:rPr>
        <w:t xml:space="preserve">4.1 Research Design</w:t>
      </w:r>
    </w:p>
    <w:p w:rsidR="00000000" w:rsidDel="00000000" w:rsidP="00000000" w:rsidRDefault="00000000" w:rsidRPr="00000000" w14:paraId="00000042">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employed a quantitative, cross-sectional survey design. Data were collected using a structured self-administered questionnaire distributed via Google Forms between April 6 and April 10, 2026. The study employs both descriptive statistics and inferential analyses Shapiro Wilk normality tests, one-sample t-tests, one-way ANOVA with Bonferroni-corrected post-hoc comparisons, and chi-square tests to provide statistically rigorous evaluation of the research hypotheses.</w:t>
      </w:r>
    </w:p>
    <w:p w:rsidR="00000000" w:rsidDel="00000000" w:rsidP="00000000" w:rsidRDefault="00000000" w:rsidRPr="00000000" w14:paraId="00000043">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n9qwjer2owh9" w:id="20"/>
      <w:bookmarkEnd w:id="20"/>
      <w:r w:rsidDel="00000000" w:rsidR="00000000" w:rsidRPr="00000000">
        <w:rPr>
          <w:rFonts w:ascii="Times New Roman" w:cs="Times New Roman" w:eastAsia="Times New Roman" w:hAnsi="Times New Roman"/>
          <w:b w:val="1"/>
          <w:bCs w:val="1"/>
          <w:sz w:val="20"/>
          <w:szCs w:val="20"/>
          <w:rtl w:val="0"/>
        </w:rPr>
        <w:t xml:space="preserve">4.2 Constructs and Survey Instrument</w:t>
      </w:r>
    </w:p>
    <w:p w:rsidR="00000000" w:rsidDel="00000000" w:rsidP="00000000" w:rsidRDefault="00000000" w:rsidRPr="00000000" w14:paraId="00000044">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survey comprised fourteen items rated on a 7-point Likert scale (1 = Strongly Disagree to 7 = Strongly Agree for perception items; 1 = Very Low to 7 = Very High for expectation and experience items), capturing four latent constructs and three paired expectation–experience gap dimensions. The instrument is presented in Table1.</w:t>
      </w:r>
    </w:p>
    <w:p w:rsidR="00000000" w:rsidDel="00000000" w:rsidP="00000000" w:rsidRDefault="00000000" w:rsidRPr="00000000" w14:paraId="00000045">
      <w:pPr>
        <w:spacing w:after="100" w:before="1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46">
      <w:pPr>
        <w:spacing w:after="60" w:before="2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Table 1</w:t>
      </w:r>
      <w:r w:rsidDel="00000000" w:rsidR="00000000" w:rsidRPr="00000000">
        <w:rPr>
          <w:rFonts w:ascii="Times New Roman" w:cs="Times New Roman" w:eastAsia="Times New Roman" w:hAnsi="Times New Roman"/>
          <w:sz w:val="20"/>
          <w:szCs w:val="20"/>
          <w:rtl w:val="0"/>
        </w:rPr>
        <w:t xml:space="preserve"> Survey Instrument Fourteen-Item Likert Scale (Seven-Point)</w:t>
      </w:r>
    </w:p>
    <w:tbl>
      <w:tblPr>
        <w:tblStyle w:val="Table1"/>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5"/>
        <w:gridCol w:w="2895"/>
        <w:gridCol w:w="2520"/>
        <w:gridCol w:w="2445"/>
        <w:tblGridChange w:id="0">
          <w:tblGrid>
            <w:gridCol w:w="1155"/>
            <w:gridCol w:w="2895"/>
            <w:gridCol w:w="2520"/>
            <w:gridCol w:w="2445"/>
          </w:tblGrid>
        </w:tblGridChange>
      </w:tblGrid>
      <w:tr>
        <w:trPr>
          <w:cantSplit w:val="0"/>
          <w:tblHeader w:val="1"/>
        </w:trPr>
        <w:tc>
          <w:tcPr>
            <w:tcBorders>
              <w:top w:color="000000" w:space="0" w:sz="6" w:val="single"/>
              <w:left w:color="000000" w:space="0" w:sz="6" w:val="single"/>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47">
            <w:pPr>
              <w:spacing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Item</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48">
            <w:pPr>
              <w:spacing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Survey Statement</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49">
            <w:pPr>
              <w:spacing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Construct</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4A">
            <w:pPr>
              <w:spacing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Role</w:t>
            </w:r>
          </w:p>
        </w:tc>
      </w:tr>
      <w:tr>
        <w:trPr>
          <w:cantSplit w:val="0"/>
          <w:trHeight w:val="793.403320312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4B">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4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coaching center I attended delivers what it promised.</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4D">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Credibility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4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4F">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Q9</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coaching center is true to what it stands for.</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Credibility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Perception</w:t>
            </w:r>
          </w:p>
        </w:tc>
      </w:tr>
      <w:tr>
        <w:trPr>
          <w:cantSplit w:val="0"/>
          <w:trHeight w:val="94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Q6</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teaching helped improve my understanding.</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Perception</w:t>
            </w:r>
          </w:p>
        </w:tc>
      </w:tr>
      <w:tr>
        <w:trPr>
          <w:cantSplit w:val="0"/>
          <w:trHeight w:val="94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7">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Q17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coaching center improved my understanding and skills.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A">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B">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Overall, I am satisfied with the coaching center.</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D">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Satisfaction</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Perception</w:t>
            </w:r>
          </w:p>
        </w:tc>
      </w:tr>
      <w:tr>
        <w:trPr>
          <w:cantSplit w:val="0"/>
          <w:trHeight w:val="390"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5F">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Q8</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would recommend this coaching center to others.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Satisfaction</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Perception</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Q16</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feel confident about my performance in my target examination.</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Career Readiness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Perception</w:t>
            </w:r>
          </w:p>
        </w:tc>
      </w:tr>
      <w:tr>
        <w:trPr>
          <w:cantSplit w:val="0"/>
          <w:trHeight w:val="73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7">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Q18</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skills I gained are relevant to my career goals.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Career Readiness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A">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Perception</w:t>
            </w:r>
          </w:p>
        </w:tc>
      </w:tr>
      <w:tr>
        <w:trPr>
          <w:cantSplit w:val="0"/>
          <w:trHeight w:val="570"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B">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Q10/Q11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Promise: Expectation (Q10) vs. Experience (Q11).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D">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Promise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Gap Pair</w:t>
            </w:r>
          </w:p>
        </w:tc>
      </w:tr>
      <w:tr>
        <w:trPr>
          <w:cantSplit w:val="0"/>
          <w:trHeight w:val="353.9355468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6F">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Q12/Q13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7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 Expectation (Q12) vs. Experience (Q13).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7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7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Gap Pair</w:t>
            </w:r>
          </w:p>
        </w:tc>
      </w:tr>
      <w:tr>
        <w:trPr>
          <w:cantSplit w:val="0"/>
          <w:trHeight w:val="338.9355468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7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Q14/Q15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7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Doubt-Solving &amp; Mentorship: Expectation (Q14) vs. Experience (Q15).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7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Mentorship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7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Gap Pair</w:t>
            </w:r>
          </w:p>
        </w:tc>
      </w:tr>
    </w:tbl>
    <w:p w:rsidR="00000000" w:rsidDel="00000000" w:rsidP="00000000" w:rsidRDefault="00000000" w:rsidRPr="00000000" w14:paraId="00000077">
      <w:pPr>
        <w:spacing w:after="180" w:before="60" w:line="276" w:lineRule="auto"/>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Note. Items Q10–Q15 were paired expectation–experience items. Gap Score = Experience M − Expectation M.</w:t>
      </w:r>
    </w:p>
    <w:p w:rsidR="00000000" w:rsidDel="00000000" w:rsidP="00000000" w:rsidRDefault="00000000" w:rsidRPr="00000000" w14:paraId="00000078">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e07qbi95ry7o" w:id="21"/>
      <w:bookmarkEnd w:id="21"/>
      <w:r w:rsidDel="00000000" w:rsidR="00000000" w:rsidRPr="00000000">
        <w:rPr>
          <w:rFonts w:ascii="Times New Roman" w:cs="Times New Roman" w:eastAsia="Times New Roman" w:hAnsi="Times New Roman"/>
          <w:b w:val="1"/>
          <w:bCs w:val="1"/>
          <w:sz w:val="20"/>
          <w:szCs w:val="20"/>
          <w:rtl w:val="0"/>
        </w:rPr>
        <w:t xml:space="preserve">4.3 Sample and Participants</w:t>
      </w:r>
    </w:p>
    <w:p w:rsidR="00000000" w:rsidDel="00000000" w:rsidP="00000000" w:rsidRDefault="00000000" w:rsidRPr="00000000" w14:paraId="00000079">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total of 123 individuals responded to the Google Forms survey. Using the screening criterion (Q1), 27 respondents (22.0%) who reported never attending a coaching center were excluded, yielding a final analytical sample of N = 96. The respondents represented three coaching modalities: offline (n = 66, 68.8%), online (n = 15, 15.6%), and hybrid (n = 15, 15.6%). Of these, 67 respondents (69.8%) had previously completed coaching, while 29 (30.2%) were currently enrolled. Additional background variables, including mode of coaching and mock test performance before and after joining (Q2–Q4), (Table2)were used to describe the sample and support subgroup analysis. </w:t>
      </w:r>
    </w:p>
    <w:p w:rsidR="00000000" w:rsidDel="00000000" w:rsidP="00000000" w:rsidRDefault="00000000" w:rsidRPr="00000000" w14:paraId="0000007A">
      <w:pPr>
        <w:spacing w:after="60" w:before="2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Table 2</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Screening and Background Variables </w:t>
      </w:r>
      <w:r w:rsidDel="00000000" w:rsidR="00000000" w:rsidRPr="00000000">
        <w:rPr>
          <w:rFonts w:ascii="Times New Roman" w:cs="Times New Roman" w:eastAsia="Times New Roman" w:hAnsi="Times New Roman"/>
          <w:i w:val="1"/>
          <w:iCs w:val="1"/>
          <w:sz w:val="20"/>
          <w:szCs w:val="20"/>
          <w:rtl w:val="0"/>
        </w:rPr>
        <w:t xml:space="preserve">(Q1–Q4)</w:t>
      </w:r>
      <w:r w:rsidDel="00000000" w:rsidR="00000000" w:rsidRPr="00000000">
        <w:rPr>
          <w:rFonts w:ascii="Times New Roman" w:cs="Times New Roman" w:eastAsia="Times New Roman" w:hAnsi="Times New Roman"/>
          <w:sz w:val="20"/>
          <w:szCs w:val="20"/>
          <w:rtl w:val="0"/>
        </w:rPr>
        <w:t xml:space="preserve"> </w:t>
      </w:r>
    </w:p>
    <w:tbl>
      <w:tblPr>
        <w:tblStyle w:val="Table2"/>
        <w:tblW w:w="6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5"/>
        <w:gridCol w:w="2895"/>
        <w:gridCol w:w="2520"/>
        <w:tblGridChange w:id="0">
          <w:tblGrid>
            <w:gridCol w:w="1155"/>
            <w:gridCol w:w="2895"/>
            <w:gridCol w:w="25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7B">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Item</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7C">
            <w:pPr>
              <w:spacing w:after="160"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Description</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7D">
            <w:pPr>
              <w:spacing w:after="160"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Type</w:t>
            </w:r>
          </w:p>
        </w:tc>
      </w:tr>
      <w:tr>
        <w:trPr>
          <w:cantSplit w:val="0"/>
          <w:trHeight w:val="70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7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7F">
            <w:pPr>
              <w:spacing w:after="1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Coaching experience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Screening</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1">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Q2</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2">
            <w:pPr>
              <w:spacing w:after="1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 of coaching</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3">
            <w:pPr>
              <w:spacing w:after="1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Categorical</w:t>
            </w:r>
          </w:p>
        </w:tc>
      </w:tr>
      <w:tr>
        <w:trPr>
          <w:cantSplit w:val="0"/>
          <w:trHeight w:val="528.964843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5">
            <w:pPr>
              <w:spacing w:after="1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Current performance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6">
            <w:pPr>
              <w:spacing w:after="1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Ordinal</w:t>
            </w:r>
          </w:p>
        </w:tc>
      </w:tr>
      <w:tr>
        <w:trPr>
          <w:cantSplit w:val="0"/>
          <w:trHeight w:val="690"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7">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Q4</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8">
            <w:pPr>
              <w:spacing w:after="1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Performance before joining</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89">
            <w:pPr>
              <w:spacing w:after="16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Ordinal</w:t>
            </w:r>
          </w:p>
        </w:tc>
      </w:tr>
    </w:tbl>
    <w:p w:rsidR="00000000" w:rsidDel="00000000" w:rsidP="00000000" w:rsidRDefault="00000000" w:rsidRPr="00000000" w14:paraId="0000008A">
      <w:pPr>
        <w:spacing w:after="180" w:before="60" w:line="276"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Note. These questions were used to understand the background of the respondents. Q1 helped in excluding those who had never attended a coaching center. Q2–Q4 were used to describe the sample and compare different groups. </w:t>
      </w:r>
      <w:r w:rsidDel="00000000" w:rsidR="00000000" w:rsidRPr="00000000">
        <w:rPr>
          <w:rtl w:val="0"/>
        </w:rPr>
      </w:r>
    </w:p>
    <w:p w:rsidR="00000000" w:rsidDel="00000000" w:rsidP="00000000" w:rsidRDefault="00000000" w:rsidRPr="00000000" w14:paraId="0000008B">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rcgqdzbqlc3s" w:id="22"/>
      <w:bookmarkEnd w:id="22"/>
      <w:r w:rsidDel="00000000" w:rsidR="00000000" w:rsidRPr="00000000">
        <w:rPr>
          <w:rFonts w:ascii="Times New Roman" w:cs="Times New Roman" w:eastAsia="Times New Roman" w:hAnsi="Times New Roman"/>
          <w:b w:val="1"/>
          <w:bCs w:val="1"/>
          <w:sz w:val="20"/>
          <w:szCs w:val="20"/>
          <w:rtl w:val="0"/>
        </w:rPr>
        <w:t xml:space="preserve">4.4 Measures</w:t>
      </w:r>
    </w:p>
    <w:p w:rsidR="00000000" w:rsidDel="00000000" w:rsidP="00000000" w:rsidRDefault="00000000" w:rsidRPr="00000000" w14:paraId="0000008C">
      <w:pPr>
        <w:spacing w:after="160" w:line="276" w:lineRule="auto"/>
        <w:jc w:val="both"/>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Brand Credibility (α = .919): Q5 and Q9. Teaching Quality (α = .934): Q6 and Q17. Student Satisfaction (α = .948): Q7 and Q8. Career Readiness (α = .890): Q16 and Q18. Gap dimensions: Brand Promise (Q10/Q11), Teaching Quality (Q12/Q13), Doubt-Solving and Mentorship (Q14/Q15). All gap scores were computed as Experience Mean − Expectation Mean.</w:t>
      </w:r>
    </w:p>
    <w:p w:rsidR="00000000" w:rsidDel="00000000" w:rsidP="00000000" w:rsidRDefault="00000000" w:rsidRPr="00000000" w14:paraId="0000008D">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k5zditx07z7n" w:id="23"/>
      <w:bookmarkEnd w:id="23"/>
      <w:r w:rsidDel="00000000" w:rsidR="00000000" w:rsidRPr="00000000">
        <w:rPr>
          <w:rFonts w:ascii="Times New Roman" w:cs="Times New Roman" w:eastAsia="Times New Roman" w:hAnsi="Times New Roman"/>
          <w:b w:val="1"/>
          <w:bCs w:val="1"/>
          <w:sz w:val="20"/>
          <w:szCs w:val="20"/>
          <w:rtl w:val="0"/>
        </w:rPr>
        <w:t xml:space="preserve">4.5 Statistical Analysis Plan</w:t>
      </w:r>
    </w:p>
    <w:p w:rsidR="00000000" w:rsidDel="00000000" w:rsidP="00000000" w:rsidRDefault="00000000" w:rsidRPr="00000000" w14:paraId="0000008E">
      <w:pPr>
        <w:spacing w:after="160" w:line="276" w:lineRule="auto"/>
        <w:jc w:val="both"/>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Five analytical steps were employed in sequence. Step 1: Cronbach’s alpha for internal consistency (Nunnally, 1978, threshold α ≥ .70). Step 2: Descriptive statistics (means, standard deviations, minima, maxima). Step 3: Shapiro Wilk normality tests on all distributions (α = .05). Step 4: One-sample t-tests on each gap score against H₀: gap = 0; two-tailed, α = .05. Step 5: One-way ANOVA with Bonferroni-corrected post-hoc comparisons (omnibus α = .05; pairwise α = .017). Step 6: Chi-square test of independence for mode vs. enrollment status.</w:t>
      </w:r>
    </w:p>
    <w:p w:rsidR="00000000" w:rsidDel="00000000" w:rsidP="00000000" w:rsidRDefault="00000000" w:rsidRPr="00000000" w14:paraId="0000008F">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0">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gzlqump4ms57" w:id="24"/>
      <w:bookmarkEnd w:id="24"/>
      <w:r w:rsidDel="00000000" w:rsidR="00000000" w:rsidRPr="00000000">
        <w:rPr>
          <w:rFonts w:ascii="Times New Roman" w:cs="Times New Roman" w:eastAsia="Times New Roman" w:hAnsi="Times New Roman"/>
          <w:b w:val="1"/>
          <w:bCs w:val="1"/>
          <w:sz w:val="20"/>
          <w:szCs w:val="20"/>
          <w:rtl w:val="0"/>
        </w:rPr>
        <w:t xml:space="preserve">5. RESULTS</w:t>
      </w:r>
    </w:p>
    <w:p w:rsidR="00000000" w:rsidDel="00000000" w:rsidP="00000000" w:rsidRDefault="00000000" w:rsidRPr="00000000" w14:paraId="00000091">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wr6bqzwx8xh3" w:id="25"/>
      <w:bookmarkEnd w:id="25"/>
      <w:r w:rsidDel="00000000" w:rsidR="00000000" w:rsidRPr="00000000">
        <w:rPr>
          <w:rFonts w:ascii="Times New Roman" w:cs="Times New Roman" w:eastAsia="Times New Roman" w:hAnsi="Times New Roman"/>
          <w:b w:val="1"/>
          <w:bCs w:val="1"/>
          <w:sz w:val="20"/>
          <w:szCs w:val="20"/>
          <w:rtl w:val="0"/>
        </w:rPr>
        <w:t xml:space="preserve">5.1 Descriptive Statistics</w:t>
      </w:r>
    </w:p>
    <w:p w:rsidR="00000000" w:rsidDel="00000000" w:rsidP="00000000" w:rsidRDefault="00000000" w:rsidRPr="00000000" w14:paraId="00000092">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3 presents descriptive statistics for all four constructs and three gap distributions. Construct means ranged from 4.05 to 4.40 on the 7-point scale above neutral but below high-performance benchmarks. Standard deviations (SD = 1.71–1.96) indicate substantial inter-individual variation. All gap distributions showed negative means, confirming systematic negative disconfirmation.</w:t>
      </w:r>
    </w:p>
    <w:p w:rsidR="00000000" w:rsidDel="00000000" w:rsidP="00000000" w:rsidRDefault="00000000" w:rsidRPr="00000000" w14:paraId="00000093">
      <w:pPr>
        <w:spacing w:after="100" w:before="1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94">
      <w:pPr>
        <w:spacing w:after="60" w:before="2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Table 3</w:t>
      </w:r>
      <w:r w:rsidDel="00000000" w:rsidR="00000000" w:rsidRPr="00000000">
        <w:rPr>
          <w:rFonts w:ascii="Times New Roman" w:cs="Times New Roman" w:eastAsia="Times New Roman" w:hAnsi="Times New Roman"/>
          <w:sz w:val="20"/>
          <w:szCs w:val="20"/>
          <w:rtl w:val="0"/>
        </w:rPr>
        <w:t xml:space="preserve"> Descriptive Statistics for Constructs and Gap Scores (N = 96)</w:t>
      </w:r>
    </w:p>
    <w:tbl>
      <w:tblPr>
        <w:tblStyle w:val="Table3"/>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0"/>
        <w:gridCol w:w="1125"/>
        <w:gridCol w:w="1095"/>
        <w:gridCol w:w="1080"/>
        <w:gridCol w:w="1080"/>
        <w:gridCol w:w="2025"/>
        <w:tblGridChange w:id="0">
          <w:tblGrid>
            <w:gridCol w:w="2610"/>
            <w:gridCol w:w="1125"/>
            <w:gridCol w:w="1095"/>
            <w:gridCol w:w="1080"/>
            <w:gridCol w:w="1080"/>
            <w:gridCol w:w="2025"/>
          </w:tblGrid>
        </w:tblGridChange>
      </w:tblGrid>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95">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Variable</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96">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97">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SD</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98">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Min</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99">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Max</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9A">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Skew Direction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9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Credibility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9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9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1.92</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9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9F">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Moderate positive</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2">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3">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6">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Moderate positive</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Satisfaction</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8">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9">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1.96</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A">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Moderate positive</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Career Readiness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4.36</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AF">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1">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2">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Slight positive</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Promise Gap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4">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−0.667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1.845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6">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−6.0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7">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8">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Slight negative</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9">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 Gap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A">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−0.604</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1.593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C">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−6.0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Slight negative</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B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Doubt-Solving Gap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C0">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−0.635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C1">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1.864</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C2">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−6.0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C3">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C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Slight negative</w:t>
            </w:r>
          </w:p>
        </w:tc>
      </w:tr>
    </w:tbl>
    <w:p w:rsidR="00000000" w:rsidDel="00000000" w:rsidP="00000000" w:rsidRDefault="00000000" w:rsidRPr="00000000" w14:paraId="000000C5">
      <w:pPr>
        <w:spacing w:after="180" w:before="60" w:line="276" w:lineRule="auto"/>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Note. Gap Score = Experience M − Expectation M. Negative gap scores indicate experience below expectation. Scale range: 1–7 for constructs; computed difference scores for gaps.</w:t>
      </w:r>
    </w:p>
    <w:p w:rsidR="00000000" w:rsidDel="00000000" w:rsidP="00000000" w:rsidRDefault="00000000" w:rsidRPr="00000000" w14:paraId="000000C6">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vh59bff10zyx" w:id="26"/>
      <w:bookmarkEnd w:id="26"/>
      <w:r w:rsidDel="00000000" w:rsidR="00000000" w:rsidRPr="00000000">
        <w:rPr>
          <w:rFonts w:ascii="Times New Roman" w:cs="Times New Roman" w:eastAsia="Times New Roman" w:hAnsi="Times New Roman"/>
          <w:b w:val="1"/>
          <w:bCs w:val="1"/>
          <w:sz w:val="20"/>
          <w:szCs w:val="20"/>
          <w:rtl w:val="0"/>
        </w:rPr>
        <w:t xml:space="preserve">5.2 Reliability Analysis</w:t>
      </w:r>
    </w:p>
    <w:p w:rsidR="00000000" w:rsidDel="00000000" w:rsidP="00000000" w:rsidRDefault="00000000" w:rsidRPr="00000000" w14:paraId="000000C7">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4 presents Cronbach’s alpha values for all four constructs. All values exceeded .88, substantially surpassing the conventional threshold of .70 (Nunnally, 1978).</w:t>
      </w:r>
    </w:p>
    <w:p w:rsidR="00000000" w:rsidDel="00000000" w:rsidP="00000000" w:rsidRDefault="00000000" w:rsidRPr="00000000" w14:paraId="000000C8">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9">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A">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C">
      <w:pPr>
        <w:spacing w:after="100" w:before="1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CD">
      <w:pPr>
        <w:spacing w:after="60" w:before="2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Table 4</w:t>
      </w:r>
      <w:r w:rsidDel="00000000" w:rsidR="00000000" w:rsidRPr="00000000">
        <w:rPr>
          <w:rFonts w:ascii="Times New Roman" w:cs="Times New Roman" w:eastAsia="Times New Roman" w:hAnsi="Times New Roman"/>
          <w:sz w:val="20"/>
          <w:szCs w:val="20"/>
          <w:rtl w:val="0"/>
        </w:rPr>
        <w:t xml:space="preserve"> Reliability Statistics, Item Means, and Construct Means (N = 96)</w:t>
      </w:r>
    </w:p>
    <w:tbl>
      <w:tblPr>
        <w:tblStyle w:val="Table4"/>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005"/>
        <w:gridCol w:w="1020"/>
        <w:gridCol w:w="1020"/>
        <w:gridCol w:w="1485"/>
        <w:gridCol w:w="885"/>
        <w:gridCol w:w="1665"/>
        <w:tblGridChange w:id="0">
          <w:tblGrid>
            <w:gridCol w:w="1920"/>
            <w:gridCol w:w="1005"/>
            <w:gridCol w:w="1020"/>
            <w:gridCol w:w="1020"/>
            <w:gridCol w:w="1485"/>
            <w:gridCol w:w="885"/>
            <w:gridCol w:w="166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CE">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Construct</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CF">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Items</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D0">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Item 1 M</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D1">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Item 2 M</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D2">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Construct M</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D3">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α</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D4">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Status</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Credibility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6">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Q5, Q9</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7">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8">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3.99</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9">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A">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.919</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Excellent</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Q6, Q17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F">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4.36</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1">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.934</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2">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Excellent</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Satisfaction</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Q7, Q8</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4.18</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6">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7">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8">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.948</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9">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Excellent</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Career Readiness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Q16, Q18</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4.36</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F">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F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Excellent</w:t>
            </w:r>
          </w:p>
        </w:tc>
      </w:tr>
    </w:tbl>
    <w:p w:rsidR="00000000" w:rsidDel="00000000" w:rsidP="00000000" w:rsidRDefault="00000000" w:rsidRPr="00000000" w14:paraId="000000F1">
      <w:pPr>
        <w:spacing w:after="180" w:before="60" w:line="276" w:lineRule="auto"/>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Note. α = Cronbach’s alpha. Status: Acceptable ≥ .70; Good ≥ .80; Excellent ≥ .90 (Nunnally, 1978).</w:t>
      </w:r>
    </w:p>
    <w:p w:rsidR="00000000" w:rsidDel="00000000" w:rsidP="00000000" w:rsidRDefault="00000000" w:rsidRPr="00000000" w14:paraId="000000F2">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v0pofnszs77n" w:id="27"/>
      <w:bookmarkEnd w:id="27"/>
      <w:r w:rsidDel="00000000" w:rsidR="00000000" w:rsidRPr="00000000">
        <w:rPr>
          <w:rFonts w:ascii="Times New Roman" w:cs="Times New Roman" w:eastAsia="Times New Roman" w:hAnsi="Times New Roman"/>
          <w:b w:val="1"/>
          <w:bCs w:val="1"/>
          <w:sz w:val="20"/>
          <w:szCs w:val="20"/>
          <w:rtl w:val="0"/>
        </w:rPr>
        <w:t xml:space="preserve">5.3 Normality Testing  Shapiro–Wilk Tests</w:t>
      </w:r>
    </w:p>
    <w:p w:rsidR="00000000" w:rsidDel="00000000" w:rsidP="00000000" w:rsidRDefault="00000000" w:rsidRPr="00000000" w14:paraId="000000F3">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Shapiro Wilk tests were conducted on all constructs and gap distributions. All seven distributions showed statistically significant departures from normality (all W &lt; 0.95, all p &lt; .001), confirming H4. Table 5 presents the results. The non-normality of Likert-based construct means at N = 96 is consistent with the literature on educational perception data (Norman, 2010). Given that parametric tests are relatively robust to moderate non-normality with near-balanced groups (Field, 2018), and that the sample size exceeds n = 30 per group, the study proceeds with parametric analyses while noting this limitation.</w:t>
      </w:r>
    </w:p>
    <w:p w:rsidR="00000000" w:rsidDel="00000000" w:rsidP="00000000" w:rsidRDefault="00000000" w:rsidRPr="00000000" w14:paraId="000000F4">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5">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6">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7">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8">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9">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A">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B">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C">
      <w:pPr>
        <w:spacing w:after="100" w:before="1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FD">
      <w:pPr>
        <w:spacing w:after="60" w:before="2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Table 5</w:t>
      </w:r>
      <w:r w:rsidDel="00000000" w:rsidR="00000000" w:rsidRPr="00000000">
        <w:rPr>
          <w:rFonts w:ascii="Times New Roman" w:cs="Times New Roman" w:eastAsia="Times New Roman" w:hAnsi="Times New Roman"/>
          <w:sz w:val="20"/>
          <w:szCs w:val="20"/>
          <w:rtl w:val="0"/>
        </w:rPr>
        <w:t xml:space="preserve"> Shapiro–Wilk Normality Tests for Constructs and Gap Scores (N = 96)</w:t>
      </w:r>
    </w:p>
    <w:tbl>
      <w:tblPr>
        <w:tblStyle w:val="Table5"/>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gridCol w:w="1485"/>
        <w:gridCol w:w="1125"/>
        <w:gridCol w:w="1155"/>
        <w:gridCol w:w="2955"/>
        <w:tblGridChange w:id="0">
          <w:tblGrid>
            <w:gridCol w:w="2280"/>
            <w:gridCol w:w="1485"/>
            <w:gridCol w:w="1125"/>
            <w:gridCol w:w="1155"/>
            <w:gridCol w:w="2955"/>
          </w:tblGrid>
        </w:tblGridChange>
      </w:tblGrid>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FE">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Variable</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0FF">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W Statistic</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00">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p-value</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01">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Result</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02">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Interpretation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Credibility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0.9209</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 .001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6">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Non-normal</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Parametric tests used with caution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9">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0.9265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A">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 .001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Non-normal</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Parametric tests used with caution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D">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Satisfaction</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0.9124</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0F">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 .001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Non-normal</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Parametric tests used with caution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2">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Career Readiness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3">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0.9382</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 .001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Non-normal</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6">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Parametric tests used with caution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Promise Gap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8">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0.9453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9">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 .001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A">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Non-normal</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Parametric tests used with caution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 Gap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0.9257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 .001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1F">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Non-normal</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2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Parametric tests used with caution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2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Doubt-Solving Gap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22">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0.9169</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23">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 .001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2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Non-normal</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25">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Parametric tests used with caution</w:t>
            </w:r>
          </w:p>
        </w:tc>
      </w:tr>
    </w:tbl>
    <w:p w:rsidR="00000000" w:rsidDel="00000000" w:rsidP="00000000" w:rsidRDefault="00000000" w:rsidRPr="00000000" w14:paraId="00000126">
      <w:pPr>
        <w:spacing w:after="180" w:before="6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Note. H₀: Data are normally distributed. Rejection at p &lt; .05 indicates significant departure from normality.</w:t>
      </w:r>
    </w:p>
    <w:p w:rsidR="00000000" w:rsidDel="00000000" w:rsidP="00000000" w:rsidRDefault="00000000" w:rsidRPr="00000000" w14:paraId="00000127">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o6zzw3cf3own" w:id="28"/>
      <w:bookmarkEnd w:id="28"/>
      <w:r w:rsidDel="00000000" w:rsidR="00000000" w:rsidRPr="00000000">
        <w:rPr>
          <w:rFonts w:ascii="Times New Roman" w:cs="Times New Roman" w:eastAsia="Times New Roman" w:hAnsi="Times New Roman"/>
          <w:b w:val="1"/>
          <w:bCs w:val="1"/>
          <w:sz w:val="20"/>
          <w:szCs w:val="20"/>
          <w:rtl w:val="0"/>
        </w:rPr>
        <w:t xml:space="preserve">5.4 Inferential Analysis I  One-Sample t-Tests on Gap Scores (H1)</w:t>
      </w:r>
    </w:p>
    <w:p w:rsidR="00000000" w:rsidDel="00000000" w:rsidP="00000000" w:rsidRDefault="00000000" w:rsidRPr="00000000" w14:paraId="00000128">
      <w:pPr>
        <w:spacing w:after="160" w:line="276" w:lineRule="auto"/>
        <w:jc w:val="both"/>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One-sample t-tests were conducted for each gap dimension against a test value of zero. Table 6 presents the results. All three gap scores were significantly different from zero (all p ≤ .001), confirming H1. The 95% confidence intervals for all three gaps exclude zero, providing strong statistical evidence that systematic underdelivery is a population-level characteristic.</w:t>
      </w:r>
    </w:p>
    <w:p w:rsidR="00000000" w:rsidDel="00000000" w:rsidP="00000000" w:rsidRDefault="00000000" w:rsidRPr="00000000" w14:paraId="00000129">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A">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B">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C">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D">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E">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F">
      <w:pPr>
        <w:spacing w:after="100" w:before="1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bCs w:val="1"/>
          <w:sz w:val="20"/>
          <w:szCs w:val="20"/>
          <w:rtl w:val="0"/>
        </w:rPr>
        <w:t xml:space="preserve">Table 6</w:t>
      </w:r>
      <w:r w:rsidDel="00000000" w:rsidR="00000000" w:rsidRPr="00000000">
        <w:rPr>
          <w:rFonts w:ascii="Times New Roman" w:cs="Times New Roman" w:eastAsia="Times New Roman" w:hAnsi="Times New Roman"/>
          <w:sz w:val="20"/>
          <w:szCs w:val="20"/>
          <w:rtl w:val="0"/>
        </w:rPr>
        <w:t xml:space="preserve"> One-Sample t-Tests: Gap Scores vs. Zero (H₀: Gap = 0, N = 96)</w:t>
      </w:r>
    </w:p>
    <w:tbl>
      <w:tblPr>
        <w:tblStyle w:val="Table6"/>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0"/>
        <w:gridCol w:w="990"/>
        <w:gridCol w:w="915"/>
        <w:gridCol w:w="990"/>
        <w:gridCol w:w="705"/>
        <w:gridCol w:w="840"/>
        <w:gridCol w:w="1500"/>
        <w:gridCol w:w="1365"/>
        <w:tblGridChange w:id="0">
          <w:tblGrid>
            <w:gridCol w:w="1710"/>
            <w:gridCol w:w="990"/>
            <w:gridCol w:w="915"/>
            <w:gridCol w:w="990"/>
            <w:gridCol w:w="705"/>
            <w:gridCol w:w="840"/>
            <w:gridCol w:w="1500"/>
            <w:gridCol w:w="136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30">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Gap Dimension</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31">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32">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SD</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33">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34">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df</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35">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36">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95% CI</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37">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Decision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3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Promise Gap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39">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−0.667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3A">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1.845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3B">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−3.541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3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3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 .001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3E">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[−1.041, −0.293]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3F">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Reject H₀ </w:t>
            </w:r>
            <w:r w:rsidDel="00000000" w:rsidR="00000000" w:rsidRPr="00000000">
              <w:rPr>
                <w:rFonts w:ascii="Times New Roman" w:cs="Times New Roman" w:eastAsia="Times New Roman" w:hAnsi="Times New Roman"/>
                <w:b w:val="1"/>
                <w:bCs w:val="1"/>
                <w:color w:val="b00020"/>
                <w:sz w:val="20"/>
                <w:szCs w:val="20"/>
                <w:rtl w:val="0"/>
              </w:rPr>
              <w:t xml:space="preserve">***</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 Gap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1">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−0.604</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2">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1.593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3">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−3.717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&lt; .001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6">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[−0.927, −0.282]</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7">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Reject H₀ </w:t>
            </w:r>
            <w:r w:rsidDel="00000000" w:rsidR="00000000" w:rsidRPr="00000000">
              <w:rPr>
                <w:rFonts w:ascii="Times New Roman" w:cs="Times New Roman" w:eastAsia="Times New Roman" w:hAnsi="Times New Roman"/>
                <w:b w:val="1"/>
                <w:bCs w:val="1"/>
                <w:color w:val="b00020"/>
                <w:sz w:val="20"/>
                <w:szCs w:val="20"/>
                <w:rtl w:val="0"/>
              </w:rPr>
              <w:t xml:space="preserve">***</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Doubt-Solving Gap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9">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−0.635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A">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1.864</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B">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−3.339</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E">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[−1.013, −0.258]</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4F">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Reject H₀ </w:t>
            </w:r>
            <w:r w:rsidDel="00000000" w:rsidR="00000000" w:rsidRPr="00000000">
              <w:rPr>
                <w:rFonts w:ascii="Times New Roman" w:cs="Times New Roman" w:eastAsia="Times New Roman" w:hAnsi="Times New Roman"/>
                <w:b w:val="1"/>
                <w:bCs w:val="1"/>
                <w:color w:val="b00020"/>
                <w:sz w:val="20"/>
                <w:szCs w:val="20"/>
                <w:rtl w:val="0"/>
              </w:rPr>
              <w:t xml:space="preserve">**</w:t>
            </w:r>
          </w:p>
        </w:tc>
      </w:tr>
    </w:tbl>
    <w:p w:rsidR="00000000" w:rsidDel="00000000" w:rsidP="00000000" w:rsidRDefault="00000000" w:rsidRPr="00000000" w14:paraId="00000150">
      <w:pPr>
        <w:spacing w:after="180" w:before="60" w:line="276" w:lineRule="auto"/>
        <w:rPr>
          <w:rFonts w:ascii="Times New Roman" w:cs="Times New Roman" w:eastAsia="Times New Roman" w:hAnsi="Times New Roman"/>
          <w:sz w:val="20"/>
          <w:szCs w:val="20"/>
        </w:rPr>
      </w:pPr>
      <w:r w:rsidDel="00000000" w:rsidR="00000000" w:rsidRPr="00000000">
        <w:rPr>
          <w:rFonts w:ascii="Caudex" w:cs="Caudex" w:eastAsia="Caudex" w:hAnsi="Caudex"/>
          <w:sz w:val="20"/>
          <w:szCs w:val="20"/>
          <w:rtl w:val="0"/>
        </w:rPr>
        <w:t xml:space="preserve">Note. ** p &lt; .01. *** p &lt; .001. Two-tailed. H₀: Gap = 0; Hₐ: Gap ≠ 0. Negative M indicates experience fell below expectation.</w:t>
      </w:r>
    </w:p>
    <w:p w:rsidR="00000000" w:rsidDel="00000000" w:rsidP="00000000" w:rsidRDefault="00000000" w:rsidRPr="00000000" w14:paraId="00000151">
      <w:pPr>
        <w:spacing w:after="100" w:before="1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731200" cy="31877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187700"/>
                    </a:xfrm>
                    <a:prstGeom prst="rect"/>
                    <a:ln/>
                  </pic:spPr>
                </pic:pic>
              </a:graphicData>
            </a:graphic>
          </wp:inline>
        </w:drawing>
      </w:r>
      <w:r w:rsidDel="00000000" w:rsidR="00000000" w:rsidRPr="00000000">
        <w:rPr>
          <w:rFonts w:ascii="Times New Roman" w:cs="Times New Roman" w:eastAsia="Times New Roman" w:hAnsi="Times New Roman"/>
          <w:b w:val="1"/>
          <w:bCs w:val="1"/>
          <w:sz w:val="20"/>
          <w:szCs w:val="20"/>
          <w:rtl w:val="0"/>
        </w:rPr>
        <w:t xml:space="preserve">Figure 1. </w:t>
      </w:r>
      <w:r w:rsidDel="00000000" w:rsidR="00000000" w:rsidRPr="00000000">
        <w:rPr>
          <w:rFonts w:ascii="Gungsuh" w:cs="Gungsuh" w:eastAsia="Gungsuh" w:hAnsi="Gungsuh"/>
          <w:sz w:val="20"/>
          <w:szCs w:val="20"/>
          <w:rtl w:val="0"/>
        </w:rPr>
        <w:t xml:space="preserve">Expectation–Experience Gap Analysis by Service Dimension (N = 96). All gap scores statistically significant (p ≤ .001).</w:t>
      </w:r>
    </w:p>
    <w:p w:rsidR="00000000" w:rsidDel="00000000" w:rsidP="00000000" w:rsidRDefault="00000000" w:rsidRPr="00000000" w14:paraId="00000152">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u8f9hzj4pdh7" w:id="29"/>
      <w:bookmarkEnd w:id="29"/>
      <w:r w:rsidDel="00000000" w:rsidR="00000000" w:rsidRPr="00000000">
        <w:rPr>
          <w:rFonts w:ascii="Times New Roman" w:cs="Times New Roman" w:eastAsia="Times New Roman" w:hAnsi="Times New Roman"/>
          <w:b w:val="1"/>
          <w:bCs w:val="1"/>
          <w:sz w:val="20"/>
          <w:szCs w:val="20"/>
          <w:rtl w:val="0"/>
        </w:rPr>
        <w:t xml:space="preserve">5.5 Inferential Analysis II - One-Way ANOVA by Coaching Mode (H2, H3)</w:t>
      </w:r>
    </w:p>
    <w:p w:rsidR="00000000" w:rsidDel="00000000" w:rsidP="00000000" w:rsidRDefault="00000000" w:rsidRPr="00000000" w14:paraId="00000153">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One-way ANOVAs were conducted to test H2 and H3. Tables 7 and 8 present omnibus F-test results and Bonferroni-corrected pairwise comparisons, respectively. All four ANOVA omnibus tests were significant (all p &lt; .01), with medium-to-large effect sizes (η² = 0.103–0.121). Post-hoc tests confirmed that hybrid students scored significantly higher than both online and offline students on all four constructs (all pairwise p &lt; .008), while online and offline students did not differ significantly from each other (all p &gt; .15). </w:t>
      </w:r>
    </w:p>
    <w:p w:rsidR="00000000" w:rsidDel="00000000" w:rsidP="00000000" w:rsidRDefault="00000000" w:rsidRPr="00000000" w14:paraId="00000154">
      <w:pPr>
        <w:spacing w:after="60" w:before="2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Table 7 </w:t>
      </w:r>
      <w:r w:rsidDel="00000000" w:rsidR="00000000" w:rsidRPr="00000000">
        <w:rPr>
          <w:rFonts w:ascii="Times New Roman" w:cs="Times New Roman" w:eastAsia="Times New Roman" w:hAnsi="Times New Roman"/>
          <w:sz w:val="20"/>
          <w:szCs w:val="20"/>
          <w:rtl w:val="0"/>
        </w:rPr>
        <w:t xml:space="preserve">One-Way ANOVA: Construct Means by Coaching Mode (N = 96)</w:t>
      </w:r>
    </w:p>
    <w:tbl>
      <w:tblPr>
        <w:tblStyle w:val="Table7"/>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1170"/>
        <w:gridCol w:w="1185"/>
        <w:gridCol w:w="1185"/>
        <w:gridCol w:w="1335"/>
        <w:gridCol w:w="960"/>
        <w:gridCol w:w="1230"/>
        <w:tblGridChange w:id="0">
          <w:tblGrid>
            <w:gridCol w:w="1950"/>
            <w:gridCol w:w="1170"/>
            <w:gridCol w:w="1185"/>
            <w:gridCol w:w="1185"/>
            <w:gridCol w:w="1335"/>
            <w:gridCol w:w="960"/>
            <w:gridCol w:w="1230"/>
          </w:tblGrid>
        </w:tblGridChange>
      </w:tblGrid>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55">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Construct</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56">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Online M (n=15)</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57">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Offline M (n=66)</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58">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Hybrid M (n=15)</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59">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F(2,93)</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5A">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5B">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η² (est.)</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5C">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Credibility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5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3.367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5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3.902</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5F">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5.400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5.327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1">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.006 </w:t>
            </w:r>
            <w:r w:rsidDel="00000000" w:rsidR="00000000" w:rsidRPr="00000000">
              <w:rPr>
                <w:rFonts w:ascii="Times New Roman" w:cs="Times New Roman" w:eastAsia="Times New Roman" w:hAnsi="Times New Roman"/>
                <w:b w:val="1"/>
                <w:bCs w:val="1"/>
                <w:color w:val="b00020"/>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2">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0.103</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3.600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4.273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6">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5.733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7">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6.380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8">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.003 </w:t>
            </w:r>
            <w:r w:rsidDel="00000000" w:rsidR="00000000" w:rsidRPr="00000000">
              <w:rPr>
                <w:rFonts w:ascii="Times New Roman" w:cs="Times New Roman" w:eastAsia="Times New Roman" w:hAnsi="Times New Roman"/>
                <w:b w:val="1"/>
                <w:bCs w:val="1"/>
                <w:color w:val="b00020"/>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9">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0.121</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Satisfaction</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3.167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3.939</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5.433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5.952</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6F">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.004 </w:t>
            </w:r>
            <w:r w:rsidDel="00000000" w:rsidR="00000000" w:rsidRPr="00000000">
              <w:rPr>
                <w:rFonts w:ascii="Times New Roman" w:cs="Times New Roman" w:eastAsia="Times New Roman" w:hAnsi="Times New Roman"/>
                <w:b w:val="1"/>
                <w:bCs w:val="1"/>
                <w:color w:val="b00020"/>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7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0.114</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7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Career Readiness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72">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3.500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73">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4.280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7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5.567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7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6.331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76">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.003 </w:t>
            </w:r>
            <w:r w:rsidDel="00000000" w:rsidR="00000000" w:rsidRPr="00000000">
              <w:rPr>
                <w:rFonts w:ascii="Times New Roman" w:cs="Times New Roman" w:eastAsia="Times New Roman" w:hAnsi="Times New Roman"/>
                <w:b w:val="1"/>
                <w:bCs w:val="1"/>
                <w:color w:val="b00020"/>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77">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0.120</w:t>
            </w:r>
          </w:p>
        </w:tc>
      </w:tr>
    </w:tbl>
    <w:p w:rsidR="00000000" w:rsidDel="00000000" w:rsidP="00000000" w:rsidRDefault="00000000" w:rsidRPr="00000000" w14:paraId="00000178">
      <w:pPr>
        <w:spacing w:after="180" w:before="60" w:line="276" w:lineRule="auto"/>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Note. ** p &lt; .01. η² = partial eta-squared. Interpretation: ≥ .01 small; ≥ .06 medium; ≥ .14 large (Cohen, 1988).</w:t>
      </w:r>
    </w:p>
    <w:p w:rsidR="00000000" w:rsidDel="00000000" w:rsidP="00000000" w:rsidRDefault="00000000" w:rsidRPr="00000000" w14:paraId="00000179">
      <w:pPr>
        <w:spacing w:after="180" w:before="6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A">
      <w:pPr>
        <w:spacing w:after="60" w:before="2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Table 8</w:t>
      </w:r>
      <w:r w:rsidDel="00000000" w:rsidR="00000000" w:rsidRPr="00000000">
        <w:rPr>
          <w:rFonts w:ascii="Times New Roman" w:cs="Times New Roman" w:eastAsia="Times New Roman" w:hAnsi="Times New Roman"/>
          <w:sz w:val="20"/>
          <w:szCs w:val="20"/>
          <w:rtl w:val="0"/>
        </w:rPr>
        <w:t xml:space="preserve"> Post-Hoc Pairwise Comparisons (Bonferroni Corrected α = .017)</w:t>
      </w:r>
    </w:p>
    <w:tbl>
      <w:tblPr>
        <w:tblStyle w:val="Table8"/>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2355"/>
        <w:gridCol w:w="2355"/>
        <w:gridCol w:w="2205"/>
        <w:tblGridChange w:id="0">
          <w:tblGrid>
            <w:gridCol w:w="2100"/>
            <w:gridCol w:w="2355"/>
            <w:gridCol w:w="2355"/>
            <w:gridCol w:w="2205"/>
          </w:tblGrid>
        </w:tblGridChange>
      </w:tblGrid>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7B">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Construct</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7C">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Online vs Offline</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7D">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Online vs Hybrid</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7E">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Offline vs Hybrid</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7F">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Credibility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0">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−0.989, p = .334 ns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1">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−3.042, p = .005 **</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2">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−2.961, p = .007 **</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4">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−1.271, p = .218 ns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5">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−3.593, p = .001 **</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6">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−3.597, p = .001 **</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7">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Satisfaction</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8">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−1.318, p = .203 ns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9">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−3.264, p = .003 **</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A">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−3.039, p = .006 **</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B">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Career Readiness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C">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−1.467, p = .159 ns</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D">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−3.269, p = .003 **</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8E">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t = −2.936, p = .008 **</w:t>
            </w:r>
          </w:p>
        </w:tc>
      </w:tr>
    </w:tbl>
    <w:p w:rsidR="00000000" w:rsidDel="00000000" w:rsidP="00000000" w:rsidRDefault="00000000" w:rsidRPr="00000000" w14:paraId="0000018F">
      <w:pPr>
        <w:spacing w:after="180" w:before="6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Note. ** p &lt; .017 (Bonferroni corrected). ns = not significant. Welch’s t-test used for unequal group sizes.</w:t>
      </w:r>
    </w:p>
    <w:p w:rsidR="00000000" w:rsidDel="00000000" w:rsidP="00000000" w:rsidRDefault="00000000" w:rsidRPr="00000000" w14:paraId="00000190">
      <w:pPr>
        <w:spacing w:after="100" w:before="1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5731200" cy="31750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200" w:before="8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2. </w:t>
      </w:r>
      <w:r w:rsidDel="00000000" w:rsidR="00000000" w:rsidRPr="00000000">
        <w:rPr>
          <w:rFonts w:ascii="Times New Roman" w:cs="Times New Roman" w:eastAsia="Times New Roman" w:hAnsi="Times New Roman"/>
          <w:sz w:val="20"/>
          <w:szCs w:val="20"/>
          <w:rtl w:val="0"/>
        </w:rPr>
        <w:t xml:space="preserve">Construct Means by Coaching Mode ANOVA Results (N = 96). ** Hybrid significantly higher than Online and Offline (Bonferroni-corrected p &lt; .017 on all constructs).</w:t>
      </w:r>
    </w:p>
    <w:p w:rsidR="00000000" w:rsidDel="00000000" w:rsidP="00000000" w:rsidRDefault="00000000" w:rsidRPr="00000000" w14:paraId="00000192">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yt1bay9lsx2b" w:id="30"/>
      <w:bookmarkEnd w:id="30"/>
      <w:r w:rsidDel="00000000" w:rsidR="00000000" w:rsidRPr="00000000">
        <w:rPr>
          <w:rFonts w:ascii="Times New Roman" w:cs="Times New Roman" w:eastAsia="Times New Roman" w:hAnsi="Times New Roman"/>
          <w:b w:val="1"/>
          <w:bCs w:val="1"/>
          <w:sz w:val="20"/>
          <w:szCs w:val="20"/>
          <w:rtl w:val="0"/>
        </w:rPr>
        <w:t xml:space="preserve">5.6 Chi-Square Test  Mode vs. Enrollment Status</w:t>
      </w:r>
    </w:p>
    <w:p w:rsidR="00000000" w:rsidDel="00000000" w:rsidP="00000000" w:rsidRDefault="00000000" w:rsidRPr="00000000" w14:paraId="00000193">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chi-square test of independence indicated no significant association between coaching mode and enrollment status (χ²(2) = 0.835, p = .659), confirming that the three mode groups were compositionally comparable and ruling out enrollment status as a confound in the ANOVA comparisons.</w:t>
      </w:r>
    </w:p>
    <w:p w:rsidR="00000000" w:rsidDel="00000000" w:rsidP="00000000" w:rsidRDefault="00000000" w:rsidRPr="00000000" w14:paraId="00000194">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wo44b43bxiba" w:id="31"/>
      <w:bookmarkEnd w:id="31"/>
      <w:r w:rsidDel="00000000" w:rsidR="00000000" w:rsidRPr="00000000">
        <w:rPr>
          <w:rFonts w:ascii="Times New Roman" w:cs="Times New Roman" w:eastAsia="Times New Roman" w:hAnsi="Times New Roman"/>
          <w:b w:val="1"/>
          <w:bCs w:val="1"/>
          <w:sz w:val="20"/>
          <w:szCs w:val="20"/>
          <w:rtl w:val="0"/>
        </w:rPr>
        <w:t xml:space="preserve">5.7 Expectation–Experience Gap Summary</w:t>
      </w:r>
    </w:p>
    <w:p w:rsidR="00000000" w:rsidDel="00000000" w:rsidP="00000000" w:rsidRDefault="00000000" w:rsidRPr="00000000" w14:paraId="00000195">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8 consolidates the full gap analysis with inferential results for the three paired dimensions. All three gaps were statistically significant and in the negative direction.</w:t>
      </w:r>
    </w:p>
    <w:p w:rsidR="00000000" w:rsidDel="00000000" w:rsidP="00000000" w:rsidRDefault="00000000" w:rsidRPr="00000000" w14:paraId="00000196">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7">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8">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9">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A">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B">
      <w:pPr>
        <w:spacing w:after="100" w:before="10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bCs w:val="1"/>
          <w:sz w:val="20"/>
          <w:szCs w:val="20"/>
          <w:rtl w:val="0"/>
        </w:rPr>
        <w:t xml:space="preserve">Table 8</w:t>
      </w:r>
      <w:r w:rsidDel="00000000" w:rsidR="00000000" w:rsidRPr="00000000">
        <w:rPr>
          <w:rFonts w:ascii="Times New Roman" w:cs="Times New Roman" w:eastAsia="Times New Roman" w:hAnsi="Times New Roman"/>
          <w:sz w:val="20"/>
          <w:szCs w:val="20"/>
          <w:rtl w:val="0"/>
        </w:rPr>
        <w:t xml:space="preserve"> Expectation–Experience Gap Scores by Dimension (N = 96)</w:t>
      </w:r>
    </w:p>
    <w:tbl>
      <w:tblPr>
        <w:tblStyle w:val="Table9"/>
        <w:tblW w:w="89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1530"/>
        <w:gridCol w:w="1470"/>
        <w:gridCol w:w="1020"/>
        <w:gridCol w:w="1305"/>
        <w:gridCol w:w="900"/>
        <w:gridCol w:w="1230"/>
        <w:tblGridChange w:id="0">
          <w:tblGrid>
            <w:gridCol w:w="1530"/>
            <w:gridCol w:w="1530"/>
            <w:gridCol w:w="1470"/>
            <w:gridCol w:w="1020"/>
            <w:gridCol w:w="1305"/>
            <w:gridCol w:w="900"/>
            <w:gridCol w:w="1230"/>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9C">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Dimension</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9D">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Expectation M</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9E">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Experience M</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9F">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Gap Score</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A0">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95% CI</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A1">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p-value</w:t>
            </w:r>
          </w:p>
        </w:tc>
        <w:tc>
          <w:tcPr>
            <w:tcBorders>
              <w:top w:color="000000" w:space="0" w:sz="6" w:val="single"/>
              <w:left w:color="000000" w:space="0" w:sz="0" w:val="nil"/>
              <w:bottom w:color="000000" w:space="0" w:sz="6" w:val="single"/>
              <w:right w:color="000000" w:space="0" w:sz="6" w:val="single"/>
            </w:tcBorders>
            <w:shd w:fill="d9e1f2" w:val="clear"/>
            <w:tcMar>
              <w:top w:w="80.0" w:type="dxa"/>
              <w:left w:w="120.0" w:type="dxa"/>
              <w:bottom w:w="80.0" w:type="dxa"/>
              <w:right w:w="120.0" w:type="dxa"/>
            </w:tcMar>
            <w:vAlign w:val="top"/>
          </w:tcPr>
          <w:p w:rsidR="00000000" w:rsidDel="00000000" w:rsidP="00000000" w:rsidRDefault="00000000" w:rsidRPr="00000000" w14:paraId="000001A2">
            <w:pPr>
              <w:spacing w:line="276"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Direction</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3">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Brand Promise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4">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4.83 (Q10)</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4.17 (Q11)</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6">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−0.667</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7">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[−1.041, −0.293]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8">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&lt; .001 </w:t>
            </w:r>
            <w:r w:rsidDel="00000000" w:rsidR="00000000" w:rsidRPr="00000000">
              <w:rPr>
                <w:rFonts w:ascii="Times New Roman" w:cs="Times New Roman" w:eastAsia="Times New Roman" w:hAnsi="Times New Roman"/>
                <w:b w:val="1"/>
                <w:bCs w:val="1"/>
                <w:color w:val="b00020"/>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9">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Shortfall</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Teaching Quality</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5.09 (Q12)</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4.49 (Q13)</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D">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−0.604</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E">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[−0.927, −0.282]</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AF">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&lt; .001 </w:t>
            </w:r>
            <w:r w:rsidDel="00000000" w:rsidR="00000000" w:rsidRPr="00000000">
              <w:rPr>
                <w:rFonts w:ascii="Times New Roman" w:cs="Times New Roman" w:eastAsia="Times New Roman" w:hAnsi="Times New Roman"/>
                <w:b w:val="1"/>
                <w:bCs w:val="1"/>
                <w:color w:val="b00020"/>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B0">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Shortfall</w:t>
            </w:r>
          </w:p>
        </w:tc>
      </w:tr>
      <w:tr>
        <w:trPr>
          <w:cantSplit w:val="0"/>
          <w:trHeight w:val="945" w:hRule="atLeast"/>
          <w:tblHeader w:val="0"/>
        </w:trPr>
        <w:tc>
          <w:tcPr>
            <w:tcBorders>
              <w:top w:color="000000" w:space="0" w:sz="0" w:val="nil"/>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B1">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Doubt-Solving &amp; Mentorship</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B2">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4.97 (Q14)</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B3">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4.33 (Q15)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B4">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−0.635</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B5">
            <w:pPr>
              <w:spacing w:line="276" w:lineRule="auto"/>
              <w:jc w:val="center"/>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[−1.013, −0.258]</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B6">
            <w:pPr>
              <w:spacing w:line="276" w:lineRule="auto"/>
              <w:jc w:val="center"/>
              <w:rPr>
                <w:rFonts w:ascii="Times New Roman" w:cs="Times New Roman" w:eastAsia="Times New Roman" w:hAnsi="Times New Roman"/>
                <w:b w:val="1"/>
                <w:bCs w:val="1"/>
                <w:color w:val="b00020"/>
                <w:sz w:val="20"/>
                <w:szCs w:val="20"/>
              </w:rPr>
            </w:pPr>
            <w:r w:rsidDel="00000000" w:rsidR="00000000" w:rsidRPr="00000000">
              <w:rPr>
                <w:rFonts w:ascii="Times New Roman" w:cs="Times New Roman" w:eastAsia="Times New Roman" w:hAnsi="Times New Roman"/>
                <w:sz w:val="20"/>
                <w:szCs w:val="20"/>
                <w:rtl w:val="0"/>
              </w:rPr>
              <w:t xml:space="preserve">.001 </w:t>
            </w:r>
            <w:r w:rsidDel="00000000" w:rsidR="00000000" w:rsidRPr="00000000">
              <w:rPr>
                <w:rFonts w:ascii="Times New Roman" w:cs="Times New Roman" w:eastAsia="Times New Roman" w:hAnsi="Times New Roman"/>
                <w:b w:val="1"/>
                <w:bCs w:val="1"/>
                <w:color w:val="b00020"/>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1B7">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Shortfall</w:t>
            </w:r>
          </w:p>
        </w:tc>
      </w:tr>
    </w:tbl>
    <w:p w:rsidR="00000000" w:rsidDel="00000000" w:rsidP="00000000" w:rsidRDefault="00000000" w:rsidRPr="00000000" w14:paraId="000001B8">
      <w:pPr>
        <w:spacing w:after="180" w:before="60" w:line="276" w:lineRule="auto"/>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Note. ** p &lt; .01. *** p &lt; .001. Gap Score = Experience M − Expectation M. 95% CI from one-sample t-test.</w:t>
      </w:r>
    </w:p>
    <w:p w:rsidR="00000000" w:rsidDel="00000000" w:rsidP="00000000" w:rsidRDefault="00000000" w:rsidRPr="00000000" w14:paraId="000001B9">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39guhiwkrvzi" w:id="32"/>
      <w:bookmarkEnd w:id="32"/>
      <w:r w:rsidDel="00000000" w:rsidR="00000000" w:rsidRPr="00000000">
        <w:rPr>
          <w:rFonts w:ascii="Times New Roman" w:cs="Times New Roman" w:eastAsia="Times New Roman" w:hAnsi="Times New Roman"/>
          <w:b w:val="1"/>
          <w:bCs w:val="1"/>
          <w:sz w:val="20"/>
          <w:szCs w:val="20"/>
          <w:rtl w:val="0"/>
        </w:rPr>
        <w:t xml:space="preserve">6. INFERENCES AND FINDINGS</w:t>
      </w:r>
    </w:p>
    <w:p w:rsidR="00000000" w:rsidDel="00000000" w:rsidP="00000000" w:rsidRDefault="00000000" w:rsidRPr="00000000" w14:paraId="000001BA">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jf1v1o245t7q" w:id="33"/>
      <w:bookmarkEnd w:id="33"/>
      <w:r w:rsidDel="00000000" w:rsidR="00000000" w:rsidRPr="00000000">
        <w:rPr>
          <w:rFonts w:ascii="Times New Roman" w:cs="Times New Roman" w:eastAsia="Times New Roman" w:hAnsi="Times New Roman"/>
          <w:b w:val="1"/>
          <w:bCs w:val="1"/>
          <w:sz w:val="20"/>
          <w:szCs w:val="20"/>
          <w:rtl w:val="0"/>
        </w:rPr>
        <w:t xml:space="preserve">6.1 H1 Confirmed: All Gaps Significantly Negative</w:t>
      </w:r>
    </w:p>
    <w:p w:rsidR="00000000" w:rsidDel="00000000" w:rsidP="00000000" w:rsidRDefault="00000000" w:rsidRPr="00000000" w14:paraId="000001BB">
      <w:pPr>
        <w:spacing w:after="160" w:line="276" w:lineRule="auto"/>
        <w:jc w:val="both"/>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One-sample t-tests confirmed that all three expectation–experience gap scores were statistically significantly different from zero (Brand Promise: t(95) = −3.541, p &lt; .001; Teaching Quality: t(95) = −3.717, p &lt; .001; Doubt-Solving: t(95) = −3.339, p = .001). The 95% confidence intervals for all three gaps exclude zero, confirming that systematic underdelivery is a population-level characteristic, not a sampling artefact.</w:t>
      </w:r>
    </w:p>
    <w:p w:rsidR="00000000" w:rsidDel="00000000" w:rsidP="00000000" w:rsidRDefault="00000000" w:rsidRPr="00000000" w14:paraId="000001BC">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qa2t83czxp11" w:id="34"/>
      <w:bookmarkEnd w:id="34"/>
      <w:r w:rsidDel="00000000" w:rsidR="00000000" w:rsidRPr="00000000">
        <w:rPr>
          <w:rFonts w:ascii="Times New Roman" w:cs="Times New Roman" w:eastAsia="Times New Roman" w:hAnsi="Times New Roman"/>
          <w:b w:val="1"/>
          <w:bCs w:val="1"/>
          <w:sz w:val="20"/>
          <w:szCs w:val="20"/>
          <w:rtl w:val="0"/>
        </w:rPr>
        <w:t xml:space="preserve">6.2 H2 and H3 Confirmed: Significant Mode Differences with Hybrid Superiority</w:t>
      </w:r>
    </w:p>
    <w:p w:rsidR="00000000" w:rsidDel="00000000" w:rsidP="00000000" w:rsidRDefault="00000000" w:rsidRPr="00000000" w14:paraId="000001BD">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ANOVA confirmed significant differences across coaching modes on all four constructs (all F &gt; 5.3, all p &lt; .01, η² = 0.103–0.121). Post-hoc results revealed that the hybrid advantage is specific and robust: hybrid students scored significantly higher than both online and offline students on all four constructs, while online and offline students did not differ significantly from each other. This indicates that the key quality distinction in coaching is not online vs. offline, but hybrid vs. non-hybrid.</w:t>
      </w:r>
    </w:p>
    <w:p w:rsidR="00000000" w:rsidDel="00000000" w:rsidP="00000000" w:rsidRDefault="00000000" w:rsidRPr="00000000" w14:paraId="000001BE">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F">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0">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ob1y3k3k6fht" w:id="35"/>
      <w:bookmarkEnd w:id="35"/>
      <w:r w:rsidDel="00000000" w:rsidR="00000000" w:rsidRPr="00000000">
        <w:rPr>
          <w:rFonts w:ascii="Times New Roman" w:cs="Times New Roman" w:eastAsia="Times New Roman" w:hAnsi="Times New Roman"/>
          <w:b w:val="1"/>
          <w:bCs w:val="1"/>
          <w:sz w:val="20"/>
          <w:szCs w:val="20"/>
          <w:rtl w:val="0"/>
        </w:rPr>
        <w:t xml:space="preserve">6.3 H4 Confirmed: Non-Normal Distributions</w:t>
      </w:r>
    </w:p>
    <w:p w:rsidR="00000000" w:rsidDel="00000000" w:rsidP="00000000" w:rsidRDefault="00000000" w:rsidRPr="00000000" w14:paraId="000001C1">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Shapiro–Wilk tests confirmed significant departures from normality for all seven distributions (all p &lt; .001). Future research should consider non-parametric alternatives (Kruskal–Wallis, Wilcoxon signed-rank) to provide distribution-free inference.</w:t>
      </w:r>
    </w:p>
    <w:p w:rsidR="00000000" w:rsidDel="00000000" w:rsidP="00000000" w:rsidRDefault="00000000" w:rsidRPr="00000000" w14:paraId="000001C2">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n5wiake79n1g" w:id="36"/>
      <w:bookmarkEnd w:id="36"/>
      <w:r w:rsidDel="00000000" w:rsidR="00000000" w:rsidRPr="00000000">
        <w:rPr>
          <w:rFonts w:ascii="Times New Roman" w:cs="Times New Roman" w:eastAsia="Times New Roman" w:hAnsi="Times New Roman"/>
          <w:b w:val="1"/>
          <w:bCs w:val="1"/>
          <w:sz w:val="20"/>
          <w:szCs w:val="20"/>
          <w:rtl w:val="0"/>
        </w:rPr>
        <w:t xml:space="preserve">6.4 Moderate Perceptions and Subdued Recommendation Intent</w:t>
      </w:r>
    </w:p>
    <w:p w:rsidR="00000000" w:rsidDel="00000000" w:rsidP="00000000" w:rsidRDefault="00000000" w:rsidRPr="00000000" w14:paraId="000001C3">
      <w:pPr>
        <w:spacing w:after="160" w:line="276" w:lineRule="auto"/>
        <w:jc w:val="both"/>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Construct means ranging from 4.05 to 4.40 indicate moderate positive perception above neutral but well below the high-performance range (≥ 5.5). The below-midpoint recommendation intent (Q8, M = 3.93) is diagnostic of negative disconfirmation, consistent with Oliver’s (1980) Expectancy Disconfirmation Theory.</w:t>
      </w:r>
    </w:p>
    <w:p w:rsidR="00000000" w:rsidDel="00000000" w:rsidP="00000000" w:rsidRDefault="00000000" w:rsidRPr="00000000" w14:paraId="000001C4">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uy1gvjuq7xcv" w:id="37"/>
      <w:bookmarkEnd w:id="37"/>
      <w:r w:rsidDel="00000000" w:rsidR="00000000" w:rsidRPr="00000000">
        <w:rPr>
          <w:rFonts w:ascii="Times New Roman" w:cs="Times New Roman" w:eastAsia="Times New Roman" w:hAnsi="Times New Roman"/>
          <w:b w:val="1"/>
          <w:bCs w:val="1"/>
          <w:sz w:val="20"/>
          <w:szCs w:val="20"/>
          <w:rtl w:val="0"/>
        </w:rPr>
        <w:t xml:space="preserve">7. DISCUSSION</w:t>
      </w:r>
    </w:p>
    <w:p w:rsidR="00000000" w:rsidDel="00000000" w:rsidP="00000000" w:rsidRDefault="00000000" w:rsidRPr="00000000" w14:paraId="000001C5">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ij7sm0l3pshj" w:id="38"/>
      <w:bookmarkEnd w:id="38"/>
      <w:r w:rsidDel="00000000" w:rsidR="00000000" w:rsidRPr="00000000">
        <w:rPr>
          <w:rFonts w:ascii="Times New Roman" w:cs="Times New Roman" w:eastAsia="Times New Roman" w:hAnsi="Times New Roman"/>
          <w:b w:val="1"/>
          <w:bCs w:val="1"/>
          <w:sz w:val="20"/>
          <w:szCs w:val="20"/>
          <w:rtl w:val="0"/>
        </w:rPr>
        <w:t xml:space="preserve">7.1 The Expectation–Experience Gap: Statistical Confirmation</w:t>
      </w:r>
    </w:p>
    <w:p w:rsidR="00000000" w:rsidDel="00000000" w:rsidP="00000000" w:rsidRDefault="00000000" w:rsidRPr="00000000" w14:paraId="000001C6">
      <w:pPr>
        <w:spacing w:after="160" w:line="276" w:lineRule="auto"/>
        <w:jc w:val="both"/>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Prior studies applying SERVQUAL in educational contexts have typically reported gap scores descriptively without inferential testing (Abili et al., 2012). A key contribution of this study is the inferential confirmation through one-sample t-tests that all three gap scores are statistically significantly different from zero (all p ≤ .001). This advances beyond the observation that coaching centers scored below expectations on average to the stronger claim that this underdelivery is a systematic, statistically confirmed pattern unlikely to be explained by sampling variability. The pattern aligns precisely with Oliver’s (1980) Expectancy Disconfirmation Theory.</w:t>
      </w:r>
    </w:p>
    <w:p w:rsidR="00000000" w:rsidDel="00000000" w:rsidP="00000000" w:rsidRDefault="00000000" w:rsidRPr="00000000" w14:paraId="000001C7">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7l56jvnwt92m" w:id="39"/>
      <w:bookmarkEnd w:id="39"/>
      <w:r w:rsidDel="00000000" w:rsidR="00000000" w:rsidRPr="00000000">
        <w:rPr>
          <w:rFonts w:ascii="Times New Roman" w:cs="Times New Roman" w:eastAsia="Times New Roman" w:hAnsi="Times New Roman"/>
          <w:b w:val="1"/>
          <w:bCs w:val="1"/>
          <w:sz w:val="20"/>
          <w:szCs w:val="20"/>
          <w:rtl w:val="0"/>
        </w:rPr>
        <w:t xml:space="preserve">7.2 Coaching Mode Differences: ANOVA Evidence</w:t>
      </w:r>
    </w:p>
    <w:p w:rsidR="00000000" w:rsidDel="00000000" w:rsidP="00000000" w:rsidRDefault="00000000" w:rsidRPr="00000000" w14:paraId="000001C8">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ANOVA findings provide statistically robust evidence that hybrid mode coaching is significantly superior to both online and offline modes across all four constructs, with medium-to-large practical magnitude (η² = 0.103–0.121). The post-hoc pattern hybrid significantly different from both other modes, but online and offline not differing from each other is theoretically interpretable through the blended learning literature (Means et al., 2009): hybrid modality combines the responsiveness of physical instruction with the flexibility of digital platforms.</w:t>
      </w:r>
    </w:p>
    <w:p w:rsidR="00000000" w:rsidDel="00000000" w:rsidP="00000000" w:rsidRDefault="00000000" w:rsidRPr="00000000" w14:paraId="000001C9">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A">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B">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lffuzvdt527c" w:id="40"/>
      <w:bookmarkEnd w:id="40"/>
      <w:r w:rsidDel="00000000" w:rsidR="00000000" w:rsidRPr="00000000">
        <w:rPr>
          <w:rFonts w:ascii="Times New Roman" w:cs="Times New Roman" w:eastAsia="Times New Roman" w:hAnsi="Times New Roman"/>
          <w:b w:val="1"/>
          <w:bCs w:val="1"/>
          <w:sz w:val="20"/>
          <w:szCs w:val="20"/>
          <w:rtl w:val="0"/>
        </w:rPr>
        <w:t xml:space="preserve">7.3 Normality and Methodological Implications</w:t>
      </w:r>
    </w:p>
    <w:p w:rsidR="00000000" w:rsidDel="00000000" w:rsidP="00000000" w:rsidRDefault="00000000" w:rsidRPr="00000000" w14:paraId="000001CC">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Shapiro–Wilk results confirm that all distributions departed significantly from normality, a common finding in educational perception research (Norman, 2010). While the parametric tests employed are relatively robust to moderate non-normality (Field, 2018), this finding warrants explicit acknowledgment and motivates the recommendation of non-parametric alternatives in future research.</w:t>
      </w:r>
    </w:p>
    <w:p w:rsidR="00000000" w:rsidDel="00000000" w:rsidP="00000000" w:rsidRDefault="00000000" w:rsidRPr="00000000" w14:paraId="000001CD">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3wf6dewf7xm8" w:id="41"/>
      <w:bookmarkEnd w:id="41"/>
      <w:r w:rsidDel="00000000" w:rsidR="00000000" w:rsidRPr="00000000">
        <w:rPr>
          <w:rFonts w:ascii="Times New Roman" w:cs="Times New Roman" w:eastAsia="Times New Roman" w:hAnsi="Times New Roman"/>
          <w:b w:val="1"/>
          <w:bCs w:val="1"/>
          <w:sz w:val="20"/>
          <w:szCs w:val="20"/>
          <w:rtl w:val="0"/>
        </w:rPr>
        <w:t xml:space="preserve">8. MANAGERIAL IMPLICATIONS</w:t>
      </w:r>
    </w:p>
    <w:p w:rsidR="00000000" w:rsidDel="00000000" w:rsidP="00000000" w:rsidRDefault="00000000" w:rsidRPr="00000000" w14:paraId="000001CE">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8s77zdnrayt4" w:id="42"/>
      <w:bookmarkEnd w:id="42"/>
      <w:r w:rsidDel="00000000" w:rsidR="00000000" w:rsidRPr="00000000">
        <w:rPr>
          <w:rFonts w:ascii="Times New Roman" w:cs="Times New Roman" w:eastAsia="Times New Roman" w:hAnsi="Times New Roman"/>
          <w:b w:val="1"/>
          <w:bCs w:val="1"/>
          <w:sz w:val="20"/>
          <w:szCs w:val="20"/>
          <w:rtl w:val="0"/>
        </w:rPr>
        <w:t xml:space="preserve">8.1 Recalibrate Brand Communication</w:t>
      </w:r>
    </w:p>
    <w:p w:rsidR="00000000" w:rsidDel="00000000" w:rsidP="00000000" w:rsidRDefault="00000000" w:rsidRPr="00000000" w14:paraId="000001CF">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statistically confirmed negative gaps across all three service dimensions provide empirical justification for coaching centers to audit and recalibrate their marketing claims. Marketing commitments particularly regarding instructional quality (the highest-expectation dimension, M = 5.09) consistently exceed what service delivery achieves. Evidence-based communication standards that commit only to demonstrably deliverable outcomes will reduce negative disconfirmation and improve post-enrolment satisfaction.</w:t>
      </w:r>
    </w:p>
    <w:p w:rsidR="00000000" w:rsidDel="00000000" w:rsidP="00000000" w:rsidRDefault="00000000" w:rsidRPr="00000000" w14:paraId="000001D0">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hlrdmmyhpyi2" w:id="43"/>
      <w:bookmarkEnd w:id="43"/>
      <w:r w:rsidDel="00000000" w:rsidR="00000000" w:rsidRPr="00000000">
        <w:rPr>
          <w:rFonts w:ascii="Times New Roman" w:cs="Times New Roman" w:eastAsia="Times New Roman" w:hAnsi="Times New Roman"/>
          <w:b w:val="1"/>
          <w:bCs w:val="1"/>
          <w:sz w:val="20"/>
          <w:szCs w:val="20"/>
          <w:rtl w:val="0"/>
        </w:rPr>
        <w:t xml:space="preserve">8.2 Prioritise Doubt-Solving and Mentorship Infrastructure</w:t>
      </w:r>
    </w:p>
    <w:p w:rsidR="00000000" w:rsidDel="00000000" w:rsidP="00000000" w:rsidRDefault="00000000" w:rsidRPr="00000000" w14:paraId="000001D1">
      <w:pPr>
        <w:spacing w:after="160" w:line="276" w:lineRule="auto"/>
        <w:jc w:val="both"/>
        <w:rPr>
          <w:rFonts w:ascii="Times New Roman" w:cs="Times New Roman" w:eastAsia="Times New Roman" w:hAnsi="Times New Roman"/>
          <w:sz w:val="20"/>
          <w:szCs w:val="20"/>
        </w:rPr>
      </w:pPr>
      <w:r w:rsidDel="00000000" w:rsidR="00000000" w:rsidRPr="00000000">
        <w:rPr>
          <w:rFonts w:ascii="Gungsuh" w:cs="Gungsuh" w:eastAsia="Gungsuh" w:hAnsi="Gungsuh"/>
          <w:sz w:val="20"/>
          <w:szCs w:val="20"/>
          <w:rtl w:val="0"/>
        </w:rPr>
        <w:t xml:space="preserve">Doubt-Solving and Mentorship recorded the largest absolute gap (M = −0.635) against high pre-enrollment expectations (M = 4.97). Managers should invest in structured mentorship with defined response-time standards, dedicated doubt-solving sessions, and accessible instructor office hours.</w:t>
      </w:r>
    </w:p>
    <w:p w:rsidR="00000000" w:rsidDel="00000000" w:rsidP="00000000" w:rsidRDefault="00000000" w:rsidRPr="00000000" w14:paraId="000001D2">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eo4dkwaidh2j" w:id="44"/>
      <w:bookmarkEnd w:id="44"/>
      <w:r w:rsidDel="00000000" w:rsidR="00000000" w:rsidRPr="00000000">
        <w:rPr>
          <w:rFonts w:ascii="Times New Roman" w:cs="Times New Roman" w:eastAsia="Times New Roman" w:hAnsi="Times New Roman"/>
          <w:b w:val="1"/>
          <w:bCs w:val="1"/>
          <w:sz w:val="20"/>
          <w:szCs w:val="20"/>
          <w:rtl w:val="0"/>
        </w:rPr>
        <w:t xml:space="preserve">8.3 Expand Hybrid Delivery as a Strategic Priority</w:t>
      </w:r>
    </w:p>
    <w:p w:rsidR="00000000" w:rsidDel="00000000" w:rsidP="00000000" w:rsidRDefault="00000000" w:rsidRPr="00000000" w14:paraId="000001D3">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ANOVA results (η² = 0.103–0.121, all p &lt; .01) and post-hoc tests provide statistically robust evidence that hybrid delivery significantly outperforms both pure online and pure offline coaching. Coaching center operators should evaluate hybrid models combining live-streamed sessions with interactive features, recorded lectures, and structured in-person doubt-solving workshops.</w:t>
      </w:r>
    </w:p>
    <w:p w:rsidR="00000000" w:rsidDel="00000000" w:rsidP="00000000" w:rsidRDefault="00000000" w:rsidRPr="00000000" w14:paraId="000001D4">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5">
      <w:pPr>
        <w:pStyle w:val="Heading2"/>
        <w:keepNext w:val="0"/>
        <w:keepLines w:val="0"/>
        <w:spacing w:after="80" w:line="276" w:lineRule="auto"/>
        <w:rPr>
          <w:rFonts w:ascii="Times New Roman" w:cs="Times New Roman" w:eastAsia="Times New Roman" w:hAnsi="Times New Roman"/>
          <w:b w:val="1"/>
          <w:bCs w:val="1"/>
          <w:sz w:val="20"/>
          <w:szCs w:val="20"/>
        </w:rPr>
      </w:pPr>
      <w:bookmarkStart w:colFirst="0" w:colLast="0" w:name="_qh66gdsm0fni" w:id="45"/>
      <w:bookmarkEnd w:id="45"/>
      <w:r w:rsidDel="00000000" w:rsidR="00000000" w:rsidRPr="00000000">
        <w:rPr>
          <w:rFonts w:ascii="Times New Roman" w:cs="Times New Roman" w:eastAsia="Times New Roman" w:hAnsi="Times New Roman"/>
          <w:b w:val="1"/>
          <w:bCs w:val="1"/>
          <w:sz w:val="20"/>
          <w:szCs w:val="20"/>
          <w:rtl w:val="0"/>
        </w:rPr>
        <w:t xml:space="preserve">8.4 Implement Continuous Quality Monitoring</w:t>
      </w:r>
    </w:p>
    <w:p w:rsidR="00000000" w:rsidDel="00000000" w:rsidP="00000000" w:rsidRDefault="00000000" w:rsidRPr="00000000" w14:paraId="000001D6">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Institutions should implement systematic quality monitoring through mid-course micro-surveys and structured feedback loops. The Shapiro-Wilk findings also suggest using median-based summary statistics alongside means to capture the skewed nature of satisfaction distributions more accurately.</w:t>
      </w:r>
    </w:p>
    <w:p w:rsidR="00000000" w:rsidDel="00000000" w:rsidP="00000000" w:rsidRDefault="00000000" w:rsidRPr="00000000" w14:paraId="000001D7">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2f79n3r4f4dh" w:id="46"/>
      <w:bookmarkEnd w:id="46"/>
      <w:r w:rsidDel="00000000" w:rsidR="00000000" w:rsidRPr="00000000">
        <w:rPr>
          <w:rFonts w:ascii="Times New Roman" w:cs="Times New Roman" w:eastAsia="Times New Roman" w:hAnsi="Times New Roman"/>
          <w:b w:val="1"/>
          <w:bCs w:val="1"/>
          <w:sz w:val="20"/>
          <w:szCs w:val="20"/>
          <w:rtl w:val="0"/>
        </w:rPr>
        <w:t xml:space="preserve">9. THEORETICAL IMPLICATIONS</w:t>
      </w:r>
    </w:p>
    <w:p w:rsidR="00000000" w:rsidDel="00000000" w:rsidP="00000000" w:rsidRDefault="00000000" w:rsidRPr="00000000" w14:paraId="000001D8">
      <w:pPr>
        <w:spacing w:after="16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extends the SERVQUAL framework thematically (to the Indian coaching center sector, a non-formal educational context largely absent from the service quality literature) and methodologically (by adding inferential t-test validation to descriptive gap analysis). The integration of Morhart et al.’s (2015) Brand Authenticity dimensions with SERVQUAL’s gap logic within a single validated measurement framework represents a theoretical synthesis not previously tested in the coaching center context. The ANOVA evidence provides the first statistically validated confirmation that coaching delivery mode is a significant moderator of educational brand perception in the Indian context.</w:t>
      </w:r>
    </w:p>
    <w:p w:rsidR="00000000" w:rsidDel="00000000" w:rsidP="00000000" w:rsidRDefault="00000000" w:rsidRPr="00000000" w14:paraId="000001D9">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293bbhkgnzo" w:id="47"/>
      <w:bookmarkEnd w:id="47"/>
      <w:r w:rsidDel="00000000" w:rsidR="00000000" w:rsidRPr="00000000">
        <w:rPr>
          <w:rFonts w:ascii="Times New Roman" w:cs="Times New Roman" w:eastAsia="Times New Roman" w:hAnsi="Times New Roman"/>
          <w:b w:val="1"/>
          <w:bCs w:val="1"/>
          <w:sz w:val="20"/>
          <w:szCs w:val="20"/>
          <w:rtl w:val="0"/>
        </w:rPr>
        <w:t xml:space="preserve">10. CONCLUSION</w:t>
      </w:r>
    </w:p>
    <w:p w:rsidR="00000000" w:rsidDel="00000000" w:rsidP="00000000" w:rsidRDefault="00000000" w:rsidRPr="00000000" w14:paraId="000001DA">
      <w:pPr>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examined the alignment between coaching center brand positioning and student perceptions using a combination of descriptive statistics, normality testing (Shapiro–Wilk), gap analysis (one-sample t-tests), and comparison across coaching modes (one-way ANOVA with Bonferroni correction). All four hypotheses were supported, showing negative gaps, differences across modes, better performance of hybrid coaching, and non-normal data distribution.</w:t>
      </w:r>
    </w:p>
    <w:p w:rsidR="00000000" w:rsidDel="00000000" w:rsidP="00000000" w:rsidRDefault="00000000" w:rsidRPr="00000000" w14:paraId="000001DB">
      <w:pPr>
        <w:spacing w:after="240" w:before="24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findings indicate that coaching centers perform at a moderate level but face credibility issues due to unmet expectations. For long-term success, coaching centers need to focus on consistently delivering what they promise, especially in teaching quality, doubt-solving, and mentorship, where students perceive the largest gaps.</w:t>
      </w:r>
    </w:p>
    <w:p w:rsidR="00000000" w:rsidDel="00000000" w:rsidP="00000000" w:rsidRDefault="00000000" w:rsidRPr="00000000" w14:paraId="000001DC">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D">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E">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F">
      <w:pPr>
        <w:spacing w:after="16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0">
      <w:pPr>
        <w:pStyle w:val="Heading1"/>
        <w:keepNext w:val="0"/>
        <w:keepLines w:val="0"/>
        <w:spacing w:before="480" w:line="276" w:lineRule="auto"/>
        <w:rPr>
          <w:rFonts w:ascii="Times New Roman" w:cs="Times New Roman" w:eastAsia="Times New Roman" w:hAnsi="Times New Roman"/>
          <w:b w:val="1"/>
          <w:bCs w:val="1"/>
          <w:sz w:val="20"/>
          <w:szCs w:val="20"/>
        </w:rPr>
      </w:pPr>
      <w:bookmarkStart w:colFirst="0" w:colLast="0" w:name="_nqb7z4gpr344" w:id="48"/>
      <w:bookmarkEnd w:id="48"/>
      <w:r w:rsidDel="00000000" w:rsidR="00000000" w:rsidRPr="00000000">
        <w:rPr>
          <w:rFonts w:ascii="Times New Roman" w:cs="Times New Roman" w:eastAsia="Times New Roman" w:hAnsi="Times New Roman"/>
          <w:b w:val="1"/>
          <w:bCs w:val="1"/>
          <w:sz w:val="20"/>
          <w:szCs w:val="20"/>
          <w:rtl w:val="0"/>
        </w:rPr>
        <w:t xml:space="preserve">REFERENCES</w:t>
      </w:r>
    </w:p>
    <w:p w:rsidR="00000000" w:rsidDel="00000000" w:rsidP="00000000" w:rsidRDefault="00000000" w:rsidRPr="00000000" w14:paraId="000001E1">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Abili, K., Narenji Thani, F., &amp; Afarinandehbin, M. (2012). Measuring university service quality by means of SERVQUAL method. Asian Journal on Quality, 13(3), 204–211. https://doi.org/10.1108/15982681211287766</w:t>
      </w:r>
    </w:p>
    <w:p w:rsidR="00000000" w:rsidDel="00000000" w:rsidP="00000000" w:rsidRDefault="00000000" w:rsidRPr="00000000" w14:paraId="000001E2">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Aguirre, R. F., Cerbito, A. F., &amp; Gayod, D. H. (2022). Online learning experiences and satisfaction of students on the transition to remote learning. IOER International Multidisciplinary Research Journal, 4(1), 144–154.</w:t>
      </w:r>
    </w:p>
    <w:p w:rsidR="00000000" w:rsidDel="00000000" w:rsidP="00000000" w:rsidRDefault="00000000" w:rsidRPr="00000000" w14:paraId="000001E3">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Alqurashi, E. (2019). Predicting student satisfaction and perceived learning within online learning environments. Distance Education, 40(1), 133–148. https://doi.org/10.1080/01587919.2018.1553562</w:t>
      </w:r>
    </w:p>
    <w:p w:rsidR="00000000" w:rsidDel="00000000" w:rsidP="00000000" w:rsidRDefault="00000000" w:rsidRPr="00000000" w14:paraId="000001E4">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Bandura, A. (1977). Self-efficacy: Toward a unifying theory of behavioral change. Psychological Review, 84(2), 191–215. https://doi.org/10.1037/0033-295X.84.2.191</w:t>
      </w:r>
    </w:p>
    <w:p w:rsidR="00000000" w:rsidDel="00000000" w:rsidP="00000000" w:rsidRDefault="00000000" w:rsidRPr="00000000" w14:paraId="000001E5">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Betz, N. E., Klein, K. L., &amp; Taylor, K. M. (1996). Evaluation of a short form of the Career Decision-Making Self-Efficacy Scale. Journal of Career Assessment, 4(1), 47–57. https://doi.org/10.1177/106907279600400103</w:t>
      </w:r>
    </w:p>
    <w:p w:rsidR="00000000" w:rsidDel="00000000" w:rsidP="00000000" w:rsidRDefault="00000000" w:rsidRPr="00000000" w14:paraId="000001E6">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Cohen, J. (1988). Statistical power analysis for the behavioral sciences (2nd ed.). Lawrence Erlbaum Associates.</w:t>
      </w:r>
    </w:p>
    <w:p w:rsidR="00000000" w:rsidDel="00000000" w:rsidP="00000000" w:rsidRDefault="00000000" w:rsidRPr="00000000" w14:paraId="000001E7">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Field, A. (2018). Discovering statistics using IBM SPSS statistics (5th ed.). SAGE Publications.</w:t>
      </w:r>
    </w:p>
    <w:p w:rsidR="00000000" w:rsidDel="00000000" w:rsidP="00000000" w:rsidRDefault="00000000" w:rsidRPr="00000000" w14:paraId="000001E8">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Hartman, D. E., &amp; Schmidt, S. L. (1995). Understanding student/alumni satisfaction from a consumer’s perspective: The effects of institutional performance and program outcomes. Research in Higher Education, 36(2), 197–217. https://doi.org/10.1007/BF02207788</w:t>
      </w:r>
    </w:p>
    <w:p w:rsidR="00000000" w:rsidDel="00000000" w:rsidP="00000000" w:rsidRDefault="00000000" w:rsidRPr="00000000" w14:paraId="000001E9">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Kaushal, V., &amp; Ali, N. (2020). University reputation, brand attachment and brand personality as antecedents of student loyalty: A study in higher education context. Corporate Reputation Review, 23, 254–266. https://doi.org/10.1057/s41299-019-00084-y</w:t>
      </w:r>
    </w:p>
    <w:p w:rsidR="00000000" w:rsidDel="00000000" w:rsidP="00000000" w:rsidRDefault="00000000" w:rsidRPr="00000000" w14:paraId="000001EA">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Kotler, P., &amp; Fox, K. F. A. (1995). Strategic marketing for educational institutions (2nd ed.). Prentice-Hall.</w:t>
      </w:r>
    </w:p>
    <w:p w:rsidR="00000000" w:rsidDel="00000000" w:rsidP="00000000" w:rsidRDefault="00000000" w:rsidRPr="00000000" w14:paraId="000001EB">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Liaw, S.-S. (2008). Investigating students’ perceived satisfaction, behavioral intention, and effectiveness of e-learning. Computers &amp; Education, 51(2), 864–873. https://doi.org/10.1016/j.compedu.2007.09.005</w:t>
      </w:r>
    </w:p>
    <w:p w:rsidR="00000000" w:rsidDel="00000000" w:rsidP="00000000" w:rsidRDefault="00000000" w:rsidRPr="00000000" w14:paraId="000001EC">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Means, B., Toyama, Y., Murphy, R., Bakia, M., &amp; Jones, K. (2009). Evaluation of evidence-based practices in online learning: A meta-analysis and review of online learning studies. U.S. Department of Education. https://www2.ed.gov/rschstat/eval/tech/evidence-based-practices/finalreport.pdf</w:t>
      </w:r>
    </w:p>
    <w:p w:rsidR="00000000" w:rsidDel="00000000" w:rsidP="00000000" w:rsidRDefault="00000000" w:rsidRPr="00000000" w14:paraId="000001ED">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Mishra, R., Jain, R. K., &amp; Mishra, A. (2023). Effect of institute and LMS service quality on HEI brand equity: A qualitative investigation. Academy of Marketing Studies Journal, 27(2), 1–17.</w:t>
      </w:r>
    </w:p>
    <w:p w:rsidR="00000000" w:rsidDel="00000000" w:rsidP="00000000" w:rsidRDefault="00000000" w:rsidRPr="00000000" w14:paraId="000001EE">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Morhart, F. M., Herzog, W., &amp; Tomczak, T. (2015). Brand authenticity: An integrative framework and measurement scale. Journal of Consumer Psychology, 25(2), 200–218. https://doi.org/10.1016/j.jcps.2014.11.006</w:t>
      </w:r>
    </w:p>
    <w:p w:rsidR="00000000" w:rsidDel="00000000" w:rsidP="00000000" w:rsidRDefault="00000000" w:rsidRPr="00000000" w14:paraId="000001EF">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Norman, G. (2010). Likert scales, levels of measurement and the ‘laws’ of statistics. Advances in Health Sciences Education, 15(5), 625–632. https://doi.org/10.1007/s10459-010-9222-y</w:t>
      </w:r>
    </w:p>
    <w:p w:rsidR="00000000" w:rsidDel="00000000" w:rsidP="00000000" w:rsidRDefault="00000000" w:rsidRPr="00000000" w14:paraId="000001F0">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Nunnally, J. C. (1978). Psychometric theory (2nd ed.). McGraw-Hill.</w:t>
      </w:r>
    </w:p>
    <w:p w:rsidR="00000000" w:rsidDel="00000000" w:rsidP="00000000" w:rsidRDefault="00000000" w:rsidRPr="00000000" w14:paraId="000001F1">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Oliver, R. L. (1980). A cognitive model of the antecedents and consequences of satisfaction decisions. Journal of Marketing Research, 17(4), 460–469. https://doi.org/10.2307/3150499</w:t>
      </w:r>
    </w:p>
    <w:p w:rsidR="00000000" w:rsidDel="00000000" w:rsidP="00000000" w:rsidRDefault="00000000" w:rsidRPr="00000000" w14:paraId="000001F2">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Parasuraman, A., Zeithaml, V. A., &amp; Berry, L. L. (1985). A conceptual model of service quality and its implications for future research. Journal of Marketing, 49(4), 41–50. https://doi.org/10.1177/002224298504900403</w:t>
      </w:r>
    </w:p>
    <w:p w:rsidR="00000000" w:rsidDel="00000000" w:rsidP="00000000" w:rsidRDefault="00000000" w:rsidRPr="00000000" w14:paraId="000001F3">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Parasuraman, A., Zeithaml, V. A., &amp; Berry, L. L. (1988). SERVQUAL: A multiple-item scale for measuring consumer perceptions of service quality. Journal of Retailing, 64(1), 12–40.</w:t>
      </w:r>
    </w:p>
    <w:p w:rsidR="00000000" w:rsidDel="00000000" w:rsidP="00000000" w:rsidRDefault="00000000" w:rsidRPr="00000000" w14:paraId="000001F4">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Ramsden, P. (1991). A performance indicator of teaching quality in higher education: The course experience questionnaire. Studies in Higher Education, 16(2), 129–150. https://doi.org/10.1080/03075079112331382944</w:t>
      </w:r>
    </w:p>
    <w:p w:rsidR="00000000" w:rsidDel="00000000" w:rsidP="00000000" w:rsidRDefault="00000000" w:rsidRPr="00000000" w14:paraId="000001F5">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Royston, P. (1992). Approximating the Shapiro-Wilk W-test for non-normality. Statistics and Computing, 2(3), 117–119. https://doi.org/10.1007/BF01891203</w:t>
      </w:r>
    </w:p>
    <w:p w:rsidR="00000000" w:rsidDel="00000000" w:rsidP="00000000" w:rsidRDefault="00000000" w:rsidRPr="00000000" w14:paraId="000001F6">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Sullivan, G. M., &amp; Artino, A. R. (2013). Analyzing and interpreting data from Likert-type scales. Journal of Graduate Medical Education, 5(4), 541–542. https://doi.org/10.4300/JGME-5-4-18</w:t>
      </w:r>
    </w:p>
    <w:p w:rsidR="00000000" w:rsidDel="00000000" w:rsidP="00000000" w:rsidRDefault="00000000" w:rsidRPr="00000000" w14:paraId="000001F7">
      <w:pPr>
        <w:spacing w:after="120" w:line="276" w:lineRule="auto"/>
        <w:ind w:left="1440" w:hanging="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Yang, Y., &amp; Cornelius, L. F. (2005). Students’ perceptions towards the quality of online education: A qualitative approach. Online Journal of Distance Learning Administration, 8(1).</w:t>
      </w:r>
    </w:p>
    <w:p w:rsidR="00000000" w:rsidDel="00000000" w:rsidP="00000000" w:rsidRDefault="00000000" w:rsidRPr="00000000" w14:paraId="000001F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