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373"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Perceived Impacts of </w:t>
      </w:r>
      <w:proofErr w:type="spellStart"/>
      <w:r>
        <w:rPr>
          <w:rFonts w:ascii="Times New Roman" w:eastAsia="Times New Roman" w:hAnsi="Times New Roman" w:cs="Times New Roman"/>
          <w:b/>
          <w:bCs/>
          <w:i/>
          <w:iCs/>
          <w:sz w:val="24"/>
          <w:szCs w:val="24"/>
        </w:rPr>
        <w:t>Pagpapahalaga</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sa</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Kalikasan</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 xml:space="preserve">Project: A Qualitative Inquiry into Eastern Visayas State University’s Community Engagement </w:t>
      </w:r>
    </w:p>
    <w:p w14:paraId="00000002" w14:textId="77777777" w:rsidR="00736373"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sz w:val="24"/>
          <w:szCs w:val="24"/>
        </w:rPr>
        <w:t xml:space="preserve">at </w:t>
      </w:r>
      <w:proofErr w:type="spellStart"/>
      <w:r>
        <w:rPr>
          <w:rFonts w:ascii="Times New Roman" w:eastAsia="Times New Roman" w:hAnsi="Times New Roman" w:cs="Times New Roman"/>
          <w:b/>
          <w:bCs/>
          <w:sz w:val="24"/>
          <w:szCs w:val="24"/>
        </w:rPr>
        <w:t>Villaconzoilo</w:t>
      </w:r>
      <w:proofErr w:type="spellEnd"/>
      <w:r>
        <w:rPr>
          <w:rFonts w:ascii="Times New Roman" w:eastAsia="Times New Roman" w:hAnsi="Times New Roman" w:cs="Times New Roman"/>
          <w:b/>
          <w:bCs/>
          <w:sz w:val="24"/>
          <w:szCs w:val="24"/>
        </w:rPr>
        <w:t xml:space="preserve"> Farm Resort</w:t>
      </w:r>
    </w:p>
    <w:p w14:paraId="00000003" w14:textId="77777777" w:rsidR="00736373" w:rsidRDefault="00736373">
      <w:pPr>
        <w:spacing w:after="0" w:line="240" w:lineRule="auto"/>
        <w:jc w:val="center"/>
        <w:rPr>
          <w:rFonts w:ascii="Times New Roman" w:eastAsia="Times New Roman" w:hAnsi="Times New Roman" w:cs="Times New Roman"/>
          <w:sz w:val="24"/>
          <w:szCs w:val="24"/>
        </w:rPr>
      </w:pPr>
    </w:p>
    <w:p w14:paraId="00000004" w14:textId="77777777" w:rsidR="00736373" w:rsidRDefault="00000000">
      <w:pPr>
        <w:spacing w:after="0" w:line="240" w:lineRule="auto"/>
        <w:jc w:val="center"/>
        <w:rPr>
          <w:rFonts w:ascii="Times New Roman" w:eastAsia="Times New Roman" w:hAnsi="Times New Roman" w:cs="Times New Roman"/>
          <w:i/>
          <w:iCs/>
          <w:sz w:val="24"/>
          <w:szCs w:val="24"/>
          <w:vertAlign w:val="superscript"/>
        </w:rPr>
      </w:pPr>
      <w:r>
        <w:rPr>
          <w:rFonts w:ascii="Times New Roman" w:eastAsia="Times New Roman" w:hAnsi="Times New Roman" w:cs="Times New Roman"/>
          <w:i/>
          <w:iCs/>
          <w:sz w:val="24"/>
          <w:szCs w:val="24"/>
        </w:rPr>
        <w:t>Rodel B. Ponferrada</w:t>
      </w:r>
    </w:p>
    <w:p w14:paraId="00000005" w14:textId="77777777" w:rsidR="00736373" w:rsidRDefault="00000000">
      <w:pPr>
        <w:spacing w:after="0" w:line="240" w:lineRule="auto"/>
        <w:jc w:val="center"/>
        <w:rPr>
          <w:rFonts w:ascii="Times New Roman" w:eastAsia="Times New Roman" w:hAnsi="Times New Roman" w:cs="Times New Roman"/>
          <w:i/>
          <w:iCs/>
          <w:sz w:val="24"/>
          <w:szCs w:val="24"/>
          <w:vertAlign w:val="superscript"/>
        </w:rPr>
      </w:pPr>
      <w:r>
        <w:rPr>
          <w:rFonts w:ascii="Times New Roman" w:eastAsia="Times New Roman" w:hAnsi="Times New Roman" w:cs="Times New Roman"/>
          <w:i/>
          <w:iCs/>
          <w:sz w:val="24"/>
          <w:szCs w:val="24"/>
        </w:rPr>
        <w:t xml:space="preserve">Elisa C. </w:t>
      </w:r>
      <w:proofErr w:type="spellStart"/>
      <w:r>
        <w:rPr>
          <w:rFonts w:ascii="Times New Roman" w:eastAsia="Times New Roman" w:hAnsi="Times New Roman" w:cs="Times New Roman"/>
          <w:i/>
          <w:iCs/>
          <w:sz w:val="24"/>
          <w:szCs w:val="24"/>
        </w:rPr>
        <w:t>Operario</w:t>
      </w:r>
      <w:proofErr w:type="spellEnd"/>
    </w:p>
    <w:p w14:paraId="00000006" w14:textId="77777777" w:rsidR="0073637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Ericson D. Acebedo</w:t>
      </w:r>
    </w:p>
    <w:p w14:paraId="00000007" w14:textId="77777777" w:rsidR="0073637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Julius Ken P. Badeo</w:t>
      </w:r>
    </w:p>
    <w:p w14:paraId="00000008" w14:textId="77777777" w:rsidR="00736373" w:rsidRDefault="00000000">
      <w:pPr>
        <w:spacing w:after="0" w:line="240" w:lineRule="auto"/>
        <w:jc w:val="center"/>
        <w:rPr>
          <w:rFonts w:ascii="Times New Roman" w:eastAsia="Times New Roman" w:hAnsi="Times New Roman" w:cs="Times New Roman"/>
          <w:i/>
          <w:iCs/>
          <w:sz w:val="24"/>
          <w:szCs w:val="24"/>
          <w:vertAlign w:val="superscript"/>
        </w:rPr>
      </w:pPr>
      <w:r>
        <w:rPr>
          <w:rFonts w:ascii="Times New Roman" w:eastAsia="Times New Roman" w:hAnsi="Times New Roman" w:cs="Times New Roman"/>
          <w:i/>
          <w:iCs/>
          <w:sz w:val="24"/>
          <w:szCs w:val="24"/>
        </w:rPr>
        <w:t>Louise Horca</w:t>
      </w:r>
    </w:p>
    <w:p w14:paraId="00000009" w14:textId="77777777" w:rsidR="0073637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Department of Natural Sciences, Eastern Visayas State University-Main Campus</w:t>
      </w:r>
    </w:p>
    <w:p w14:paraId="0000000A" w14:textId="77777777" w:rsidR="00736373"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Tacloban City, Leyte, Philippines</w:t>
      </w:r>
    </w:p>
    <w:p w14:paraId="0000000B" w14:textId="77777777" w:rsidR="0073637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Email: </w:t>
      </w:r>
      <w:hyperlink r:id="rId6">
        <w:r w:rsidR="00736373">
          <w:rPr>
            <w:rFonts w:ascii="Times New Roman" w:eastAsia="Times New Roman" w:hAnsi="Times New Roman" w:cs="Times New Roman"/>
            <w:i/>
            <w:iCs/>
            <w:color w:val="0563C1"/>
            <w:sz w:val="24"/>
            <w:szCs w:val="24"/>
            <w:u w:val="single"/>
          </w:rPr>
          <w:t>rodel.ponferrada@evsu.edu.ph</w:t>
        </w:r>
      </w:hyperlink>
    </w:p>
    <w:p w14:paraId="0000000C" w14:textId="77777777" w:rsidR="00736373" w:rsidRDefault="00736373">
      <w:pPr>
        <w:spacing w:after="0" w:line="240" w:lineRule="auto"/>
        <w:jc w:val="center"/>
      </w:pPr>
    </w:p>
    <w:p w14:paraId="0000000D" w14:textId="77777777" w:rsidR="00736373" w:rsidRDefault="00736373">
      <w:pPr>
        <w:spacing w:after="0" w:line="240" w:lineRule="auto"/>
        <w:jc w:val="both"/>
        <w:rPr>
          <w:rFonts w:ascii="Times New Roman" w:eastAsia="Times New Roman" w:hAnsi="Times New Roman" w:cs="Times New Roman"/>
          <w:sz w:val="24"/>
          <w:szCs w:val="24"/>
        </w:rPr>
      </w:pPr>
    </w:p>
    <w:p w14:paraId="0000000E" w14:textId="77777777" w:rsidR="0073637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F" w14:textId="77777777" w:rsidR="00736373" w:rsidRDefault="00736373">
      <w:pPr>
        <w:spacing w:after="0" w:line="240" w:lineRule="auto"/>
        <w:jc w:val="both"/>
        <w:rPr>
          <w:rFonts w:ascii="Times New Roman" w:eastAsia="Times New Roman" w:hAnsi="Times New Roman" w:cs="Times New Roman"/>
          <w:b/>
          <w:bCs/>
          <w:sz w:val="24"/>
          <w:szCs w:val="24"/>
        </w:rPr>
      </w:pPr>
    </w:p>
    <w:p w14:paraId="00000010"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examines the impact of the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Kalikasan</w:t>
      </w:r>
      <w:proofErr w:type="spellEnd"/>
      <w:r>
        <w:rPr>
          <w:rFonts w:ascii="Times New Roman" w:eastAsia="Times New Roman" w:hAnsi="Times New Roman" w:cs="Times New Roman"/>
          <w:sz w:val="24"/>
          <w:szCs w:val="24"/>
        </w:rPr>
        <w:t xml:space="preserve"> project implemented by Eastern Visayas State University (EVSU) at </w:t>
      </w:r>
      <w:proofErr w:type="spellStart"/>
      <w:r>
        <w:rPr>
          <w:rFonts w:ascii="Times New Roman" w:eastAsia="Times New Roman" w:hAnsi="Times New Roman" w:cs="Times New Roman"/>
          <w:sz w:val="24"/>
          <w:szCs w:val="24"/>
        </w:rPr>
        <w:t>Villaconzoilo</w:t>
      </w:r>
      <w:proofErr w:type="spellEnd"/>
      <w:r>
        <w:rPr>
          <w:rFonts w:ascii="Times New Roman" w:eastAsia="Times New Roman" w:hAnsi="Times New Roman" w:cs="Times New Roman"/>
          <w:sz w:val="24"/>
          <w:szCs w:val="24"/>
        </w:rPr>
        <w:t xml:space="preserve"> Farm Resort, focusing on how ecological solid waste management (ESWM) training influenced the lived experiences of community partners. A qualitative phenomenological research design was employed, involving 15 purposively selected employees and members of the resort who directly participated in the training. Data were gathered by means of semi-structured interviews and analyzed through Colaizzi’s descriptive phenomenological method. Findings revealed that the training facilitated value-based environmental awareness, strengthened workplace waste management practices, and promoted sustained pro-environmental behavior among participants. In addition, the study highlights how university-led community engagement initiatives can generate broader institutional and social impacts beyond knowledge acquisition. The study contributes to sustainability and community engagement research by emphasizing the role of culturally grounded environmental values, workplace-embedded experiential learning, and the influence of transient stakeholders in sustainability initiatives. Moreover, the study provides practical insights for improving SUC-led environmental programs and strengthening university–community partnerships in disaster-prone regions.</w:t>
      </w:r>
    </w:p>
    <w:p w14:paraId="00000011" w14:textId="77777777" w:rsidR="00736373" w:rsidRDefault="00736373">
      <w:pPr>
        <w:spacing w:after="0" w:line="240" w:lineRule="auto"/>
        <w:jc w:val="both"/>
        <w:rPr>
          <w:rFonts w:ascii="Times New Roman" w:eastAsia="Times New Roman" w:hAnsi="Times New Roman" w:cs="Times New Roman"/>
          <w:b/>
          <w:bCs/>
          <w:sz w:val="24"/>
          <w:szCs w:val="24"/>
        </w:rPr>
      </w:pPr>
    </w:p>
    <w:p w14:paraId="00000012"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ecological solid waste management; community engagement; experiential learning; environmental sustainability; qualitative impact assessment.</w:t>
      </w:r>
    </w:p>
    <w:p w14:paraId="00000013" w14:textId="77777777" w:rsidR="00736373" w:rsidRDefault="00736373">
      <w:pPr>
        <w:spacing w:after="0" w:line="240" w:lineRule="auto"/>
        <w:jc w:val="center"/>
      </w:pPr>
    </w:p>
    <w:p w14:paraId="00000014" w14:textId="77777777" w:rsidR="00736373" w:rsidRDefault="00736373">
      <w:pPr>
        <w:spacing w:after="0" w:line="240" w:lineRule="auto"/>
        <w:jc w:val="center"/>
      </w:pPr>
    </w:p>
    <w:p w14:paraId="00000015" w14:textId="77777777" w:rsidR="00736373" w:rsidRDefault="00736373">
      <w:pPr>
        <w:spacing w:after="0" w:line="240" w:lineRule="auto"/>
        <w:jc w:val="center"/>
      </w:pPr>
    </w:p>
    <w:p w14:paraId="00000016" w14:textId="77777777" w:rsidR="00736373" w:rsidRDefault="00736373">
      <w:pPr>
        <w:spacing w:after="0" w:line="240" w:lineRule="auto"/>
        <w:jc w:val="center"/>
      </w:pPr>
    </w:p>
    <w:p w14:paraId="00000017" w14:textId="77777777" w:rsidR="0073637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Introduction</w:t>
      </w:r>
    </w:p>
    <w:p w14:paraId="00000018" w14:textId="77777777" w:rsidR="00736373" w:rsidRDefault="00736373">
      <w:pPr>
        <w:spacing w:after="0" w:line="240" w:lineRule="auto"/>
        <w:jc w:val="both"/>
        <w:rPr>
          <w:rFonts w:ascii="Times New Roman" w:eastAsia="Times New Roman" w:hAnsi="Times New Roman" w:cs="Times New Roman"/>
          <w:sz w:val="24"/>
          <w:szCs w:val="24"/>
        </w:rPr>
      </w:pPr>
    </w:p>
    <w:p w14:paraId="00000019"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w:t>
      </w:r>
    </w:p>
    <w:p w14:paraId="0000001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Assessing the impact of any action or decision is an integral piece in any development project. It is not simply a fragment of the process but a vital element in achieving a responsible and evidence-driven undertaking. Assessment activity aids in describing the condition of the implemented initiative in relation to its objective. Subsequently, it contributes to continuous improvement and sustainability by providing result-based and meaningful descriptions of the effects of the project based on the executed intervention activities. Impact assessment systematically determines whether outcomes can be attributed to an intervention (Gertler et al., 2016) and strengthens evidence-based decision-making (Organization for Economic Co-</w:t>
      </w:r>
      <w:r>
        <w:rPr>
          <w:rFonts w:ascii="Times New Roman" w:eastAsia="Times New Roman" w:hAnsi="Times New Roman" w:cs="Times New Roman"/>
          <w:color w:val="000000"/>
          <w:sz w:val="24"/>
          <w:szCs w:val="24"/>
        </w:rPr>
        <w:lastRenderedPageBreak/>
        <w:t>operation and Development, 2021). It interrogates whether interventions truly deliver their intended value by systematically tracing their effects across individuals, communities, institutions, and ecosystems. Thus, a convincing and reliable assessment must be comprehensive. Rather than focusing only on outputs, it captures both intended and unintended consequences, enabling a deeper understanding of causal change and real-world effectiveness. By addressing the significance and broader effects of actions, impact assessment answers the fundamental question of “what works, for whom, and why,” thereby strengthening accountability and improving decision-making (OECD, 2021). Ultimately, impact assessment transforms decision-making from assumption-driven to evidence-informed, ensuring that actions are not only taken but justified, optimized, and accountable in their consequences.</w:t>
      </w:r>
    </w:p>
    <w:p w14:paraId="0000001B" w14:textId="7B8AA60A"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the context of Higher Education Institutions (HEIs), this principle becomes especially critical in the design and implementation of community engagement initiatives. HEIs are mandated not only to generate knowledge but also to extend it by translating academic expertise into tangible social benefits through extension programs, outreach activities, and community partnerships.</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Recent studies affirm that higher education institutions play a pivotal role in advancing sustainability by integrating sustainability into education and fostering community engagement partnerships that translate knowledge into societal impact (Drissi et al., 2025;</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 xml:space="preserve">Popoola et al, 2025; </w:t>
      </w:r>
      <w:r w:rsidR="000B7659">
        <w:rPr>
          <w:rFonts w:ascii="Times New Roman" w:eastAsia="Times New Roman" w:hAnsi="Times New Roman" w:cs="Times New Roman"/>
          <w:color w:val="000000"/>
          <w:sz w:val="24"/>
          <w:szCs w:val="24"/>
        </w:rPr>
        <w:t xml:space="preserve">Shange et al., 2025; </w:t>
      </w:r>
      <w:proofErr w:type="spellStart"/>
      <w:r>
        <w:rPr>
          <w:rFonts w:ascii="Times New Roman" w:eastAsia="Times New Roman" w:hAnsi="Times New Roman" w:cs="Times New Roman"/>
          <w:color w:val="000000"/>
          <w:sz w:val="24"/>
          <w:szCs w:val="24"/>
        </w:rPr>
        <w:t>Suryadi</w:t>
      </w:r>
      <w:proofErr w:type="spellEnd"/>
      <w:r>
        <w:rPr>
          <w:rFonts w:ascii="Times New Roman" w:eastAsia="Times New Roman" w:hAnsi="Times New Roman" w:cs="Times New Roman"/>
          <w:color w:val="000000"/>
          <w:sz w:val="24"/>
          <w:szCs w:val="24"/>
        </w:rPr>
        <w:t xml:space="preserve"> et al., 2025). However, without rigorous impact assessment, these initiatives risk turning into compliance-driven exercises. Instead of verifying meaningful and sustained change, it becomes a mere reckoning of quantity such as the number of trainings conducted or beneficiaries served.</w:t>
      </w:r>
    </w:p>
    <w:p w14:paraId="0000001C"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an institution promoting environmental sustainability, Eastern Visayas State University (EVSU) implements community extension projects aimed at developing environmental stewardship and social responsibility. These initiatives are carried out in response to the environmental challenges such as deforestation, inefficient waste management, and vulnerability to climate hazards which are pronounced in disaster-prone regions like Eastern Visayas. These local realities heighten the necessity of community-based environmental initiatives that advance sustainability and resilience. One such initiative, the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project, is implemented in partnership with </w:t>
      </w:r>
      <w:proofErr w:type="spellStart"/>
      <w:r>
        <w:rPr>
          <w:rFonts w:ascii="Times New Roman" w:eastAsia="Times New Roman" w:hAnsi="Times New Roman" w:cs="Times New Roman"/>
          <w:color w:val="000000"/>
          <w:sz w:val="24"/>
          <w:szCs w:val="24"/>
        </w:rPr>
        <w:t>Villaconzoilo</w:t>
      </w:r>
      <w:proofErr w:type="spellEnd"/>
      <w:r>
        <w:rPr>
          <w:rFonts w:ascii="Times New Roman" w:eastAsia="Times New Roman" w:hAnsi="Times New Roman" w:cs="Times New Roman"/>
          <w:color w:val="000000"/>
          <w:sz w:val="24"/>
          <w:szCs w:val="24"/>
        </w:rPr>
        <w:t xml:space="preserve"> Farm Resort to promote environmental awareness in order to inspire positive practices and strengthen collaborative ties between the university and local stakeholders.</w:t>
      </w:r>
    </w:p>
    <w:p w14:paraId="0000001D"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color w:val="000000"/>
          <w:sz w:val="24"/>
          <w:szCs w:val="24"/>
        </w:rPr>
        <w:t xml:space="preserve"> project is a values-based Ecological Solid Waste Management (ESWM) training which provides experiential learning opportunities that extend beyond traditional classroom instruction. This design is grounded on the notion that learning occurs through experience, reflection, and application (Kolb, 2015), particularly in environmental education contexts (</w:t>
      </w:r>
      <w:proofErr w:type="spellStart"/>
      <w:r>
        <w:rPr>
          <w:rFonts w:ascii="Times New Roman" w:eastAsia="Times New Roman" w:hAnsi="Times New Roman" w:cs="Times New Roman"/>
          <w:color w:val="000000"/>
          <w:sz w:val="24"/>
          <w:szCs w:val="24"/>
        </w:rPr>
        <w:t>Shutaleva</w:t>
      </w:r>
      <w:proofErr w:type="spellEnd"/>
      <w:r>
        <w:rPr>
          <w:rFonts w:ascii="Times New Roman" w:eastAsia="Times New Roman" w:hAnsi="Times New Roman" w:cs="Times New Roman"/>
          <w:color w:val="000000"/>
          <w:sz w:val="24"/>
          <w:szCs w:val="24"/>
        </w:rPr>
        <w:t>, 2023). Similarly, experiential learning-based engagements have been associated with increased environmental awareness, improved civic competencies, and greater motivation to participate in sustainability practices (Rieckmann, 2018; Sterling et al., 2017). Nevertheless, community engagements need to be assessed. This is not only for efficiency and maximization of resources but more importantly to ensure that intended outcomes are truly achieved. However, most evaluations of environmental initiatives rely on quantitative measures such as participation rates or ecosystem outputs. Although these methods provide measurement, they may not fully capture participants’ subjective experiences, meaning-making, and personal impacts.</w:t>
      </w:r>
    </w:p>
    <w:p w14:paraId="0000001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the other hand, qualitative inquiry offers the methodological tools to explore the lived experiences, perceptions, and reflections of participants involved in environmental engagement programs. Through in-depth narratives, researchers can identify the ways individuals interpret the significance and impact of their participation, including shifts in environmental values, social relationships, and institutional identity (Creswell &amp; Poth, 2018; </w:t>
      </w:r>
      <w:r>
        <w:rPr>
          <w:rFonts w:ascii="Times New Roman" w:eastAsia="Times New Roman" w:hAnsi="Times New Roman" w:cs="Times New Roman"/>
          <w:color w:val="000000"/>
          <w:sz w:val="24"/>
          <w:szCs w:val="24"/>
        </w:rPr>
        <w:lastRenderedPageBreak/>
        <w:t>Denscombe, 2014). Such insights are particularly relevant in localized contexts where social and cultural dimensions of engagement shape how sustainability initiatives operate.</w:t>
      </w:r>
    </w:p>
    <w:p w14:paraId="0000001F"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Despite increased implementation of sustainability projects in higher education, limited empirical research has focused on the lived experiences of stakeholders particularly, the partner community in university-community environmental partnerships in regions like Eastern Visayas. Particularly, there is a need to examine how the community partners perceive the impacts of these initiatives, and how such perceptions help in attaining long-term program and sustainable practice and policy.</w:t>
      </w:r>
    </w:p>
    <w:p w14:paraId="0000002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Thus, this study explores the lived experiences and perceived impacts </w:t>
      </w:r>
      <w:r>
        <w:rPr>
          <w:rFonts w:ascii="Times New Roman" w:eastAsia="Times New Roman" w:hAnsi="Times New Roman" w:cs="Times New Roman"/>
          <w:sz w:val="24"/>
          <w:szCs w:val="24"/>
        </w:rPr>
        <w:t xml:space="preserve">of the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project as implemented by Eastern Visayas State University at </w:t>
      </w:r>
      <w:proofErr w:type="spellStart"/>
      <w:r>
        <w:rPr>
          <w:rFonts w:ascii="Times New Roman" w:eastAsia="Times New Roman" w:hAnsi="Times New Roman" w:cs="Times New Roman"/>
          <w:color w:val="000000"/>
          <w:sz w:val="24"/>
          <w:szCs w:val="24"/>
        </w:rPr>
        <w:t>Villaconzoilo</w:t>
      </w:r>
      <w:proofErr w:type="spellEnd"/>
      <w:r>
        <w:rPr>
          <w:rFonts w:ascii="Times New Roman" w:eastAsia="Times New Roman" w:hAnsi="Times New Roman" w:cs="Times New Roman"/>
          <w:color w:val="000000"/>
          <w:sz w:val="24"/>
          <w:szCs w:val="24"/>
        </w:rPr>
        <w:t xml:space="preserve"> Farm Resort (VFR). By underscoring participants’ narratives, the research aims to contribute to the discourse on community engagement, sustainability education, and qualitative inquiry within higher education. The findings may be valuable for institutional program development, strengthening community collaboration, and enhancing the sustainability of environmental initiatives in regional settings.</w:t>
      </w:r>
    </w:p>
    <w:p w14:paraId="00000021" w14:textId="77777777" w:rsidR="00736373" w:rsidRDefault="00736373">
      <w:pPr>
        <w:spacing w:after="0" w:line="240" w:lineRule="auto"/>
        <w:jc w:val="both"/>
        <w:rPr>
          <w:rFonts w:ascii="Times New Roman" w:eastAsia="Times New Roman" w:hAnsi="Times New Roman" w:cs="Times New Roman"/>
          <w:sz w:val="24"/>
          <w:szCs w:val="24"/>
        </w:rPr>
      </w:pPr>
    </w:p>
    <w:p w14:paraId="00000022"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w:t>
      </w:r>
    </w:p>
    <w:p w14:paraId="00000023" w14:textId="77777777" w:rsidR="00736373"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primary objective of this study is to assess the impact of the community engagement initiative of Eastern Visayas State University at </w:t>
      </w:r>
      <w:proofErr w:type="spellStart"/>
      <w:r>
        <w:rPr>
          <w:rFonts w:ascii="Times New Roman" w:eastAsia="Times New Roman" w:hAnsi="Times New Roman" w:cs="Times New Roman"/>
          <w:sz w:val="24"/>
          <w:szCs w:val="24"/>
        </w:rPr>
        <w:t>Villaconzoilo</w:t>
      </w:r>
      <w:proofErr w:type="spellEnd"/>
      <w:r>
        <w:rPr>
          <w:rFonts w:ascii="Times New Roman" w:eastAsia="Times New Roman" w:hAnsi="Times New Roman" w:cs="Times New Roman"/>
          <w:sz w:val="24"/>
          <w:szCs w:val="24"/>
        </w:rPr>
        <w:t xml:space="preserve"> Farm Resort. Specifically, the study seeks to: (1) Describe how participants experienced and interpreted their involvement in the ecological solid waste management training; (2) Identify perceived changes in knowledge, attitudes, and practices related to environmental protection and sustainability following the engagement; (3) Examine how the training influenced waste management systems, workplace practices, and environmental awareness within VFR; and, (4) Generate insights that may inform the enhancement of university-led community engagement programs focused on sustainability.</w:t>
      </w:r>
    </w:p>
    <w:p w14:paraId="00000024" w14:textId="77777777" w:rsidR="00736373"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emphasizing participants’ narratives, the study intends to provide a deeper understanding of how values-based environmental training initiatives contribute to promoting ecological responsibility and long-term sustainability practices at the institutional and community levels.</w:t>
      </w:r>
    </w:p>
    <w:p w14:paraId="00000025" w14:textId="77777777" w:rsidR="00736373" w:rsidRDefault="0073637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26"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Framework</w:t>
      </w:r>
    </w:p>
    <w:p w14:paraId="00000027"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is grounded on three complementary theoretical views that explain how university-led environmental initiatives influence </w:t>
      </w:r>
      <w:proofErr w:type="gramStart"/>
      <w:r>
        <w:rPr>
          <w:rFonts w:ascii="Times New Roman" w:eastAsia="Times New Roman" w:hAnsi="Times New Roman" w:cs="Times New Roman"/>
          <w:sz w:val="24"/>
          <w:szCs w:val="24"/>
        </w:rPr>
        <w:t>participants’</w:t>
      </w:r>
      <w:proofErr w:type="gramEnd"/>
      <w:r>
        <w:rPr>
          <w:rFonts w:ascii="Times New Roman" w:eastAsia="Times New Roman" w:hAnsi="Times New Roman" w:cs="Times New Roman"/>
          <w:sz w:val="24"/>
          <w:szCs w:val="24"/>
        </w:rPr>
        <w:t xml:space="preserve"> lived experiences, meaning-making processes, and sustainability practices. Specifically, these viewpoints are based on Experiential Learning Theory, Transformative Learning Theory, and Education for Sustainable Development (ESD) Framework.</w:t>
      </w:r>
    </w:p>
    <w:p w14:paraId="00000028"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first theoretical base of this study is the Experiential Learning Theory which posits that learning occurs through a cyclical process involving (1) concrete experience, (2) reflective observation, (3) abstract conceptualization, and (4) active experimentation </w:t>
      </w:r>
      <w:r>
        <w:rPr>
          <w:rFonts w:ascii="Times New Roman" w:eastAsia="Times New Roman" w:hAnsi="Times New Roman" w:cs="Times New Roman"/>
          <w:color w:val="000000"/>
          <w:sz w:val="24"/>
          <w:szCs w:val="24"/>
        </w:rPr>
        <w:t>(Kolb, 2015</w:t>
      </w:r>
      <w:r>
        <w:rPr>
          <w:rFonts w:ascii="Times New Roman" w:eastAsia="Times New Roman" w:hAnsi="Times New Roman" w:cs="Times New Roman"/>
          <w:sz w:val="24"/>
          <w:szCs w:val="24"/>
        </w:rPr>
        <w:t xml:space="preserve">). In the context of the ecological solid waste management training conducted by Eastern Visayas State University at </w:t>
      </w:r>
      <w:proofErr w:type="spellStart"/>
      <w:r>
        <w:rPr>
          <w:rFonts w:ascii="Times New Roman" w:eastAsia="Times New Roman" w:hAnsi="Times New Roman" w:cs="Times New Roman"/>
          <w:sz w:val="24"/>
          <w:szCs w:val="24"/>
        </w:rPr>
        <w:t>Villaconzoilo</w:t>
      </w:r>
      <w:proofErr w:type="spellEnd"/>
      <w:r>
        <w:rPr>
          <w:rFonts w:ascii="Times New Roman" w:eastAsia="Times New Roman" w:hAnsi="Times New Roman" w:cs="Times New Roman"/>
          <w:sz w:val="24"/>
          <w:szCs w:val="24"/>
        </w:rPr>
        <w:t xml:space="preserve"> Farm Resort (VFR), participants engaged in hands-on activities related to waste segregation, recycling, and sustainable disposal practices. Through direct participation (concrete experience) and subsequent reflection, members and employees of VFR may reconstruct their understanding of environmental responsibility and integrate new ecological practices into their daily operations (active experimentation). This theory supports the study’s objective of exploring how participants experienced and interpreted the ecological solid waste management training.</w:t>
      </w:r>
    </w:p>
    <w:p w14:paraId="00000029"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second theoretical footing is Transformative Learning Theory which asserts that meaningful learning occurs when individuals critically reflect on their prior assumptions, </w:t>
      </w:r>
      <w:r>
        <w:rPr>
          <w:rFonts w:ascii="Times New Roman" w:eastAsia="Times New Roman" w:hAnsi="Times New Roman" w:cs="Times New Roman"/>
          <w:sz w:val="24"/>
          <w:szCs w:val="24"/>
        </w:rPr>
        <w:lastRenderedPageBreak/>
        <w:t>leading to perspective transformation (</w:t>
      </w:r>
      <w:r>
        <w:rPr>
          <w:rFonts w:ascii="Times New Roman" w:eastAsia="Times New Roman" w:hAnsi="Times New Roman" w:cs="Times New Roman"/>
          <w:color w:val="000000"/>
          <w:sz w:val="24"/>
          <w:szCs w:val="24"/>
        </w:rPr>
        <w:t>Mezirow, 2018; Taylor &amp; Cranton, 2012</w:t>
      </w:r>
      <w:r>
        <w:rPr>
          <w:rFonts w:ascii="Times New Roman" w:eastAsia="Times New Roman" w:hAnsi="Times New Roman" w:cs="Times New Roman"/>
          <w:sz w:val="24"/>
          <w:szCs w:val="24"/>
        </w:rPr>
        <w:t>). Applied to this study, the ecological solid waste management training may serve as a “disorienting dilemma” that challenges participants’ previous attitudes toward waste disposal and environmental practices. Through dialogue, reflection, and engagement, participants may experience shifts in environmental values, behaviors, and institutional practices. This framework corresponds with the study’s objective of identifying perceived changes in knowledge, attitudes, and sustainability practices resulting from the training.</w:t>
      </w:r>
    </w:p>
    <w:p w14:paraId="0000002A"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third theoretical ground is the Education for Sustainable Development (ESD) framework promoted by the United Nations Educational, Scientific and Cultural Organization (</w:t>
      </w:r>
      <w:r>
        <w:rPr>
          <w:rFonts w:ascii="Times New Roman" w:eastAsia="Times New Roman" w:hAnsi="Times New Roman" w:cs="Times New Roman"/>
          <w:color w:val="000000"/>
          <w:sz w:val="24"/>
          <w:szCs w:val="24"/>
        </w:rPr>
        <w:t>UNESCO, 2019</w:t>
      </w:r>
      <w:r>
        <w:rPr>
          <w:rFonts w:ascii="Times New Roman" w:eastAsia="Times New Roman" w:hAnsi="Times New Roman" w:cs="Times New Roman"/>
          <w:sz w:val="24"/>
          <w:szCs w:val="24"/>
        </w:rPr>
        <w:t>). ESD underscores the development of competencies that enable individuals and communities to contribute to environmental protection, social equity, and economic sustainability. Within this framework, university engagements function as instruments for capacity-building and collective action of the community. The ecological solid waste management training implemented by Eastern Visayas State University exemplifies an application of ESD principles as it aims to foster environmental awareness, systems thinking, and sustainable behavior among community partners. This framework corroborates the study’s focus on assessing how such initiative promotes environmental protection and sustainability at the organizational level.</w:t>
      </w:r>
    </w:p>
    <w:p w14:paraId="0000002B"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Together, these theoretical frames guide the qualitative investigation of the lived experiences of VFR members and employees, particularly in understanding how ecological solid waste management training influences environmental awareness, institutional practices, and long-term sustainability efforts.</w:t>
      </w:r>
    </w:p>
    <w:p w14:paraId="0000002C" w14:textId="77777777" w:rsidR="00736373" w:rsidRDefault="00736373">
      <w:pPr>
        <w:spacing w:after="0" w:line="240" w:lineRule="auto"/>
        <w:jc w:val="both"/>
        <w:rPr>
          <w:rFonts w:ascii="Times New Roman" w:eastAsia="Times New Roman" w:hAnsi="Times New Roman" w:cs="Times New Roman"/>
          <w:sz w:val="24"/>
          <w:szCs w:val="24"/>
        </w:rPr>
      </w:pPr>
    </w:p>
    <w:p w14:paraId="0000002D"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Literature Review</w:t>
      </w:r>
    </w:p>
    <w:p w14:paraId="0000002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growing body of literature highlights the importance of environmental education and university–community engagement in nurturing sustainable behaviors. For example, recent empirical studies confirm that experiential sustainability learning enhances environmental awareness, emotional engagement, and responsible behavior (Chen et al., 2022). </w:t>
      </w:r>
    </w:p>
    <w:p w14:paraId="0000002F"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matches with the study’s first objective, which seeks to describe how participants experienced and interpreted their involvement in ESWM training. By focusing on lived experiences, the present study extends literature by examining how participants internalize environmental values and translate them into personal meaning and action.</w:t>
      </w:r>
    </w:p>
    <w:p w14:paraId="0000003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Other studies emphasize the role of structured environmental education in improving environmental literacy. Research demonstrates that integrating sustainability into curricula significantly enhances knowledge, attitudes, and environmental responsibility (Agboola et al., 2026;</w:t>
      </w:r>
      <w:r>
        <w:rPr>
          <w:rFonts w:ascii="Times New Roman" w:eastAsia="Times New Roman" w:hAnsi="Times New Roman" w:cs="Times New Roman"/>
          <w:color w:val="EE0000"/>
          <w:sz w:val="24"/>
          <w:szCs w:val="24"/>
        </w:rPr>
        <w:t xml:space="preserve"> </w:t>
      </w:r>
      <w:proofErr w:type="spellStart"/>
      <w:r>
        <w:rPr>
          <w:rFonts w:ascii="Times New Roman" w:eastAsia="Times New Roman" w:hAnsi="Times New Roman" w:cs="Times New Roman"/>
          <w:color w:val="000000"/>
          <w:sz w:val="24"/>
          <w:szCs w:val="24"/>
        </w:rPr>
        <w:t>Cajurao</w:t>
      </w:r>
      <w:proofErr w:type="spellEnd"/>
      <w:r>
        <w:rPr>
          <w:rFonts w:ascii="Times New Roman" w:eastAsia="Times New Roman" w:hAnsi="Times New Roman" w:cs="Times New Roman"/>
          <w:color w:val="000000"/>
          <w:sz w:val="24"/>
          <w:szCs w:val="24"/>
        </w:rPr>
        <w:t xml:space="preserve"> et al., 2024). Additionally, systematic reviews highlight that environmental education programs produce measurable outcomes in knowledge acquisition, attitudes, and behavioral change (Ardoin et al., 2023; Ardoin et al., 2020). </w:t>
      </w:r>
    </w:p>
    <w:p w14:paraId="00000031"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These findings directly support the study’s second objective, which focuses on identifying perceived changes in knowledge, attitudes, and practices. However, the present study delves further by assessing learning in a contextualized and reinforced real-life application, particularly in community and workplace settings.</w:t>
      </w:r>
    </w:p>
    <w:p w14:paraId="0000003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Similarly, transition from knowledge to action is explained through sustainability competencies such as systems thinking, reflexivity, and action competence. Studies indicate that sustainability education fosters behavioral transformation and practical decision-making skills when learners are engaged in real-world contexts (Kayombo et al., 2025).</w:t>
      </w:r>
    </w:p>
    <w:p w14:paraId="00000033"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matches with the study’s third objective, which examines how training influences workplace systems and practices. The present study goes beyond existing literature by exploring how sustainability learning becomes embedded in organizational routines, bridging individual knowledge and institutional implementation.</w:t>
      </w:r>
    </w:p>
    <w:p w14:paraId="00000034"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Recent literature also highlights the role of environmental education in fostering civic engagement and collective action. A systematic mixed-studies review found that environmental education contributes to civic knowledge, social participation, and community-level outcomes, including social cohesion and environmental stewardship (Ardoin et al., 2023). </w:t>
      </w:r>
    </w:p>
    <w:p w14:paraId="00000035"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perspective supports the study’s first and second objectives, particularly in understanding how participants interpret their roles beyond individual behavior change. The present study extends this by looking into how the participants </w:t>
      </w:r>
      <w:r>
        <w:rPr>
          <w:rFonts w:ascii="Times New Roman" w:eastAsia="Times New Roman" w:hAnsi="Times New Roman" w:cs="Times New Roman"/>
          <w:sz w:val="24"/>
          <w:szCs w:val="24"/>
        </w:rPr>
        <w:t>contribute</w:t>
      </w:r>
      <w:r>
        <w:rPr>
          <w:rFonts w:ascii="Times New Roman" w:eastAsia="Times New Roman" w:hAnsi="Times New Roman" w:cs="Times New Roman"/>
          <w:color w:val="000000"/>
          <w:sz w:val="24"/>
          <w:szCs w:val="24"/>
        </w:rPr>
        <w:t xml:space="preserve"> to sustainability awareness within a tourism setting.</w:t>
      </w:r>
    </w:p>
    <w:p w14:paraId="00000036"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 the organizational level, sustainability education research emphasizes that institutional integration and systemic support are critical for sustaining environmental practices. Studies highlight the need for embedding environmental education into organizational structures, policies, and culture to ensure long-term impact (Acosta Castellanos et al., 2020). </w:t>
      </w:r>
    </w:p>
    <w:p w14:paraId="00000037"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links directly with the study’s third objective, which examines how ESWM training influences workplace systems and environmental management practices. By focusing on a private tourism enterprise, the study expands existing literature that is often limited to formal education or public-sector contexts.</w:t>
      </w:r>
    </w:p>
    <w:p w14:paraId="0000003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Furthermore, contemporary research underscores the importance of associating environmental education with broader sustainability challenges, including climate change adaptation and resilience. Sustainability education frameworks highlight that environmental awareness contributes to holistic ecological understanding and long-term behavioral change (</w:t>
      </w:r>
      <w:proofErr w:type="spellStart"/>
      <w:r>
        <w:rPr>
          <w:rFonts w:ascii="Times New Roman" w:eastAsia="Times New Roman" w:hAnsi="Times New Roman" w:cs="Times New Roman"/>
          <w:color w:val="000000"/>
          <w:sz w:val="24"/>
          <w:szCs w:val="24"/>
        </w:rPr>
        <w:t>Pénzesné</w:t>
      </w:r>
      <w:proofErr w:type="spellEnd"/>
      <w:r>
        <w:rPr>
          <w:rFonts w:ascii="Times New Roman" w:eastAsia="Times New Roman" w:hAnsi="Times New Roman" w:cs="Times New Roman"/>
          <w:color w:val="000000"/>
          <w:sz w:val="24"/>
          <w:szCs w:val="24"/>
        </w:rPr>
        <w:t xml:space="preserve"> Kónya &amp; Haigh, 2021). </w:t>
      </w:r>
    </w:p>
    <w:p w14:paraId="00000039"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finding also supports the study’s third objective, showing that environmental training extends beyond waste management to broader sustainability consciousness. The present study however focuses its investigation on a private recreational establishment. </w:t>
      </w:r>
    </w:p>
    <w:p w14:paraId="0000003B" w14:textId="6337989A"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the other hand, literature identifies persistent challenges in advancing ecological awareness. Studies note that environmental education initiatives often fail to translate into sustained behavior due to institutional gaps, inconsistent implementation, and lack of continuous engagement (Husin et al., 2025).</w:t>
      </w:r>
      <w:r w:rsidR="000145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This corresponds with the study’s third and fourth objectives, particularly in identifying limitations and generating insights for improving community engagement programs.</w:t>
      </w:r>
    </w:p>
    <w:p w14:paraId="0000003D" w14:textId="7F62E96D"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Finally, recent sustainability discourse emphasizes the importance of transformative and reflective learning approaches that enable participants to rethink their relationship with the environment and adopt sustainable practices (David, 2025). This perspective complements the study’s second and fourth objectives, particularly in understanding how participants reinterpret environmental practices and generate insights for program enhancement.</w:t>
      </w:r>
    </w:p>
    <w:p w14:paraId="0000003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Overall, the reviewed literature provides strong empirical support for the study’s objectives. It affirms that environmental education initiatives can influence knowledge, attitudes, behaviors, and institutional practices, while also highlighting existing gaps in understanding lived experiences, cultural values, and contextual dynamics.</w:t>
      </w:r>
    </w:p>
    <w:p w14:paraId="0000003F" w14:textId="77777777" w:rsidR="00736373" w:rsidRDefault="00736373">
      <w:pPr>
        <w:spacing w:after="0" w:line="240" w:lineRule="auto"/>
        <w:jc w:val="both"/>
        <w:rPr>
          <w:rFonts w:ascii="Times New Roman" w:eastAsia="Times New Roman" w:hAnsi="Times New Roman" w:cs="Times New Roman"/>
          <w:sz w:val="24"/>
          <w:szCs w:val="24"/>
        </w:rPr>
      </w:pPr>
    </w:p>
    <w:p w14:paraId="00000040" w14:textId="77777777" w:rsidR="0073637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Methodology</w:t>
      </w:r>
    </w:p>
    <w:p w14:paraId="00000041" w14:textId="77777777" w:rsidR="00736373" w:rsidRDefault="00736373">
      <w:pPr>
        <w:spacing w:after="0" w:line="240" w:lineRule="auto"/>
        <w:jc w:val="both"/>
        <w:rPr>
          <w:rFonts w:ascii="Times New Roman" w:eastAsia="Times New Roman" w:hAnsi="Times New Roman" w:cs="Times New Roman"/>
          <w:sz w:val="24"/>
          <w:szCs w:val="24"/>
        </w:rPr>
      </w:pPr>
    </w:p>
    <w:p w14:paraId="00000042"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Research Design</w:t>
      </w:r>
    </w:p>
    <w:p w14:paraId="00000043"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inquiry made use of a qualitative phenomenological research design to examine the lived experiences and perceived impacts of the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Kalikasan</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project implemented by Eastern Visayas State University at </w:t>
      </w:r>
      <w:proofErr w:type="spellStart"/>
      <w:r>
        <w:rPr>
          <w:rFonts w:ascii="Times New Roman" w:eastAsia="Times New Roman" w:hAnsi="Times New Roman" w:cs="Times New Roman"/>
          <w:sz w:val="24"/>
          <w:szCs w:val="24"/>
        </w:rPr>
        <w:t>Villaconzoilo</w:t>
      </w:r>
      <w:proofErr w:type="spellEnd"/>
      <w:r>
        <w:rPr>
          <w:rFonts w:ascii="Times New Roman" w:eastAsia="Times New Roman" w:hAnsi="Times New Roman" w:cs="Times New Roman"/>
          <w:sz w:val="24"/>
          <w:szCs w:val="24"/>
        </w:rPr>
        <w:t xml:space="preserve"> Farm Resort.</w:t>
      </w:r>
      <w:r>
        <w:t xml:space="preserve"> </w:t>
      </w:r>
      <w:r>
        <w:rPr>
          <w:rFonts w:ascii="Times New Roman" w:eastAsia="Times New Roman" w:hAnsi="Times New Roman" w:cs="Times New Roman"/>
          <w:sz w:val="24"/>
          <w:szCs w:val="24"/>
        </w:rPr>
        <w:t>Phenomenological research explores lived experiences and meaning-making (</w:t>
      </w:r>
      <w:r>
        <w:rPr>
          <w:rFonts w:ascii="Times New Roman" w:eastAsia="Times New Roman" w:hAnsi="Times New Roman" w:cs="Times New Roman"/>
          <w:color w:val="000000"/>
          <w:sz w:val="24"/>
          <w:szCs w:val="24"/>
        </w:rPr>
        <w:t>Creswell &amp; Poth, 2018</w:t>
      </w:r>
      <w:r>
        <w:rPr>
          <w:rFonts w:ascii="Times New Roman" w:eastAsia="Times New Roman" w:hAnsi="Times New Roman" w:cs="Times New Roman"/>
          <w:sz w:val="24"/>
          <w:szCs w:val="24"/>
        </w:rPr>
        <w:t>). This is the reason why phenomenology was selected because the primary objective of the study was not to quantify behavioral change, but to uncover the essences of experience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lastRenderedPageBreak/>
        <w:t xml:space="preserve">particularly on how participants interpreted, internalized, and enacted ecological solid waste management (ESWM) practices following the university’s community engagement initiative. This design is consistent with the study’s focus on: (1) Describing </w:t>
      </w:r>
      <w:proofErr w:type="gramStart"/>
      <w:r>
        <w:rPr>
          <w:rFonts w:ascii="Times New Roman" w:eastAsia="Times New Roman" w:hAnsi="Times New Roman" w:cs="Times New Roman"/>
          <w:sz w:val="24"/>
          <w:szCs w:val="24"/>
        </w:rPr>
        <w:t>participants’</w:t>
      </w:r>
      <w:proofErr w:type="gramEnd"/>
      <w:r>
        <w:rPr>
          <w:rFonts w:ascii="Times New Roman" w:eastAsia="Times New Roman" w:hAnsi="Times New Roman" w:cs="Times New Roman"/>
          <w:sz w:val="24"/>
          <w:szCs w:val="24"/>
        </w:rPr>
        <w:t xml:space="preserve"> lived meanings of the ESWM training; (2) Identifying perceived changes in environmental knowledge, attitudes, and practices; and, (3) Examining how these changes influenced workplace systems and sustainability efforts at VFR.</w:t>
      </w:r>
    </w:p>
    <w:p w14:paraId="00000044"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Through phenomenological inquiry, the study sought to generate a rich, textual and structural description of how an environmental initiative particularly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Kalikasan</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project was experienced and translated into daily operational practices within the resort setting.</w:t>
      </w:r>
    </w:p>
    <w:p w14:paraId="00000045" w14:textId="77777777" w:rsidR="00736373" w:rsidRDefault="00736373">
      <w:pPr>
        <w:spacing w:after="0" w:line="240" w:lineRule="auto"/>
        <w:jc w:val="both"/>
        <w:rPr>
          <w:rFonts w:ascii="Times New Roman" w:eastAsia="Times New Roman" w:hAnsi="Times New Roman" w:cs="Times New Roman"/>
          <w:sz w:val="24"/>
          <w:szCs w:val="24"/>
          <w:highlight w:val="white"/>
        </w:rPr>
      </w:pPr>
    </w:p>
    <w:p w14:paraId="00000046"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highlight w:val="white"/>
        </w:rPr>
        <w:t>Respondents of the Study</w:t>
      </w:r>
    </w:p>
    <w:p w14:paraId="00000047" w14:textId="77777777" w:rsidR="00736373"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study was participated by 15 individuals who are members and workers of </w:t>
      </w:r>
      <w:proofErr w:type="spellStart"/>
      <w:r>
        <w:rPr>
          <w:rFonts w:ascii="Times New Roman" w:eastAsia="Times New Roman" w:hAnsi="Times New Roman" w:cs="Times New Roman"/>
          <w:sz w:val="24"/>
          <w:szCs w:val="24"/>
          <w:highlight w:val="white"/>
        </w:rPr>
        <w:t>Villaconzoilo</w:t>
      </w:r>
      <w:proofErr w:type="spellEnd"/>
      <w:r>
        <w:rPr>
          <w:rFonts w:ascii="Times New Roman" w:eastAsia="Times New Roman" w:hAnsi="Times New Roman" w:cs="Times New Roman"/>
          <w:sz w:val="24"/>
          <w:szCs w:val="24"/>
          <w:highlight w:val="white"/>
        </w:rPr>
        <w:t xml:space="preserve"> Farm Resort. Participants were selected through purposive sampling, guided by the following inclusion criteria: (1) Attendance and participation in the ESWM training conducted by EVSU; (2) Direct involvement in resort maintenance, waste management, or visitor supervision; and, (3) Willingness to articulate reflections regarding environmental practices.</w:t>
      </w:r>
    </w:p>
    <w:p w14:paraId="00000048" w14:textId="77777777" w:rsidR="00736373"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Purposive selection ensured that participants possessed firsthand experiential knowledge of the phenomenon under investigation. Their roles in maintaining cleanliness, supervising visitors, and implementing waste segregation protocols positioned them as information-rich cases capable of providing detailed accounts of how the training influenced both personal values and organizational practices.</w:t>
      </w:r>
    </w:p>
    <w:p w14:paraId="00000049" w14:textId="77777777" w:rsidR="00736373" w:rsidRDefault="00736373">
      <w:pPr>
        <w:spacing w:after="0" w:line="240" w:lineRule="auto"/>
        <w:jc w:val="both"/>
        <w:rPr>
          <w:rFonts w:ascii="Times New Roman" w:eastAsia="Times New Roman" w:hAnsi="Times New Roman" w:cs="Times New Roman"/>
          <w:sz w:val="24"/>
          <w:szCs w:val="24"/>
        </w:rPr>
      </w:pPr>
    </w:p>
    <w:p w14:paraId="0000004A" w14:textId="77777777" w:rsidR="00736373" w:rsidRDefault="00000000">
      <w:pPr>
        <w:spacing w:after="0" w:line="240" w:lineRule="auto"/>
        <w:jc w:val="both"/>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24"/>
          <w:szCs w:val="24"/>
        </w:rPr>
        <w:t>Research Instrument</w:t>
      </w:r>
    </w:p>
    <w:p w14:paraId="0000004B" w14:textId="77777777" w:rsidR="00736373"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Data were gathered using a semi-structured interview guide composed of four open-ended questions to capture the participants’ thoughts in relation to: (1) Experiences and feelings regarding participation in the ESWM training; (2) Perceived changes in environmental awareness, attitudes, and sustainability practices; (3) Influence of the training on workplace systems and waste management procedures; and, (4) Recommendations for strengthening university-led community engagement initiatives.</w:t>
      </w:r>
    </w:p>
    <w:p w14:paraId="0000004C" w14:textId="77777777" w:rsidR="00736373"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semi-structured format allowed for consistency across interviews while permitting probing questions to deepen clarification and elicit rich descriptions. Although the guide was initially developed in English, translations into the local dialect were provided to enhance clarity and cultural responsiveness. Participants were encouraged to express themselves in the language most comfortable to them, thereby preserving authenticity, contextual nuance, and depth of meaning.</w:t>
      </w:r>
    </w:p>
    <w:p w14:paraId="0000004D"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04E"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Data Gathering Procedure</w:t>
      </w:r>
    </w:p>
    <w:p w14:paraId="0000004F"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Prior to data collection, formal permission was secured from the management of </w:t>
      </w:r>
      <w:proofErr w:type="spellStart"/>
      <w:r>
        <w:rPr>
          <w:rFonts w:ascii="Times New Roman" w:eastAsia="Times New Roman" w:hAnsi="Times New Roman" w:cs="Times New Roman"/>
          <w:color w:val="000000"/>
          <w:sz w:val="24"/>
          <w:szCs w:val="24"/>
        </w:rPr>
        <w:t>Villaconzoilo</w:t>
      </w:r>
      <w:proofErr w:type="spellEnd"/>
      <w:r>
        <w:rPr>
          <w:rFonts w:ascii="Times New Roman" w:eastAsia="Times New Roman" w:hAnsi="Times New Roman" w:cs="Times New Roman"/>
          <w:color w:val="000000"/>
          <w:sz w:val="24"/>
          <w:szCs w:val="24"/>
        </w:rPr>
        <w:t xml:space="preserve"> Farm Resort. Participants were informed of the study’s purpose, scope, and voluntary nature. Informed consent was obtained before conducting the interviews. Ethical principles were observed. These included: (1) Confidentiality, wherein participants were assigned with codes instead of real names; (2) Anonymity, wherein non-disclosure of identifying details in transcripts or findings was guaranteed; (3) </w:t>
      </w:r>
      <w:proofErr w:type="gramStart"/>
      <w:r>
        <w:rPr>
          <w:rFonts w:ascii="Times New Roman" w:eastAsia="Times New Roman" w:hAnsi="Times New Roman" w:cs="Times New Roman"/>
          <w:color w:val="000000"/>
          <w:sz w:val="24"/>
          <w:szCs w:val="24"/>
        </w:rPr>
        <w:t>Non-maleficence</w:t>
      </w:r>
      <w:proofErr w:type="gramEnd"/>
      <w:r>
        <w:rPr>
          <w:rFonts w:ascii="Times New Roman" w:eastAsia="Times New Roman" w:hAnsi="Times New Roman" w:cs="Times New Roman"/>
          <w:color w:val="000000"/>
          <w:sz w:val="24"/>
          <w:szCs w:val="24"/>
        </w:rPr>
        <w:t>, wherein discomfort or coercion of participants was minimized; and, (4) Respect for persons, wherein the right of the participants to withdraw at any point without negative consequence was ensured.</w:t>
      </w:r>
    </w:p>
    <w:p w14:paraId="00000050" w14:textId="65F1F966"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Interviews were conducted face-to-face at a time and location convenient to the participants within the resort premises. </w:t>
      </w:r>
      <w:r w:rsidR="0097267C">
        <w:rPr>
          <w:rFonts w:ascii="Times New Roman" w:eastAsia="Times New Roman" w:hAnsi="Times New Roman" w:cs="Times New Roman"/>
          <w:color w:val="000000"/>
          <w:sz w:val="24"/>
          <w:szCs w:val="24"/>
        </w:rPr>
        <w:t>The duration of e</w:t>
      </w:r>
      <w:r>
        <w:rPr>
          <w:rFonts w:ascii="Times New Roman" w:eastAsia="Times New Roman" w:hAnsi="Times New Roman" w:cs="Times New Roman"/>
          <w:color w:val="000000"/>
          <w:sz w:val="24"/>
          <w:szCs w:val="24"/>
        </w:rPr>
        <w:t xml:space="preserve">ach interview </w:t>
      </w:r>
      <w:r w:rsidR="0097267C">
        <w:rPr>
          <w:rFonts w:ascii="Times New Roman" w:eastAsia="Times New Roman" w:hAnsi="Times New Roman" w:cs="Times New Roman"/>
          <w:color w:val="000000"/>
          <w:sz w:val="24"/>
          <w:szCs w:val="24"/>
        </w:rPr>
        <w:t>was about</w:t>
      </w:r>
      <w:r>
        <w:rPr>
          <w:rFonts w:ascii="Times New Roman" w:eastAsia="Times New Roman" w:hAnsi="Times New Roman" w:cs="Times New Roman"/>
          <w:color w:val="000000"/>
          <w:sz w:val="24"/>
          <w:szCs w:val="24"/>
        </w:rPr>
        <w:t xml:space="preserve"> 30–45 </w:t>
      </w:r>
      <w:r>
        <w:rPr>
          <w:rFonts w:ascii="Times New Roman" w:eastAsia="Times New Roman" w:hAnsi="Times New Roman" w:cs="Times New Roman"/>
          <w:color w:val="000000"/>
          <w:sz w:val="24"/>
          <w:szCs w:val="24"/>
        </w:rPr>
        <w:lastRenderedPageBreak/>
        <w:t>minutes</w:t>
      </w:r>
      <w:r w:rsidR="0097267C">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rPr>
        <w:t>udio-record</w:t>
      </w:r>
      <w:r w:rsidR="0097267C">
        <w:rPr>
          <w:rFonts w:ascii="Times New Roman" w:eastAsia="Times New Roman" w:hAnsi="Times New Roman" w:cs="Times New Roman"/>
          <w:color w:val="000000"/>
          <w:sz w:val="24"/>
          <w:szCs w:val="24"/>
        </w:rPr>
        <w:t>ing was done w</w:t>
      </w:r>
      <w:r>
        <w:rPr>
          <w:rFonts w:ascii="Times New Roman" w:eastAsia="Times New Roman" w:hAnsi="Times New Roman" w:cs="Times New Roman"/>
          <w:color w:val="000000"/>
          <w:sz w:val="24"/>
          <w:szCs w:val="24"/>
        </w:rPr>
        <w:t xml:space="preserve">ith </w:t>
      </w:r>
      <w:r w:rsidR="0097267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permission</w:t>
      </w:r>
      <w:r w:rsidR="0097267C">
        <w:rPr>
          <w:rFonts w:ascii="Times New Roman" w:eastAsia="Times New Roman" w:hAnsi="Times New Roman" w:cs="Times New Roman"/>
          <w:color w:val="000000"/>
          <w:sz w:val="24"/>
          <w:szCs w:val="24"/>
        </w:rPr>
        <w:t xml:space="preserve"> of the interviewee</w:t>
      </w:r>
      <w:r>
        <w:rPr>
          <w:rFonts w:ascii="Times New Roman" w:eastAsia="Times New Roman" w:hAnsi="Times New Roman" w:cs="Times New Roman"/>
          <w:color w:val="000000"/>
          <w:sz w:val="24"/>
          <w:szCs w:val="24"/>
        </w:rPr>
        <w:t xml:space="preserve">. </w:t>
      </w:r>
      <w:r w:rsidR="0097267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otes were also </w:t>
      </w:r>
      <w:r w:rsidR="0097267C">
        <w:rPr>
          <w:rFonts w:ascii="Times New Roman" w:eastAsia="Times New Roman" w:hAnsi="Times New Roman" w:cs="Times New Roman"/>
          <w:color w:val="000000"/>
          <w:sz w:val="24"/>
          <w:szCs w:val="24"/>
        </w:rPr>
        <w:t>written</w:t>
      </w:r>
      <w:r>
        <w:rPr>
          <w:rFonts w:ascii="Times New Roman" w:eastAsia="Times New Roman" w:hAnsi="Times New Roman" w:cs="Times New Roman"/>
          <w:color w:val="000000"/>
          <w:sz w:val="24"/>
          <w:szCs w:val="24"/>
        </w:rPr>
        <w:t xml:space="preserve"> to document non-verbal </w:t>
      </w:r>
      <w:r w:rsidR="0097267C">
        <w:rPr>
          <w:rFonts w:ascii="Times New Roman" w:eastAsia="Times New Roman" w:hAnsi="Times New Roman" w:cs="Times New Roman"/>
          <w:color w:val="000000"/>
          <w:sz w:val="24"/>
          <w:szCs w:val="24"/>
        </w:rPr>
        <w:t>indications</w:t>
      </w:r>
      <w:r>
        <w:rPr>
          <w:rFonts w:ascii="Times New Roman" w:eastAsia="Times New Roman" w:hAnsi="Times New Roman" w:cs="Times New Roman"/>
          <w:color w:val="000000"/>
          <w:sz w:val="24"/>
          <w:szCs w:val="24"/>
        </w:rPr>
        <w:t xml:space="preserve"> and </w:t>
      </w:r>
      <w:r w:rsidR="0097267C">
        <w:rPr>
          <w:rFonts w:ascii="Times New Roman" w:eastAsia="Times New Roman" w:hAnsi="Times New Roman" w:cs="Times New Roman"/>
          <w:color w:val="000000"/>
          <w:sz w:val="24"/>
          <w:szCs w:val="24"/>
        </w:rPr>
        <w:t>accompanying</w:t>
      </w:r>
      <w:r w:rsidR="0097267C" w:rsidRPr="0097267C">
        <w:rPr>
          <w:rFonts w:ascii="Times New Roman" w:eastAsia="Times New Roman" w:hAnsi="Times New Roman" w:cs="Times New Roman"/>
          <w:color w:val="000000"/>
          <w:sz w:val="24"/>
          <w:szCs w:val="24"/>
        </w:rPr>
        <w:t xml:space="preserve"> </w:t>
      </w:r>
      <w:r w:rsidR="0097267C">
        <w:rPr>
          <w:rFonts w:ascii="Times New Roman" w:eastAsia="Times New Roman" w:hAnsi="Times New Roman" w:cs="Times New Roman"/>
          <w:color w:val="000000"/>
          <w:sz w:val="24"/>
          <w:szCs w:val="24"/>
        </w:rPr>
        <w:t>remarks</w:t>
      </w:r>
      <w:r>
        <w:rPr>
          <w:rFonts w:ascii="Times New Roman" w:eastAsia="Times New Roman" w:hAnsi="Times New Roman" w:cs="Times New Roman"/>
          <w:color w:val="000000"/>
          <w:sz w:val="24"/>
          <w:szCs w:val="24"/>
        </w:rPr>
        <w:t>.</w:t>
      </w:r>
    </w:p>
    <w:p w14:paraId="00000051"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052"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Data Analysis</w:t>
      </w:r>
    </w:p>
    <w:p w14:paraId="00000053"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study </w:t>
      </w:r>
      <w:r>
        <w:rPr>
          <w:rFonts w:ascii="Times New Roman" w:eastAsia="Times New Roman" w:hAnsi="Times New Roman" w:cs="Times New Roman"/>
          <w:sz w:val="24"/>
          <w:szCs w:val="24"/>
        </w:rPr>
        <w:t>utilized a descriptive</w:t>
      </w:r>
      <w:r>
        <w:rPr>
          <w:rFonts w:ascii="Times New Roman" w:eastAsia="Times New Roman" w:hAnsi="Times New Roman" w:cs="Times New Roman"/>
          <w:color w:val="000000"/>
          <w:sz w:val="24"/>
          <w:szCs w:val="24"/>
        </w:rPr>
        <w:t xml:space="preserve"> phenomenological method, chosen for its systematic and rigorous approach to extracting the essential structure of lived experience while maintaining fidelity to participants’ original meanings. The analytic process followed these stages: (1) Familiarization which involved restating the exact texts for full grasp of the informants’ accounts; (2) Extraction of significant statements which focused on identification of statements directly related to experiences and perceived impacts of the ESWM training; (3) Formulation of meanings by objectively interpreting the underlying meanings;  (4) Clustering of themes through organization of formulated meanings into coherent theme clusters; (4) Assigning exhaustive description by integrating themes into a comprehensive narrative describing the phenomenon; (5) Identification of fundamental structure through distillation of core essences reflecting the impact of the community engagement initiative; and, (6) Checking member which was done through validation of findings through feedback from selected participants to confirm credibility and interpretive accuracy (Colaizzi, 1978).</w:t>
      </w:r>
    </w:p>
    <w:p w14:paraId="00000054"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Through this methodological framework, the study generated a structured yet contextually grounded understanding of how the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project shaped environmental responsibility within </w:t>
      </w:r>
      <w:proofErr w:type="spellStart"/>
      <w:r>
        <w:rPr>
          <w:rFonts w:ascii="Times New Roman" w:eastAsia="Times New Roman" w:hAnsi="Times New Roman" w:cs="Times New Roman"/>
          <w:color w:val="000000"/>
          <w:sz w:val="24"/>
          <w:szCs w:val="24"/>
        </w:rPr>
        <w:t>Villaconzoilo</w:t>
      </w:r>
      <w:proofErr w:type="spellEnd"/>
      <w:r>
        <w:rPr>
          <w:rFonts w:ascii="Times New Roman" w:eastAsia="Times New Roman" w:hAnsi="Times New Roman" w:cs="Times New Roman"/>
          <w:color w:val="000000"/>
          <w:sz w:val="24"/>
          <w:szCs w:val="24"/>
        </w:rPr>
        <w:t xml:space="preserve"> Farm Resort.</w:t>
      </w:r>
    </w:p>
    <w:p w14:paraId="00000055"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56" w14:textId="77777777" w:rsidR="0073637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 Results</w:t>
      </w:r>
    </w:p>
    <w:p w14:paraId="00000057" w14:textId="77777777" w:rsidR="00736373" w:rsidRDefault="00736373">
      <w:pPr>
        <w:spacing w:after="0" w:line="240" w:lineRule="auto"/>
        <w:jc w:val="center"/>
        <w:rPr>
          <w:rFonts w:ascii="Times New Roman" w:eastAsia="Times New Roman" w:hAnsi="Times New Roman" w:cs="Times New Roman"/>
          <w:sz w:val="24"/>
          <w:szCs w:val="24"/>
        </w:rPr>
      </w:pPr>
    </w:p>
    <w:p w14:paraId="00000058"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themes derived from the narratives of participants regarding the perceived impacts of the Ecological Solid Waste Management (ESWM) training conducted by Eastern Visayas State University (EVSU) are the following: (1) Internalization of environmental responsibility; (2) Acquisition of technical knowledge on waste segregation; (3) Behavioral transformation and personal practice; (4) Emergence of role modeling and environmental advocacy; (5) Institutional strengthening of waste management systems; (6) Recognition of environmental and disaster risks; (7) Persistent Knowledge–behavior gap among visitors; and, (8) Reframing waste as an economic resource.</w:t>
      </w:r>
    </w:p>
    <w:p w14:paraId="00000059"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5A"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1: Internalization of Environmental Responsibility</w:t>
      </w:r>
    </w:p>
    <w:p w14:paraId="0000005B"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Participants consistently articulated that the ESWM training fostered a strong sense of environmental responsibility anchored in the value of </w:t>
      </w:r>
      <w:r>
        <w:rPr>
          <w:rFonts w:ascii="Times New Roman" w:eastAsia="Times New Roman" w:hAnsi="Times New Roman" w:cs="Times New Roman"/>
          <w:i/>
          <w:iCs/>
          <w:color w:val="000000"/>
          <w:sz w:val="24"/>
          <w:szCs w:val="24"/>
        </w:rPr>
        <w:t>“</w:t>
      </w:r>
      <w:proofErr w:type="spellStart"/>
      <w:r>
        <w:rPr>
          <w:rFonts w:ascii="Times New Roman" w:eastAsia="Times New Roman" w:hAnsi="Times New Roman" w:cs="Times New Roman"/>
          <w:i/>
          <w:iCs/>
          <w:color w:val="000000"/>
          <w:sz w:val="24"/>
          <w:szCs w:val="24"/>
        </w:rPr>
        <w:t>pagpapahalaga-sa-kalikasan</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The training did not merely provide information but instilled moral accountability toward maintaining cleanliness within the resort and the broader community.</w:t>
      </w:r>
    </w:p>
    <w:p w14:paraId="0000005C"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One participant shared: </w:t>
      </w:r>
    </w:p>
    <w:p w14:paraId="0000005D"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I also </w:t>
      </w:r>
      <w:r>
        <w:rPr>
          <w:rFonts w:ascii="Times New Roman" w:eastAsia="Times New Roman" w:hAnsi="Times New Roman" w:cs="Times New Roman"/>
          <w:i/>
          <w:iCs/>
          <w:sz w:val="24"/>
          <w:szCs w:val="24"/>
        </w:rPr>
        <w:t>learned</w:t>
      </w:r>
      <w:r>
        <w:rPr>
          <w:rFonts w:ascii="Times New Roman" w:eastAsia="Times New Roman" w:hAnsi="Times New Roman" w:cs="Times New Roman"/>
          <w:i/>
          <w:iCs/>
          <w:color w:val="000000"/>
          <w:sz w:val="24"/>
          <w:szCs w:val="24"/>
        </w:rPr>
        <w:t xml:space="preserve"> the value of ‘</w:t>
      </w:r>
      <w:proofErr w:type="spellStart"/>
      <w:r>
        <w:rPr>
          <w:rFonts w:ascii="Times New Roman" w:eastAsia="Times New Roman" w:hAnsi="Times New Roman" w:cs="Times New Roman"/>
          <w:i/>
          <w:iCs/>
          <w:color w:val="000000"/>
          <w:sz w:val="24"/>
          <w:szCs w:val="24"/>
        </w:rPr>
        <w:t>pagpapahalaga-sa-ating-kalikasan</w:t>
      </w:r>
      <w:proofErr w:type="spellEnd"/>
      <w:r>
        <w:rPr>
          <w:rFonts w:ascii="Times New Roman" w:eastAsia="Times New Roman" w:hAnsi="Times New Roman" w:cs="Times New Roman"/>
          <w:i/>
          <w:iCs/>
          <w:color w:val="000000"/>
          <w:sz w:val="24"/>
          <w:szCs w:val="24"/>
        </w:rPr>
        <w:t xml:space="preserve">’ during that </w:t>
      </w:r>
      <w:r>
        <w:rPr>
          <w:rFonts w:ascii="Times New Roman" w:eastAsia="Times New Roman" w:hAnsi="Times New Roman" w:cs="Times New Roman"/>
          <w:i/>
          <w:iCs/>
          <w:sz w:val="24"/>
          <w:szCs w:val="24"/>
        </w:rPr>
        <w:t>training. That</w:t>
      </w:r>
      <w:r>
        <w:rPr>
          <w:rFonts w:ascii="Times New Roman" w:eastAsia="Times New Roman" w:hAnsi="Times New Roman" w:cs="Times New Roman"/>
          <w:i/>
          <w:iCs/>
          <w:color w:val="000000"/>
          <w:sz w:val="24"/>
          <w:szCs w:val="24"/>
        </w:rPr>
        <w:t xml:space="preserve"> is why I need to be responsible and active in </w:t>
      </w:r>
      <w:r>
        <w:rPr>
          <w:rFonts w:ascii="Times New Roman" w:eastAsia="Times New Roman" w:hAnsi="Times New Roman" w:cs="Times New Roman"/>
          <w:i/>
          <w:iCs/>
          <w:sz w:val="24"/>
          <w:szCs w:val="24"/>
        </w:rPr>
        <w:t>maintaining cleanliness</w:t>
      </w:r>
      <w:r>
        <w:rPr>
          <w:rFonts w:ascii="Times New Roman" w:eastAsia="Times New Roman" w:hAnsi="Times New Roman" w:cs="Times New Roman"/>
          <w:i/>
          <w:iCs/>
          <w:color w:val="000000"/>
          <w:sz w:val="24"/>
          <w:szCs w:val="24"/>
        </w:rPr>
        <w:t xml:space="preserve"> despite the difficulties</w:t>
      </w:r>
      <w:r>
        <w:rPr>
          <w:rFonts w:ascii="Times New Roman" w:eastAsia="Times New Roman" w:hAnsi="Times New Roman" w:cs="Times New Roman"/>
          <w:color w:val="000000"/>
          <w:sz w:val="24"/>
          <w:szCs w:val="24"/>
        </w:rPr>
        <w:t>.” (Key Informant #2)</w:t>
      </w:r>
    </w:p>
    <w:p w14:paraId="0000005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Similarly, another emphasized:</w:t>
      </w:r>
    </w:p>
    <w:p w14:paraId="0000005F"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It is in our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that will </w:t>
      </w:r>
      <w:r>
        <w:rPr>
          <w:rFonts w:ascii="Times New Roman" w:eastAsia="Times New Roman" w:hAnsi="Times New Roman" w:cs="Times New Roman"/>
          <w:i/>
          <w:iCs/>
          <w:sz w:val="24"/>
          <w:szCs w:val="24"/>
        </w:rPr>
        <w:t>motivate you to throw</w:t>
      </w:r>
      <w:r>
        <w:rPr>
          <w:rFonts w:ascii="Times New Roman" w:eastAsia="Times New Roman" w:hAnsi="Times New Roman" w:cs="Times New Roman"/>
          <w:i/>
          <w:iCs/>
          <w:color w:val="000000"/>
          <w:sz w:val="24"/>
          <w:szCs w:val="24"/>
        </w:rPr>
        <w:t xml:space="preserve"> your waste properly</w:t>
      </w:r>
      <w:r>
        <w:rPr>
          <w:rFonts w:ascii="Times New Roman" w:eastAsia="Times New Roman" w:hAnsi="Times New Roman" w:cs="Times New Roman"/>
          <w:color w:val="000000"/>
          <w:sz w:val="24"/>
          <w:szCs w:val="24"/>
        </w:rPr>
        <w:t>.” (Key Informant #6)</w:t>
      </w:r>
    </w:p>
    <w:p w14:paraId="0000006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One more noted:</w:t>
      </w:r>
    </w:p>
    <w:p w14:paraId="00000061" w14:textId="77777777" w:rsidR="00736373" w:rsidRDefault="00000000">
      <w:pPr>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 value a clean environment</w:t>
      </w:r>
      <w:r>
        <w:rPr>
          <w:rFonts w:ascii="Times New Roman" w:eastAsia="Times New Roman" w:hAnsi="Times New Roman" w:cs="Times New Roman"/>
          <w:color w:val="000000"/>
          <w:sz w:val="24"/>
          <w:szCs w:val="24"/>
        </w:rPr>
        <w:t>.” (Key Informant #5)</w:t>
      </w:r>
    </w:p>
    <w:p w14:paraId="0000006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These responses suggest that the training cultivated value formation, shifting environmental management from obligation to ethical commitment.</w:t>
      </w:r>
    </w:p>
    <w:p w14:paraId="00000063"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64"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2: Acquisition of Technical Knowledge on Waste Segregation</w:t>
      </w:r>
    </w:p>
    <w:p w14:paraId="00000065"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Participants reported increased understanding of waste classification, segregation procedures, and proper disposal techniques after attending the ESWM training.</w:t>
      </w:r>
    </w:p>
    <w:p w14:paraId="00000066"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one participant stated:</w:t>
      </w:r>
    </w:p>
    <w:p w14:paraId="00000067"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I am aware of proper waste disposal and waste segregation because it was taught to us by EVSU</w:t>
      </w:r>
      <w:r>
        <w:rPr>
          <w:rFonts w:ascii="Times New Roman" w:eastAsia="Times New Roman" w:hAnsi="Times New Roman" w:cs="Times New Roman"/>
          <w:color w:val="000000"/>
          <w:sz w:val="24"/>
          <w:szCs w:val="24"/>
        </w:rPr>
        <w:t>.” (Key Informant #4)</w:t>
      </w:r>
    </w:p>
    <w:p w14:paraId="0000006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elaborated:</w:t>
      </w:r>
    </w:p>
    <w:p w14:paraId="00000069"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Garbage </w:t>
      </w:r>
      <w:r>
        <w:rPr>
          <w:rFonts w:ascii="Times New Roman" w:eastAsia="Times New Roman" w:hAnsi="Times New Roman" w:cs="Times New Roman"/>
          <w:i/>
          <w:iCs/>
          <w:sz w:val="24"/>
          <w:szCs w:val="24"/>
        </w:rPr>
        <w:t>is</w:t>
      </w:r>
      <w:r>
        <w:rPr>
          <w:rFonts w:ascii="Times New Roman" w:eastAsia="Times New Roman" w:hAnsi="Times New Roman" w:cs="Times New Roman"/>
          <w:i/>
          <w:iCs/>
          <w:color w:val="000000"/>
          <w:sz w:val="24"/>
          <w:szCs w:val="24"/>
        </w:rPr>
        <w:t xml:space="preserve"> of different kinds that </w:t>
      </w:r>
      <w:r>
        <w:rPr>
          <w:rFonts w:ascii="Times New Roman" w:eastAsia="Times New Roman" w:hAnsi="Times New Roman" w:cs="Times New Roman"/>
          <w:i/>
          <w:iCs/>
          <w:sz w:val="24"/>
          <w:szCs w:val="24"/>
        </w:rPr>
        <w:t>need</w:t>
      </w:r>
      <w:r>
        <w:rPr>
          <w:rFonts w:ascii="Times New Roman" w:eastAsia="Times New Roman" w:hAnsi="Times New Roman" w:cs="Times New Roman"/>
          <w:i/>
          <w:iCs/>
          <w:color w:val="000000"/>
          <w:sz w:val="24"/>
          <w:szCs w:val="24"/>
        </w:rPr>
        <w:t xml:space="preserve"> to be segregated and disposed properly around here in our resort</w:t>
      </w:r>
      <w:r>
        <w:rPr>
          <w:rFonts w:ascii="Times New Roman" w:eastAsia="Times New Roman" w:hAnsi="Times New Roman" w:cs="Times New Roman"/>
          <w:color w:val="000000"/>
          <w:sz w:val="24"/>
          <w:szCs w:val="24"/>
        </w:rPr>
        <w:t>.” (Key Informant #12)</w:t>
      </w:r>
    </w:p>
    <w:p w14:paraId="0000006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narratives demonstrate cognitive gains, particularly in identifying biodegradable, non-biodegradable, and recyclable materials, as well as understanding labeled waste bins.</w:t>
      </w:r>
    </w:p>
    <w:p w14:paraId="0000006B"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6C"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3: Behavioral Transformation and Personal Practice</w:t>
      </w:r>
    </w:p>
    <w:p w14:paraId="0000006D"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Beyond knowledge acquisition, participants described observable changes in their personal waste management practices. The training translated into consistent implementation of segregation behaviors.</w:t>
      </w:r>
    </w:p>
    <w:p w14:paraId="0000006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One participant noted:</w:t>
      </w:r>
    </w:p>
    <w:p w14:paraId="0000006F"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It is no longer difficult for me to segregate this generated waste because of my knowledge on waste segregation</w:t>
      </w:r>
      <w:r>
        <w:rPr>
          <w:rFonts w:ascii="Times New Roman" w:eastAsia="Times New Roman" w:hAnsi="Times New Roman" w:cs="Times New Roman"/>
          <w:color w:val="000000"/>
          <w:sz w:val="24"/>
          <w:szCs w:val="24"/>
        </w:rPr>
        <w:t>.” (Key Informant #4)</w:t>
      </w:r>
    </w:p>
    <w:p w14:paraId="0000007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shared:</w:t>
      </w:r>
    </w:p>
    <w:p w14:paraId="00000071"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I always stay mindful and proactive in living a life with responsible waste management awareness</w:t>
      </w:r>
      <w:r>
        <w:rPr>
          <w:rFonts w:ascii="Times New Roman" w:eastAsia="Times New Roman" w:hAnsi="Times New Roman" w:cs="Times New Roman"/>
          <w:color w:val="000000"/>
          <w:sz w:val="24"/>
          <w:szCs w:val="24"/>
        </w:rPr>
        <w:t>.” (Key Informant #10)</w:t>
      </w:r>
    </w:p>
    <w:p w14:paraId="0000007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These statements indicate behavioral internalization, where environmental practices became habitual rather than externally imposed.</w:t>
      </w:r>
    </w:p>
    <w:p w14:paraId="00000073"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74"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4: Emergence of Role Modeling and Environmental Advocacy</w:t>
      </w:r>
    </w:p>
    <w:p w14:paraId="00000075"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notable outcome of the ESWM training was the emergence of participants as environmental advocates within the resort and community. Many described actively teaching visitors, especially children, about proper segregation.</w:t>
      </w:r>
    </w:p>
    <w:p w14:paraId="00000076"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For instance:</w:t>
      </w:r>
    </w:p>
    <w:p w14:paraId="00000077"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I must </w:t>
      </w:r>
      <w:r>
        <w:rPr>
          <w:rFonts w:ascii="Times New Roman" w:eastAsia="Times New Roman" w:hAnsi="Times New Roman" w:cs="Times New Roman"/>
          <w:i/>
          <w:iCs/>
          <w:sz w:val="24"/>
          <w:szCs w:val="24"/>
        </w:rPr>
        <w:t>show them</w:t>
      </w:r>
      <w:r>
        <w:rPr>
          <w:rFonts w:ascii="Times New Roman" w:eastAsia="Times New Roman" w:hAnsi="Times New Roman" w:cs="Times New Roman"/>
          <w:i/>
          <w:iCs/>
          <w:color w:val="000000"/>
          <w:sz w:val="24"/>
          <w:szCs w:val="24"/>
        </w:rPr>
        <w:t xml:space="preserve"> how to segregate waste </w:t>
      </w:r>
      <w:r>
        <w:rPr>
          <w:rFonts w:ascii="Times New Roman" w:eastAsia="Times New Roman" w:hAnsi="Times New Roman" w:cs="Times New Roman"/>
          <w:i/>
          <w:iCs/>
          <w:sz w:val="24"/>
          <w:szCs w:val="24"/>
        </w:rPr>
        <w:t>properly, especially</w:t>
      </w:r>
      <w:r>
        <w:rPr>
          <w:rFonts w:ascii="Times New Roman" w:eastAsia="Times New Roman" w:hAnsi="Times New Roman" w:cs="Times New Roman"/>
          <w:i/>
          <w:iCs/>
          <w:color w:val="000000"/>
          <w:sz w:val="24"/>
          <w:szCs w:val="24"/>
        </w:rPr>
        <w:t xml:space="preserve"> to my fellow young </w:t>
      </w:r>
      <w:r>
        <w:rPr>
          <w:rFonts w:ascii="Times New Roman" w:eastAsia="Times New Roman" w:hAnsi="Times New Roman" w:cs="Times New Roman"/>
          <w:i/>
          <w:iCs/>
          <w:sz w:val="24"/>
          <w:szCs w:val="24"/>
        </w:rPr>
        <w:t>adults</w:t>
      </w:r>
      <w:r>
        <w:rPr>
          <w:rFonts w:ascii="Times New Roman" w:eastAsia="Times New Roman" w:hAnsi="Times New Roman" w:cs="Times New Roman"/>
          <w:color w:val="000000"/>
          <w:sz w:val="24"/>
          <w:szCs w:val="24"/>
        </w:rPr>
        <w:t>.” (Key Informant #2)</w:t>
      </w:r>
    </w:p>
    <w:p w14:paraId="0000007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emphasized:</w:t>
      </w:r>
    </w:p>
    <w:p w14:paraId="00000079"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Be the role model above the rest… so that others would follow</w:t>
      </w:r>
      <w:r>
        <w:rPr>
          <w:rFonts w:ascii="Times New Roman" w:eastAsia="Times New Roman" w:hAnsi="Times New Roman" w:cs="Times New Roman"/>
          <w:color w:val="000000"/>
          <w:sz w:val="24"/>
          <w:szCs w:val="24"/>
        </w:rPr>
        <w:t>.” (Key Informant #13)</w:t>
      </w:r>
    </w:p>
    <w:p w14:paraId="0000007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Participants perceived themselves not only as beneficiaries of training but as multipliers of environmental knowledge.</w:t>
      </w:r>
    </w:p>
    <w:p w14:paraId="0000007B"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7C"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5: Institutional Strengthening of Waste Management Systems</w:t>
      </w:r>
    </w:p>
    <w:p w14:paraId="0000007D"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training was perceived to have contributed to structural improvements within the resort, including the proliferation of labeled trash bins and clearer policy implementation.</w:t>
      </w:r>
    </w:p>
    <w:p w14:paraId="0000007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participant stated:</w:t>
      </w:r>
    </w:p>
    <w:p w14:paraId="0000007F"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VFR policy of putting </w:t>
      </w:r>
      <w:r>
        <w:rPr>
          <w:rFonts w:ascii="Times New Roman" w:eastAsia="Times New Roman" w:hAnsi="Times New Roman" w:cs="Times New Roman"/>
          <w:i/>
          <w:iCs/>
          <w:sz w:val="24"/>
          <w:szCs w:val="24"/>
        </w:rPr>
        <w:t>the waste appropriately</w:t>
      </w:r>
      <w:r>
        <w:rPr>
          <w:rFonts w:ascii="Times New Roman" w:eastAsia="Times New Roman" w:hAnsi="Times New Roman" w:cs="Times New Roman"/>
          <w:i/>
          <w:iCs/>
          <w:color w:val="000000"/>
          <w:sz w:val="24"/>
          <w:szCs w:val="24"/>
        </w:rPr>
        <w:t xml:space="preserve"> is a management principle that has been concretized already after the training of ESWM we have received</w:t>
      </w:r>
      <w:r>
        <w:rPr>
          <w:rFonts w:ascii="Times New Roman" w:eastAsia="Times New Roman" w:hAnsi="Times New Roman" w:cs="Times New Roman"/>
          <w:color w:val="000000"/>
          <w:sz w:val="24"/>
          <w:szCs w:val="24"/>
        </w:rPr>
        <w:t>.” (Key Informant #9)</w:t>
      </w:r>
    </w:p>
    <w:p w14:paraId="0000008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observed:</w:t>
      </w:r>
    </w:p>
    <w:p w14:paraId="00000081"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There are lots of trash bins with matching labels at least in every corner of the VFR</w:t>
      </w:r>
      <w:r>
        <w:rPr>
          <w:rFonts w:ascii="Times New Roman" w:eastAsia="Times New Roman" w:hAnsi="Times New Roman" w:cs="Times New Roman"/>
          <w:color w:val="000000"/>
          <w:sz w:val="24"/>
          <w:szCs w:val="24"/>
        </w:rPr>
        <w:t>.” (Key Informant #3)</w:t>
      </w:r>
    </w:p>
    <w:p w14:paraId="0000008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These responses suggest organizational-level impact, where environmental management became institutionalized.</w:t>
      </w:r>
    </w:p>
    <w:p w14:paraId="00000083"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84"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Theme 6: Recognition of Environmental and Disaster Risks</w:t>
      </w:r>
    </w:p>
    <w:p w14:paraId="00000085"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Participants demonstrated heightened awareness of the long-term environmental and disaster-related consequences of improper waste disposal.</w:t>
      </w:r>
    </w:p>
    <w:p w14:paraId="00000086"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One participant shared:</w:t>
      </w:r>
    </w:p>
    <w:p w14:paraId="00000087"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This act causes dirtiness in our resort and clogs in some </w:t>
      </w:r>
      <w:r>
        <w:rPr>
          <w:rFonts w:ascii="Times New Roman" w:eastAsia="Times New Roman" w:hAnsi="Times New Roman" w:cs="Times New Roman"/>
          <w:i/>
          <w:iCs/>
          <w:sz w:val="24"/>
          <w:szCs w:val="24"/>
        </w:rPr>
        <w:t>parts</w:t>
      </w:r>
      <w:r>
        <w:rPr>
          <w:rFonts w:ascii="Times New Roman" w:eastAsia="Times New Roman" w:hAnsi="Times New Roman" w:cs="Times New Roman"/>
          <w:i/>
          <w:iCs/>
          <w:color w:val="000000"/>
          <w:sz w:val="24"/>
          <w:szCs w:val="24"/>
        </w:rPr>
        <w:t xml:space="preserve"> of our drainage systems</w:t>
      </w:r>
      <w:r>
        <w:rPr>
          <w:rFonts w:ascii="Times New Roman" w:eastAsia="Times New Roman" w:hAnsi="Times New Roman" w:cs="Times New Roman"/>
          <w:color w:val="000000"/>
          <w:sz w:val="24"/>
          <w:szCs w:val="24"/>
        </w:rPr>
        <w:t>.” (Key Informant #1)</w:t>
      </w:r>
    </w:p>
    <w:p w14:paraId="0000008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warned:</w:t>
      </w:r>
    </w:p>
    <w:p w14:paraId="00000089" w14:textId="77777777" w:rsidR="00736373" w:rsidRDefault="00000000">
      <w:pPr>
        <w:spacing w:after="0" w:line="240" w:lineRule="auto"/>
        <w:ind w:left="1418" w:right="805" w:hanging="142"/>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It is indeed right to dispose properly and immediately every trash we have at the resort because at the time when there is a disaster that will strikes us, like super typhoons and landslides, then it will truly come back to us</w:t>
      </w:r>
      <w:r>
        <w:rPr>
          <w:rFonts w:ascii="Times New Roman" w:eastAsia="Times New Roman" w:hAnsi="Times New Roman" w:cs="Times New Roman"/>
          <w:color w:val="000000"/>
          <w:sz w:val="24"/>
          <w:szCs w:val="24"/>
        </w:rPr>
        <w:t>.” (Key Informant #14)</w:t>
      </w:r>
    </w:p>
    <w:p w14:paraId="0000008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narratives reflect increased environmental risk consciousness, linking waste mismanagement to flooding, typhoons, and landslides.</w:t>
      </w:r>
    </w:p>
    <w:p w14:paraId="0000008B"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8C"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7: Persistent Knowledge–Behavior Gap Among Visitors</w:t>
      </w:r>
    </w:p>
    <w:p w14:paraId="0000008D"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Despite the positive impacts among trained staff, participants identified ongoing challenges with visitor compliance. Many described littering and improper segregation despite the presence of labeled bins.</w:t>
      </w:r>
    </w:p>
    <w:p w14:paraId="0000008E"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one participant expressed:</w:t>
      </w:r>
    </w:p>
    <w:p w14:paraId="0000008F"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There is still a significant amount of litter </w:t>
      </w:r>
      <w:r>
        <w:rPr>
          <w:rFonts w:ascii="Times New Roman" w:eastAsia="Times New Roman" w:hAnsi="Times New Roman" w:cs="Times New Roman"/>
          <w:i/>
          <w:iCs/>
          <w:sz w:val="24"/>
          <w:szCs w:val="24"/>
        </w:rPr>
        <w:t>despite trash</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sz w:val="24"/>
          <w:szCs w:val="24"/>
        </w:rPr>
        <w:t>bins</w:t>
      </w:r>
      <w:r>
        <w:rPr>
          <w:rFonts w:ascii="Times New Roman" w:eastAsia="Times New Roman" w:hAnsi="Times New Roman" w:cs="Times New Roman"/>
          <w:i/>
          <w:iCs/>
          <w:color w:val="000000"/>
          <w:sz w:val="24"/>
          <w:szCs w:val="24"/>
        </w:rPr>
        <w:t xml:space="preserve"> present everywhere</w:t>
      </w:r>
      <w:r>
        <w:rPr>
          <w:rFonts w:ascii="Times New Roman" w:eastAsia="Times New Roman" w:hAnsi="Times New Roman" w:cs="Times New Roman"/>
          <w:color w:val="000000"/>
          <w:sz w:val="24"/>
          <w:szCs w:val="24"/>
        </w:rPr>
        <w:t>.” (Key Informant #11)</w:t>
      </w:r>
    </w:p>
    <w:p w14:paraId="0000009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explained:</w:t>
      </w:r>
    </w:p>
    <w:p w14:paraId="00000091" w14:textId="77777777" w:rsidR="00736373" w:rsidRDefault="00000000">
      <w:pPr>
        <w:spacing w:after="0" w:line="240" w:lineRule="auto"/>
        <w:ind w:left="1418" w:right="805"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Most of the visitors’ difficulties </w:t>
      </w:r>
      <w:r>
        <w:rPr>
          <w:rFonts w:ascii="Times New Roman" w:eastAsia="Times New Roman" w:hAnsi="Times New Roman" w:cs="Times New Roman"/>
          <w:i/>
          <w:iCs/>
          <w:sz w:val="24"/>
          <w:szCs w:val="24"/>
        </w:rPr>
        <w:t>were identifying</w:t>
      </w:r>
      <w:r>
        <w:rPr>
          <w:rFonts w:ascii="Times New Roman" w:eastAsia="Times New Roman" w:hAnsi="Times New Roman" w:cs="Times New Roman"/>
          <w:i/>
          <w:iCs/>
          <w:color w:val="000000"/>
          <w:sz w:val="24"/>
          <w:szCs w:val="24"/>
        </w:rPr>
        <w:t xml:space="preserve"> which trash bins to throw at</w:t>
      </w:r>
      <w:r>
        <w:rPr>
          <w:rFonts w:ascii="Times New Roman" w:eastAsia="Times New Roman" w:hAnsi="Times New Roman" w:cs="Times New Roman"/>
          <w:color w:val="000000"/>
          <w:sz w:val="24"/>
          <w:szCs w:val="24"/>
        </w:rPr>
        <w:t>.” (Key Informant #8)</w:t>
      </w:r>
    </w:p>
    <w:p w14:paraId="0000009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Participants attributed this gap to lack of awareness, insufficient environmental education, and weak discipline among visitors.</w:t>
      </w:r>
    </w:p>
    <w:p w14:paraId="00000093"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94" w14:textId="77777777" w:rsidR="00736373"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Theme 8: Reframing Waste as an Economic Resource</w:t>
      </w:r>
    </w:p>
    <w:p w14:paraId="00000095"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training also introduced an economic perspective on waste management, reframing trash as a potential source of income.</w:t>
      </w:r>
    </w:p>
    <w:p w14:paraId="00000096"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One participant recalled:</w:t>
      </w:r>
    </w:p>
    <w:p w14:paraId="00000097" w14:textId="77777777" w:rsidR="00736373" w:rsidRDefault="00000000">
      <w:pPr>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There’s money in every trashcan</w:t>
      </w:r>
      <w:r>
        <w:rPr>
          <w:rFonts w:ascii="Times New Roman" w:eastAsia="Times New Roman" w:hAnsi="Times New Roman" w:cs="Times New Roman"/>
          <w:color w:val="000000"/>
          <w:sz w:val="24"/>
          <w:szCs w:val="24"/>
        </w:rPr>
        <w:t>.” (Key Informant #7)</w:t>
      </w:r>
    </w:p>
    <w:p w14:paraId="0000009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was seconded by another participant by saying:</w:t>
      </w:r>
    </w:p>
    <w:p w14:paraId="00000099" w14:textId="77777777" w:rsidR="00736373" w:rsidRDefault="00000000">
      <w:pPr>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We can even have an income out of it</w:t>
      </w:r>
      <w:r>
        <w:rPr>
          <w:rFonts w:ascii="Times New Roman" w:eastAsia="Times New Roman" w:hAnsi="Times New Roman" w:cs="Times New Roman"/>
          <w:color w:val="000000"/>
          <w:sz w:val="24"/>
          <w:szCs w:val="24"/>
        </w:rPr>
        <w:t>.” (Key Informant #15)</w:t>
      </w:r>
    </w:p>
    <w:p w14:paraId="0000009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illustrates cognitive reframing, where waste is perceived not only as an environmental concern but also as a resource opportunity.</w:t>
      </w:r>
    </w:p>
    <w:p w14:paraId="0000009B"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09C" w14:textId="77777777" w:rsidR="0073637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 Discussions</w:t>
      </w:r>
    </w:p>
    <w:p w14:paraId="0000009D" w14:textId="77777777" w:rsidR="00736373" w:rsidRDefault="00736373">
      <w:pPr>
        <w:spacing w:after="0" w:line="240" w:lineRule="auto"/>
        <w:jc w:val="center"/>
        <w:rPr>
          <w:rFonts w:ascii="Times New Roman" w:eastAsia="Times New Roman" w:hAnsi="Times New Roman" w:cs="Times New Roman"/>
          <w:sz w:val="24"/>
          <w:szCs w:val="24"/>
        </w:rPr>
      </w:pPr>
    </w:p>
    <w:p w14:paraId="0000009E"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Internalization of Environmental Responsibility</w:t>
      </w:r>
    </w:p>
    <w:p w14:paraId="0000009F"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first theme highlights the internalization of environmental responsibility anchored in the value of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kalikasan</w:t>
      </w:r>
      <w:proofErr w:type="spellEnd"/>
      <w:r>
        <w:rPr>
          <w:rFonts w:ascii="Times New Roman" w:eastAsia="Times New Roman" w:hAnsi="Times New Roman" w:cs="Times New Roman"/>
          <w:sz w:val="24"/>
          <w:szCs w:val="24"/>
        </w:rPr>
        <w:t>”. Participants described how the ESWM training fostered a moral commitment toward environmental protection, shifting their perception of waste management from a routine obligation to a value-driven responsibility.</w:t>
      </w:r>
    </w:p>
    <w:p w14:paraId="000000A0"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directly addresses Objective 1, as it captures how participants experienced and interpreted their involvement in the ESWM training. Participants did not merely recall content. They articulated a deep, value-laden engagement rooted in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color w:val="000000"/>
          <w:sz w:val="24"/>
          <w:szCs w:val="24"/>
        </w:rPr>
        <w:t>.” Their narratives indicate that the training functioned as a transformative experience rather than a purely instructional activity.</w:t>
      </w:r>
    </w:p>
    <w:p w14:paraId="000000A1"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In relation to Objective 2, this internalization reflects a significant shift in attitudes, where environmental responsibility became a moral obligation rather than a compliance task. Moreover, this finding contributes to Objective 4 by suggesting that community engagement programs are more effective when they integrate culturally grounded values.</w:t>
      </w:r>
    </w:p>
    <w:p w14:paraId="000000A2"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finding corroborates with the principles of Transformative Learning Theory which posits that meaningful learning occurs when individuals critically reassess their perspectives and adopt new value orientations (</w:t>
      </w:r>
      <w:r>
        <w:rPr>
          <w:rFonts w:ascii="Times New Roman" w:eastAsia="Times New Roman" w:hAnsi="Times New Roman" w:cs="Times New Roman"/>
          <w:color w:val="000000"/>
          <w:sz w:val="24"/>
          <w:szCs w:val="24"/>
        </w:rPr>
        <w:t>Mezirow, 2018</w:t>
      </w:r>
      <w:r>
        <w:rPr>
          <w:rFonts w:ascii="Times New Roman" w:eastAsia="Times New Roman" w:hAnsi="Times New Roman" w:cs="Times New Roman"/>
          <w:sz w:val="24"/>
          <w:szCs w:val="24"/>
        </w:rPr>
        <w:t>). This claim is also reinforced by recent empirical studies which show that transformative and experiential environmental education fosters value internalization and ethical commitment to sustainability (</w:t>
      </w:r>
      <w:r>
        <w:rPr>
          <w:rFonts w:ascii="Times New Roman" w:eastAsia="Times New Roman" w:hAnsi="Times New Roman" w:cs="Times New Roman"/>
          <w:color w:val="000000"/>
          <w:sz w:val="24"/>
          <w:szCs w:val="24"/>
        </w:rPr>
        <w:t>Chen et al., 2022; Ardoin et al., 2023</w:t>
      </w:r>
      <w:r>
        <w:rPr>
          <w:rFonts w:ascii="Times New Roman" w:eastAsia="Times New Roman" w:hAnsi="Times New Roman" w:cs="Times New Roman"/>
          <w:sz w:val="24"/>
          <w:szCs w:val="24"/>
        </w:rPr>
        <w:t>). These studies demonstrate that environmental learning is most effective when it engages both cognitive and affective domains.</w:t>
      </w:r>
    </w:p>
    <w:p w14:paraId="000000A3"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present study extends prior research by emphasizing the role of culturally grounded values, suggesting that sustainability behaviors are not only learned but also socially and culturally internalized. This supports recent arguments that values-based environmental education is a stronger predictor of long-term behavioral change than knowledge alone (</w:t>
      </w:r>
      <w:r>
        <w:rPr>
          <w:rFonts w:ascii="Times New Roman" w:eastAsia="Times New Roman" w:hAnsi="Times New Roman" w:cs="Times New Roman"/>
          <w:color w:val="000000"/>
          <w:sz w:val="24"/>
          <w:szCs w:val="24"/>
        </w:rPr>
        <w:t>Ardoin et al., 2020</w:t>
      </w:r>
      <w:r>
        <w:rPr>
          <w:rFonts w:ascii="Times New Roman" w:eastAsia="Times New Roman" w:hAnsi="Times New Roman" w:cs="Times New Roman"/>
          <w:sz w:val="24"/>
          <w:szCs w:val="24"/>
        </w:rPr>
        <w:t xml:space="preserve">). </w:t>
      </w:r>
    </w:p>
    <w:p w14:paraId="000000A4"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Hence, to achieve lasting impact, </w:t>
      </w:r>
      <w:r>
        <w:rPr>
          <w:rFonts w:ascii="Times New Roman" w:eastAsia="Times New Roman" w:hAnsi="Times New Roman" w:cs="Times New Roman"/>
          <w:color w:val="000000"/>
          <w:sz w:val="24"/>
          <w:szCs w:val="24"/>
        </w:rPr>
        <w:t>sustainability initiatives must go beyond awareness advancement. They must be designed parallel with local belief and value systems in the community.</w:t>
      </w:r>
    </w:p>
    <w:p w14:paraId="000000A5" w14:textId="77777777" w:rsidR="00736373" w:rsidRDefault="00736373">
      <w:pPr>
        <w:spacing w:after="0" w:line="240" w:lineRule="auto"/>
        <w:jc w:val="both"/>
        <w:rPr>
          <w:rFonts w:ascii="Times New Roman" w:eastAsia="Times New Roman" w:hAnsi="Times New Roman" w:cs="Times New Roman"/>
          <w:i/>
          <w:iCs/>
          <w:sz w:val="24"/>
          <w:szCs w:val="24"/>
        </w:rPr>
      </w:pPr>
    </w:p>
    <w:p w14:paraId="000000A6"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Acquisition of Technical Knowledge on Waste Segregation</w:t>
      </w:r>
    </w:p>
    <w:p w14:paraId="000000A7"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second theme reflects participants’ acquisition of technical knowledge on waste segregation, including classification and proper disposal practices. This corresponds with the cognitive dimension of Experiential Learning Theory, where individuals gain conceptual understanding through structured instruction and guided practice.</w:t>
      </w:r>
    </w:p>
    <w:p w14:paraId="000000A8"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strongly supports Objective 2 by demonstrating measurable gains in knowledge related to waste classification and disposal practices. Participants’ ability to articulate segregation procedures reflects successful cognitive outcomes of the training.</w:t>
      </w:r>
    </w:p>
    <w:p w14:paraId="000000A9"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relation to Objective 1, it shows that participants interpreted the training as practical and applicable, indicating that experiential components enhanced comprehension. This supports Experiential Learning Theory, where structured engagement facilitates knowledge acquisition.</w:t>
      </w:r>
    </w:p>
    <w:p w14:paraId="000000A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Furthermore, this finding provides insight to Objective 4 by highlighting that effective university-led programs should combine theoretical instruction with hands-on demonstrations, particularly in workplace-based settings where immediate application is possible.</w:t>
      </w:r>
    </w:p>
    <w:p w14:paraId="000000AB"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Correspondingly, empirical evidence confirms that environmental education significantly improves knowledge and environmental literacy, particularly when supported by practical demonstrations (</w:t>
      </w:r>
      <w:r>
        <w:rPr>
          <w:rFonts w:ascii="Times New Roman" w:eastAsia="Times New Roman" w:hAnsi="Times New Roman" w:cs="Times New Roman"/>
          <w:color w:val="000000"/>
          <w:sz w:val="24"/>
          <w:szCs w:val="24"/>
        </w:rPr>
        <w:t>Chen et al., 2022; Acosta Castellanos et al., 2020</w:t>
      </w:r>
      <w:r>
        <w:rPr>
          <w:rFonts w:ascii="Times New Roman" w:eastAsia="Times New Roman" w:hAnsi="Times New Roman" w:cs="Times New Roman"/>
          <w:sz w:val="24"/>
          <w:szCs w:val="24"/>
        </w:rPr>
        <w:t>). These findings validate the present study’s observation that knowledge acquisition is foundational to sustainable behavior.</w:t>
      </w:r>
    </w:p>
    <w:p w14:paraId="000000AC"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present study advances this literature by demonstrating that embedding environmental education within workplace contexts enhances retention and application. This aligns with recent findings that situated and practice-based learning environments strengthen the transfer of knowledge into real-world behavior (</w:t>
      </w:r>
      <w:proofErr w:type="spellStart"/>
      <w:r>
        <w:rPr>
          <w:rFonts w:ascii="Times New Roman" w:eastAsia="Times New Roman" w:hAnsi="Times New Roman" w:cs="Times New Roman"/>
          <w:color w:val="000000"/>
          <w:sz w:val="24"/>
          <w:szCs w:val="24"/>
        </w:rPr>
        <w:t>Brundiers</w:t>
      </w:r>
      <w:proofErr w:type="spellEnd"/>
      <w:r>
        <w:rPr>
          <w:rFonts w:ascii="Times New Roman" w:eastAsia="Times New Roman" w:hAnsi="Times New Roman" w:cs="Times New Roman"/>
          <w:color w:val="000000"/>
          <w:sz w:val="24"/>
          <w:szCs w:val="24"/>
        </w:rPr>
        <w:t xml:space="preserve"> et al., 2021</w:t>
      </w:r>
      <w:r>
        <w:rPr>
          <w:rFonts w:ascii="Times New Roman" w:eastAsia="Times New Roman" w:hAnsi="Times New Roman" w:cs="Times New Roman"/>
          <w:sz w:val="24"/>
          <w:szCs w:val="24"/>
        </w:rPr>
        <w:t>). Thus, the study extends Experiential Learning Theory by showing how continuous exposure within operational settings reinforces learning among non-academic participants.</w:t>
      </w:r>
    </w:p>
    <w:p w14:paraId="000000AD"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to optimize the learning of the participants, environmental training programs must be practicable</w:t>
      </w:r>
      <w:r>
        <w:rPr>
          <w:rFonts w:ascii="Times New Roman" w:eastAsia="Times New Roman" w:hAnsi="Times New Roman" w:cs="Times New Roman"/>
          <w:color w:val="000000"/>
          <w:sz w:val="24"/>
          <w:szCs w:val="24"/>
        </w:rPr>
        <w:t>. It must not only focus on elevating participants’ consciousness but incorporates opportunity for the actual application of the knowledge gained.</w:t>
      </w:r>
    </w:p>
    <w:p w14:paraId="000000AE" w14:textId="77777777" w:rsidR="00736373" w:rsidRDefault="00736373">
      <w:pPr>
        <w:spacing w:after="0" w:line="240" w:lineRule="auto"/>
        <w:jc w:val="both"/>
        <w:rPr>
          <w:rFonts w:ascii="Times New Roman" w:eastAsia="Times New Roman" w:hAnsi="Times New Roman" w:cs="Times New Roman"/>
          <w:sz w:val="24"/>
          <w:szCs w:val="24"/>
        </w:rPr>
      </w:pPr>
    </w:p>
    <w:p w14:paraId="000000AF"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Behavioral Transformation and Personal Practice</w:t>
      </w:r>
    </w:p>
    <w:p w14:paraId="000000B0"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Beyond knowledge acquisition, participants reported consistent engagement in waste segregation and environmental cleanliness. This reflects the later stages of the experiential learning cycle, where knowledge is translated into action through repeated practice and reflection (</w:t>
      </w:r>
      <w:r>
        <w:rPr>
          <w:rFonts w:ascii="Times New Roman" w:eastAsia="Times New Roman" w:hAnsi="Times New Roman" w:cs="Times New Roman"/>
          <w:color w:val="000000"/>
          <w:sz w:val="24"/>
          <w:szCs w:val="24"/>
        </w:rPr>
        <w:t>Kolb, 2015</w:t>
      </w:r>
      <w:r>
        <w:rPr>
          <w:rFonts w:ascii="Times New Roman" w:eastAsia="Times New Roman" w:hAnsi="Times New Roman" w:cs="Times New Roman"/>
          <w:sz w:val="24"/>
          <w:szCs w:val="24"/>
        </w:rPr>
        <w:t>).</w:t>
      </w:r>
    </w:p>
    <w:p w14:paraId="000000B1"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transition from knowledge to action directly explains Objective 2, particularly in terms of practice change. Participants reported habitual engagement in waste segregation, indicating that the training achieved behavioral internalization.</w:t>
      </w:r>
    </w:p>
    <w:p w14:paraId="000000B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also </w:t>
      </w:r>
      <w:r>
        <w:rPr>
          <w:rFonts w:ascii="Times New Roman" w:eastAsia="Times New Roman" w:hAnsi="Times New Roman" w:cs="Times New Roman"/>
          <w:sz w:val="24"/>
          <w:szCs w:val="24"/>
        </w:rPr>
        <w:t>provides an answer</w:t>
      </w:r>
      <w:r>
        <w:rPr>
          <w:rFonts w:ascii="Times New Roman" w:eastAsia="Times New Roman" w:hAnsi="Times New Roman" w:cs="Times New Roman"/>
          <w:color w:val="000000"/>
          <w:sz w:val="24"/>
          <w:szCs w:val="24"/>
        </w:rPr>
        <w:t xml:space="preserve"> to Objective 3 by showing how individual behavioral shifts contribute to a broader organizational change. When employees consistently practice proper waste management, these behaviors collectively reinforce institutional systems.</w:t>
      </w:r>
    </w:p>
    <w:p w14:paraId="000000B3"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line with Objective 4, the finding suggests that sustainability programs must be designed to support habit formation through repetition, environmental cues, and continuous reinforcement within the workplace.</w:t>
      </w:r>
    </w:p>
    <w:p w14:paraId="000000B4"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Moreover, the finding supports recent research demonstrating that environmental education leads to measurable behavioral change when learning is experiential and context-based (</w:t>
      </w:r>
      <w:r>
        <w:rPr>
          <w:rFonts w:ascii="Times New Roman" w:eastAsia="Times New Roman" w:hAnsi="Times New Roman" w:cs="Times New Roman"/>
          <w:color w:val="000000"/>
          <w:sz w:val="24"/>
          <w:szCs w:val="24"/>
        </w:rPr>
        <w:t>Ardoin et al., 2020</w:t>
      </w:r>
      <w:r>
        <w:rPr>
          <w:rFonts w:ascii="Times New Roman" w:eastAsia="Times New Roman" w:hAnsi="Times New Roman" w:cs="Times New Roman"/>
          <w:sz w:val="24"/>
          <w:szCs w:val="24"/>
        </w:rPr>
        <w:t>). Additionally, it concurs with studies that show behavioral transformation as more likely when sustainability practices are embedded in daily routines (</w:t>
      </w:r>
      <w:r>
        <w:rPr>
          <w:rFonts w:ascii="Times New Roman" w:eastAsia="Times New Roman" w:hAnsi="Times New Roman" w:cs="Times New Roman"/>
          <w:color w:val="000000"/>
          <w:sz w:val="24"/>
          <w:szCs w:val="24"/>
        </w:rPr>
        <w:t>Kayombo et al., 2025</w:t>
      </w:r>
      <w:r>
        <w:rPr>
          <w:rFonts w:ascii="Times New Roman" w:eastAsia="Times New Roman" w:hAnsi="Times New Roman" w:cs="Times New Roman"/>
          <w:sz w:val="24"/>
          <w:szCs w:val="24"/>
        </w:rPr>
        <w:t>).</w:t>
      </w:r>
    </w:p>
    <w:p w14:paraId="000000B5"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Generally, the finding of the present study illustrates how university-led training initiatives can produce sustained behavioral change within organizational settings, particularly in eco-tourism enterprises. However, it has to be noted that behavioral change is not a one-time outcome but a habitual process reinforced by environmental context and institutional support.</w:t>
      </w:r>
    </w:p>
    <w:p w14:paraId="000000B6"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Thus, to bring about behavioral transformation among the participants, environmental education must be continuous. It must include a monitoring and reward mechanisms to ensure that learned information is put in practice in daily activities.</w:t>
      </w:r>
    </w:p>
    <w:p w14:paraId="000000B7" w14:textId="77777777" w:rsidR="00736373" w:rsidRDefault="00736373">
      <w:pPr>
        <w:spacing w:after="0" w:line="240" w:lineRule="auto"/>
        <w:jc w:val="both"/>
        <w:rPr>
          <w:rFonts w:ascii="Times New Roman" w:eastAsia="Times New Roman" w:hAnsi="Times New Roman" w:cs="Times New Roman"/>
          <w:sz w:val="24"/>
          <w:szCs w:val="24"/>
        </w:rPr>
      </w:pPr>
    </w:p>
    <w:p w14:paraId="000000B8"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Emergence of Role Modeling and Environmental Advocacy</w:t>
      </w:r>
    </w:p>
    <w:p w14:paraId="000000B9"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Another significant outcome was the emergence of participants as environmental role models and advocates. Participants reported educating visitors and demonstrating proper waste management practices, indicating a shift from personal learning to social influence.</w:t>
      </w:r>
    </w:p>
    <w:p w14:paraId="000000B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clarifies both Objective 1 and Objective 2 by pointing out that participants not only experienced the training meaningfully but also extended its impact through attitudinal and behavioral transformation into advocacy.</w:t>
      </w:r>
    </w:p>
    <w:p w14:paraId="000000BB"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Importantly, it explains Objective 3 by demonstrating how individual participants contribute to shaping the environmental culture of the organization and its surrounding community. Their role as informal educators bridges the gap between trained staff and untrained visitors.</w:t>
      </w:r>
    </w:p>
    <w:p w14:paraId="000000BC"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relation to Objective 4, this highlights a critical insight wherein community engagement initiatives can create multiplier effects when participants are empowered as advocates. Designing programs that purposely promote leadership and peer influence can significantly expand the reach of sustainability interventions.</w:t>
      </w:r>
    </w:p>
    <w:p w14:paraId="000000BD"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Moreover, this finding concurs with Transformative Learning Theory, which suggests that perspective transformation leads to increased agency and social action. Recent studies confirm that environmental education can produce “knowledge multipliers” who influence community behavior and promote sustainability practices (</w:t>
      </w:r>
      <w:r>
        <w:rPr>
          <w:rFonts w:ascii="Times New Roman" w:eastAsia="Times New Roman" w:hAnsi="Times New Roman" w:cs="Times New Roman"/>
          <w:color w:val="000000"/>
          <w:sz w:val="24"/>
          <w:szCs w:val="24"/>
        </w:rPr>
        <w:t>Ardoin et al., 2023</w:t>
      </w:r>
      <w:r>
        <w:rPr>
          <w:rFonts w:ascii="Times New Roman" w:eastAsia="Times New Roman" w:hAnsi="Times New Roman" w:cs="Times New Roman"/>
          <w:sz w:val="24"/>
          <w:szCs w:val="24"/>
        </w:rPr>
        <w:t>).</w:t>
      </w:r>
    </w:p>
    <w:p w14:paraId="000000BE"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present study extends the previous findings by situating advocacy within a tourism context, where participants act as informal educators to transient populations. This highlights an important contribution. Sustainability training not only transforms individuals but </w:t>
      </w:r>
      <w:r>
        <w:rPr>
          <w:rFonts w:ascii="Times New Roman" w:eastAsia="Times New Roman" w:hAnsi="Times New Roman" w:cs="Times New Roman"/>
          <w:sz w:val="24"/>
          <w:szCs w:val="24"/>
        </w:rPr>
        <w:lastRenderedPageBreak/>
        <w:t>also enables them to function as agents of environmental diffusion within service-oriented environments.</w:t>
      </w:r>
    </w:p>
    <w:p w14:paraId="000000BF" w14:textId="77777777" w:rsidR="00736373" w:rsidRDefault="00736373">
      <w:pPr>
        <w:spacing w:after="0" w:line="240" w:lineRule="auto"/>
        <w:jc w:val="both"/>
        <w:rPr>
          <w:rFonts w:ascii="Times New Roman" w:eastAsia="Times New Roman" w:hAnsi="Times New Roman" w:cs="Times New Roman"/>
          <w:sz w:val="24"/>
          <w:szCs w:val="24"/>
        </w:rPr>
      </w:pPr>
    </w:p>
    <w:p w14:paraId="000000C0"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Institutional Strengthening of Waste Management Systems</w:t>
      </w:r>
    </w:p>
    <w:p w14:paraId="000000C1"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of the findings reveals institutional-level transformations, including improved waste management infrastructure and clearer implementation of segregation policies. These changes demonstrate that sustainability training can influence not only individual behavior but also organizational systems.</w:t>
      </w:r>
    </w:p>
    <w:p w14:paraId="000000C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directly addresses Objective 3, providing clear evidence that the ESWM training influenced organizational systems and workplace practices. The introduction of labeled bins and strengthened policies indicates that the training extended beyond individual learning into structural change.</w:t>
      </w:r>
    </w:p>
    <w:p w14:paraId="000000C3"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Additionally, this outcome provides </w:t>
      </w:r>
      <w:r>
        <w:rPr>
          <w:rFonts w:ascii="Times New Roman" w:eastAsia="Times New Roman" w:hAnsi="Times New Roman" w:cs="Times New Roman"/>
          <w:sz w:val="24"/>
          <w:szCs w:val="24"/>
        </w:rPr>
        <w:t>answers</w:t>
      </w:r>
      <w:r>
        <w:rPr>
          <w:rFonts w:ascii="Times New Roman" w:eastAsia="Times New Roman" w:hAnsi="Times New Roman" w:cs="Times New Roman"/>
          <w:color w:val="000000"/>
          <w:sz w:val="24"/>
          <w:szCs w:val="24"/>
        </w:rPr>
        <w:t xml:space="preserve"> to Objectives 1 and 2 by illustrating how participants’ experiences and behavioral changes contributed to institutional adoption.</w:t>
      </w:r>
    </w:p>
    <w:p w14:paraId="000000C4"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relation to Objective 4, the finding suggests that successful community engagement programs should incorporate mechanisms for policy integration and infrastructure support, ensuring that individual learning is reinforced by organizational systems.</w:t>
      </w:r>
    </w:p>
    <w:p w14:paraId="000000C5"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Similarly, the finding is consistent with Education for Sustainable Development (ESD) which emphasizes that sustainability requires systemic integration across institutional structures. It also supports the findings of empirical studies showing that organizational adoption of sustainability practices depends on training, policy alignment, and structural support (</w:t>
      </w:r>
      <w:r>
        <w:rPr>
          <w:rFonts w:ascii="Times New Roman" w:eastAsia="Times New Roman" w:hAnsi="Times New Roman" w:cs="Times New Roman"/>
          <w:color w:val="000000"/>
          <w:sz w:val="24"/>
          <w:szCs w:val="24"/>
        </w:rPr>
        <w:t>Acosta Castellanos et al., 2020</w:t>
      </w:r>
      <w:r>
        <w:rPr>
          <w:rFonts w:ascii="Times New Roman" w:eastAsia="Times New Roman" w:hAnsi="Times New Roman" w:cs="Times New Roman"/>
          <w:sz w:val="24"/>
          <w:szCs w:val="24"/>
        </w:rPr>
        <w:t>).</w:t>
      </w:r>
    </w:p>
    <w:p w14:paraId="000000C6"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Nevertheless, the present study contributes by providing evidence from a private tourism enterprise, an underexplored setting in sustainability research. It demonstrates that university-led engagement can catalyze organizational change by aligning employee behavior with institutional systems, reinforcing the multi-level impact of sustainability education.</w:t>
      </w:r>
    </w:p>
    <w:p w14:paraId="000000C7" w14:textId="77777777" w:rsidR="00736373" w:rsidRDefault="00736373">
      <w:pPr>
        <w:spacing w:after="0" w:line="240" w:lineRule="auto"/>
        <w:jc w:val="both"/>
        <w:rPr>
          <w:rFonts w:ascii="Times New Roman" w:eastAsia="Times New Roman" w:hAnsi="Times New Roman" w:cs="Times New Roman"/>
          <w:sz w:val="24"/>
          <w:szCs w:val="24"/>
        </w:rPr>
      </w:pPr>
    </w:p>
    <w:p w14:paraId="000000C8"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Recognition of Environmental and Disaster Risks</w:t>
      </w:r>
    </w:p>
    <w:p w14:paraId="000000C9"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Participants demonstrated heightened awareness of the environmental and disaster-related consequences of improper waste disposal, particularly its link to flooding and environmental degradation.</w:t>
      </w:r>
    </w:p>
    <w:p w14:paraId="000000C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addresses Objective 2 by demonstrating expanded knowledge and awareness, particularly in understanding the broader consequences of improper waste disposal.</w:t>
      </w:r>
    </w:p>
    <w:p w14:paraId="000000CB"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also explains Objective 1, by pointing out how participants interpreted the training in relation to real-world risks such as flooding and environmental degradation. This indicates contextualized learning, where the participants connect abstract concepts to lived experiences.</w:t>
      </w:r>
    </w:p>
    <w:p w14:paraId="000000CC"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connection with Objective 4, the finding implies that sustainability programs are more impactful when they integrate risk communication and local environmental realities, thereby enhancing relevance and urgency.</w:t>
      </w:r>
    </w:p>
    <w:p w14:paraId="000000CD"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corroborates with the observation of recent studies that environmental education enhances systems thinking and awareness of interconnected environmental risks, including climate change and disaster vulnerability (</w:t>
      </w:r>
      <w:proofErr w:type="spellStart"/>
      <w:r>
        <w:rPr>
          <w:rFonts w:ascii="Times New Roman" w:eastAsia="Times New Roman" w:hAnsi="Times New Roman" w:cs="Times New Roman"/>
          <w:color w:val="000000"/>
          <w:sz w:val="24"/>
          <w:szCs w:val="24"/>
        </w:rPr>
        <w:t>Pénzesné</w:t>
      </w:r>
      <w:proofErr w:type="spellEnd"/>
      <w:r>
        <w:rPr>
          <w:rFonts w:ascii="Times New Roman" w:eastAsia="Times New Roman" w:hAnsi="Times New Roman" w:cs="Times New Roman"/>
          <w:color w:val="000000"/>
          <w:sz w:val="24"/>
          <w:szCs w:val="24"/>
        </w:rPr>
        <w:t xml:space="preserve"> Kónya &amp; Haigh, 2021</w:t>
      </w:r>
      <w:r>
        <w:rPr>
          <w:rFonts w:ascii="Times New Roman" w:eastAsia="Times New Roman" w:hAnsi="Times New Roman" w:cs="Times New Roman"/>
          <w:sz w:val="24"/>
          <w:szCs w:val="24"/>
        </w:rPr>
        <w:t>). Additionally, it supports previous research finding that sustainability education fosters integrated understanding of environmental and social risks, particularly in vulnerable regions (</w:t>
      </w:r>
      <w:r>
        <w:rPr>
          <w:rFonts w:ascii="Times New Roman" w:eastAsia="Times New Roman" w:hAnsi="Times New Roman" w:cs="Times New Roman"/>
          <w:color w:val="000000"/>
          <w:sz w:val="24"/>
          <w:szCs w:val="24"/>
        </w:rPr>
        <w:t>Wen, 2023</w:t>
      </w:r>
      <w:r>
        <w:rPr>
          <w:rFonts w:ascii="Times New Roman" w:eastAsia="Times New Roman" w:hAnsi="Times New Roman" w:cs="Times New Roman"/>
          <w:sz w:val="24"/>
          <w:szCs w:val="24"/>
        </w:rPr>
        <w:t>).</w:t>
      </w:r>
    </w:p>
    <w:p w14:paraId="000000CE"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present finding broadens this perspective by explicitly linking solid waste management practices to disaster risk awareness, an area that remains underexplored in existing literature. This clearly demonstrates that ESWM training can simultaneously promote ecological responsibility and disaster preparedness, reflecting the holistic approach advocated in ESD.</w:t>
      </w:r>
    </w:p>
    <w:p w14:paraId="000000CF" w14:textId="77777777" w:rsidR="00736373" w:rsidRDefault="00736373">
      <w:pPr>
        <w:spacing w:after="0" w:line="240" w:lineRule="auto"/>
        <w:jc w:val="both"/>
        <w:rPr>
          <w:rFonts w:ascii="Times New Roman" w:eastAsia="Times New Roman" w:hAnsi="Times New Roman" w:cs="Times New Roman"/>
          <w:sz w:val="24"/>
          <w:szCs w:val="24"/>
        </w:rPr>
      </w:pPr>
    </w:p>
    <w:p w14:paraId="000000D0"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Persistent Knowledge–Behavior Gap Among Visitors</w:t>
      </w:r>
    </w:p>
    <w:p w14:paraId="000000D1"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Despite positive outcomes among trained participants, challenges remain in visitor compliance. Participants observed improper waste disposal among guests, indicating a gap between awareness and behavior.</w:t>
      </w:r>
    </w:p>
    <w:p w14:paraId="000000D2"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finding is critical in addressing Objective 3, as it highlights limitations in the broader system of waste management within the resort. While staff behavior improved, visitor non-compliance reveals a structural gap in implementation.</w:t>
      </w:r>
    </w:p>
    <w:p w14:paraId="000000D3"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also provides a nuanced perspective on Objective 2, demonstrating that knowledge and behavior change are not uniform across all stakeholders, particularly those not directly engaged in training.</w:t>
      </w:r>
    </w:p>
    <w:p w14:paraId="000000D4"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Most importantly, this theme particularly explains Objective 4 by identifying a key area for program enhancement. Specifically, there is the need for visitor-centered interventions, such as environmental signage, nudges, and awareness campaigns.</w:t>
      </w:r>
    </w:p>
    <w:p w14:paraId="000000D5"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non-compliance behavior of visitors is consistent with earlier research which stresses that knowledge alone does not guarantee behavioral compliance, particularly in public or shared spaces (</w:t>
      </w:r>
      <w:r>
        <w:rPr>
          <w:rFonts w:ascii="Times New Roman" w:eastAsia="Times New Roman" w:hAnsi="Times New Roman" w:cs="Times New Roman"/>
          <w:color w:val="000000"/>
          <w:sz w:val="24"/>
          <w:szCs w:val="24"/>
        </w:rPr>
        <w:t>Ardoin et al., 2020</w:t>
      </w:r>
      <w:r>
        <w:rPr>
          <w:rFonts w:ascii="Times New Roman" w:eastAsia="Times New Roman" w:hAnsi="Times New Roman" w:cs="Times New Roman"/>
          <w:sz w:val="24"/>
          <w:szCs w:val="24"/>
        </w:rPr>
        <w:t>). However, the present study adds nuance by highlighting the tourism context, where visitors are transient stakeholders who may not be exposed to environmental education. This structural limitation indicates the need for multi-level interventions, including visitor-oriented communication strategies and environmental drives.</w:t>
      </w:r>
    </w:p>
    <w:p w14:paraId="000000D6" w14:textId="77777777" w:rsidR="00736373" w:rsidRDefault="00736373">
      <w:pPr>
        <w:spacing w:after="0" w:line="240" w:lineRule="auto"/>
        <w:jc w:val="both"/>
        <w:rPr>
          <w:rFonts w:ascii="Times New Roman" w:eastAsia="Times New Roman" w:hAnsi="Times New Roman" w:cs="Times New Roman"/>
          <w:sz w:val="24"/>
          <w:szCs w:val="24"/>
        </w:rPr>
      </w:pPr>
    </w:p>
    <w:p w14:paraId="000000D7" w14:textId="77777777" w:rsidR="00736373"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Reframing Waste as an Economic Resource</w:t>
      </w:r>
    </w:p>
    <w:p w14:paraId="000000D8"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Finally, participants demonstrated a shift in perspective by recognizing waste as a potential economic resource. This reflects an understanding aligned with circular economy principles, where waste is viewed as a recoverable and valuable material.</w:t>
      </w:r>
    </w:p>
    <w:p w14:paraId="000000D9"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theme shows a higher-order cognitive shift aligned with Objective 2, where participants move beyond basic knowledge toward conceptual reframing of waste as a resource. It also answers Objective 1, by explaining how participants interpreted the training in economically meaningful ways, linking environmental practices to potential livelihood opportunities.</w:t>
      </w:r>
    </w:p>
    <w:p w14:paraId="000000DA" w14:textId="77777777" w:rsidR="0073637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relation to Objective 4, this provides a significant insight on how economic incentives and circular economy principles could be integrated into training programs to enhance motivation and sustainability of practices.</w:t>
      </w:r>
    </w:p>
    <w:p w14:paraId="000000DB"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finding supports recent research which confirms that environmental education can promote circular thinking and resource efficiency, encouraging individuals to see waste as part of a regenerative system (</w:t>
      </w:r>
      <w:r>
        <w:rPr>
          <w:rFonts w:ascii="Times New Roman" w:eastAsia="Times New Roman" w:hAnsi="Times New Roman" w:cs="Times New Roman"/>
          <w:color w:val="000000"/>
          <w:sz w:val="24"/>
          <w:szCs w:val="24"/>
        </w:rPr>
        <w:t>Acosta Castellanos et al., 2020</w:t>
      </w:r>
      <w:r>
        <w:rPr>
          <w:rFonts w:ascii="Times New Roman" w:eastAsia="Times New Roman" w:hAnsi="Times New Roman" w:cs="Times New Roman"/>
          <w:sz w:val="24"/>
          <w:szCs w:val="24"/>
        </w:rPr>
        <w:t xml:space="preserve">). </w:t>
      </w:r>
    </w:p>
    <w:p w14:paraId="000000DC"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 present study contributes by showing how participants cognitively reframe waste within both environmental and economic dimensions, suggesting that sustainability training can foster not only ecological awareness but also livelihood-oriented thinking. This integrated perspective strengthens the long-term viability of sustainability practices in community and organizational contexts.</w:t>
      </w:r>
    </w:p>
    <w:p w14:paraId="000000DD"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Collectively, the study contributes to emerging sustainability literature by showing that environmental education is most effective when it is value-driven, experiential and contextually embedded within both social and institutional systems.</w:t>
      </w:r>
    </w:p>
    <w:p w14:paraId="000000DE" w14:textId="77777777" w:rsidR="00736373" w:rsidRDefault="00736373">
      <w:pPr>
        <w:spacing w:after="0" w:line="240" w:lineRule="auto"/>
        <w:jc w:val="both"/>
        <w:rPr>
          <w:rFonts w:ascii="Times New Roman" w:eastAsia="Times New Roman" w:hAnsi="Times New Roman" w:cs="Times New Roman"/>
          <w:sz w:val="24"/>
          <w:szCs w:val="24"/>
        </w:rPr>
      </w:pPr>
    </w:p>
    <w:p w14:paraId="000000DF" w14:textId="77777777" w:rsidR="0073637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 Conclusions and Recommendations</w:t>
      </w:r>
    </w:p>
    <w:p w14:paraId="000000E0" w14:textId="77777777" w:rsidR="00736373" w:rsidRDefault="00736373">
      <w:pPr>
        <w:spacing w:after="0" w:line="240" w:lineRule="auto"/>
        <w:jc w:val="both"/>
        <w:rPr>
          <w:rFonts w:ascii="Times New Roman" w:eastAsia="Times New Roman" w:hAnsi="Times New Roman" w:cs="Times New Roman"/>
          <w:sz w:val="24"/>
          <w:szCs w:val="24"/>
        </w:rPr>
      </w:pPr>
    </w:p>
    <w:p w14:paraId="000000E1"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this study sought to assess the impact of the community engagement of Eastern Visayas State University at </w:t>
      </w:r>
      <w:proofErr w:type="spellStart"/>
      <w:r>
        <w:rPr>
          <w:rFonts w:ascii="Times New Roman" w:eastAsia="Times New Roman" w:hAnsi="Times New Roman" w:cs="Times New Roman"/>
          <w:sz w:val="24"/>
          <w:szCs w:val="24"/>
        </w:rPr>
        <w:t>Villaconzoilo</w:t>
      </w:r>
      <w:proofErr w:type="spellEnd"/>
      <w:r>
        <w:rPr>
          <w:rFonts w:ascii="Times New Roman" w:eastAsia="Times New Roman" w:hAnsi="Times New Roman" w:cs="Times New Roman"/>
          <w:sz w:val="24"/>
          <w:szCs w:val="24"/>
        </w:rPr>
        <w:t xml:space="preserve"> Farm Resort, the overall findings illustrate how the university’s </w:t>
      </w:r>
      <w:proofErr w:type="spellStart"/>
      <w:r>
        <w:rPr>
          <w:rFonts w:ascii="Times New Roman" w:eastAsia="Times New Roman" w:hAnsi="Times New Roman" w:cs="Times New Roman"/>
          <w:i/>
          <w:iCs/>
          <w:sz w:val="24"/>
          <w:szCs w:val="24"/>
        </w:rPr>
        <w:t>Pagpapahalaga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Kalikasan</w:t>
      </w:r>
      <w:proofErr w:type="spellEnd"/>
      <w:r>
        <w:rPr>
          <w:rFonts w:ascii="Times New Roman" w:eastAsia="Times New Roman" w:hAnsi="Times New Roman" w:cs="Times New Roman"/>
          <w:sz w:val="24"/>
          <w:szCs w:val="24"/>
        </w:rPr>
        <w:t xml:space="preserve"> training facilitated transformations among the </w:t>
      </w:r>
      <w:r>
        <w:rPr>
          <w:rFonts w:ascii="Times New Roman" w:eastAsia="Times New Roman" w:hAnsi="Times New Roman" w:cs="Times New Roman"/>
          <w:sz w:val="24"/>
          <w:szCs w:val="24"/>
        </w:rPr>
        <w:lastRenderedPageBreak/>
        <w:t>employees and staff of the partner community across multiple levels: cognitive, affective, behavioral, social, and institutional. The following are the explicit effects of the project:</w:t>
      </w:r>
    </w:p>
    <w:p w14:paraId="000000E2" w14:textId="77777777" w:rsidR="00736373" w:rsidRDefault="00000000">
      <w:pPr>
        <w:numPr>
          <w:ilvl w:val="0"/>
          <w:numId w:val="4"/>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Cognitive transformation as shown by the knowledge acquired by the respondents on waste segregation;</w:t>
      </w:r>
    </w:p>
    <w:p w14:paraId="000000E3" w14:textId="77777777" w:rsidR="00736373" w:rsidRDefault="00000000">
      <w:pPr>
        <w:numPr>
          <w:ilvl w:val="0"/>
          <w:numId w:val="4"/>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Affective transformation as illustrated in the respondents’ internalization of environmental values specifically,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color w:val="000000"/>
          <w:sz w:val="24"/>
          <w:szCs w:val="24"/>
        </w:rPr>
        <w:t>;</w:t>
      </w:r>
    </w:p>
    <w:p w14:paraId="000000E4" w14:textId="77777777" w:rsidR="00736373" w:rsidRDefault="00000000">
      <w:pPr>
        <w:numPr>
          <w:ilvl w:val="0"/>
          <w:numId w:val="4"/>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Behavioral transformation as manifested through their consistent segregation practices despite visitors’ non-compliance;</w:t>
      </w:r>
    </w:p>
    <w:p w14:paraId="000000E5" w14:textId="77777777" w:rsidR="00736373" w:rsidRDefault="00000000">
      <w:pPr>
        <w:numPr>
          <w:ilvl w:val="0"/>
          <w:numId w:val="4"/>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transformation as expressed through their eager support for environmental promotion and the desire to engage in role modeling; and,</w:t>
      </w:r>
    </w:p>
    <w:p w14:paraId="000000E6" w14:textId="77777777" w:rsidR="00736373" w:rsidRDefault="00000000">
      <w:pPr>
        <w:numPr>
          <w:ilvl w:val="0"/>
          <w:numId w:val="4"/>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transformation as revealed through the implementation of strengthened waste management schemes.</w:t>
      </w:r>
    </w:p>
    <w:p w14:paraId="000000E7"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outcomes collectively support the study’s theoretical frameworks and findings from previous research. However, the present study expands existing body of knowledge by offering the following insights:</w:t>
      </w:r>
    </w:p>
    <w:p w14:paraId="000000E8"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Value internalization can be an influential driver of sustainable environmental behavior.</w:t>
      </w:r>
    </w:p>
    <w:p w14:paraId="000000E9"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Workplace-embedded experiential learning can be effective in tourism settings.</w:t>
      </w:r>
    </w:p>
    <w:p w14:paraId="000000EA"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Resort workers are potential knowledge multipliers who can be tapped as informal environmental educators.</w:t>
      </w:r>
    </w:p>
    <w:p w14:paraId="000000EB"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initiatives can be implemented to advance disaster-risk awareness among the target participants.</w:t>
      </w:r>
    </w:p>
    <w:p w14:paraId="000000EC"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Structural limitation specifically on the behavior of transient stakeholders can be a substantial obstacle to sustainability initiatives </w:t>
      </w:r>
      <w:r>
        <w:rPr>
          <w:rFonts w:ascii="Times New Roman" w:eastAsia="Times New Roman" w:hAnsi="Times New Roman" w:cs="Times New Roman"/>
          <w:sz w:val="24"/>
          <w:szCs w:val="24"/>
        </w:rPr>
        <w:t>in the tourism</w:t>
      </w:r>
      <w:r>
        <w:rPr>
          <w:rFonts w:ascii="Times New Roman" w:eastAsia="Times New Roman" w:hAnsi="Times New Roman" w:cs="Times New Roman"/>
          <w:color w:val="000000"/>
          <w:sz w:val="24"/>
          <w:szCs w:val="24"/>
        </w:rPr>
        <w:t xml:space="preserve"> industry.</w:t>
      </w:r>
    </w:p>
    <w:p w14:paraId="000000ED" w14:textId="77777777" w:rsidR="00736373" w:rsidRDefault="00000000">
      <w:pPr>
        <w:numPr>
          <w:ilvl w:val="0"/>
          <w:numId w:val="1"/>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education projects can provide economic gains to the community.</w:t>
      </w:r>
    </w:p>
    <w:p w14:paraId="000000EE"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ideas position SUC-led ESWM training not only as an educational intervention but as a transformative, context-responsive, and productivity-oriented approach to sustainable development.</w:t>
      </w:r>
    </w:p>
    <w:p w14:paraId="000000EF"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Thus, to optimize the impact of environmental sustainability projects, SUCs are encouraged to: </w:t>
      </w:r>
    </w:p>
    <w:p w14:paraId="000000F0"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Initiate values-based environmental education by integrating culturally grounded values such as </w:t>
      </w:r>
      <w:proofErr w:type="spellStart"/>
      <w:r>
        <w:rPr>
          <w:rFonts w:ascii="Times New Roman" w:eastAsia="Times New Roman" w:hAnsi="Times New Roman" w:cs="Times New Roman"/>
          <w:i/>
          <w:iCs/>
          <w:color w:val="000000"/>
          <w:sz w:val="24"/>
          <w:szCs w:val="24"/>
        </w:rPr>
        <w:t>pagpapahalaga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kalikasan</w:t>
      </w:r>
      <w:proofErr w:type="spellEnd"/>
      <w:r>
        <w:rPr>
          <w:rFonts w:ascii="Times New Roman" w:eastAsia="Times New Roman" w:hAnsi="Times New Roman" w:cs="Times New Roman"/>
          <w:color w:val="000000"/>
          <w:sz w:val="24"/>
          <w:szCs w:val="24"/>
        </w:rPr>
        <w:t xml:space="preserve"> into training frameworks to strengthen intrinsic motivation and sustain long-term environmental behavior.</w:t>
      </w:r>
    </w:p>
    <w:p w14:paraId="000000F1"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Institutionalize experiential learning approaches by designing continuous and workplace-based training programs that allow participants to repeatedly apply and refine sustainable practices in real-world contexts. </w:t>
      </w:r>
    </w:p>
    <w:p w14:paraId="000000F2"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 impact assessment systems (IAS) by adopting systematic impact evaluation tools (e.g., theory of change, outcome mapping, longitudinal monitoring) to assess behavioral, institutional, and community-level outcomes and guide evidence-based improvements.</w:t>
      </w:r>
    </w:p>
    <w:p w14:paraId="000000F3"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Expand stakeholder coverage by extending environmental education strategies to external actors, particularly visitors. This may be done through orientation programs, visual prompts, and behaviorally informed interventions to reduce the knowledge–behavior gap.</w:t>
      </w:r>
    </w:p>
    <w:p w14:paraId="000000F4"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environmental partners by formally engaging participants as peer educators and advocates to enable wider dissemination of environmental practices within and beyond the organization. </w:t>
      </w:r>
    </w:p>
    <w:p w14:paraId="000000F5"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 institutional infrastructure and policy support by ensuring that partner communities or organizations maintain adequate facilities, clear protocols, and monitoring systems to reinforce proper waste management practices.</w:t>
      </w:r>
    </w:p>
    <w:p w14:paraId="000000F6"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Integrate Disaster Risk Reduction (DRR) in ESWM training. This may be done by explicitly incorporating disaster-risk linkages, particularly in vulnerable regions, to promote both environmental sustainability and community resilience. </w:t>
      </w:r>
    </w:p>
    <w:p w14:paraId="000000F7" w14:textId="77777777" w:rsidR="00736373" w:rsidRDefault="00000000">
      <w:pPr>
        <w:numPr>
          <w:ilvl w:val="0"/>
          <w:numId w:val="3"/>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circular economy initiatives by introducing income-generating recycling and resource recovery projects that strengthen the economic dimension of sustainability.</w:t>
      </w:r>
    </w:p>
    <w:p w14:paraId="000000F8"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Nevertheless, in view of the limitations of the present study, the following may be considered in future research:</w:t>
      </w:r>
    </w:p>
    <w:p w14:paraId="000000F9"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Expanding the sample size and participant diversity by including a larger and more diverse sample across multiple tourism enterprises and communities to improve generalizability and capture varying contextual dynamics. </w:t>
      </w:r>
    </w:p>
    <w:p w14:paraId="000000FA"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Incorporating quantitative and mixed-methods approaches by integrating quantitative indicators (e.g., waste reduction rates, compliance levels) alongside qualitative insights for more robust impact evaluation. </w:t>
      </w:r>
    </w:p>
    <w:p w14:paraId="000000FB"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Conducting longitudinal studies by employing long-term tracking to assess the sustainability and durability of behavioral and institutional changes. </w:t>
      </w:r>
    </w:p>
    <w:p w14:paraId="000000FC"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visitor perspectives by exploring their awareness, attitudes, and compliance behaviors to design more inclusive interventions. </w:t>
      </w:r>
    </w:p>
    <w:p w14:paraId="000000FD"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Assessing comparative program effectiveness by comparing different training models or delivery approaches (e.g., community-based vs. workplace-based training) to identify best practices in environmental education. </w:t>
      </w:r>
    </w:p>
    <w:p w14:paraId="000000FE"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Examining external influencing factors by including additional variables such as organizational culture, leadership support, policy enforcement, and socio-economic conditions to better understand factors influencing program success or failure. </w:t>
      </w:r>
    </w:p>
    <w:p w14:paraId="000000FF" w14:textId="77777777" w:rsidR="00736373" w:rsidRDefault="00000000">
      <w:pPr>
        <w:numPr>
          <w:ilvl w:val="0"/>
          <w:numId w:val="2"/>
        </w:numPr>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Strengthening measurement of institutional impact by developing clearer metrics for organizational change including policy integration, operational efficiency, and environmental performance indicators. </w:t>
      </w:r>
    </w:p>
    <w:p w14:paraId="00000100" w14:textId="77777777" w:rsidR="00736373" w:rsidRDefault="00736373">
      <w:pPr>
        <w:spacing w:after="0" w:line="240" w:lineRule="auto"/>
        <w:jc w:val="both"/>
        <w:rPr>
          <w:rFonts w:ascii="Times New Roman" w:eastAsia="Times New Roman" w:hAnsi="Times New Roman" w:cs="Times New Roman"/>
          <w:sz w:val="24"/>
          <w:szCs w:val="24"/>
        </w:rPr>
      </w:pPr>
    </w:p>
    <w:p w14:paraId="00000101" w14:textId="77777777" w:rsidR="0073637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0000102" w14:textId="77777777" w:rsidR="00736373" w:rsidRDefault="00736373">
      <w:pPr>
        <w:spacing w:after="0" w:line="240" w:lineRule="auto"/>
        <w:jc w:val="both"/>
        <w:rPr>
          <w:rFonts w:ascii="Times New Roman" w:eastAsia="Times New Roman" w:hAnsi="Times New Roman" w:cs="Times New Roman"/>
          <w:sz w:val="24"/>
          <w:szCs w:val="24"/>
        </w:rPr>
      </w:pPr>
    </w:p>
    <w:p w14:paraId="00000103"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Acosta Castellanos, P. M., </w:t>
      </w:r>
      <w:proofErr w:type="spellStart"/>
      <w:r>
        <w:rPr>
          <w:rFonts w:ascii="Times New Roman" w:eastAsia="Times New Roman" w:hAnsi="Times New Roman" w:cs="Times New Roman"/>
          <w:color w:val="000000"/>
          <w:sz w:val="24"/>
          <w:szCs w:val="24"/>
        </w:rPr>
        <w:t>Queiruga</w:t>
      </w:r>
      <w:proofErr w:type="spellEnd"/>
      <w:r>
        <w:rPr>
          <w:rFonts w:ascii="Times New Roman" w:eastAsia="Times New Roman" w:hAnsi="Times New Roman" w:cs="Times New Roman"/>
          <w:color w:val="000000"/>
          <w:sz w:val="24"/>
          <w:szCs w:val="24"/>
        </w:rPr>
        <w:t xml:space="preserve">-Dios, A., Hernández Encinas, 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Environmental Education in Environmental Engineering: Analysis of the Situation in Colombia and Latin America.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 xml:space="preserve">(18), 7239. </w:t>
      </w:r>
      <w:hyperlink r:id="rId7">
        <w:r w:rsidR="00736373">
          <w:rPr>
            <w:rFonts w:ascii="Times New Roman" w:eastAsia="Times New Roman" w:hAnsi="Times New Roman" w:cs="Times New Roman"/>
            <w:color w:val="000000"/>
            <w:sz w:val="24"/>
            <w:szCs w:val="24"/>
          </w:rPr>
          <w:t>https://doi.org/10.3390/su12187239</w:t>
        </w:r>
      </w:hyperlink>
    </w:p>
    <w:p w14:paraId="00000104"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5"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Agboola, O. P., Ilke, C., &amp; </w:t>
      </w:r>
      <w:proofErr w:type="spellStart"/>
      <w:r>
        <w:rPr>
          <w:rFonts w:ascii="Times New Roman" w:eastAsia="Times New Roman" w:hAnsi="Times New Roman" w:cs="Times New Roman"/>
          <w:color w:val="000000"/>
          <w:sz w:val="24"/>
          <w:szCs w:val="24"/>
        </w:rPr>
        <w:t>Mislat</w:t>
      </w:r>
      <w:proofErr w:type="spellEnd"/>
      <w:r>
        <w:rPr>
          <w:rFonts w:ascii="Times New Roman" w:eastAsia="Times New Roman" w:hAnsi="Times New Roman" w:cs="Times New Roman"/>
          <w:color w:val="000000"/>
          <w:sz w:val="24"/>
          <w:szCs w:val="24"/>
        </w:rPr>
        <w:t xml:space="preserve"> Alsharif, A. (2026). The role of sustainability-integrated curricula in promoting sustainable practices among university students. </w:t>
      </w:r>
      <w:r>
        <w:rPr>
          <w:rFonts w:ascii="Times New Roman" w:eastAsia="Times New Roman" w:hAnsi="Times New Roman" w:cs="Times New Roman"/>
          <w:i/>
          <w:iCs/>
          <w:color w:val="000000"/>
          <w:sz w:val="24"/>
          <w:szCs w:val="24"/>
        </w:rPr>
        <w:t>Cogent Social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 https://doi.org/10.1080/23311886.2026.2623311</w:t>
      </w:r>
    </w:p>
    <w:p w14:paraId="00000106"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7"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Ardoin, N. M., Bowers, A. W., &amp; Gaillard, E. (2020). Environmental education outcomes for conservation: A systematic review. </w:t>
      </w:r>
      <w:r>
        <w:rPr>
          <w:rFonts w:ascii="Times New Roman" w:eastAsia="Times New Roman" w:hAnsi="Times New Roman" w:cs="Times New Roman"/>
          <w:i/>
          <w:iCs/>
          <w:color w:val="000000"/>
          <w:sz w:val="24"/>
          <w:szCs w:val="24"/>
        </w:rPr>
        <w:t>Biological Conservation, 241</w:t>
      </w:r>
      <w:r>
        <w:rPr>
          <w:rFonts w:ascii="Times New Roman" w:eastAsia="Times New Roman" w:hAnsi="Times New Roman" w:cs="Times New Roman"/>
          <w:color w:val="000000"/>
          <w:sz w:val="24"/>
          <w:szCs w:val="24"/>
        </w:rPr>
        <w:t xml:space="preserve">, 108224. </w:t>
      </w:r>
      <w:hyperlink r:id="rId8">
        <w:r w:rsidR="00736373">
          <w:rPr>
            <w:rFonts w:ascii="Times New Roman" w:eastAsia="Times New Roman" w:hAnsi="Times New Roman" w:cs="Times New Roman"/>
            <w:color w:val="000000"/>
            <w:sz w:val="24"/>
            <w:szCs w:val="24"/>
          </w:rPr>
          <w:t>https://doi.org/10.1016/j.biocon.2019.108224</w:t>
        </w:r>
      </w:hyperlink>
    </w:p>
    <w:p w14:paraId="00000108"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9"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Ardoin, N. M., Bowers, A. W., &amp; Gaillard, E. (2023). A systematic mixed studies review of civic engagement outcomes in environmental education. </w:t>
      </w:r>
      <w:r>
        <w:rPr>
          <w:rFonts w:ascii="Times New Roman" w:eastAsia="Times New Roman" w:hAnsi="Times New Roman" w:cs="Times New Roman"/>
          <w:i/>
          <w:iCs/>
          <w:color w:val="000000"/>
          <w:sz w:val="24"/>
          <w:szCs w:val="24"/>
        </w:rPr>
        <w:t>Environmental Education Research</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29</w:t>
      </w:r>
      <w:r>
        <w:rPr>
          <w:rFonts w:ascii="Times New Roman" w:eastAsia="Times New Roman" w:hAnsi="Times New Roman" w:cs="Times New Roman"/>
          <w:color w:val="000000"/>
          <w:sz w:val="24"/>
          <w:szCs w:val="24"/>
        </w:rPr>
        <w:t>(1), 1–26. https://doi.org/10.1080/13504622.2022.2135688</w:t>
      </w:r>
    </w:p>
    <w:p w14:paraId="0000010A"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B"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Brundiers</w:t>
      </w:r>
      <w:proofErr w:type="spellEnd"/>
      <w:r>
        <w:rPr>
          <w:rFonts w:ascii="Times New Roman" w:eastAsia="Times New Roman" w:hAnsi="Times New Roman" w:cs="Times New Roman"/>
          <w:color w:val="000000"/>
          <w:sz w:val="24"/>
          <w:szCs w:val="24"/>
        </w:rPr>
        <w:t xml:space="preserve">, K., Barth, M., Cebrián, G.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 Key competencies in sustainability in higher education—toward an agreed-upon reference framework. </w:t>
      </w:r>
      <w:r>
        <w:rPr>
          <w:rFonts w:ascii="Times New Roman" w:eastAsia="Times New Roman" w:hAnsi="Times New Roman" w:cs="Times New Roman"/>
          <w:i/>
          <w:iCs/>
          <w:color w:val="000000"/>
          <w:sz w:val="24"/>
          <w:szCs w:val="24"/>
        </w:rPr>
        <w:t>Sustain Sci</w:t>
      </w:r>
      <w:r>
        <w:rPr>
          <w:rFonts w:ascii="Times New Roman" w:eastAsia="Times New Roman" w:hAnsi="Times New Roman" w:cs="Times New Roman"/>
          <w:color w:val="000000"/>
          <w:sz w:val="24"/>
          <w:szCs w:val="24"/>
        </w:rPr>
        <w:t> 16, 13–29. https://doi.org/10.1007/s11625-020-00838-2</w:t>
      </w:r>
    </w:p>
    <w:p w14:paraId="0000010C"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D"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Cajurao</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Cajurao</w:t>
      </w:r>
      <w:proofErr w:type="spellEnd"/>
      <w:r>
        <w:rPr>
          <w:rFonts w:ascii="Times New Roman" w:eastAsia="Times New Roman" w:hAnsi="Times New Roman" w:cs="Times New Roman"/>
          <w:color w:val="000000"/>
          <w:sz w:val="24"/>
          <w:szCs w:val="24"/>
        </w:rPr>
        <w:t>, I., &amp; Jamora, Jr., R. C. (2024). Sustainability-Integrated Ecology Lessons: Effects on Students’ Conceptual Understanding, Attitudes and Perceptions Toward Sustainable Development. </w:t>
      </w:r>
      <w:r>
        <w:rPr>
          <w:rFonts w:ascii="Times New Roman" w:eastAsia="Times New Roman" w:hAnsi="Times New Roman" w:cs="Times New Roman"/>
          <w:i/>
          <w:iCs/>
          <w:color w:val="000000"/>
          <w:sz w:val="24"/>
          <w:szCs w:val="24"/>
        </w:rPr>
        <w:t>Indonesian Journal of Education Research (</w:t>
      </w:r>
      <w:proofErr w:type="spellStart"/>
      <w:r>
        <w:rPr>
          <w:rFonts w:ascii="Times New Roman" w:eastAsia="Times New Roman" w:hAnsi="Times New Roman" w:cs="Times New Roman"/>
          <w:i/>
          <w:iCs/>
          <w:color w:val="000000"/>
          <w:sz w:val="24"/>
          <w:szCs w:val="24"/>
        </w:rPr>
        <w:t>IJoER</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(6), 286-298. https://doi.org/10.37251/ijoer.v5i6.1253</w:t>
      </w:r>
    </w:p>
    <w:p w14:paraId="0000010E"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0F"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F.-H., Tsai, C.-C., Chung, P.-Y.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(2022). Sustainability Learning in Education for Sustainable Development for 2030: An Observational Study Regarding Environmental Psychology and Responsible Behavior through Rural Community Travel.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(5), 2779. https://doi.org/10.3390/su14052779</w:t>
      </w:r>
    </w:p>
    <w:p w14:paraId="00000110"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1"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Colaizzi, P. F. (1978). Psychological research as the phenomenologist views it. In R. Valle &amp; M. King (Eds.), </w:t>
      </w:r>
      <w:r>
        <w:rPr>
          <w:rFonts w:ascii="Times New Roman" w:eastAsia="Times New Roman" w:hAnsi="Times New Roman" w:cs="Times New Roman"/>
          <w:i/>
          <w:iCs/>
          <w:color w:val="000000"/>
          <w:sz w:val="24"/>
          <w:szCs w:val="24"/>
        </w:rPr>
        <w:t>Existential-phenomenological alternatives for psychology</w:t>
      </w:r>
      <w:r>
        <w:rPr>
          <w:rFonts w:ascii="Times New Roman" w:eastAsia="Times New Roman" w:hAnsi="Times New Roman" w:cs="Times New Roman"/>
          <w:color w:val="000000"/>
          <w:sz w:val="24"/>
          <w:szCs w:val="24"/>
        </w:rPr>
        <w:t xml:space="preserve"> (pp. 48–71). Oxford University Press. Retrieved from </w:t>
      </w:r>
      <w:hyperlink r:id="rId9">
        <w:r w:rsidR="00736373">
          <w:rPr>
            <w:rFonts w:ascii="Times New Roman" w:eastAsia="Times New Roman" w:hAnsi="Times New Roman" w:cs="Times New Roman"/>
            <w:color w:val="000000"/>
            <w:sz w:val="24"/>
            <w:szCs w:val="24"/>
          </w:rPr>
          <w:t>https://philpapers.org/rec/COLPRA-5</w:t>
        </w:r>
      </w:hyperlink>
    </w:p>
    <w:p w14:paraId="00000112"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3"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Creswell, J. W., &amp; Poth, C. N. (2018). </w:t>
      </w:r>
      <w:r>
        <w:rPr>
          <w:rFonts w:ascii="Times New Roman" w:eastAsia="Times New Roman" w:hAnsi="Times New Roman" w:cs="Times New Roman"/>
          <w:i/>
          <w:iCs/>
          <w:color w:val="000000"/>
          <w:sz w:val="24"/>
          <w:szCs w:val="24"/>
        </w:rPr>
        <w:t>Qualitative inquiry and research design: Choosing among five approaches</w:t>
      </w:r>
      <w:r>
        <w:rPr>
          <w:rFonts w:ascii="Times New Roman" w:eastAsia="Times New Roman" w:hAnsi="Times New Roman" w:cs="Times New Roman"/>
          <w:color w:val="000000"/>
          <w:sz w:val="24"/>
          <w:szCs w:val="24"/>
        </w:rPr>
        <w:t xml:space="preserve"> (4th ed.). SAGE Publications. Retrieved from https://www.scribd.com/document/993677732/Creswell-2018-Book-Qualitative-Inquiry-and-Research-Design-Choosing-Among-Five-Approaches</w:t>
      </w:r>
    </w:p>
    <w:p w14:paraId="00000114"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115"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David J. O. (2025) Redefining assessment for sustainability: a reflective approach to curriculum transformation in environmental education. Front. Educ. 10:1553999.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10.3389/feduc.2025.1553999</w:t>
      </w:r>
    </w:p>
    <w:p w14:paraId="00000116" w14:textId="77777777" w:rsidR="00736373" w:rsidRDefault="00736373">
      <w:pPr>
        <w:spacing w:after="0" w:line="240" w:lineRule="auto"/>
        <w:ind w:left="709" w:hanging="709"/>
        <w:jc w:val="both"/>
        <w:rPr>
          <w:rFonts w:ascii="Times New Roman" w:eastAsia="Times New Roman" w:hAnsi="Times New Roman" w:cs="Times New Roman"/>
          <w:color w:val="EE0000"/>
          <w:sz w:val="24"/>
          <w:szCs w:val="24"/>
        </w:rPr>
      </w:pPr>
    </w:p>
    <w:p w14:paraId="00000117"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Denscombe, M. (2014). </w:t>
      </w:r>
      <w:r>
        <w:rPr>
          <w:rFonts w:ascii="Times New Roman" w:eastAsia="Times New Roman" w:hAnsi="Times New Roman" w:cs="Times New Roman"/>
          <w:i/>
          <w:iCs/>
          <w:color w:val="000000"/>
          <w:sz w:val="24"/>
          <w:szCs w:val="24"/>
        </w:rPr>
        <w:t>The good research guide: For small-scale social research projects</w:t>
      </w:r>
      <w:r>
        <w:rPr>
          <w:rFonts w:ascii="Times New Roman" w:eastAsia="Times New Roman" w:hAnsi="Times New Roman" w:cs="Times New Roman"/>
          <w:color w:val="000000"/>
          <w:sz w:val="24"/>
          <w:szCs w:val="24"/>
        </w:rPr>
        <w:t xml:space="preserve"> (5th ed.). Open University Press. Retrieved from https://www.scribd.com/document/623279049/The-Good-Research-Guide-5th-Edition</w:t>
      </w:r>
    </w:p>
    <w:p w14:paraId="00000118"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9"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Drissi, M., Meftah, S. &amp; </w:t>
      </w:r>
      <w:proofErr w:type="spellStart"/>
      <w:r>
        <w:rPr>
          <w:rFonts w:ascii="Times New Roman" w:eastAsia="Times New Roman" w:hAnsi="Times New Roman" w:cs="Times New Roman"/>
          <w:color w:val="000000"/>
          <w:sz w:val="24"/>
          <w:szCs w:val="24"/>
        </w:rPr>
        <w:t>Skalli</w:t>
      </w:r>
      <w:proofErr w:type="spellEnd"/>
      <w:r>
        <w:rPr>
          <w:rFonts w:ascii="Times New Roman" w:eastAsia="Times New Roman" w:hAnsi="Times New Roman" w:cs="Times New Roman"/>
          <w:color w:val="000000"/>
          <w:sz w:val="24"/>
          <w:szCs w:val="24"/>
        </w:rPr>
        <w:t>, L. (2025). The role of universities in implementing the sustainable development goals (SDGs) a case study of Hassan first university 2018–2023. </w:t>
      </w:r>
      <w:r>
        <w:rPr>
          <w:rFonts w:ascii="Times New Roman" w:eastAsia="Times New Roman" w:hAnsi="Times New Roman" w:cs="Times New Roman"/>
          <w:i/>
          <w:iCs/>
          <w:color w:val="000000"/>
          <w:sz w:val="24"/>
          <w:szCs w:val="24"/>
        </w:rPr>
        <w:t>Discover Sustainability,</w:t>
      </w:r>
      <w:r>
        <w:rPr>
          <w:rFonts w:ascii="Times New Roman" w:eastAsia="Times New Roman" w:hAnsi="Times New Roman" w:cs="Times New Roman"/>
          <w:color w:val="000000"/>
          <w:sz w:val="24"/>
          <w:szCs w:val="24"/>
        </w:rPr>
        <w:t> 6, 926. https://doi.org/10.1007/s43621-025-01547-5</w:t>
      </w:r>
    </w:p>
    <w:p w14:paraId="0000011A"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B"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Gertler, P. J., Martinez, S., </w:t>
      </w:r>
      <w:proofErr w:type="spellStart"/>
      <w:r>
        <w:rPr>
          <w:rFonts w:ascii="Times New Roman" w:eastAsia="Times New Roman" w:hAnsi="Times New Roman" w:cs="Times New Roman"/>
          <w:color w:val="000000"/>
          <w:sz w:val="24"/>
          <w:szCs w:val="24"/>
        </w:rPr>
        <w:t>Premand</w:t>
      </w:r>
      <w:proofErr w:type="spellEnd"/>
      <w:r>
        <w:rPr>
          <w:rFonts w:ascii="Times New Roman" w:eastAsia="Times New Roman" w:hAnsi="Times New Roman" w:cs="Times New Roman"/>
          <w:color w:val="000000"/>
          <w:sz w:val="24"/>
          <w:szCs w:val="24"/>
        </w:rPr>
        <w:t xml:space="preserve">, P.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 </w:t>
      </w:r>
      <w:r>
        <w:rPr>
          <w:rFonts w:ascii="Times New Roman" w:eastAsia="Times New Roman" w:hAnsi="Times New Roman" w:cs="Times New Roman"/>
          <w:i/>
          <w:iCs/>
          <w:color w:val="000000"/>
          <w:sz w:val="24"/>
          <w:szCs w:val="24"/>
        </w:rPr>
        <w:t>Impact Evaluation in Practice</w:t>
      </w:r>
      <w:r>
        <w:rPr>
          <w:rFonts w:ascii="Times New Roman" w:eastAsia="Times New Roman" w:hAnsi="Times New Roman" w:cs="Times New Roman"/>
          <w:color w:val="000000"/>
          <w:sz w:val="24"/>
          <w:szCs w:val="24"/>
        </w:rPr>
        <w:t>, Second Edition. World Bank. Retrieved from https://openknowledge.worldbank.org/server/api/core/bitstreams/4659ef23-61ff-5df7-9b4e-89fda12b074d/content</w:t>
      </w:r>
    </w:p>
    <w:p w14:paraId="0000011C"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D"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Husin, A., Helmi, H., </w:t>
      </w:r>
      <w:proofErr w:type="spellStart"/>
      <w:r>
        <w:rPr>
          <w:rFonts w:ascii="Times New Roman" w:eastAsia="Times New Roman" w:hAnsi="Times New Roman" w:cs="Times New Roman"/>
          <w:color w:val="000000"/>
          <w:sz w:val="24"/>
          <w:szCs w:val="24"/>
        </w:rPr>
        <w:t>Nengsih</w:t>
      </w:r>
      <w:proofErr w:type="spellEnd"/>
      <w:r>
        <w:rPr>
          <w:rFonts w:ascii="Times New Roman" w:eastAsia="Times New Roman" w:hAnsi="Times New Roman" w:cs="Times New Roman"/>
          <w:color w:val="000000"/>
          <w:sz w:val="24"/>
          <w:szCs w:val="24"/>
        </w:rPr>
        <w:t xml:space="preserve">, Y.K.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Environmental education in schools: sustainability and hope. </w:t>
      </w:r>
      <w:proofErr w:type="spellStart"/>
      <w:r>
        <w:rPr>
          <w:rFonts w:ascii="Times New Roman" w:eastAsia="Times New Roman" w:hAnsi="Times New Roman" w:cs="Times New Roman"/>
          <w:i/>
          <w:iCs/>
          <w:color w:val="000000"/>
          <w:sz w:val="24"/>
          <w:szCs w:val="24"/>
        </w:rPr>
        <w:t>Discov</w:t>
      </w:r>
      <w:proofErr w:type="spellEnd"/>
      <w:r>
        <w:rPr>
          <w:rFonts w:ascii="Times New Roman" w:eastAsia="Times New Roman" w:hAnsi="Times New Roman" w:cs="Times New Roman"/>
          <w:i/>
          <w:iCs/>
          <w:color w:val="000000"/>
          <w:sz w:val="24"/>
          <w:szCs w:val="24"/>
        </w:rPr>
        <w:t xml:space="preserve"> Sustain</w:t>
      </w:r>
      <w:r>
        <w:rPr>
          <w:rFonts w:ascii="Times New Roman" w:eastAsia="Times New Roman" w:hAnsi="Times New Roman" w:cs="Times New Roman"/>
          <w:color w:val="000000"/>
          <w:sz w:val="24"/>
          <w:szCs w:val="24"/>
        </w:rPr>
        <w:t> 6, 41 (2025). https://doi.org/10.1007/s43621-025-00837-2</w:t>
      </w:r>
    </w:p>
    <w:p w14:paraId="0000011E"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1F"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Kayombo, J. J., Iftekhar, S. N., &amp; </w:t>
      </w:r>
      <w:proofErr w:type="spellStart"/>
      <w:r>
        <w:rPr>
          <w:rFonts w:ascii="Times New Roman" w:eastAsia="Times New Roman" w:hAnsi="Times New Roman" w:cs="Times New Roman"/>
          <w:color w:val="000000"/>
          <w:sz w:val="24"/>
          <w:szCs w:val="24"/>
        </w:rPr>
        <w:t>Mashaza</w:t>
      </w:r>
      <w:proofErr w:type="spellEnd"/>
      <w:r>
        <w:rPr>
          <w:rFonts w:ascii="Times New Roman" w:eastAsia="Times New Roman" w:hAnsi="Times New Roman" w:cs="Times New Roman"/>
          <w:color w:val="000000"/>
          <w:sz w:val="24"/>
          <w:szCs w:val="24"/>
        </w:rPr>
        <w:t>, L. G. (2025). Integrating Environmental Education for Sustainability: Bridging Theory, Practice, and Political Engagement in Tanzanian Secondary Schools. </w:t>
      </w:r>
      <w:r>
        <w:rPr>
          <w:rFonts w:ascii="Times New Roman" w:eastAsia="Times New Roman" w:hAnsi="Times New Roman" w:cs="Times New Roman"/>
          <w:i/>
          <w:iCs/>
          <w:color w:val="000000"/>
          <w:sz w:val="24"/>
          <w:szCs w:val="24"/>
        </w:rPr>
        <w:t>Nordic Journal of Comparative and International Education (NJCIE)</w:t>
      </w: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(2). https://doi.org/10.7577/njcie.6033</w:t>
      </w:r>
    </w:p>
    <w:p w14:paraId="00000120"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1"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Kolb, D. A. (2015). </w:t>
      </w:r>
      <w:r>
        <w:rPr>
          <w:rFonts w:ascii="Times New Roman" w:eastAsia="Times New Roman" w:hAnsi="Times New Roman" w:cs="Times New Roman"/>
          <w:i/>
          <w:iCs/>
          <w:color w:val="000000"/>
          <w:sz w:val="24"/>
          <w:szCs w:val="24"/>
        </w:rPr>
        <w:t>Experiential learning: Experience as the source of learning and development</w:t>
      </w:r>
      <w:r>
        <w:rPr>
          <w:rFonts w:ascii="Times New Roman" w:eastAsia="Times New Roman" w:hAnsi="Times New Roman" w:cs="Times New Roman"/>
          <w:color w:val="000000"/>
          <w:sz w:val="24"/>
          <w:szCs w:val="24"/>
        </w:rPr>
        <w:t xml:space="preserve"> (2nd ed.). Pearson Education. Retrieved from https://www.researchgate.net/publication/315793484_Experiential_Learning_Experience_as_the_source_of_Learning_and_Development_Second_Edition</w:t>
      </w:r>
    </w:p>
    <w:p w14:paraId="00000122"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3" w14:textId="77777777" w:rsidR="00736373" w:rsidRDefault="00000000">
      <w:pPr>
        <w:spacing w:after="0" w:line="240" w:lineRule="auto"/>
        <w:ind w:left="709" w:hanging="709"/>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xml:space="preserve">Mezirow, J. (2018). Transformative learning theory. In K. Illeris (Ed.), </w:t>
      </w:r>
      <w:r>
        <w:rPr>
          <w:rFonts w:ascii="Times New Roman" w:eastAsia="Times New Roman" w:hAnsi="Times New Roman" w:cs="Times New Roman"/>
          <w:i/>
          <w:iCs/>
          <w:color w:val="000000"/>
          <w:sz w:val="24"/>
          <w:szCs w:val="24"/>
        </w:rPr>
        <w:t>Contemporary theories of learning</w:t>
      </w:r>
      <w:r>
        <w:rPr>
          <w:rFonts w:ascii="Times New Roman" w:eastAsia="Times New Roman" w:hAnsi="Times New Roman" w:cs="Times New Roman"/>
          <w:color w:val="000000"/>
          <w:sz w:val="24"/>
          <w:szCs w:val="24"/>
        </w:rPr>
        <w:t xml:space="preserve"> (2nd ed., pp. 114–128). Routledge.</w:t>
      </w:r>
    </w:p>
    <w:p w14:paraId="00000124"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5" w14:textId="77777777" w:rsidR="00736373" w:rsidRDefault="00000000">
      <w:pPr>
        <w:spacing w:after="0" w:line="240" w:lineRule="auto"/>
        <w:ind w:left="709" w:hanging="709"/>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Organization for Economic Co-operation and Development (OECD). (2021). </w:t>
      </w:r>
      <w:r>
        <w:rPr>
          <w:rFonts w:ascii="Times New Roman" w:eastAsia="Times New Roman" w:hAnsi="Times New Roman" w:cs="Times New Roman"/>
          <w:i/>
          <w:iCs/>
          <w:color w:val="000000"/>
          <w:sz w:val="24"/>
          <w:szCs w:val="24"/>
        </w:rPr>
        <w:t>Applying Evaluation Criteria Thoughtfully</w:t>
      </w:r>
      <w:r>
        <w:rPr>
          <w:rFonts w:ascii="Times New Roman" w:eastAsia="Times New Roman" w:hAnsi="Times New Roman" w:cs="Times New Roman"/>
          <w:color w:val="000000"/>
          <w:sz w:val="24"/>
          <w:szCs w:val="24"/>
        </w:rPr>
        <w:t>, OECD Publishing, Paris. Retrieved from </w:t>
      </w:r>
      <w:hyperlink r:id="rId10">
        <w:r w:rsidR="00736373">
          <w:rPr>
            <w:rFonts w:ascii="Times New Roman" w:eastAsia="Times New Roman" w:hAnsi="Times New Roman" w:cs="Times New Roman"/>
            <w:color w:val="000000"/>
            <w:sz w:val="24"/>
            <w:szCs w:val="24"/>
          </w:rPr>
          <w:t>https://doi.org/10.1787/543e84ed-en</w:t>
        </w:r>
      </w:hyperlink>
    </w:p>
    <w:p w14:paraId="00000126"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7"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Pénzesné</w:t>
      </w:r>
      <w:proofErr w:type="spellEnd"/>
      <w:r>
        <w:rPr>
          <w:rFonts w:ascii="Times New Roman" w:eastAsia="Times New Roman" w:hAnsi="Times New Roman" w:cs="Times New Roman"/>
          <w:color w:val="000000"/>
          <w:sz w:val="24"/>
          <w:szCs w:val="24"/>
        </w:rPr>
        <w:t xml:space="preserve"> Kónya, E., &amp; Haigh, M. (2021). Introduction: Environmental Sustainability Education for a Changing World. In: </w:t>
      </w:r>
      <w:proofErr w:type="spellStart"/>
      <w:r>
        <w:rPr>
          <w:rFonts w:ascii="Times New Roman" w:eastAsia="Times New Roman" w:hAnsi="Times New Roman" w:cs="Times New Roman"/>
          <w:color w:val="000000"/>
          <w:sz w:val="24"/>
          <w:szCs w:val="24"/>
        </w:rPr>
        <w:t>Pénzesné</w:t>
      </w:r>
      <w:proofErr w:type="spellEnd"/>
      <w:r>
        <w:rPr>
          <w:rFonts w:ascii="Times New Roman" w:eastAsia="Times New Roman" w:hAnsi="Times New Roman" w:cs="Times New Roman"/>
          <w:color w:val="000000"/>
          <w:sz w:val="24"/>
          <w:szCs w:val="24"/>
        </w:rPr>
        <w:t xml:space="preserve"> Kónya, E., Haigh, M., Křeček, J. (eds) Environmental Sustainability Education for a Changing World. Springer, Cham. https://doi.org/10.1007/978-3-030-66384-1_1</w:t>
      </w:r>
    </w:p>
    <w:p w14:paraId="00000128" w14:textId="77777777" w:rsidR="00736373" w:rsidRDefault="00736373">
      <w:pPr>
        <w:spacing w:after="0" w:line="240" w:lineRule="auto"/>
        <w:jc w:val="both"/>
        <w:rPr>
          <w:rFonts w:ascii="Times New Roman" w:eastAsia="Times New Roman" w:hAnsi="Times New Roman" w:cs="Times New Roman"/>
          <w:color w:val="000000"/>
          <w:sz w:val="24"/>
          <w:szCs w:val="24"/>
        </w:rPr>
      </w:pPr>
    </w:p>
    <w:p w14:paraId="00000129"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Popoola, O. O., Ighodaro, I. D., &amp; </w:t>
      </w:r>
      <w:proofErr w:type="spellStart"/>
      <w:r>
        <w:rPr>
          <w:rFonts w:ascii="Times New Roman" w:eastAsia="Times New Roman" w:hAnsi="Times New Roman" w:cs="Times New Roman"/>
          <w:color w:val="000000"/>
          <w:sz w:val="24"/>
          <w:szCs w:val="24"/>
        </w:rPr>
        <w:t>Nkonki-Mandleni</w:t>
      </w:r>
      <w:proofErr w:type="spellEnd"/>
      <w:r>
        <w:rPr>
          <w:rFonts w:ascii="Times New Roman" w:eastAsia="Times New Roman" w:hAnsi="Times New Roman" w:cs="Times New Roman"/>
          <w:color w:val="000000"/>
          <w:sz w:val="24"/>
          <w:szCs w:val="24"/>
        </w:rPr>
        <w:t xml:space="preserve">, B. (2025). Advancing sustainable development goals through community engagement in higher education. </w:t>
      </w:r>
      <w:r>
        <w:rPr>
          <w:rFonts w:ascii="Times New Roman" w:eastAsia="Times New Roman" w:hAnsi="Times New Roman" w:cs="Times New Roman"/>
          <w:i/>
          <w:iCs/>
          <w:color w:val="000000"/>
          <w:sz w:val="24"/>
          <w:szCs w:val="24"/>
        </w:rPr>
        <w:t>International Journal of Development and Sustainability, 14</w:t>
      </w:r>
      <w:r>
        <w:rPr>
          <w:rFonts w:ascii="Times New Roman" w:eastAsia="Times New Roman" w:hAnsi="Times New Roman" w:cs="Times New Roman"/>
          <w:color w:val="000000"/>
          <w:sz w:val="24"/>
          <w:szCs w:val="24"/>
        </w:rPr>
        <w:t xml:space="preserve">(1), 91-116. Retrieved from </w:t>
      </w:r>
      <w:hyperlink r:id="rId11">
        <w:r w:rsidR="00736373">
          <w:rPr>
            <w:rFonts w:ascii="Times New Roman" w:eastAsia="Times New Roman" w:hAnsi="Times New Roman" w:cs="Times New Roman"/>
            <w:color w:val="000000"/>
            <w:sz w:val="24"/>
            <w:szCs w:val="24"/>
          </w:rPr>
          <w:t>https://isdsnet.com/ijds-v14n1-04.pdf</w:t>
        </w:r>
      </w:hyperlink>
    </w:p>
    <w:p w14:paraId="0000012A"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B"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Rieckmann, M. (2018). Learning to transform the world: Key competencies in education for sustainable development. In A. Leicht et al. (Eds.), </w:t>
      </w:r>
      <w:r>
        <w:rPr>
          <w:rFonts w:ascii="Times New Roman" w:eastAsia="Times New Roman" w:hAnsi="Times New Roman" w:cs="Times New Roman"/>
          <w:i/>
          <w:iCs/>
          <w:color w:val="000000"/>
          <w:sz w:val="24"/>
          <w:szCs w:val="24"/>
        </w:rPr>
        <w:t>Issues and trends in education for sustainable development,</w:t>
      </w:r>
      <w:r>
        <w:rPr>
          <w:rFonts w:ascii="Times New Roman" w:eastAsia="Times New Roman" w:hAnsi="Times New Roman" w:cs="Times New Roman"/>
          <w:color w:val="000000"/>
          <w:sz w:val="24"/>
          <w:szCs w:val="24"/>
        </w:rPr>
        <w:t xml:space="preserve"> pp. 39–59. UNESCO Publishing. Retrieved from https://unesdoc.unesco.org/ark:/48223/pf0000261802</w:t>
      </w:r>
    </w:p>
    <w:p w14:paraId="0000012C"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4A90A80F" w14:textId="116CCD68" w:rsidR="000B7659" w:rsidRDefault="000B7659" w:rsidP="000B7659">
      <w:pPr>
        <w:spacing w:after="0" w:line="240" w:lineRule="auto"/>
        <w:ind w:left="709" w:hanging="709"/>
        <w:jc w:val="both"/>
        <w:rPr>
          <w:rFonts w:ascii="Times New Roman" w:eastAsia="Times New Roman" w:hAnsi="Times New Roman" w:cs="Times New Roman"/>
          <w:color w:val="000000" w:themeColor="text1"/>
          <w:sz w:val="24"/>
          <w:szCs w:val="24"/>
        </w:rPr>
      </w:pPr>
      <w:r w:rsidRPr="000B7659">
        <w:rPr>
          <w:rFonts w:ascii="Times New Roman" w:eastAsia="Times New Roman" w:hAnsi="Times New Roman" w:cs="Times New Roman"/>
          <w:color w:val="000000" w:themeColor="text1"/>
          <w:sz w:val="24"/>
          <w:szCs w:val="24"/>
        </w:rPr>
        <w:t xml:space="preserve">Shange, H.S., Zogli, L.-K.J. &amp; Dlamini, B.I. </w:t>
      </w:r>
      <w:r>
        <w:rPr>
          <w:rFonts w:ascii="Times New Roman" w:eastAsia="Times New Roman" w:hAnsi="Times New Roman" w:cs="Times New Roman"/>
          <w:color w:val="000000" w:themeColor="text1"/>
          <w:sz w:val="24"/>
          <w:szCs w:val="24"/>
        </w:rPr>
        <w:t>(</w:t>
      </w:r>
      <w:r w:rsidRPr="000B7659">
        <w:rPr>
          <w:rFonts w:ascii="Times New Roman" w:eastAsia="Times New Roman" w:hAnsi="Times New Roman" w:cs="Times New Roman"/>
          <w:color w:val="000000" w:themeColor="text1"/>
          <w:sz w:val="24"/>
          <w:szCs w:val="24"/>
        </w:rPr>
        <w:t>2025</w:t>
      </w:r>
      <w:r>
        <w:rPr>
          <w:rFonts w:ascii="Times New Roman" w:eastAsia="Times New Roman" w:hAnsi="Times New Roman" w:cs="Times New Roman"/>
          <w:color w:val="000000" w:themeColor="text1"/>
          <w:sz w:val="24"/>
          <w:szCs w:val="24"/>
        </w:rPr>
        <w:t>).</w:t>
      </w:r>
      <w:r w:rsidRPr="000B7659">
        <w:rPr>
          <w:rFonts w:ascii="Times New Roman" w:eastAsia="Times New Roman" w:hAnsi="Times New Roman" w:cs="Times New Roman"/>
          <w:color w:val="000000" w:themeColor="text1"/>
          <w:sz w:val="24"/>
          <w:szCs w:val="24"/>
        </w:rPr>
        <w:t xml:space="preserve"> ‘Green campus initiatives and strategies for sustainability in higher education’, </w:t>
      </w:r>
      <w:r w:rsidRPr="000B7659">
        <w:rPr>
          <w:rFonts w:ascii="Times New Roman" w:eastAsia="Times New Roman" w:hAnsi="Times New Roman" w:cs="Times New Roman"/>
          <w:i/>
          <w:iCs/>
          <w:color w:val="000000" w:themeColor="text1"/>
          <w:sz w:val="24"/>
          <w:szCs w:val="24"/>
        </w:rPr>
        <w:t>Transformation in Higher Education</w:t>
      </w:r>
      <w:r w:rsidRPr="000B7659">
        <w:rPr>
          <w:rFonts w:ascii="Times New Roman" w:eastAsia="Times New Roman" w:hAnsi="Times New Roman" w:cs="Times New Roman"/>
          <w:color w:val="000000" w:themeColor="text1"/>
          <w:sz w:val="24"/>
          <w:szCs w:val="24"/>
        </w:rPr>
        <w:t> 10(0), a364. </w:t>
      </w:r>
      <w:r w:rsidR="00014512">
        <w:rPr>
          <w:rFonts w:ascii="Times New Roman" w:eastAsia="Times New Roman" w:hAnsi="Times New Roman" w:cs="Times New Roman"/>
          <w:color w:val="000000" w:themeColor="text1"/>
          <w:sz w:val="24"/>
          <w:szCs w:val="24"/>
        </w:rPr>
        <w:t>https://doi.org/10.4102/the.v10i0.364</w:t>
      </w:r>
    </w:p>
    <w:p w14:paraId="1B7AB557" w14:textId="77777777" w:rsidR="00014512" w:rsidRPr="000B7659" w:rsidRDefault="00014512" w:rsidP="000B7659">
      <w:pPr>
        <w:spacing w:after="0" w:line="240" w:lineRule="auto"/>
        <w:ind w:left="709" w:hanging="709"/>
        <w:jc w:val="both"/>
        <w:rPr>
          <w:rFonts w:ascii="Times New Roman" w:eastAsia="Times New Roman" w:hAnsi="Times New Roman" w:cs="Times New Roman"/>
          <w:color w:val="000000" w:themeColor="text1"/>
          <w:sz w:val="24"/>
          <w:szCs w:val="24"/>
        </w:rPr>
      </w:pPr>
    </w:p>
    <w:p w14:paraId="0000012D"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Shutaleva, A. (2023). Experiential learning as principle of environmental education. </w:t>
      </w:r>
      <w:r>
        <w:rPr>
          <w:rFonts w:ascii="Times New Roman" w:eastAsia="Times New Roman" w:hAnsi="Times New Roman" w:cs="Times New Roman"/>
          <w:i/>
          <w:iCs/>
          <w:color w:val="000000"/>
          <w:sz w:val="24"/>
          <w:szCs w:val="24"/>
        </w:rPr>
        <w:t>Web of Conferences</w:t>
      </w:r>
      <w:r>
        <w:rPr>
          <w:rFonts w:ascii="Times New Roman" w:eastAsia="Times New Roman" w:hAnsi="Times New Roman" w:cs="Times New Roman"/>
          <w:color w:val="000000"/>
          <w:sz w:val="24"/>
          <w:szCs w:val="24"/>
        </w:rPr>
        <w:t>, 420, 10010. Retrieved from https://www.e3s-conferences.org/articles/e3sconf/pdf/2023/57/e3sconf_ebwff2023_10010.pdf</w:t>
      </w:r>
    </w:p>
    <w:p w14:paraId="0000012E"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2F" w14:textId="2B9EA621"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Sterling, S., Glasser, H., Rieckmann, 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w:t>
      </w:r>
      <w:r w:rsidR="000B76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'“More than scaling up”: a critical and practical inquiry into operationalizing sustainability competencies', Envisioning futures for environmental and sustainability education, pp. 153-168. Retrieved from </w:t>
      </w:r>
      <w:hyperlink r:id="rId12">
        <w:r w:rsidR="00736373">
          <w:rPr>
            <w:rFonts w:ascii="Times New Roman" w:eastAsia="Times New Roman" w:hAnsi="Times New Roman" w:cs="Times New Roman"/>
            <w:color w:val="000000"/>
            <w:sz w:val="24"/>
            <w:szCs w:val="24"/>
          </w:rPr>
          <w:t>https://www.researchgate.net/publication/313493164_10_More_than_scaling_up_a_critical_and_practical_inquiry_into_operationalizing_sustainability_competencies</w:t>
        </w:r>
      </w:hyperlink>
    </w:p>
    <w:p w14:paraId="00000130"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31"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Suryadi</w:t>
      </w:r>
      <w:proofErr w:type="spellEnd"/>
      <w:r>
        <w:rPr>
          <w:rFonts w:ascii="Times New Roman" w:eastAsia="Times New Roman" w:hAnsi="Times New Roman" w:cs="Times New Roman"/>
          <w:color w:val="000000"/>
          <w:sz w:val="24"/>
          <w:szCs w:val="24"/>
        </w:rPr>
        <w:t xml:space="preserve">, L. H., </w:t>
      </w:r>
      <w:proofErr w:type="spellStart"/>
      <w:r>
        <w:rPr>
          <w:rFonts w:ascii="Times New Roman" w:eastAsia="Times New Roman" w:hAnsi="Times New Roman" w:cs="Times New Roman"/>
          <w:color w:val="000000"/>
          <w:sz w:val="24"/>
          <w:szCs w:val="24"/>
        </w:rPr>
        <w:t>Anggoro</w:t>
      </w:r>
      <w:proofErr w:type="spellEnd"/>
      <w:r>
        <w:rPr>
          <w:rFonts w:ascii="Times New Roman" w:eastAsia="Times New Roman" w:hAnsi="Times New Roman" w:cs="Times New Roman"/>
          <w:color w:val="000000"/>
          <w:sz w:val="24"/>
          <w:szCs w:val="24"/>
        </w:rPr>
        <w:t xml:space="preserve">, D. D., &amp; </w:t>
      </w:r>
      <w:proofErr w:type="spellStart"/>
      <w:r>
        <w:rPr>
          <w:rFonts w:ascii="Times New Roman" w:eastAsia="Times New Roman" w:hAnsi="Times New Roman" w:cs="Times New Roman"/>
          <w:color w:val="000000"/>
          <w:sz w:val="24"/>
          <w:szCs w:val="24"/>
        </w:rPr>
        <w:t>Ferdhianzah</w:t>
      </w:r>
      <w:proofErr w:type="spellEnd"/>
      <w:r>
        <w:rPr>
          <w:rFonts w:ascii="Times New Roman" w:eastAsia="Times New Roman" w:hAnsi="Times New Roman" w:cs="Times New Roman"/>
          <w:color w:val="000000"/>
          <w:sz w:val="24"/>
          <w:szCs w:val="24"/>
        </w:rPr>
        <w:t xml:space="preserve">, H. J. (2025). Strengthening the strategic role of university research and community engagement bodies in advancing regional collaboration. </w:t>
      </w:r>
      <w:r>
        <w:rPr>
          <w:rFonts w:ascii="Times New Roman" w:eastAsia="Times New Roman" w:hAnsi="Times New Roman" w:cs="Times New Roman"/>
          <w:i/>
          <w:iCs/>
          <w:color w:val="000000"/>
          <w:sz w:val="24"/>
          <w:szCs w:val="24"/>
        </w:rPr>
        <w:t>International Journal of Current Science Research and Review, 8</w:t>
      </w:r>
      <w:r>
        <w:rPr>
          <w:rFonts w:ascii="Times New Roman" w:eastAsia="Times New Roman" w:hAnsi="Times New Roman" w:cs="Times New Roman"/>
          <w:color w:val="000000"/>
          <w:sz w:val="24"/>
          <w:szCs w:val="24"/>
        </w:rPr>
        <w:t xml:space="preserve">(10), 4978–4990. Retrieved from </w:t>
      </w:r>
      <w:hyperlink r:id="rId13">
        <w:r w:rsidR="00736373">
          <w:rPr>
            <w:rFonts w:ascii="Times New Roman" w:eastAsia="Times New Roman" w:hAnsi="Times New Roman" w:cs="Times New Roman"/>
            <w:color w:val="000000"/>
            <w:sz w:val="24"/>
            <w:szCs w:val="24"/>
          </w:rPr>
          <w:t>https://ijcsrr.org/wp-content/uploads/2025/10/11-0710-2025.pdf</w:t>
        </w:r>
      </w:hyperlink>
    </w:p>
    <w:p w14:paraId="00000132"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33" w14:textId="77777777" w:rsidR="00736373" w:rsidRDefault="00000000">
      <w:pP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Taylor, E. W., &amp; Cranton, P. (2012). </w:t>
      </w:r>
      <w:r>
        <w:rPr>
          <w:rFonts w:ascii="Times New Roman" w:eastAsia="Times New Roman" w:hAnsi="Times New Roman" w:cs="Times New Roman"/>
          <w:i/>
          <w:iCs/>
          <w:color w:val="000000"/>
          <w:sz w:val="24"/>
          <w:szCs w:val="24"/>
        </w:rPr>
        <w:t>The handbook of transformative learning: Theory, research, and practice</w:t>
      </w:r>
      <w:r>
        <w:rPr>
          <w:rFonts w:ascii="Times New Roman" w:eastAsia="Times New Roman" w:hAnsi="Times New Roman" w:cs="Times New Roman"/>
          <w:color w:val="000000"/>
          <w:sz w:val="24"/>
          <w:szCs w:val="24"/>
        </w:rPr>
        <w:t>. Jossey-Bass.</w:t>
      </w:r>
    </w:p>
    <w:p w14:paraId="00000134" w14:textId="77777777" w:rsidR="00736373" w:rsidRDefault="00736373">
      <w:pPr>
        <w:spacing w:after="0" w:line="240" w:lineRule="auto"/>
        <w:jc w:val="both"/>
        <w:rPr>
          <w:rFonts w:ascii="Times New Roman" w:eastAsia="Times New Roman" w:hAnsi="Times New Roman" w:cs="Times New Roman"/>
          <w:color w:val="EE0000"/>
          <w:sz w:val="24"/>
          <w:szCs w:val="24"/>
        </w:rPr>
      </w:pPr>
    </w:p>
    <w:p w14:paraId="00000135" w14:textId="77777777" w:rsidR="00736373" w:rsidRDefault="00000000">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UNESCO. (2019). Framework for the implementation of Education for Sustainable Development (ESD) beyond 2019. Retrieved from https://unesdoc.unesco.org/ark:/48223/pf0000370215 </w:t>
      </w:r>
    </w:p>
    <w:p w14:paraId="00000136" w14:textId="77777777" w:rsidR="00736373" w:rsidRDefault="00736373">
      <w:pPr>
        <w:spacing w:after="0" w:line="240" w:lineRule="auto"/>
        <w:jc w:val="both"/>
        <w:rPr>
          <w:rFonts w:ascii="Times New Roman" w:eastAsia="Times New Roman" w:hAnsi="Times New Roman" w:cs="Times New Roman"/>
          <w:sz w:val="24"/>
          <w:szCs w:val="24"/>
        </w:rPr>
      </w:pPr>
    </w:p>
    <w:p w14:paraId="00000137" w14:textId="77777777" w:rsidR="00736373" w:rsidRDefault="00000000">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 J., Wan, C., Ye, Q.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Disaster Risk Reduction, Climate Change Adaptation and Their Linkages with Sustainable Development over the Past 30 Years: A Review. </w:t>
      </w:r>
      <w:r>
        <w:rPr>
          <w:rFonts w:ascii="Times New Roman" w:eastAsia="Times New Roman" w:hAnsi="Times New Roman" w:cs="Times New Roman"/>
          <w:i/>
          <w:iCs/>
          <w:sz w:val="24"/>
          <w:szCs w:val="24"/>
        </w:rPr>
        <w:t>Int J Disaster Risk Sci</w:t>
      </w:r>
      <w:r>
        <w:rPr>
          <w:rFonts w:ascii="Times New Roman" w:eastAsia="Times New Roman" w:hAnsi="Times New Roman" w:cs="Times New Roman"/>
          <w:sz w:val="24"/>
          <w:szCs w:val="24"/>
        </w:rPr>
        <w:t> 14, 1–13. https://doi.org/10.1007/s13753-023-00472-3</w:t>
      </w:r>
    </w:p>
    <w:p w14:paraId="00000138" w14:textId="77777777" w:rsidR="00736373" w:rsidRDefault="00736373">
      <w:pPr>
        <w:spacing w:after="0" w:line="240" w:lineRule="auto"/>
        <w:jc w:val="both"/>
        <w:rPr>
          <w:rFonts w:ascii="Times New Roman" w:eastAsia="Times New Roman" w:hAnsi="Times New Roman" w:cs="Times New Roman"/>
          <w:sz w:val="24"/>
          <w:szCs w:val="24"/>
        </w:rPr>
      </w:pPr>
    </w:p>
    <w:sectPr w:rsidR="00736373">
      <w:pgSz w:w="11907"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CCF4E0-AF06-46DF-9D92-0AE04F86D0B6}"/>
    <w:embedItalic r:id="rId2" w:fontKey="{3F12704C-753B-4E3E-A9CB-D10BB0CA5C5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3A85F15-4DD9-44DE-9F2A-C2628885DC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495"/>
    <w:multiLevelType w:val="multilevel"/>
    <w:tmpl w:val="118C8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BE47AC"/>
    <w:multiLevelType w:val="multilevel"/>
    <w:tmpl w:val="A4BE7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A55925"/>
    <w:multiLevelType w:val="multilevel"/>
    <w:tmpl w:val="C688C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8816F4"/>
    <w:multiLevelType w:val="multilevel"/>
    <w:tmpl w:val="88A24A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18195538">
    <w:abstractNumId w:val="2"/>
  </w:num>
  <w:num w:numId="2" w16cid:durableId="859465228">
    <w:abstractNumId w:val="3"/>
  </w:num>
  <w:num w:numId="3" w16cid:durableId="84887107">
    <w:abstractNumId w:val="0"/>
  </w:num>
  <w:num w:numId="4" w16cid:durableId="975914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373"/>
    <w:rsid w:val="00014512"/>
    <w:rsid w:val="000B7659"/>
    <w:rsid w:val="00370D95"/>
    <w:rsid w:val="00736373"/>
    <w:rsid w:val="0097267C"/>
    <w:rsid w:val="00D95EE2"/>
    <w:rsid w:val="00EA624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4C4A"/>
  <w15:docId w15:val="{80936D12-703E-4B64-98FA-B8681AE7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0B7659"/>
    <w:rPr>
      <w:color w:val="0000FF" w:themeColor="hyperlink"/>
      <w:u w:val="single"/>
    </w:rPr>
  </w:style>
  <w:style w:type="character" w:styleId="UnresolvedMention">
    <w:name w:val="Unresolved Mention"/>
    <w:basedOn w:val="DefaultParagraphFont"/>
    <w:uiPriority w:val="99"/>
    <w:semiHidden/>
    <w:unhideWhenUsed/>
    <w:rsid w:val="000B7659"/>
    <w:rPr>
      <w:color w:val="605E5C"/>
      <w:shd w:val="clear" w:color="auto" w:fill="E1DFDD"/>
    </w:rPr>
  </w:style>
  <w:style w:type="character" w:styleId="FollowedHyperlink">
    <w:name w:val="FollowedHyperlink"/>
    <w:basedOn w:val="DefaultParagraphFont"/>
    <w:uiPriority w:val="99"/>
    <w:semiHidden/>
    <w:unhideWhenUsed/>
    <w:rsid w:val="000B76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iocon.2019.108224" TargetMode="External"/><Relationship Id="rId13" Type="http://schemas.openxmlformats.org/officeDocument/2006/relationships/hyperlink" Target="https://ijcsrr.org/wp-content/uploads/2025/10/11-0710-2025.pdf" TargetMode="External"/><Relationship Id="rId3" Type="http://schemas.openxmlformats.org/officeDocument/2006/relationships/styles" Target="styles.xml"/><Relationship Id="rId7" Type="http://schemas.openxmlformats.org/officeDocument/2006/relationships/hyperlink" Target="https://doi.org/10.3390/su12187239" TargetMode="External"/><Relationship Id="rId12" Type="http://schemas.openxmlformats.org/officeDocument/2006/relationships/hyperlink" Target="https://www.researchgate.net/publication/313493164_10_More_than_scaling_up_a_critical_and_practical_inquiry_into_operationalizing_sustainability_competenc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odel.ponferrada@evsu.edu.ph" TargetMode="External"/><Relationship Id="rId11" Type="http://schemas.openxmlformats.org/officeDocument/2006/relationships/hyperlink" Target="https://isdsnet.com/ijds-v14n1-04.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787/543e84ed-en" TargetMode="External"/><Relationship Id="rId4" Type="http://schemas.openxmlformats.org/officeDocument/2006/relationships/settings" Target="settings.xml"/><Relationship Id="rId9" Type="http://schemas.openxmlformats.org/officeDocument/2006/relationships/hyperlink" Target="https://philpapers.org/rec/COLPRA-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Yu3H4MmKwgfbAOdvQwscze8g==">CgMxLjA4AHIhMWd5REROdW14ZVp1U01Jd21oNUVQeklWZXFzNk1uWTZs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8949</Words>
  <Characters>51013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rodel ponferrada</cp:lastModifiedBy>
  <cp:revision>5</cp:revision>
  <dcterms:created xsi:type="dcterms:W3CDTF">2026-04-23T09:17:00Z</dcterms:created>
  <dcterms:modified xsi:type="dcterms:W3CDTF">2026-04-23T09:59:00Z</dcterms:modified>
</cp:coreProperties>
</file>