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Ex1.xml" ContentType="application/vnd.ms-office.chartex+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C610" w14:textId="68691FC5" w:rsidR="00114EE9" w:rsidRPr="00B74C25" w:rsidRDefault="00114EE9" w:rsidP="00EE1748">
      <w:pPr>
        <w:spacing w:line="360" w:lineRule="auto"/>
        <w:rPr>
          <w:rFonts w:ascii="Times New Roman" w:eastAsia="Times New Roman" w:hAnsi="Times New Roman" w:cs="Times New Roman"/>
          <w:sz w:val="24"/>
          <w:szCs w:val="24"/>
          <w:lang w:eastAsia="en-GB"/>
        </w:rPr>
      </w:pPr>
    </w:p>
    <w:p w14:paraId="2B972BB4" w14:textId="6A1C1AD0" w:rsidR="00114EE9" w:rsidRDefault="00114EE9" w:rsidP="003D7229">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GB"/>
        </w:rPr>
      </w:pPr>
      <w:r w:rsidRPr="006F5073">
        <w:rPr>
          <w:rFonts w:ascii="Times New Roman" w:eastAsia="Times New Roman" w:hAnsi="Times New Roman" w:cs="Times New Roman"/>
          <w:b/>
          <w:bCs/>
          <w:kern w:val="36"/>
          <w:sz w:val="24"/>
          <w:szCs w:val="24"/>
          <w:lang w:eastAsia="en-GB"/>
        </w:rPr>
        <w:t xml:space="preserve">SOCIO-DEMOGRAPHIC EFFECTS OF SUBSTANCE ABUSE AMONG </w:t>
      </w:r>
      <w:r w:rsidR="003D7229">
        <w:rPr>
          <w:rFonts w:ascii="Times New Roman" w:eastAsia="Times New Roman" w:hAnsi="Times New Roman" w:cs="Times New Roman"/>
          <w:b/>
          <w:bCs/>
          <w:kern w:val="36"/>
          <w:sz w:val="24"/>
          <w:szCs w:val="24"/>
          <w:lang w:eastAsia="en-GB"/>
        </w:rPr>
        <w:t xml:space="preserve">     </w:t>
      </w:r>
      <w:r w:rsidRPr="006F5073">
        <w:rPr>
          <w:rFonts w:ascii="Times New Roman" w:eastAsia="Times New Roman" w:hAnsi="Times New Roman" w:cs="Times New Roman"/>
          <w:b/>
          <w:bCs/>
          <w:kern w:val="36"/>
          <w:sz w:val="24"/>
          <w:szCs w:val="24"/>
          <w:lang w:eastAsia="en-GB"/>
        </w:rPr>
        <w:t>ADOLESCENTS IN KOKONA LGA, NASARAWA STATE, NIGERIA</w:t>
      </w:r>
    </w:p>
    <w:p w14:paraId="02E03469" w14:textId="498AB915" w:rsidR="006F5073" w:rsidRPr="00F92D10" w:rsidRDefault="006F5073" w:rsidP="006F5073">
      <w:pPr>
        <w:spacing w:after="0" w:line="360" w:lineRule="auto"/>
        <w:jc w:val="center"/>
        <w:rPr>
          <w:rFonts w:ascii="Times New Roman" w:hAnsi="Times New Roman" w:cs="Times New Roman"/>
          <w:b/>
          <w:vertAlign w:val="superscript"/>
        </w:rPr>
      </w:pPr>
      <w:r w:rsidRPr="00F92D10">
        <w:rPr>
          <w:rFonts w:ascii="Times New Roman" w:hAnsi="Times New Roman" w:cs="Times New Roman"/>
          <w:b/>
        </w:rPr>
        <w:t>⃰ Jibrin M. D.</w:t>
      </w:r>
      <w:r w:rsidRPr="00F92D10">
        <w:rPr>
          <w:rFonts w:ascii="Times New Roman" w:hAnsi="Times New Roman" w:cs="Times New Roman"/>
          <w:b/>
          <w:vertAlign w:val="superscript"/>
        </w:rPr>
        <w:t>1</w:t>
      </w:r>
      <w:r w:rsidRPr="00F92D10">
        <w:rPr>
          <w:rFonts w:ascii="Times New Roman" w:hAnsi="Times New Roman" w:cs="Times New Roman"/>
          <w:b/>
        </w:rPr>
        <w:t xml:space="preserve">, </w:t>
      </w:r>
      <w:r w:rsidRPr="00F92D10">
        <w:rPr>
          <w:rFonts w:ascii="Times New Roman" w:hAnsi="Times New Roman" w:cs="Times New Roman"/>
          <w:b/>
        </w:rPr>
        <w:t xml:space="preserve">Gimbason M. </w:t>
      </w:r>
      <w:r w:rsidRPr="00F92D10">
        <w:rPr>
          <w:rFonts w:ascii="Times New Roman" w:hAnsi="Times New Roman" w:cs="Times New Roman"/>
          <w:b/>
        </w:rPr>
        <w:t>D.</w:t>
      </w:r>
      <w:r w:rsidRPr="00F92D10">
        <w:rPr>
          <w:rFonts w:ascii="Times New Roman" w:hAnsi="Times New Roman" w:cs="Times New Roman"/>
          <w:b/>
          <w:vertAlign w:val="superscript"/>
        </w:rPr>
        <w:t>2</w:t>
      </w:r>
      <w:r w:rsidRPr="00F92D10">
        <w:rPr>
          <w:rFonts w:ascii="Times New Roman" w:hAnsi="Times New Roman" w:cs="Times New Roman"/>
          <w:b/>
        </w:rPr>
        <w:t>, and Jibrin I.E,</w:t>
      </w:r>
      <w:r w:rsidRPr="00F92D10">
        <w:rPr>
          <w:rFonts w:ascii="Times New Roman" w:hAnsi="Times New Roman" w:cs="Times New Roman"/>
          <w:b/>
          <w:vertAlign w:val="superscript"/>
        </w:rPr>
        <w:t>3</w:t>
      </w:r>
    </w:p>
    <w:p w14:paraId="6E473F50" w14:textId="4F34E977" w:rsidR="006F5073" w:rsidRPr="00F92D10" w:rsidRDefault="00F92D10" w:rsidP="00F92D10">
      <w:pPr>
        <w:spacing w:after="0" w:line="360" w:lineRule="auto"/>
        <w:rPr>
          <w:rFonts w:ascii="Times New Roman" w:hAnsi="Times New Roman" w:cs="Times New Roman"/>
        </w:rPr>
      </w:pPr>
      <w:r w:rsidRPr="00F92D10">
        <w:rPr>
          <w:rFonts w:ascii="Times New Roman" w:hAnsi="Times New Roman" w:cs="Times New Roman"/>
          <w:b/>
          <w:vertAlign w:val="superscript"/>
        </w:rPr>
        <w:t xml:space="preserve">                                      </w:t>
      </w:r>
      <w:r w:rsidR="006F5073" w:rsidRPr="00F92D10">
        <w:rPr>
          <w:rFonts w:ascii="Times New Roman" w:hAnsi="Times New Roman" w:cs="Times New Roman"/>
          <w:b/>
          <w:vertAlign w:val="superscript"/>
        </w:rPr>
        <w:t>1</w:t>
      </w:r>
      <w:r w:rsidR="006F5073" w:rsidRPr="00F92D10">
        <w:rPr>
          <w:rFonts w:ascii="Times New Roman" w:hAnsi="Times New Roman" w:cs="Times New Roman"/>
        </w:rPr>
        <w:t>Department of Community Health,</w:t>
      </w:r>
    </w:p>
    <w:p w14:paraId="3E54CF7C" w14:textId="77777777" w:rsidR="006F5073" w:rsidRPr="00F92D10" w:rsidRDefault="006F5073" w:rsidP="006F5073">
      <w:pPr>
        <w:spacing w:after="0" w:line="360" w:lineRule="auto"/>
        <w:jc w:val="center"/>
        <w:rPr>
          <w:rFonts w:ascii="Times New Roman" w:hAnsi="Times New Roman" w:cs="Times New Roman"/>
        </w:rPr>
      </w:pPr>
      <w:r w:rsidRPr="00F92D10">
        <w:rPr>
          <w:rFonts w:ascii="Times New Roman" w:hAnsi="Times New Roman" w:cs="Times New Roman"/>
        </w:rPr>
        <w:t>College of Medicine &amp; Allied Health Sciences,</w:t>
      </w:r>
    </w:p>
    <w:p w14:paraId="56A89659" w14:textId="77777777" w:rsidR="006F5073" w:rsidRPr="00F92D10" w:rsidRDefault="006F5073" w:rsidP="006F5073">
      <w:pPr>
        <w:spacing w:after="0" w:line="360" w:lineRule="auto"/>
        <w:jc w:val="center"/>
        <w:rPr>
          <w:rFonts w:ascii="Times New Roman" w:hAnsi="Times New Roman" w:cs="Times New Roman"/>
        </w:rPr>
      </w:pPr>
      <w:r w:rsidRPr="00F92D10">
        <w:rPr>
          <w:rFonts w:ascii="Times New Roman" w:hAnsi="Times New Roman" w:cs="Times New Roman"/>
        </w:rPr>
        <w:t>Nasarawa State University, PMB 1022, Keffi, Nasarawa State, Nigeria.</w:t>
      </w:r>
    </w:p>
    <w:p w14:paraId="385606FF" w14:textId="77777777" w:rsidR="006F5073" w:rsidRPr="00F92D10" w:rsidRDefault="006F5073" w:rsidP="006F5073">
      <w:pPr>
        <w:spacing w:after="0" w:line="360" w:lineRule="auto"/>
        <w:jc w:val="center"/>
        <w:rPr>
          <w:rFonts w:ascii="Times New Roman" w:hAnsi="Times New Roman" w:cs="Times New Roman"/>
        </w:rPr>
      </w:pPr>
      <w:r w:rsidRPr="00F92D10">
        <w:rPr>
          <w:rFonts w:ascii="Times New Roman" w:hAnsi="Times New Roman" w:cs="Times New Roman"/>
          <w:b/>
          <w:vertAlign w:val="superscript"/>
        </w:rPr>
        <w:t>2</w:t>
      </w:r>
      <w:r w:rsidRPr="00F92D10">
        <w:rPr>
          <w:rFonts w:ascii="Times New Roman" w:hAnsi="Times New Roman" w:cs="Times New Roman"/>
          <w:b/>
          <w:vertAlign w:val="superscript"/>
        </w:rPr>
        <w:t xml:space="preserve"> </w:t>
      </w:r>
      <w:r w:rsidRPr="00F92D10">
        <w:rPr>
          <w:rFonts w:ascii="Times New Roman" w:hAnsi="Times New Roman" w:cs="Times New Roman"/>
        </w:rPr>
        <w:t>College of Medicine &amp; Allied Health Sciences,</w:t>
      </w:r>
    </w:p>
    <w:p w14:paraId="57573B08" w14:textId="77777777" w:rsidR="006F5073" w:rsidRPr="00F92D10" w:rsidRDefault="006F5073" w:rsidP="006F5073">
      <w:pPr>
        <w:spacing w:after="0" w:line="360" w:lineRule="auto"/>
        <w:jc w:val="center"/>
        <w:rPr>
          <w:rFonts w:ascii="Times New Roman" w:hAnsi="Times New Roman" w:cs="Times New Roman"/>
        </w:rPr>
      </w:pPr>
      <w:r w:rsidRPr="00F92D10">
        <w:rPr>
          <w:rFonts w:ascii="Times New Roman" w:hAnsi="Times New Roman" w:cs="Times New Roman"/>
        </w:rPr>
        <w:t>Nasarawa State University, PMB 1022, Keffi, Nasarawa State, Nigeria.</w:t>
      </w:r>
    </w:p>
    <w:p w14:paraId="40C18BF1" w14:textId="394C2CD7" w:rsidR="006F5073" w:rsidRPr="00F92D10" w:rsidRDefault="006F5073" w:rsidP="006F5073">
      <w:pPr>
        <w:spacing w:after="0" w:line="360" w:lineRule="auto"/>
        <w:rPr>
          <w:rFonts w:ascii="Times New Roman" w:hAnsi="Times New Roman" w:cs="Times New Roman"/>
        </w:rPr>
      </w:pPr>
      <w:r w:rsidRPr="00F92D10">
        <w:rPr>
          <w:rFonts w:ascii="Times New Roman" w:hAnsi="Times New Roman" w:cs="Times New Roman"/>
          <w:b/>
          <w:vertAlign w:val="superscript"/>
        </w:rPr>
        <w:t xml:space="preserve">                                       </w:t>
      </w:r>
      <w:r w:rsidRPr="00F92D10">
        <w:rPr>
          <w:rFonts w:ascii="Times New Roman" w:hAnsi="Times New Roman" w:cs="Times New Roman"/>
          <w:b/>
          <w:vertAlign w:val="superscript"/>
        </w:rPr>
        <w:t>3</w:t>
      </w:r>
      <w:r w:rsidRPr="00F92D10">
        <w:rPr>
          <w:rFonts w:ascii="Times New Roman" w:hAnsi="Times New Roman" w:cs="Times New Roman"/>
        </w:rPr>
        <w:t xml:space="preserve">Department </w:t>
      </w:r>
      <w:r w:rsidR="003D7229" w:rsidRPr="00F92D10">
        <w:rPr>
          <w:rFonts w:ascii="Times New Roman" w:hAnsi="Times New Roman" w:cs="Times New Roman"/>
        </w:rPr>
        <w:t>of Community</w:t>
      </w:r>
      <w:r w:rsidRPr="00F92D10">
        <w:rPr>
          <w:rFonts w:ascii="Times New Roman" w:hAnsi="Times New Roman" w:cs="Times New Roman"/>
        </w:rPr>
        <w:t xml:space="preserve"> Health</w:t>
      </w:r>
      <w:r w:rsidRPr="00F92D10">
        <w:rPr>
          <w:rFonts w:ascii="Times New Roman" w:hAnsi="Times New Roman" w:cs="Times New Roman"/>
        </w:rPr>
        <w:t>,</w:t>
      </w:r>
    </w:p>
    <w:p w14:paraId="5C227DCE" w14:textId="4AF8F642" w:rsidR="006F5073" w:rsidRPr="00F92D10" w:rsidRDefault="006F5073" w:rsidP="006F5073">
      <w:pPr>
        <w:spacing w:after="0" w:line="360" w:lineRule="auto"/>
        <w:ind w:left="2160"/>
        <w:rPr>
          <w:rFonts w:ascii="Times New Roman" w:hAnsi="Times New Roman" w:cs="Times New Roman"/>
        </w:rPr>
      </w:pPr>
      <w:r w:rsidRPr="00F92D10">
        <w:rPr>
          <w:rFonts w:ascii="Times New Roman" w:hAnsi="Times New Roman" w:cs="Times New Roman"/>
        </w:rPr>
        <w:t xml:space="preserve">      </w:t>
      </w:r>
      <w:r w:rsidRPr="00F92D10">
        <w:rPr>
          <w:rFonts w:ascii="Times New Roman" w:hAnsi="Times New Roman" w:cs="Times New Roman"/>
        </w:rPr>
        <w:t>College of Medicine &amp; Allied Health Sciences,</w:t>
      </w:r>
    </w:p>
    <w:p w14:paraId="32413F33" w14:textId="77777777" w:rsidR="006F5073" w:rsidRPr="00F92D10" w:rsidRDefault="006F5073" w:rsidP="006F5073">
      <w:pPr>
        <w:spacing w:after="0" w:line="360" w:lineRule="auto"/>
        <w:jc w:val="center"/>
        <w:rPr>
          <w:rFonts w:ascii="Times New Roman" w:hAnsi="Times New Roman" w:cs="Times New Roman"/>
        </w:rPr>
      </w:pPr>
      <w:r w:rsidRPr="00F92D10">
        <w:rPr>
          <w:rFonts w:ascii="Times New Roman" w:hAnsi="Times New Roman" w:cs="Times New Roman"/>
        </w:rPr>
        <w:t>Nasarawa State University, PMB 1022, Keffi, Nasarawa State, Nigeria.</w:t>
      </w:r>
    </w:p>
    <w:p w14:paraId="0C224892" w14:textId="77777777" w:rsidR="006F5073" w:rsidRPr="00F92D10" w:rsidRDefault="006F5073" w:rsidP="006F5073">
      <w:pPr>
        <w:spacing w:after="0" w:line="360" w:lineRule="auto"/>
        <w:jc w:val="center"/>
        <w:rPr>
          <w:rFonts w:ascii="Times New Roman" w:hAnsi="Times New Roman" w:cs="Times New Roman"/>
        </w:rPr>
      </w:pPr>
    </w:p>
    <w:p w14:paraId="1A46AFA1" w14:textId="77777777" w:rsidR="006F5073" w:rsidRPr="00F92D10" w:rsidRDefault="006F5073" w:rsidP="006F5073">
      <w:pPr>
        <w:spacing w:after="0" w:line="360" w:lineRule="auto"/>
        <w:jc w:val="center"/>
        <w:rPr>
          <w:rFonts w:ascii="Times New Roman" w:hAnsi="Times New Roman" w:cs="Times New Roman"/>
          <w:i/>
        </w:rPr>
      </w:pPr>
      <w:r w:rsidRPr="00F92D10">
        <w:rPr>
          <w:rFonts w:ascii="Times New Roman" w:hAnsi="Times New Roman" w:cs="Times New Roman"/>
          <w:i/>
        </w:rPr>
        <w:t xml:space="preserve">Corresponding Email: </w:t>
      </w:r>
      <w:hyperlink r:id="rId5" w:history="1">
        <w:r w:rsidRPr="00F92D10">
          <w:rPr>
            <w:rStyle w:val="Hyperlink"/>
            <w:i/>
          </w:rPr>
          <w:t>jmdanladi@nsuk.edu.ng</w:t>
        </w:r>
      </w:hyperlink>
    </w:p>
    <w:p w14:paraId="5C2D264E" w14:textId="09A8B439" w:rsidR="006F5073" w:rsidRPr="00F92D10" w:rsidRDefault="006F5073" w:rsidP="006F5073">
      <w:pPr>
        <w:spacing w:after="0" w:line="360" w:lineRule="auto"/>
        <w:jc w:val="center"/>
        <w:rPr>
          <w:rFonts w:ascii="Times New Roman" w:hAnsi="Times New Roman" w:cs="Times New Roman"/>
        </w:rPr>
      </w:pPr>
      <w:r w:rsidRPr="00F92D10">
        <w:rPr>
          <w:rFonts w:ascii="Times New Roman" w:hAnsi="Times New Roman" w:cs="Times New Roman"/>
          <w:i/>
        </w:rPr>
        <w:t>Tel: 08068980964, 07082074785</w:t>
      </w:r>
    </w:p>
    <w:p w14:paraId="2816B525" w14:textId="77777777" w:rsidR="006F5073" w:rsidRPr="00F92D10" w:rsidRDefault="006F5073" w:rsidP="006F5073">
      <w:pPr>
        <w:spacing w:after="0" w:line="360" w:lineRule="auto"/>
        <w:jc w:val="center"/>
        <w:rPr>
          <w:rFonts w:ascii="Times New Roman" w:hAnsi="Times New Roman" w:cs="Times New Roman"/>
        </w:rPr>
      </w:pPr>
    </w:p>
    <w:p w14:paraId="617474B3" w14:textId="77777777" w:rsidR="00114EE9" w:rsidRPr="00F92D10" w:rsidRDefault="00114EE9" w:rsidP="00EE1748">
      <w:pPr>
        <w:spacing w:before="100" w:beforeAutospacing="1" w:after="100" w:afterAutospacing="1" w:line="360" w:lineRule="auto"/>
        <w:outlineLvl w:val="1"/>
        <w:rPr>
          <w:rFonts w:ascii="Times New Roman" w:eastAsia="Times New Roman" w:hAnsi="Times New Roman" w:cs="Times New Roman"/>
          <w:b/>
          <w:bCs/>
          <w:lang w:eastAsia="en-GB"/>
        </w:rPr>
      </w:pPr>
      <w:r w:rsidRPr="00F92D10">
        <w:rPr>
          <w:rFonts w:ascii="Times New Roman" w:eastAsia="Times New Roman" w:hAnsi="Times New Roman" w:cs="Times New Roman"/>
          <w:b/>
          <w:bCs/>
          <w:lang w:eastAsia="en-GB"/>
        </w:rPr>
        <w:t>Abstract</w:t>
      </w:r>
    </w:p>
    <w:p w14:paraId="6AB07296" w14:textId="40F2ED85" w:rsidR="00114EE9" w:rsidRPr="00F92D10" w:rsidRDefault="00114EE9" w:rsidP="00EE1748">
      <w:pPr>
        <w:spacing w:before="100" w:beforeAutospacing="1" w:after="100" w:afterAutospacing="1" w:line="360" w:lineRule="auto"/>
        <w:rPr>
          <w:rFonts w:ascii="Times New Roman" w:eastAsia="Times New Roman" w:hAnsi="Times New Roman" w:cs="Times New Roman"/>
          <w:sz w:val="20"/>
          <w:szCs w:val="20"/>
          <w:lang w:eastAsia="en-GB"/>
        </w:rPr>
      </w:pPr>
      <w:r w:rsidRPr="00F92D10">
        <w:rPr>
          <w:rFonts w:ascii="Times New Roman" w:eastAsia="Times New Roman" w:hAnsi="Times New Roman" w:cs="Times New Roman"/>
          <w:sz w:val="20"/>
          <w:szCs w:val="20"/>
          <w:lang w:eastAsia="en-GB"/>
        </w:rPr>
        <w:t xml:space="preserve">Substance abuse among adolescents remains a critical public health concern in Nigeria, with significant implications for social and developmental outcomes. This study examined the socio-demographic effects of substance abuse among adolescents in Kokona Local Government Area (LGA), Nasarawa State. A cross-sectional survey design was employed involving 400 adolescents aged 10–19 years selected through [insert sampling technique]. Data were collected using a structured questionnaire and analyzed using </w:t>
      </w:r>
      <w:r w:rsidR="00EE1748" w:rsidRPr="00F92D10">
        <w:rPr>
          <w:rStyle w:val="Strong"/>
          <w:rFonts w:ascii="Times New Roman" w:hAnsi="Times New Roman" w:cs="Times New Roman"/>
          <w:b w:val="0"/>
          <w:bCs w:val="0"/>
          <w:sz w:val="20"/>
          <w:szCs w:val="20"/>
        </w:rPr>
        <w:t>Chi-square (χ²) test of independence</w:t>
      </w:r>
      <w:r w:rsidR="00EE1748" w:rsidRPr="00F92D10">
        <w:rPr>
          <w:rFonts w:ascii="Times New Roman" w:hAnsi="Times New Roman" w:cs="Times New Roman"/>
          <w:b/>
          <w:bCs/>
          <w:sz w:val="20"/>
          <w:szCs w:val="20"/>
        </w:rPr>
        <w:t xml:space="preserve"> </w:t>
      </w:r>
      <w:r w:rsidR="00EE1748" w:rsidRPr="00F92D10">
        <w:rPr>
          <w:rFonts w:ascii="Times New Roman" w:hAnsi="Times New Roman" w:cs="Times New Roman"/>
          <w:sz w:val="20"/>
          <w:szCs w:val="20"/>
        </w:rPr>
        <w:t xml:space="preserve">to examine the relationship between socio-demographic factors (such as age, sex, and family background) and substance abuse </w:t>
      </w:r>
      <w:r w:rsidR="00B74C25" w:rsidRPr="00F92D10">
        <w:rPr>
          <w:rFonts w:ascii="Times New Roman" w:hAnsi="Times New Roman" w:cs="Times New Roman"/>
          <w:sz w:val="20"/>
          <w:szCs w:val="20"/>
        </w:rPr>
        <w:t>among adolescents</w:t>
      </w:r>
      <w:r w:rsidR="00EE1748" w:rsidRPr="00F92D10">
        <w:rPr>
          <w:rFonts w:ascii="Times New Roman" w:hAnsi="Times New Roman" w:cs="Times New Roman"/>
          <w:sz w:val="20"/>
          <w:szCs w:val="20"/>
        </w:rPr>
        <w:t>.</w:t>
      </w:r>
      <w:r w:rsidRPr="00F92D10">
        <w:rPr>
          <w:rFonts w:ascii="Times New Roman" w:eastAsia="Times New Roman" w:hAnsi="Times New Roman" w:cs="Times New Roman"/>
          <w:sz w:val="20"/>
          <w:szCs w:val="20"/>
          <w:lang w:eastAsia="en-GB"/>
        </w:rPr>
        <w:t xml:space="preserve"> </w:t>
      </w:r>
      <w:r w:rsidR="00B74C25" w:rsidRPr="00F92D10">
        <w:rPr>
          <w:rFonts w:ascii="Times New Roman" w:eastAsia="Times New Roman" w:hAnsi="Times New Roman" w:cs="Times New Roman"/>
          <w:sz w:val="20"/>
          <w:szCs w:val="20"/>
          <w:lang w:eastAsia="en-GB"/>
        </w:rPr>
        <w:t>while SPSS</w:t>
      </w:r>
      <w:r w:rsidR="00EE1748" w:rsidRPr="00F92D10">
        <w:rPr>
          <w:rFonts w:ascii="Times New Roman" w:hAnsi="Times New Roman" w:cs="Times New Roman"/>
          <w:sz w:val="20"/>
          <w:szCs w:val="20"/>
        </w:rPr>
        <w:t xml:space="preserve"> Version 26.0 </w:t>
      </w:r>
      <w:r w:rsidRPr="00F92D10">
        <w:rPr>
          <w:rFonts w:ascii="Times New Roman" w:eastAsia="Times New Roman" w:hAnsi="Times New Roman" w:cs="Times New Roman"/>
          <w:sz w:val="20"/>
          <w:szCs w:val="20"/>
          <w:lang w:eastAsia="en-GB"/>
        </w:rPr>
        <w:t>Findings revealed that socio-demographic variables such as age, gender, educational level, peer influence, and family socio-economic status significantly influenced substance abuse patterns (p &lt; 0.05). Substance abuse was found to adversely affect academic performance, increase school absenteeism, and contribute to behavioral and psychological problems among adolescents.</w:t>
      </w:r>
    </w:p>
    <w:p w14:paraId="0E28E572" w14:textId="44D09645" w:rsidR="00114EE9" w:rsidRPr="00F92D10" w:rsidRDefault="00114EE9" w:rsidP="00EE1748">
      <w:pPr>
        <w:spacing w:before="100" w:beforeAutospacing="1" w:after="100" w:afterAutospacing="1" w:line="360" w:lineRule="auto"/>
        <w:rPr>
          <w:rFonts w:ascii="Times New Roman" w:eastAsia="Times New Roman" w:hAnsi="Times New Roman" w:cs="Times New Roman"/>
          <w:sz w:val="20"/>
          <w:szCs w:val="20"/>
          <w:lang w:eastAsia="en-GB"/>
        </w:rPr>
      </w:pPr>
      <w:r w:rsidRPr="00F92D10">
        <w:rPr>
          <w:rFonts w:ascii="Times New Roman" w:eastAsia="Times New Roman" w:hAnsi="Times New Roman" w:cs="Times New Roman"/>
          <w:sz w:val="20"/>
          <w:szCs w:val="20"/>
          <w:lang w:eastAsia="en-GB"/>
        </w:rPr>
        <w:t>The study concludes that socio-demographic factors play a significant role in shaping substance abuse behaviours and outcomes. It recommends targeted interventions focusing on adolescents’ social environments and strengthening preventive health education programs.</w:t>
      </w:r>
    </w:p>
    <w:p w14:paraId="36E445B6" w14:textId="6A37A29B" w:rsidR="006F5073" w:rsidRPr="00F92D10" w:rsidRDefault="00114EE9" w:rsidP="00EE1748">
      <w:pPr>
        <w:spacing w:before="100" w:beforeAutospacing="1" w:after="100" w:afterAutospacing="1" w:line="360" w:lineRule="auto"/>
        <w:rPr>
          <w:rFonts w:ascii="Times New Roman" w:eastAsia="Times New Roman" w:hAnsi="Times New Roman" w:cs="Times New Roman"/>
          <w:sz w:val="20"/>
          <w:szCs w:val="20"/>
          <w:lang w:eastAsia="en-GB"/>
        </w:rPr>
      </w:pPr>
      <w:r w:rsidRPr="00F92D10">
        <w:rPr>
          <w:rFonts w:ascii="Times New Roman" w:eastAsia="Times New Roman" w:hAnsi="Times New Roman" w:cs="Times New Roman"/>
          <w:sz w:val="20"/>
          <w:szCs w:val="20"/>
          <w:lang w:eastAsia="en-GB"/>
        </w:rPr>
        <w:t xml:space="preserve">Keywords: Substance abuse, Adolescents, Socio-demographic factors, </w:t>
      </w:r>
      <w:r w:rsidR="006F5073" w:rsidRPr="00F92D10">
        <w:rPr>
          <w:rFonts w:ascii="Times New Roman" w:eastAsia="Times New Roman" w:hAnsi="Times New Roman" w:cs="Times New Roman"/>
          <w:sz w:val="20"/>
          <w:szCs w:val="20"/>
          <w:lang w:eastAsia="en-GB"/>
        </w:rPr>
        <w:t>Public</w:t>
      </w:r>
      <w:r w:rsidRPr="00F92D10">
        <w:rPr>
          <w:rFonts w:ascii="Times New Roman" w:eastAsia="Times New Roman" w:hAnsi="Times New Roman" w:cs="Times New Roman"/>
          <w:sz w:val="20"/>
          <w:szCs w:val="20"/>
          <w:lang w:eastAsia="en-GB"/>
        </w:rPr>
        <w:t xml:space="preserve"> </w:t>
      </w:r>
      <w:r w:rsidR="006F5073" w:rsidRPr="00F92D10">
        <w:rPr>
          <w:rFonts w:ascii="Times New Roman" w:eastAsia="Times New Roman" w:hAnsi="Times New Roman" w:cs="Times New Roman"/>
          <w:sz w:val="20"/>
          <w:szCs w:val="20"/>
          <w:lang w:eastAsia="en-GB"/>
        </w:rPr>
        <w:t>H</w:t>
      </w:r>
      <w:r w:rsidRPr="00F92D10">
        <w:rPr>
          <w:rFonts w:ascii="Times New Roman" w:eastAsia="Times New Roman" w:hAnsi="Times New Roman" w:cs="Times New Roman"/>
          <w:sz w:val="20"/>
          <w:szCs w:val="20"/>
          <w:lang w:eastAsia="en-GB"/>
        </w:rPr>
        <w:t>ealth, Nigeria</w:t>
      </w:r>
    </w:p>
    <w:p w14:paraId="0755E51C" w14:textId="18AE4930" w:rsidR="00114EE9" w:rsidRPr="00E03284" w:rsidRDefault="00114EE9" w:rsidP="00EE174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E03284">
        <w:rPr>
          <w:rFonts w:ascii="Times New Roman" w:eastAsia="Times New Roman" w:hAnsi="Times New Roman" w:cs="Times New Roman"/>
          <w:b/>
          <w:bCs/>
          <w:sz w:val="24"/>
          <w:szCs w:val="24"/>
          <w:lang w:eastAsia="en-GB"/>
        </w:rPr>
        <w:lastRenderedPageBreak/>
        <w:t>Introduction</w:t>
      </w:r>
    </w:p>
    <w:p w14:paraId="05430BB6" w14:textId="1A0DE5CC" w:rsidR="00114EE9" w:rsidRPr="00B74C25" w:rsidRDefault="00114EE9" w:rsidP="00EE1748">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Substance abuse is defined as the harmful or hazardous use of psychoactive substances, including alcohol, tobacco, and illicit drugs. It represents a major global public health challenge, particularly among adolescents who are in a developmental stage characterized by experimentation and risk-taking behaviours.</w:t>
      </w:r>
    </w:p>
    <w:p w14:paraId="782502DB" w14:textId="77777777" w:rsidR="00114EE9" w:rsidRPr="00B74C25" w:rsidRDefault="00114EE9" w:rsidP="00EE1748">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In Nigeria, the burden of substance abuse among adolescents has increased in recent years, driven by socio-economic challenges, peer pressure, and limited access to preventive education. Adolescents in rural and semi-urban settings, such as Kokona LGA in Nasarawa State, may be particularly vulnerable due to socio-economic disparities and inadequate healthcare access.</w:t>
      </w:r>
    </w:p>
    <w:p w14:paraId="6B7A9F50" w14:textId="0B1DF19D" w:rsidR="00114EE9" w:rsidRPr="00B74C25" w:rsidRDefault="00114EE9" w:rsidP="00B74C25">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Socio-demographic factors</w:t>
      </w:r>
      <w:r w:rsidR="00B74C25">
        <w:rPr>
          <w:rFonts w:ascii="Times New Roman" w:eastAsia="Times New Roman" w:hAnsi="Times New Roman" w:cs="Times New Roman"/>
          <w:sz w:val="24"/>
          <w:szCs w:val="24"/>
          <w:lang w:eastAsia="en-GB"/>
        </w:rPr>
        <w:t xml:space="preserve"> </w:t>
      </w:r>
      <w:r w:rsidRPr="00B74C25">
        <w:rPr>
          <w:rFonts w:ascii="Times New Roman" w:eastAsia="Times New Roman" w:hAnsi="Times New Roman" w:cs="Times New Roman"/>
          <w:sz w:val="24"/>
          <w:szCs w:val="24"/>
          <w:lang w:eastAsia="en-GB"/>
        </w:rPr>
        <w:t>including age, gender, family background, and educational status</w:t>
      </w:r>
      <w:r w:rsidR="00B74C25">
        <w:rPr>
          <w:rFonts w:ascii="Times New Roman" w:eastAsia="Times New Roman" w:hAnsi="Times New Roman" w:cs="Times New Roman"/>
          <w:sz w:val="24"/>
          <w:szCs w:val="24"/>
          <w:lang w:eastAsia="en-GB"/>
        </w:rPr>
        <w:t xml:space="preserve"> </w:t>
      </w:r>
      <w:r w:rsidRPr="00B74C25">
        <w:rPr>
          <w:rFonts w:ascii="Times New Roman" w:eastAsia="Times New Roman" w:hAnsi="Times New Roman" w:cs="Times New Roman"/>
          <w:sz w:val="24"/>
          <w:szCs w:val="24"/>
          <w:lang w:eastAsia="en-GB"/>
        </w:rPr>
        <w:t>have been widely recognized as key determinants of substance use behaviors. However, there is limited empirical evidence focusing specifically on Kokona LGA. This study therefore seeks to fill this gap by examining how these factors influence substance abuse and its effects on adolescents in the study area.</w:t>
      </w:r>
    </w:p>
    <w:p w14:paraId="7C6C1A3D" w14:textId="77777777" w:rsidR="00F10698" w:rsidRPr="00E03284" w:rsidRDefault="00F10698" w:rsidP="00EE1748">
      <w:pPr>
        <w:pStyle w:val="Heading3"/>
        <w:spacing w:line="360" w:lineRule="auto"/>
        <w:rPr>
          <w:b w:val="0"/>
          <w:bCs w:val="0"/>
          <w:sz w:val="24"/>
          <w:szCs w:val="24"/>
        </w:rPr>
      </w:pPr>
      <w:r w:rsidRPr="00E03284">
        <w:rPr>
          <w:rStyle w:val="Strong"/>
          <w:b/>
          <w:bCs/>
          <w:sz w:val="24"/>
          <w:szCs w:val="24"/>
        </w:rPr>
        <w:t>Research Design</w:t>
      </w:r>
    </w:p>
    <w:p w14:paraId="5A379BAE" w14:textId="77777777" w:rsidR="00F10698" w:rsidRPr="00B74C25" w:rsidRDefault="00F10698" w:rsidP="00EE1748">
      <w:pPr>
        <w:pStyle w:val="NormalWeb"/>
        <w:spacing w:line="360" w:lineRule="auto"/>
      </w:pPr>
      <w:r w:rsidRPr="00B74C25">
        <w:t xml:space="preserve">This study adopted a </w:t>
      </w:r>
      <w:r w:rsidRPr="00B74C25">
        <w:rPr>
          <w:rStyle w:val="Strong"/>
          <w:b w:val="0"/>
          <w:bCs w:val="0"/>
        </w:rPr>
        <w:t>descriptive cross-sectional survey design</w:t>
      </w:r>
      <w:r w:rsidRPr="00B74C25">
        <w:t>. This design is considered appropriate for assessing the prevalence, patterns, and effects of substance abuse within a defined population at a specific point in time. It facilitates the systematic collection of quantitative data from a relatively large sample of secondary school students, thereby enabling robust statistical analysis of the effects of substance abuse on their physical and mental health outcomes.</w:t>
      </w:r>
    </w:p>
    <w:p w14:paraId="4B6C62DF" w14:textId="2E87400E" w:rsidR="00F10698" w:rsidRPr="00B74C25" w:rsidRDefault="00F10698" w:rsidP="00B74C25">
      <w:pPr>
        <w:pStyle w:val="NormalWeb"/>
        <w:spacing w:line="360" w:lineRule="auto"/>
      </w:pPr>
      <w:r w:rsidRPr="00B74C25">
        <w:t>Furthermore, the cross-sectional approach is cost-effective and time-efficient, making it particularly suitable for research conducted in semi-rural settings such as Kokona Local Government Area (LGA), Nasarawa State.</w:t>
      </w:r>
    </w:p>
    <w:p w14:paraId="1819E599" w14:textId="7D7345AF" w:rsidR="00F10698" w:rsidRPr="00E03284" w:rsidRDefault="00F10698" w:rsidP="00EE1748">
      <w:pPr>
        <w:pStyle w:val="Heading3"/>
        <w:spacing w:line="360" w:lineRule="auto"/>
        <w:rPr>
          <w:b w:val="0"/>
          <w:bCs w:val="0"/>
          <w:sz w:val="24"/>
          <w:szCs w:val="24"/>
        </w:rPr>
      </w:pPr>
      <w:r w:rsidRPr="00E03284">
        <w:rPr>
          <w:rStyle w:val="Strong"/>
          <w:b/>
          <w:bCs/>
          <w:sz w:val="24"/>
          <w:szCs w:val="24"/>
        </w:rPr>
        <w:t>Population of the Study</w:t>
      </w:r>
    </w:p>
    <w:p w14:paraId="3489D73B" w14:textId="7FB5F434" w:rsidR="00F10698" w:rsidRPr="00B74C25" w:rsidRDefault="00F10698" w:rsidP="00EE1748">
      <w:pPr>
        <w:pStyle w:val="NormalWeb"/>
        <w:spacing w:line="360" w:lineRule="auto"/>
      </w:pPr>
      <w:r w:rsidRPr="00B74C25">
        <w:t xml:space="preserve">The target population for this study comprised all secondary school students enrolled in both public and private </w:t>
      </w:r>
      <w:r w:rsidR="00B74C25" w:rsidRPr="00B74C25">
        <w:t>adolescent within</w:t>
      </w:r>
      <w:r w:rsidRPr="00B74C25">
        <w:t xml:space="preserve"> Kokona Local Government Area, Nasarawa State. This </w:t>
      </w:r>
      <w:r w:rsidRPr="00B74C25">
        <w:lastRenderedPageBreak/>
        <w:t>population is particularly relevant, as adolescents aged 10–19 years are widely recognized as being at increased risk of experimenting with and developing substance use disorders (UNICEF, 2022).</w:t>
      </w:r>
    </w:p>
    <w:p w14:paraId="134B181C" w14:textId="0868618D" w:rsidR="00F10698" w:rsidRPr="00B74C25" w:rsidRDefault="00F10698" w:rsidP="00B74C25">
      <w:pPr>
        <w:pStyle w:val="NormalWeb"/>
        <w:spacing w:line="360" w:lineRule="auto"/>
      </w:pPr>
      <w:r w:rsidRPr="00B74C25">
        <w:t xml:space="preserve">According to records from the Kokona Local Government Education Authority (2024), there are approximately </w:t>
      </w:r>
      <w:r w:rsidRPr="00B74C25">
        <w:rPr>
          <w:rStyle w:val="Strong"/>
          <w:b w:val="0"/>
          <w:bCs w:val="0"/>
        </w:rPr>
        <w:t>8,200 students</w:t>
      </w:r>
      <w:r w:rsidRPr="00B74C25">
        <w:t xml:space="preserve"> distributed across </w:t>
      </w:r>
      <w:r w:rsidRPr="00B74C25">
        <w:rPr>
          <w:rStyle w:val="Strong"/>
          <w:b w:val="0"/>
          <w:bCs w:val="0"/>
        </w:rPr>
        <w:t xml:space="preserve">32 </w:t>
      </w:r>
      <w:r w:rsidR="00B74C25" w:rsidRPr="00B74C25">
        <w:rPr>
          <w:rStyle w:val="Strong"/>
          <w:b w:val="0"/>
          <w:bCs w:val="0"/>
        </w:rPr>
        <w:t>adolescents</w:t>
      </w:r>
      <w:r w:rsidR="00B74C25" w:rsidRPr="00B74C25">
        <w:t xml:space="preserve"> within</w:t>
      </w:r>
      <w:r w:rsidRPr="00B74C25">
        <w:t xml:space="preserve"> the LGA.</w:t>
      </w:r>
    </w:p>
    <w:p w14:paraId="42E8ABE2" w14:textId="5842DC43" w:rsidR="00F10698" w:rsidRPr="00E03284" w:rsidRDefault="00F10698" w:rsidP="00EE1748">
      <w:pPr>
        <w:pStyle w:val="Heading3"/>
        <w:spacing w:line="360" w:lineRule="auto"/>
        <w:rPr>
          <w:b w:val="0"/>
          <w:bCs w:val="0"/>
          <w:sz w:val="24"/>
          <w:szCs w:val="24"/>
        </w:rPr>
      </w:pPr>
      <w:r w:rsidRPr="00E03284">
        <w:rPr>
          <w:rStyle w:val="Strong"/>
          <w:b/>
          <w:bCs/>
          <w:sz w:val="24"/>
          <w:szCs w:val="24"/>
        </w:rPr>
        <w:t>Sample Size Determination and Sampling Technique</w:t>
      </w:r>
    </w:p>
    <w:p w14:paraId="7316E267" w14:textId="77777777" w:rsidR="00F10698" w:rsidRPr="00E03284" w:rsidRDefault="00F10698" w:rsidP="00EE1748">
      <w:pPr>
        <w:pStyle w:val="Heading4"/>
        <w:spacing w:line="360" w:lineRule="auto"/>
        <w:rPr>
          <w:rFonts w:ascii="Times New Roman" w:hAnsi="Times New Roman" w:cs="Times New Roman"/>
          <w:i w:val="0"/>
          <w:iCs w:val="0"/>
          <w:color w:val="auto"/>
          <w:sz w:val="24"/>
          <w:szCs w:val="24"/>
        </w:rPr>
      </w:pPr>
      <w:r w:rsidRPr="00E03284">
        <w:rPr>
          <w:rStyle w:val="Strong"/>
          <w:rFonts w:ascii="Times New Roman" w:hAnsi="Times New Roman" w:cs="Times New Roman"/>
          <w:i w:val="0"/>
          <w:iCs w:val="0"/>
          <w:color w:val="auto"/>
          <w:sz w:val="24"/>
          <w:szCs w:val="24"/>
        </w:rPr>
        <w:t>Sample Size Determination</w:t>
      </w:r>
    </w:p>
    <w:p w14:paraId="4FF8796F" w14:textId="77777777" w:rsidR="00F10698" w:rsidRPr="00B74C25" w:rsidRDefault="00F10698" w:rsidP="00EE1748">
      <w:pPr>
        <w:pStyle w:val="NormalWeb"/>
        <w:spacing w:line="360" w:lineRule="auto"/>
      </w:pPr>
      <w:r w:rsidRPr="00B74C25">
        <w:t xml:space="preserve">The sample size for this study was determined using the </w:t>
      </w:r>
      <w:r w:rsidRPr="00B74C25">
        <w:rPr>
          <w:rStyle w:val="Strong"/>
          <w:b w:val="0"/>
          <w:bCs w:val="0"/>
        </w:rPr>
        <w:t>Yamane (1967) formula</w:t>
      </w:r>
      <w:r w:rsidRPr="00B74C25">
        <w:t xml:space="preserve"> for finite populations, with a confidence level of 95% and a margin of error of 5%. The formula is expressed as:</w:t>
      </w:r>
    </w:p>
    <w:p w14:paraId="6A41FCC3" w14:textId="0B3F92C8" w:rsidR="000837BF" w:rsidRPr="00B74C25" w:rsidRDefault="00EE1748" w:rsidP="00EE1748">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oMath>
      </m:oMathPara>
    </w:p>
    <w:p w14:paraId="008AB9E2"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Where:</w:t>
      </w:r>
    </w:p>
    <w:p w14:paraId="6509BBF0" w14:textId="77777777" w:rsidR="000837BF" w:rsidRPr="00B74C25" w:rsidRDefault="000837BF" w:rsidP="00EE1748">
      <w:pPr>
        <w:numPr>
          <w:ilvl w:val="0"/>
          <w:numId w:val="7"/>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n - sample size</w:t>
      </w:r>
    </w:p>
    <w:p w14:paraId="417BBFCE" w14:textId="77777777" w:rsidR="000837BF" w:rsidRPr="00B74C25" w:rsidRDefault="000837BF" w:rsidP="00EE1748">
      <w:pPr>
        <w:numPr>
          <w:ilvl w:val="0"/>
          <w:numId w:val="7"/>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N - population size</w:t>
      </w:r>
    </w:p>
    <w:p w14:paraId="437A0A11" w14:textId="77777777" w:rsidR="000837BF" w:rsidRPr="00B74C25" w:rsidRDefault="000837BF" w:rsidP="00EE1748">
      <w:pPr>
        <w:numPr>
          <w:ilvl w:val="0"/>
          <w:numId w:val="7"/>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e - margin of error</w:t>
      </w:r>
    </w:p>
    <w:p w14:paraId="3BE10BE9"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For this study, the estimated student population in Kokona Local Government Area is 8,200 (N - 8,200), with a margin of error of 5% (e - 0.05). Substituting these values into the formula gives:</w:t>
      </w:r>
    </w:p>
    <w:p w14:paraId="4392CC66" w14:textId="375C408C" w:rsidR="000837BF" w:rsidRPr="00B74C25" w:rsidRDefault="00EE1748" w:rsidP="00EE1748">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8200</m:t>
              </m:r>
            </m:num>
            <m:den>
              <m:r>
                <w:rPr>
                  <w:rFonts w:ascii="Cambria Math" w:hAnsi="Cambria Math" w:cs="Times New Roman"/>
                  <w:sz w:val="24"/>
                  <w:szCs w:val="24"/>
                </w:rPr>
                <m:t>1</m:t>
              </m:r>
            </m:den>
          </m:f>
          <m:r>
            <w:rPr>
              <w:rFonts w:ascii="Cambria Math" w:hAnsi="Cambria Math" w:cs="Times New Roman"/>
              <w:sz w:val="24"/>
              <w:szCs w:val="24"/>
            </w:rPr>
            <m:t>+8200</m:t>
          </m:r>
          <m:d>
            <m:dPr>
              <m:ctrlPr>
                <w:rPr>
                  <w:rFonts w:ascii="Cambria Math" w:hAnsi="Cambria Math" w:cs="Times New Roman"/>
                  <w:i/>
                  <w:sz w:val="24"/>
                  <w:szCs w:val="24"/>
                </w:rPr>
              </m:ctrlPr>
            </m:dPr>
            <m:e>
              <m:r>
                <w:rPr>
                  <w:rFonts w:ascii="Cambria Math" w:hAnsi="Cambria Math" w:cs="Times New Roman"/>
                  <w:sz w:val="24"/>
                  <w:szCs w:val="24"/>
                </w:rPr>
                <m:t>0.05</m:t>
              </m:r>
            </m:e>
          </m:d>
          <m:r>
            <w:rPr>
              <w:rFonts w:ascii="Cambria Math" w:hAnsi="Cambria Math" w:cs="Times New Roman"/>
              <w:sz w:val="24"/>
              <w:szCs w:val="24"/>
            </w:rPr>
            <m:t>2</m:t>
          </m:r>
        </m:oMath>
      </m:oMathPara>
    </w:p>
    <w:p w14:paraId="71B84E54" w14:textId="2C8CD49D" w:rsidR="000837BF" w:rsidRPr="00B74C25" w:rsidRDefault="00EE1748" w:rsidP="00EE1748">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8200</m:t>
              </m:r>
            </m:num>
            <m:den>
              <m:r>
                <w:rPr>
                  <w:rFonts w:ascii="Cambria Math" w:hAnsi="Cambria Math" w:cs="Times New Roman"/>
                  <w:sz w:val="24"/>
                  <w:szCs w:val="24"/>
                </w:rPr>
                <m:t>1</m:t>
              </m:r>
            </m:den>
          </m:f>
          <m:r>
            <w:rPr>
              <w:rFonts w:ascii="Cambria Math" w:hAnsi="Cambria Math" w:cs="Times New Roman"/>
              <w:sz w:val="24"/>
              <w:szCs w:val="24"/>
            </w:rPr>
            <m:t>+8200</m:t>
          </m:r>
          <m:d>
            <m:dPr>
              <m:ctrlPr>
                <w:rPr>
                  <w:rFonts w:ascii="Cambria Math" w:hAnsi="Cambria Math" w:cs="Times New Roman"/>
                  <w:i/>
                  <w:sz w:val="24"/>
                  <w:szCs w:val="24"/>
                </w:rPr>
              </m:ctrlPr>
            </m:dPr>
            <m:e>
              <m:r>
                <w:rPr>
                  <w:rFonts w:ascii="Cambria Math" w:hAnsi="Cambria Math" w:cs="Times New Roman"/>
                  <w:sz w:val="24"/>
                  <w:szCs w:val="24"/>
                </w:rPr>
                <m:t>0.0025</m:t>
              </m:r>
            </m:e>
          </m:d>
        </m:oMath>
      </m:oMathPara>
    </w:p>
    <w:p w14:paraId="46A1CE39" w14:textId="77EE8BB9" w:rsidR="000837BF" w:rsidRPr="00B74C25" w:rsidRDefault="00EE1748" w:rsidP="00EE1748">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8200</m:t>
              </m:r>
            </m:num>
            <m:den>
              <m:r>
                <w:rPr>
                  <w:rFonts w:ascii="Cambria Math" w:hAnsi="Cambria Math" w:cs="Times New Roman"/>
                  <w:sz w:val="24"/>
                  <w:szCs w:val="24"/>
                </w:rPr>
                <m:t>1</m:t>
              </m:r>
            </m:den>
          </m:f>
          <m:r>
            <w:rPr>
              <w:rFonts w:ascii="Cambria Math" w:hAnsi="Cambria Math" w:cs="Times New Roman"/>
              <w:sz w:val="24"/>
              <w:szCs w:val="24"/>
            </w:rPr>
            <m:t>+20.5</m:t>
          </m:r>
        </m:oMath>
      </m:oMathPara>
    </w:p>
    <w:p w14:paraId="48713527" w14:textId="59D8778B" w:rsidR="000837BF" w:rsidRPr="00B74C25" w:rsidRDefault="00EE1748" w:rsidP="00EE1748">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8200</m:t>
              </m:r>
            </m:num>
            <m:den>
              <m:r>
                <w:rPr>
                  <w:rFonts w:ascii="Cambria Math" w:hAnsi="Cambria Math" w:cs="Times New Roman"/>
                  <w:sz w:val="24"/>
                  <w:szCs w:val="24"/>
                </w:rPr>
                <m:t>21.5</m:t>
              </m:r>
            </m:den>
          </m:f>
          <m:r>
            <w:rPr>
              <w:rFonts w:ascii="Cambria Math" w:hAnsi="Cambria Math" w:cs="Times New Roman"/>
              <w:sz w:val="24"/>
              <w:szCs w:val="24"/>
            </w:rPr>
            <m:t>-381.4</m:t>
          </m:r>
        </m:oMath>
      </m:oMathPara>
    </w:p>
    <w:p w14:paraId="3A10E7D8"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Thus, the minimum required sample size is approximately 381 students. However, to strengthen representativeness and account for possible non-responses, the sample size will be </w:t>
      </w:r>
      <w:r w:rsidRPr="00B74C25">
        <w:rPr>
          <w:rFonts w:ascii="Times New Roman" w:hAnsi="Times New Roman" w:cs="Times New Roman"/>
          <w:sz w:val="24"/>
          <w:szCs w:val="24"/>
        </w:rPr>
        <w:lastRenderedPageBreak/>
        <w:t>increased to 400 students. A multistage sampling technique will be employed to achieve proportional representation. At the first stage, schools will be stratified into public and private categories. At the second stage, a random selection of schools will be made from each stratum. The third stage involve proportionate sampling of students from both junior and senior classes in the selected schools. Finally, in the fourth stage, simple random sampling will be used to select individual participants. This procedure ensures a fair and balanced representation across school types and class levels, thereby enhancing the validity, reliability, and generalizability of the study’s findings.</w:t>
      </w:r>
    </w:p>
    <w:p w14:paraId="359B18AB" w14:textId="77777777" w:rsidR="000837BF" w:rsidRPr="00B74C25" w:rsidRDefault="000837BF" w:rsidP="00EE1748">
      <w:pPr>
        <w:pStyle w:val="NoSpacing"/>
        <w:spacing w:line="360" w:lineRule="auto"/>
        <w:rPr>
          <w:rFonts w:ascii="Times New Roman" w:hAnsi="Times New Roman" w:cs="Times New Roman"/>
          <w:sz w:val="24"/>
          <w:szCs w:val="24"/>
        </w:rPr>
      </w:pPr>
    </w:p>
    <w:p w14:paraId="1A0E31BD" w14:textId="4FF75646" w:rsidR="000837BF" w:rsidRPr="002B4D65" w:rsidRDefault="000837BF" w:rsidP="00EE1748">
      <w:pPr>
        <w:spacing w:line="360" w:lineRule="auto"/>
        <w:jc w:val="both"/>
        <w:rPr>
          <w:rFonts w:ascii="Times New Roman" w:hAnsi="Times New Roman" w:cs="Times New Roman"/>
          <w:b/>
          <w:bCs/>
          <w:sz w:val="24"/>
          <w:szCs w:val="24"/>
        </w:rPr>
      </w:pPr>
      <w:r w:rsidRPr="002B4D65">
        <w:rPr>
          <w:rFonts w:ascii="Times New Roman" w:hAnsi="Times New Roman" w:cs="Times New Roman"/>
          <w:b/>
          <w:bCs/>
          <w:sz w:val="24"/>
          <w:szCs w:val="24"/>
        </w:rPr>
        <w:t>Table 1:</w:t>
      </w:r>
      <w:r w:rsidR="002B4D65" w:rsidRPr="002B4D65">
        <w:rPr>
          <w:rFonts w:ascii="Times New Roman" w:hAnsi="Times New Roman" w:cs="Times New Roman"/>
          <w:b/>
          <w:bCs/>
          <w:sz w:val="24"/>
          <w:szCs w:val="24"/>
        </w:rPr>
        <w:t xml:space="preserve"> </w:t>
      </w:r>
      <w:r w:rsidRPr="002B4D65">
        <w:rPr>
          <w:rFonts w:ascii="Times New Roman" w:hAnsi="Times New Roman" w:cs="Times New Roman"/>
          <w:b/>
          <w:bCs/>
          <w:sz w:val="24"/>
          <w:szCs w:val="24"/>
        </w:rPr>
        <w:t xml:space="preserve">List of </w:t>
      </w:r>
      <w:r w:rsidR="00B74C25" w:rsidRPr="002B4D65">
        <w:rPr>
          <w:rFonts w:ascii="Times New Roman" w:hAnsi="Times New Roman" w:cs="Times New Roman"/>
          <w:b/>
          <w:bCs/>
          <w:sz w:val="24"/>
          <w:szCs w:val="24"/>
        </w:rPr>
        <w:t>Communities Population</w:t>
      </w:r>
      <w:r w:rsidRPr="002B4D65">
        <w:rPr>
          <w:rFonts w:ascii="Times New Roman" w:hAnsi="Times New Roman" w:cs="Times New Roman"/>
          <w:b/>
          <w:bCs/>
          <w:sz w:val="24"/>
          <w:szCs w:val="24"/>
        </w:rPr>
        <w:t xml:space="preserve"> and number of Respondents</w:t>
      </w:r>
    </w:p>
    <w:tbl>
      <w:tblPr>
        <w:tblStyle w:val="TableGrid"/>
        <w:tblW w:w="0" w:type="auto"/>
        <w:tblLook w:val="04A0" w:firstRow="1" w:lastRow="0" w:firstColumn="1" w:lastColumn="0" w:noHBand="0" w:noVBand="1"/>
      </w:tblPr>
      <w:tblGrid>
        <w:gridCol w:w="784"/>
        <w:gridCol w:w="2980"/>
        <w:gridCol w:w="2249"/>
        <w:gridCol w:w="1875"/>
      </w:tblGrid>
      <w:tr w:rsidR="000837BF" w:rsidRPr="00B74C25" w14:paraId="7B321506" w14:textId="77777777" w:rsidTr="003E52BD">
        <w:tc>
          <w:tcPr>
            <w:tcW w:w="784" w:type="dxa"/>
          </w:tcPr>
          <w:p w14:paraId="2D96DC6E"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S/no</w:t>
            </w:r>
          </w:p>
        </w:tc>
        <w:tc>
          <w:tcPr>
            <w:tcW w:w="2980" w:type="dxa"/>
          </w:tcPr>
          <w:p w14:paraId="0F93275B" w14:textId="029176B8" w:rsidR="000837BF"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Communities</w:t>
            </w:r>
          </w:p>
        </w:tc>
        <w:tc>
          <w:tcPr>
            <w:tcW w:w="2249" w:type="dxa"/>
          </w:tcPr>
          <w:p w14:paraId="1B5974CD"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Population</w:t>
            </w:r>
          </w:p>
        </w:tc>
        <w:tc>
          <w:tcPr>
            <w:tcW w:w="1875" w:type="dxa"/>
          </w:tcPr>
          <w:p w14:paraId="51E28C6D"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Respondents</w:t>
            </w:r>
          </w:p>
        </w:tc>
      </w:tr>
      <w:tr w:rsidR="000837BF" w:rsidRPr="00B74C25" w14:paraId="1AF0E020" w14:textId="77777777" w:rsidTr="003E52BD">
        <w:tc>
          <w:tcPr>
            <w:tcW w:w="784" w:type="dxa"/>
          </w:tcPr>
          <w:p w14:paraId="4B5D88CE"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2980" w:type="dxa"/>
          </w:tcPr>
          <w:p w14:paraId="5E5629F7" w14:textId="1CA6B17A"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Garaku</w:t>
            </w:r>
          </w:p>
        </w:tc>
        <w:tc>
          <w:tcPr>
            <w:tcW w:w="2249" w:type="dxa"/>
          </w:tcPr>
          <w:p w14:paraId="2A94CE7C"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435</w:t>
            </w:r>
          </w:p>
        </w:tc>
        <w:tc>
          <w:tcPr>
            <w:tcW w:w="1875" w:type="dxa"/>
          </w:tcPr>
          <w:p w14:paraId="29C23826" w14:textId="24970B8D"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435</w:t>
            </w:r>
          </w:p>
        </w:tc>
      </w:tr>
      <w:tr w:rsidR="000837BF" w:rsidRPr="00B74C25" w14:paraId="09EB9829" w14:textId="77777777" w:rsidTr="003E52BD">
        <w:tc>
          <w:tcPr>
            <w:tcW w:w="784" w:type="dxa"/>
          </w:tcPr>
          <w:p w14:paraId="25D2E8B2"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w:t>
            </w:r>
          </w:p>
        </w:tc>
        <w:tc>
          <w:tcPr>
            <w:tcW w:w="2980" w:type="dxa"/>
          </w:tcPr>
          <w:p w14:paraId="2735A991" w14:textId="1DAAADED"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Jarmai</w:t>
            </w:r>
          </w:p>
        </w:tc>
        <w:tc>
          <w:tcPr>
            <w:tcW w:w="2249" w:type="dxa"/>
          </w:tcPr>
          <w:p w14:paraId="50B6DC4B"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125</w:t>
            </w:r>
          </w:p>
        </w:tc>
        <w:tc>
          <w:tcPr>
            <w:tcW w:w="1875" w:type="dxa"/>
          </w:tcPr>
          <w:p w14:paraId="122E0111" w14:textId="204599F4"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0837BF" w:rsidRPr="00B74C25" w14:paraId="7C10F138" w14:textId="77777777" w:rsidTr="003E52BD">
        <w:tc>
          <w:tcPr>
            <w:tcW w:w="784" w:type="dxa"/>
          </w:tcPr>
          <w:p w14:paraId="2E390C1A"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w:t>
            </w:r>
          </w:p>
        </w:tc>
        <w:tc>
          <w:tcPr>
            <w:tcW w:w="2980" w:type="dxa"/>
          </w:tcPr>
          <w:p w14:paraId="5D92058E" w14:textId="10314B40"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 Amba</w:t>
            </w:r>
          </w:p>
        </w:tc>
        <w:tc>
          <w:tcPr>
            <w:tcW w:w="2249" w:type="dxa"/>
          </w:tcPr>
          <w:p w14:paraId="45EBF6B2"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122</w:t>
            </w:r>
          </w:p>
        </w:tc>
        <w:tc>
          <w:tcPr>
            <w:tcW w:w="1875" w:type="dxa"/>
          </w:tcPr>
          <w:p w14:paraId="0863E9E7" w14:textId="6D7AE0EE"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122</w:t>
            </w:r>
          </w:p>
        </w:tc>
      </w:tr>
      <w:tr w:rsidR="000837BF" w:rsidRPr="00B74C25" w14:paraId="4B64843E" w14:textId="77777777" w:rsidTr="003E52BD">
        <w:tc>
          <w:tcPr>
            <w:tcW w:w="784" w:type="dxa"/>
          </w:tcPr>
          <w:p w14:paraId="3102FB4A"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4</w:t>
            </w:r>
          </w:p>
        </w:tc>
        <w:tc>
          <w:tcPr>
            <w:tcW w:w="2980" w:type="dxa"/>
          </w:tcPr>
          <w:p w14:paraId="5A6F08CB" w14:textId="4374990C"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Sabon Gida</w:t>
            </w:r>
          </w:p>
        </w:tc>
        <w:tc>
          <w:tcPr>
            <w:tcW w:w="2249" w:type="dxa"/>
          </w:tcPr>
          <w:p w14:paraId="70B13573"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205</w:t>
            </w:r>
          </w:p>
        </w:tc>
        <w:tc>
          <w:tcPr>
            <w:tcW w:w="1875" w:type="dxa"/>
          </w:tcPr>
          <w:p w14:paraId="595C7795" w14:textId="78D714CB"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205</w:t>
            </w:r>
          </w:p>
        </w:tc>
      </w:tr>
      <w:tr w:rsidR="000837BF" w:rsidRPr="00B74C25" w14:paraId="285E648B" w14:textId="77777777" w:rsidTr="003E52BD">
        <w:tc>
          <w:tcPr>
            <w:tcW w:w="784" w:type="dxa"/>
          </w:tcPr>
          <w:p w14:paraId="6A3214B0"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5</w:t>
            </w:r>
          </w:p>
        </w:tc>
        <w:tc>
          <w:tcPr>
            <w:tcW w:w="2980" w:type="dxa"/>
          </w:tcPr>
          <w:p w14:paraId="1E509FCC" w14:textId="76C733B5"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Agwada</w:t>
            </w:r>
          </w:p>
        </w:tc>
        <w:tc>
          <w:tcPr>
            <w:tcW w:w="2249" w:type="dxa"/>
          </w:tcPr>
          <w:p w14:paraId="160F1241"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55</w:t>
            </w:r>
          </w:p>
        </w:tc>
        <w:tc>
          <w:tcPr>
            <w:tcW w:w="1875" w:type="dxa"/>
          </w:tcPr>
          <w:p w14:paraId="5B3C037B" w14:textId="01C3D74E"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0837BF" w:rsidRPr="00B74C25" w14:paraId="70BB2EA9" w14:textId="77777777" w:rsidTr="003E52BD">
        <w:tc>
          <w:tcPr>
            <w:tcW w:w="784" w:type="dxa"/>
          </w:tcPr>
          <w:p w14:paraId="484400B0"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6</w:t>
            </w:r>
          </w:p>
        </w:tc>
        <w:tc>
          <w:tcPr>
            <w:tcW w:w="2980" w:type="dxa"/>
          </w:tcPr>
          <w:p w14:paraId="73DB31C2" w14:textId="1C0178B6"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Angwan Loko Garaku</w:t>
            </w:r>
          </w:p>
        </w:tc>
        <w:tc>
          <w:tcPr>
            <w:tcW w:w="2249" w:type="dxa"/>
          </w:tcPr>
          <w:p w14:paraId="3B10C6CE"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389</w:t>
            </w:r>
          </w:p>
        </w:tc>
        <w:tc>
          <w:tcPr>
            <w:tcW w:w="1875" w:type="dxa"/>
          </w:tcPr>
          <w:p w14:paraId="0DA792E6" w14:textId="651DB3CC"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389</w:t>
            </w:r>
          </w:p>
        </w:tc>
      </w:tr>
      <w:tr w:rsidR="000837BF" w:rsidRPr="00B74C25" w14:paraId="42660691" w14:textId="77777777" w:rsidTr="003E52BD">
        <w:tc>
          <w:tcPr>
            <w:tcW w:w="784" w:type="dxa"/>
          </w:tcPr>
          <w:p w14:paraId="57F9F092"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7</w:t>
            </w:r>
          </w:p>
        </w:tc>
        <w:tc>
          <w:tcPr>
            <w:tcW w:w="2980" w:type="dxa"/>
          </w:tcPr>
          <w:p w14:paraId="2A8EEF86" w14:textId="67A3D0CB"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Angwan Jarmai</w:t>
            </w:r>
          </w:p>
        </w:tc>
        <w:tc>
          <w:tcPr>
            <w:tcW w:w="2249" w:type="dxa"/>
          </w:tcPr>
          <w:p w14:paraId="4887C364"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186</w:t>
            </w:r>
          </w:p>
        </w:tc>
        <w:tc>
          <w:tcPr>
            <w:tcW w:w="1875" w:type="dxa"/>
          </w:tcPr>
          <w:p w14:paraId="1B5FB9C2" w14:textId="466A36E6"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186</w:t>
            </w:r>
          </w:p>
        </w:tc>
      </w:tr>
      <w:tr w:rsidR="000837BF" w:rsidRPr="00B74C25" w14:paraId="15D2FB65" w14:textId="77777777" w:rsidTr="003E52BD">
        <w:tc>
          <w:tcPr>
            <w:tcW w:w="784" w:type="dxa"/>
          </w:tcPr>
          <w:p w14:paraId="5F16C044"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8</w:t>
            </w:r>
          </w:p>
        </w:tc>
        <w:tc>
          <w:tcPr>
            <w:tcW w:w="2980" w:type="dxa"/>
          </w:tcPr>
          <w:p w14:paraId="06DAD782" w14:textId="19CC1779"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 Sabon Gida</w:t>
            </w:r>
          </w:p>
        </w:tc>
        <w:tc>
          <w:tcPr>
            <w:tcW w:w="2249" w:type="dxa"/>
          </w:tcPr>
          <w:p w14:paraId="148A51CC"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73</w:t>
            </w:r>
          </w:p>
        </w:tc>
        <w:tc>
          <w:tcPr>
            <w:tcW w:w="1875" w:type="dxa"/>
          </w:tcPr>
          <w:p w14:paraId="1970C219" w14:textId="72AB4CD9"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0837BF" w:rsidRPr="00B74C25" w14:paraId="0EA3B8DF" w14:textId="77777777" w:rsidTr="003E52BD">
        <w:tc>
          <w:tcPr>
            <w:tcW w:w="784" w:type="dxa"/>
          </w:tcPr>
          <w:p w14:paraId="5A032203"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9</w:t>
            </w:r>
          </w:p>
        </w:tc>
        <w:tc>
          <w:tcPr>
            <w:tcW w:w="2980" w:type="dxa"/>
          </w:tcPr>
          <w:p w14:paraId="453CC281" w14:textId="312C5695"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St Peter’s Garaku</w:t>
            </w:r>
          </w:p>
        </w:tc>
        <w:tc>
          <w:tcPr>
            <w:tcW w:w="2249" w:type="dxa"/>
          </w:tcPr>
          <w:p w14:paraId="46FE9A8A" w14:textId="77777777" w:rsidR="000837BF" w:rsidRPr="00B74C25" w:rsidRDefault="000837BF"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105</w:t>
            </w:r>
          </w:p>
        </w:tc>
        <w:tc>
          <w:tcPr>
            <w:tcW w:w="1875" w:type="dxa"/>
          </w:tcPr>
          <w:p w14:paraId="307B8B82" w14:textId="0596282A" w:rsidR="000837BF" w:rsidRPr="00B74C25" w:rsidRDefault="00E03284" w:rsidP="00EE1748">
            <w:pPr>
              <w:spacing w:line="360" w:lineRule="auto"/>
              <w:jc w:val="both"/>
              <w:rPr>
                <w:rFonts w:ascii="Times New Roman" w:hAnsi="Times New Roman" w:cs="Times New Roman"/>
                <w:sz w:val="24"/>
                <w:szCs w:val="24"/>
              </w:rPr>
            </w:pPr>
            <w:r>
              <w:rPr>
                <w:rFonts w:ascii="Times New Roman" w:hAnsi="Times New Roman" w:cs="Times New Roman"/>
                <w:sz w:val="24"/>
                <w:szCs w:val="24"/>
              </w:rPr>
              <w:t>103</w:t>
            </w:r>
          </w:p>
        </w:tc>
      </w:tr>
    </w:tbl>
    <w:p w14:paraId="39F7F0CB" w14:textId="7C4FAA7E" w:rsidR="000837BF" w:rsidRPr="00B74C25" w:rsidRDefault="000837BF" w:rsidP="00EE1748">
      <w:pPr>
        <w:spacing w:line="360" w:lineRule="auto"/>
        <w:jc w:val="both"/>
        <w:rPr>
          <w:rFonts w:ascii="Times New Roman" w:hAnsi="Times New Roman" w:cs="Times New Roman"/>
          <w:sz w:val="24"/>
          <w:szCs w:val="24"/>
        </w:rPr>
      </w:pPr>
    </w:p>
    <w:p w14:paraId="70E56EE1" w14:textId="77777777" w:rsidR="00A37F63" w:rsidRPr="00B74C25" w:rsidRDefault="00A37F63" w:rsidP="00EE1748">
      <w:pPr>
        <w:pStyle w:val="Heading2"/>
        <w:spacing w:line="360" w:lineRule="auto"/>
        <w:jc w:val="both"/>
        <w:rPr>
          <w:b w:val="0"/>
          <w:bCs w:val="0"/>
          <w:sz w:val="24"/>
          <w:szCs w:val="24"/>
        </w:rPr>
      </w:pPr>
      <w:r w:rsidRPr="00B74C25">
        <w:rPr>
          <w:b w:val="0"/>
          <w:bCs w:val="0"/>
          <w:sz w:val="24"/>
          <w:szCs w:val="24"/>
        </w:rPr>
        <w:t>Instrument for Data Collection</w:t>
      </w:r>
    </w:p>
    <w:p w14:paraId="2CDBA52D" w14:textId="7887AB8A"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Information was gathered through a structured, self-completed survey created by the researcher and endorsed by specialists in public health and education. The survey was split into five parts. Section A: Socio-demographic traits (age, gender, academic grade, family environment). Section B: Trends in drug consumption (types of substances, frequency, duration, and accessibility). Section C: Effects on physical health (tiredness, stunted growth, sleep quality, long-term illnesses). Section D: Outcomes related to mental health (depression, anxiety, self-worth, thoughts of self-harm, memory impairments). Section E: Outcomes in education and </w:t>
      </w:r>
      <w:r w:rsidR="00B74C25" w:rsidRPr="00B74C25">
        <w:rPr>
          <w:rFonts w:ascii="Times New Roman" w:hAnsi="Times New Roman" w:cs="Times New Roman"/>
          <w:sz w:val="24"/>
          <w:szCs w:val="24"/>
        </w:rPr>
        <w:t>behaviour</w:t>
      </w:r>
      <w:r w:rsidRPr="00B74C25">
        <w:rPr>
          <w:rFonts w:ascii="Times New Roman" w:hAnsi="Times New Roman" w:cs="Times New Roman"/>
          <w:sz w:val="24"/>
          <w:szCs w:val="24"/>
        </w:rPr>
        <w:t xml:space="preserve"> (academic achievement, attendance issues, skipping school, disciplinary problems). The tool includes standardized assessments like the Patient Health Questionnaire-9 (PHQ-9) </w:t>
      </w:r>
      <w:r w:rsidRPr="00B74C25">
        <w:rPr>
          <w:rFonts w:ascii="Times New Roman" w:hAnsi="Times New Roman" w:cs="Times New Roman"/>
          <w:sz w:val="24"/>
          <w:szCs w:val="24"/>
        </w:rPr>
        <w:lastRenderedPageBreak/>
        <w:t>for depression and the Generalized Anxiety Disorder Scale (GAD-7), in addition to items created by researchers specifically for the local setting.</w:t>
      </w:r>
    </w:p>
    <w:p w14:paraId="536166A1" w14:textId="60BDFF02" w:rsidR="00A37F63" w:rsidRPr="00B74C25" w:rsidRDefault="00A37F63" w:rsidP="002B4D65">
      <w:pPr>
        <w:pStyle w:val="Heading2"/>
        <w:spacing w:line="360" w:lineRule="auto"/>
        <w:jc w:val="both"/>
        <w:rPr>
          <w:sz w:val="24"/>
          <w:szCs w:val="24"/>
        </w:rPr>
      </w:pPr>
      <w:bookmarkStart w:id="0" w:name="_Toc224486505"/>
      <w:r w:rsidRPr="00E03284">
        <w:rPr>
          <w:sz w:val="24"/>
          <w:szCs w:val="24"/>
        </w:rPr>
        <w:t>Validity and Reliability of the Instrument</w:t>
      </w:r>
      <w:bookmarkEnd w:id="0"/>
    </w:p>
    <w:p w14:paraId="5AAB155D"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To guarantee content validity, the draft survey was assessed by three specialists in public health and educational research. A preliminary study was carried out with 40 students in a nearby LGA not part of the main research to evaluate clarity, cultural significance, and suitability of items. Reliability was determined through the Cronbach’s alpha coefficient, where a value of 0.79 was deemed acceptable for internal consistency. The pilot study also evaluated test–retest reliability over a two-week period</w:t>
      </w:r>
    </w:p>
    <w:p w14:paraId="1B83E005" w14:textId="617884B4" w:rsidR="00A37F63" w:rsidRPr="00B74C25" w:rsidRDefault="00A37F63" w:rsidP="00E03284">
      <w:pPr>
        <w:pStyle w:val="Heading2"/>
        <w:spacing w:line="360" w:lineRule="auto"/>
        <w:jc w:val="both"/>
        <w:rPr>
          <w:sz w:val="24"/>
          <w:szCs w:val="24"/>
        </w:rPr>
      </w:pPr>
      <w:bookmarkStart w:id="1" w:name="_Toc224486506"/>
      <w:r w:rsidRPr="00E03284">
        <w:rPr>
          <w:sz w:val="24"/>
          <w:szCs w:val="24"/>
        </w:rPr>
        <w:t>Method of Data Collection</w:t>
      </w:r>
      <w:bookmarkEnd w:id="1"/>
    </w:p>
    <w:p w14:paraId="2D35D1CC"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The researcher, aided by skilled research assistants, will directly distribute the questionnaires in the chosen schools. Advance arrangements will be established with school principals to obtain approval and coordinate suitable times for administration. To guarantee truthful answers, participants will be promised confidentiality and anonymity. The procedure will consist of:</w:t>
      </w:r>
    </w:p>
    <w:p w14:paraId="04BE3882" w14:textId="77777777" w:rsidR="00A37F63" w:rsidRPr="00B74C25" w:rsidRDefault="00A37F63" w:rsidP="00EE1748">
      <w:pPr>
        <w:numPr>
          <w:ilvl w:val="0"/>
          <w:numId w:val="8"/>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Clarifying the aim of the research to those involved.</w:t>
      </w:r>
    </w:p>
    <w:p w14:paraId="108A8BF3" w14:textId="77777777" w:rsidR="00A37F63" w:rsidRPr="00B74C25" w:rsidRDefault="00A37F63" w:rsidP="00EE1748">
      <w:pPr>
        <w:numPr>
          <w:ilvl w:val="0"/>
          <w:numId w:val="8"/>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Acquiring informed consent/assent from students and educational officials.</w:t>
      </w:r>
    </w:p>
    <w:p w14:paraId="2E27B003" w14:textId="77777777" w:rsidR="00A37F63" w:rsidRPr="00B74C25" w:rsidRDefault="00A37F63" w:rsidP="00EE1748">
      <w:pPr>
        <w:numPr>
          <w:ilvl w:val="0"/>
          <w:numId w:val="8"/>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Distributing and collecting questionnaires within 30–40 minutes.</w:t>
      </w:r>
    </w:p>
    <w:p w14:paraId="4398288C" w14:textId="41D13BE7" w:rsidR="00A37F63" w:rsidRPr="00E03284" w:rsidRDefault="00A37F63" w:rsidP="00EE1748">
      <w:pPr>
        <w:pStyle w:val="Heading2"/>
        <w:spacing w:line="360" w:lineRule="auto"/>
        <w:jc w:val="both"/>
        <w:rPr>
          <w:sz w:val="24"/>
          <w:szCs w:val="24"/>
        </w:rPr>
      </w:pPr>
      <w:bookmarkStart w:id="2" w:name="_Toc224486507"/>
      <w:r w:rsidRPr="00E03284">
        <w:rPr>
          <w:sz w:val="24"/>
          <w:szCs w:val="24"/>
        </w:rPr>
        <w:t>Method of Data Analysis</w:t>
      </w:r>
      <w:bookmarkEnd w:id="2"/>
    </w:p>
    <w:p w14:paraId="3F586B4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Data will be encoded and examined utilizing the Statistical Package for the Social Sciences (SPSS) version 26.0. The examination will continue in this manner:</w:t>
      </w:r>
    </w:p>
    <w:p w14:paraId="3E19977B" w14:textId="77777777" w:rsidR="00A37F63" w:rsidRPr="00B74C25" w:rsidRDefault="00A37F63" w:rsidP="00EE1748">
      <w:pPr>
        <w:numPr>
          <w:ilvl w:val="0"/>
          <w:numId w:val="9"/>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Descriptive Statistics: Frequencies, percentages, averages, and standard deviations were utilized to summarize socio-demographic features and the prevalence of drug use.</w:t>
      </w:r>
    </w:p>
    <w:p w14:paraId="76D52518" w14:textId="77777777" w:rsidR="00A37F63" w:rsidRPr="00B74C25" w:rsidRDefault="00A37F63" w:rsidP="00EE1748">
      <w:pPr>
        <w:numPr>
          <w:ilvl w:val="0"/>
          <w:numId w:val="9"/>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Chi-square tests for inferential statistics were employed to explore associations between categorical variables,</w:t>
      </w:r>
    </w:p>
    <w:p w14:paraId="69FCFAA2" w14:textId="77777777" w:rsidR="00A37F63" w:rsidRPr="00B74C25" w:rsidRDefault="00A37F63" w:rsidP="00EE1748">
      <w:pPr>
        <w:numPr>
          <w:ilvl w:val="0"/>
          <w:numId w:val="9"/>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While t-tests and ANOVA were utilized to compare physical and mental health scores among groups.</w:t>
      </w:r>
    </w:p>
    <w:p w14:paraId="29280EDE" w14:textId="77777777" w:rsidR="00A37F63" w:rsidRPr="00B74C25" w:rsidRDefault="00A37F63" w:rsidP="00EE1748">
      <w:pPr>
        <w:numPr>
          <w:ilvl w:val="0"/>
          <w:numId w:val="9"/>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Binary logistic regression was used to determine factors that predict drug abuse. Hypotheses will be evaluated at the 0.05 significance level.</w:t>
      </w:r>
    </w:p>
    <w:p w14:paraId="00CF115A" w14:textId="00C45D8A" w:rsidR="00A37F63" w:rsidRPr="00E03284" w:rsidRDefault="00A37F63" w:rsidP="00EE1748">
      <w:pPr>
        <w:pStyle w:val="Heading2"/>
        <w:spacing w:line="360" w:lineRule="auto"/>
        <w:jc w:val="both"/>
        <w:rPr>
          <w:sz w:val="24"/>
          <w:szCs w:val="24"/>
        </w:rPr>
      </w:pPr>
      <w:bookmarkStart w:id="3" w:name="_Toc224486508"/>
      <w:r w:rsidRPr="00E03284">
        <w:rPr>
          <w:sz w:val="24"/>
          <w:szCs w:val="24"/>
        </w:rPr>
        <w:lastRenderedPageBreak/>
        <w:t>Ethical Considerations</w:t>
      </w:r>
      <w:bookmarkEnd w:id="3"/>
    </w:p>
    <w:p w14:paraId="22D94DBD" w14:textId="34CB183E"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Ethical approval will be requested from the Nasarawa State Ministry of Education Research Ethics Committee and appropriate institutional review boards. Consent will be secured from school officials and </w:t>
      </w:r>
      <w:r w:rsidR="00B74C25" w:rsidRPr="00B74C25">
        <w:rPr>
          <w:rFonts w:ascii="Times New Roman" w:hAnsi="Times New Roman" w:cs="Times New Roman"/>
          <w:sz w:val="24"/>
          <w:szCs w:val="24"/>
        </w:rPr>
        <w:t>parents,</w:t>
      </w:r>
      <w:r w:rsidRPr="00B74C25">
        <w:rPr>
          <w:rFonts w:ascii="Times New Roman" w:hAnsi="Times New Roman" w:cs="Times New Roman"/>
          <w:sz w:val="24"/>
          <w:szCs w:val="24"/>
        </w:rPr>
        <w:t xml:space="preserve"> when necessary, while assent will be gathered from the students involved. Confidentiality will be maintained by anonymizing answers, and participation will be completely optional, with the right to withdraw at any point. Questions concerning mental health will be phrased thoughtfully, and students showing signs of distress will be given information about referral options to school </w:t>
      </w:r>
      <w:r w:rsidR="00E03284" w:rsidRPr="00B74C25">
        <w:rPr>
          <w:rFonts w:ascii="Times New Roman" w:hAnsi="Times New Roman" w:cs="Times New Roman"/>
          <w:sz w:val="24"/>
          <w:szCs w:val="24"/>
        </w:rPr>
        <w:t>counsellors</w:t>
      </w:r>
      <w:r w:rsidRPr="00B74C25">
        <w:rPr>
          <w:rFonts w:ascii="Times New Roman" w:hAnsi="Times New Roman" w:cs="Times New Roman"/>
          <w:sz w:val="24"/>
          <w:szCs w:val="24"/>
        </w:rPr>
        <w:t xml:space="preserve"> and nearby health services</w:t>
      </w:r>
    </w:p>
    <w:p w14:paraId="05880D4D" w14:textId="6FAB3411" w:rsidR="00A37F63" w:rsidRPr="00E03284" w:rsidRDefault="00A37F63" w:rsidP="00EE1748">
      <w:pPr>
        <w:spacing w:line="360" w:lineRule="auto"/>
        <w:jc w:val="both"/>
        <w:rPr>
          <w:rFonts w:ascii="Times New Roman" w:hAnsi="Times New Roman" w:cs="Times New Roman"/>
          <w:b/>
          <w:bCs/>
          <w:sz w:val="24"/>
          <w:szCs w:val="24"/>
        </w:rPr>
      </w:pPr>
      <w:r w:rsidRPr="00E03284">
        <w:rPr>
          <w:rFonts w:ascii="Times New Roman" w:hAnsi="Times New Roman" w:cs="Times New Roman"/>
          <w:b/>
          <w:bCs/>
          <w:sz w:val="24"/>
          <w:szCs w:val="24"/>
        </w:rPr>
        <w:t>Inclusion criteria</w:t>
      </w:r>
    </w:p>
    <w:p w14:paraId="4F73067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 All registered male and female students aged ≥15years from the selected schools at the time of data collection.</w:t>
      </w:r>
    </w:p>
    <w:p w14:paraId="0ACB1FD7" w14:textId="3778FEFB" w:rsidR="00A37F63" w:rsidRPr="00E03284" w:rsidRDefault="00A37F63" w:rsidP="00EE1748">
      <w:pPr>
        <w:spacing w:line="360" w:lineRule="auto"/>
        <w:jc w:val="both"/>
        <w:rPr>
          <w:rFonts w:ascii="Times New Roman" w:hAnsi="Times New Roman" w:cs="Times New Roman"/>
          <w:b/>
          <w:bCs/>
          <w:sz w:val="24"/>
          <w:szCs w:val="24"/>
        </w:rPr>
      </w:pPr>
      <w:r w:rsidRPr="00B74C25">
        <w:rPr>
          <w:rFonts w:ascii="Times New Roman" w:hAnsi="Times New Roman" w:cs="Times New Roman"/>
          <w:sz w:val="24"/>
          <w:szCs w:val="24"/>
        </w:rPr>
        <w:t xml:space="preserve"> </w:t>
      </w:r>
      <w:r w:rsidRPr="00E03284">
        <w:rPr>
          <w:rFonts w:ascii="Times New Roman" w:hAnsi="Times New Roman" w:cs="Times New Roman"/>
          <w:b/>
          <w:bCs/>
          <w:sz w:val="24"/>
          <w:szCs w:val="24"/>
        </w:rPr>
        <w:t>Exclusion criteria</w:t>
      </w:r>
    </w:p>
    <w:p w14:paraId="174C9B10" w14:textId="6FC67C36"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Students who did not provide consent or who were absent during the period of data collection and children who are not enrolled in schools</w:t>
      </w:r>
    </w:p>
    <w:p w14:paraId="382168D8" w14:textId="7D1F9450" w:rsidR="00114EE9" w:rsidRPr="00E03284" w:rsidRDefault="00114EE9" w:rsidP="00EE174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E03284">
        <w:rPr>
          <w:rFonts w:ascii="Times New Roman" w:eastAsia="Times New Roman" w:hAnsi="Times New Roman" w:cs="Times New Roman"/>
          <w:b/>
          <w:bCs/>
          <w:sz w:val="24"/>
          <w:szCs w:val="24"/>
          <w:lang w:eastAsia="en-GB"/>
        </w:rPr>
        <w:t>Results</w:t>
      </w:r>
    </w:p>
    <w:p w14:paraId="3B14605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The respondents' socio-demographic information encompasses age, gender, academic level, and family history. Frequencies and percentages were utilized to summarize the data through descriptive statistics.</w:t>
      </w:r>
    </w:p>
    <w:p w14:paraId="17C16046" w14:textId="1E8EDE71" w:rsidR="00A37F63" w:rsidRPr="00E03284" w:rsidRDefault="00EE1748" w:rsidP="00EE1748">
      <w:pPr>
        <w:spacing w:line="360" w:lineRule="auto"/>
        <w:jc w:val="both"/>
        <w:rPr>
          <w:rFonts w:ascii="Times New Roman" w:hAnsi="Times New Roman" w:cs="Times New Roman"/>
          <w:b/>
          <w:bCs/>
          <w:sz w:val="24"/>
          <w:szCs w:val="24"/>
        </w:rPr>
      </w:pPr>
      <w:r w:rsidRPr="00E03284">
        <w:rPr>
          <w:rFonts w:ascii="Times New Roman" w:hAnsi="Times New Roman" w:cs="Times New Roman"/>
          <w:b/>
          <w:bCs/>
          <w:sz w:val="24"/>
          <w:szCs w:val="24"/>
        </w:rPr>
        <w:t xml:space="preserve">Table </w:t>
      </w:r>
      <w:r w:rsidR="002B4D65">
        <w:rPr>
          <w:rFonts w:ascii="Times New Roman" w:hAnsi="Times New Roman" w:cs="Times New Roman"/>
          <w:b/>
          <w:bCs/>
          <w:sz w:val="24"/>
          <w:szCs w:val="24"/>
        </w:rPr>
        <w:t>2:</w:t>
      </w:r>
      <w:r w:rsidR="00A37F63" w:rsidRPr="00E03284">
        <w:rPr>
          <w:rFonts w:ascii="Times New Roman" w:hAnsi="Times New Roman" w:cs="Times New Roman"/>
          <w:b/>
          <w:bCs/>
          <w:sz w:val="24"/>
          <w:szCs w:val="24"/>
        </w:rPr>
        <w:t xml:space="preserve"> Socio-Demographic Characteristics of Respondents</w:t>
      </w:r>
    </w:p>
    <w:tbl>
      <w:tblPr>
        <w:tblStyle w:val="TableGrid"/>
        <w:tblW w:w="5000" w:type="pct"/>
        <w:tblLook w:val="04A0" w:firstRow="1" w:lastRow="0" w:firstColumn="1" w:lastColumn="0" w:noHBand="0" w:noVBand="1"/>
      </w:tblPr>
      <w:tblGrid>
        <w:gridCol w:w="2258"/>
        <w:gridCol w:w="2276"/>
        <w:gridCol w:w="2241"/>
        <w:gridCol w:w="2241"/>
      </w:tblGrid>
      <w:tr w:rsidR="00A37F63" w:rsidRPr="00B74C25" w14:paraId="7C75545F" w14:textId="77777777" w:rsidTr="003E52BD">
        <w:tc>
          <w:tcPr>
            <w:tcW w:w="1252" w:type="pct"/>
            <w:vAlign w:val="center"/>
          </w:tcPr>
          <w:p w14:paraId="70970F67"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Variable</w:t>
            </w:r>
          </w:p>
        </w:tc>
        <w:tc>
          <w:tcPr>
            <w:tcW w:w="1262" w:type="pct"/>
            <w:vAlign w:val="center"/>
          </w:tcPr>
          <w:p w14:paraId="6E36E88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Category</w:t>
            </w:r>
          </w:p>
        </w:tc>
        <w:tc>
          <w:tcPr>
            <w:tcW w:w="1243" w:type="pct"/>
            <w:vAlign w:val="center"/>
          </w:tcPr>
          <w:p w14:paraId="4B83D55E"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Frequency (f)</w:t>
            </w:r>
          </w:p>
        </w:tc>
        <w:tc>
          <w:tcPr>
            <w:tcW w:w="1243" w:type="pct"/>
            <w:vAlign w:val="center"/>
          </w:tcPr>
          <w:p w14:paraId="1B9D4BE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Percentage (%)</w:t>
            </w:r>
          </w:p>
        </w:tc>
      </w:tr>
      <w:tr w:rsidR="00A37F63" w:rsidRPr="00B74C25" w14:paraId="3137C6A7" w14:textId="77777777" w:rsidTr="003E52BD">
        <w:tc>
          <w:tcPr>
            <w:tcW w:w="1252" w:type="pct"/>
            <w:vAlign w:val="center"/>
          </w:tcPr>
          <w:p w14:paraId="3C32CBF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Age</w:t>
            </w:r>
          </w:p>
        </w:tc>
        <w:tc>
          <w:tcPr>
            <w:tcW w:w="1262" w:type="pct"/>
            <w:vAlign w:val="center"/>
          </w:tcPr>
          <w:p w14:paraId="03C72AD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12–14 years</w:t>
            </w:r>
          </w:p>
        </w:tc>
        <w:tc>
          <w:tcPr>
            <w:tcW w:w="1243" w:type="pct"/>
            <w:vAlign w:val="center"/>
          </w:tcPr>
          <w:p w14:paraId="0AC2E30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98</w:t>
            </w:r>
          </w:p>
        </w:tc>
        <w:tc>
          <w:tcPr>
            <w:tcW w:w="1243" w:type="pct"/>
            <w:vAlign w:val="center"/>
          </w:tcPr>
          <w:p w14:paraId="718C5F7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25.5</w:t>
            </w:r>
          </w:p>
        </w:tc>
      </w:tr>
      <w:tr w:rsidR="00A37F63" w:rsidRPr="00B74C25" w14:paraId="6DD879E0" w14:textId="77777777" w:rsidTr="003E52BD">
        <w:tc>
          <w:tcPr>
            <w:tcW w:w="1252" w:type="pct"/>
            <w:vAlign w:val="center"/>
          </w:tcPr>
          <w:p w14:paraId="43CCCDE8" w14:textId="77777777" w:rsidR="00A37F63" w:rsidRPr="00B74C25" w:rsidRDefault="00A37F63" w:rsidP="00EE1748">
            <w:pPr>
              <w:spacing w:line="360" w:lineRule="auto"/>
              <w:jc w:val="both"/>
              <w:rPr>
                <w:rFonts w:ascii="Times New Roman" w:hAnsi="Times New Roman" w:cs="Times New Roman"/>
                <w:sz w:val="24"/>
                <w:szCs w:val="24"/>
              </w:rPr>
            </w:pPr>
          </w:p>
        </w:tc>
        <w:tc>
          <w:tcPr>
            <w:tcW w:w="1262" w:type="pct"/>
            <w:vAlign w:val="center"/>
          </w:tcPr>
          <w:p w14:paraId="230423E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15–17 years</w:t>
            </w:r>
          </w:p>
        </w:tc>
        <w:tc>
          <w:tcPr>
            <w:tcW w:w="1243" w:type="pct"/>
            <w:vAlign w:val="center"/>
          </w:tcPr>
          <w:p w14:paraId="70E35BD1"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202</w:t>
            </w:r>
          </w:p>
        </w:tc>
        <w:tc>
          <w:tcPr>
            <w:tcW w:w="1243" w:type="pct"/>
            <w:vAlign w:val="center"/>
          </w:tcPr>
          <w:p w14:paraId="5D46528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52.6</w:t>
            </w:r>
          </w:p>
        </w:tc>
      </w:tr>
      <w:tr w:rsidR="00A37F63" w:rsidRPr="00B74C25" w14:paraId="7E8C96C0" w14:textId="77777777" w:rsidTr="003E52BD">
        <w:tc>
          <w:tcPr>
            <w:tcW w:w="1252" w:type="pct"/>
            <w:vAlign w:val="center"/>
          </w:tcPr>
          <w:p w14:paraId="24C8841B" w14:textId="77777777" w:rsidR="00A37F63" w:rsidRPr="00B74C25" w:rsidRDefault="00A37F63" w:rsidP="00EE1748">
            <w:pPr>
              <w:spacing w:line="360" w:lineRule="auto"/>
              <w:jc w:val="both"/>
              <w:rPr>
                <w:rFonts w:ascii="Times New Roman" w:hAnsi="Times New Roman" w:cs="Times New Roman"/>
                <w:sz w:val="24"/>
                <w:szCs w:val="24"/>
              </w:rPr>
            </w:pPr>
          </w:p>
        </w:tc>
        <w:tc>
          <w:tcPr>
            <w:tcW w:w="1262" w:type="pct"/>
            <w:vAlign w:val="center"/>
          </w:tcPr>
          <w:p w14:paraId="3B80D1D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18–19 years</w:t>
            </w:r>
          </w:p>
        </w:tc>
        <w:tc>
          <w:tcPr>
            <w:tcW w:w="1243" w:type="pct"/>
            <w:vAlign w:val="center"/>
          </w:tcPr>
          <w:p w14:paraId="57FF946D"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84</w:t>
            </w:r>
          </w:p>
        </w:tc>
        <w:tc>
          <w:tcPr>
            <w:tcW w:w="1243" w:type="pct"/>
            <w:vAlign w:val="center"/>
          </w:tcPr>
          <w:p w14:paraId="02EDF996"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21.9</w:t>
            </w:r>
          </w:p>
        </w:tc>
      </w:tr>
      <w:tr w:rsidR="00A37F63" w:rsidRPr="00B74C25" w14:paraId="537AF2FD" w14:textId="77777777" w:rsidTr="003E52BD">
        <w:tc>
          <w:tcPr>
            <w:tcW w:w="1252" w:type="pct"/>
            <w:vAlign w:val="center"/>
          </w:tcPr>
          <w:p w14:paraId="72804AD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Sex</w:t>
            </w:r>
          </w:p>
        </w:tc>
        <w:tc>
          <w:tcPr>
            <w:tcW w:w="1262" w:type="pct"/>
            <w:vAlign w:val="center"/>
          </w:tcPr>
          <w:p w14:paraId="3EC4446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Male</w:t>
            </w:r>
          </w:p>
        </w:tc>
        <w:tc>
          <w:tcPr>
            <w:tcW w:w="1243" w:type="pct"/>
            <w:vAlign w:val="center"/>
          </w:tcPr>
          <w:p w14:paraId="0A8191C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206</w:t>
            </w:r>
          </w:p>
        </w:tc>
        <w:tc>
          <w:tcPr>
            <w:tcW w:w="1243" w:type="pct"/>
            <w:vAlign w:val="center"/>
          </w:tcPr>
          <w:p w14:paraId="27C1DE5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53.6</w:t>
            </w:r>
          </w:p>
        </w:tc>
      </w:tr>
      <w:tr w:rsidR="00A37F63" w:rsidRPr="00B74C25" w14:paraId="5B091F69" w14:textId="77777777" w:rsidTr="003E52BD">
        <w:tc>
          <w:tcPr>
            <w:tcW w:w="1252" w:type="pct"/>
            <w:vAlign w:val="center"/>
          </w:tcPr>
          <w:p w14:paraId="2EC8AFC6" w14:textId="77777777" w:rsidR="00A37F63" w:rsidRPr="00B74C25" w:rsidRDefault="00A37F63" w:rsidP="00EE1748">
            <w:pPr>
              <w:spacing w:line="360" w:lineRule="auto"/>
              <w:jc w:val="both"/>
              <w:rPr>
                <w:rFonts w:ascii="Times New Roman" w:hAnsi="Times New Roman" w:cs="Times New Roman"/>
                <w:sz w:val="24"/>
                <w:szCs w:val="24"/>
              </w:rPr>
            </w:pPr>
          </w:p>
        </w:tc>
        <w:tc>
          <w:tcPr>
            <w:tcW w:w="1262" w:type="pct"/>
            <w:vAlign w:val="center"/>
          </w:tcPr>
          <w:p w14:paraId="640C0CEE"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Female</w:t>
            </w:r>
          </w:p>
        </w:tc>
        <w:tc>
          <w:tcPr>
            <w:tcW w:w="1243" w:type="pct"/>
            <w:vAlign w:val="center"/>
          </w:tcPr>
          <w:p w14:paraId="3D58E3AC"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178</w:t>
            </w:r>
          </w:p>
        </w:tc>
        <w:tc>
          <w:tcPr>
            <w:tcW w:w="1243" w:type="pct"/>
            <w:vAlign w:val="center"/>
          </w:tcPr>
          <w:p w14:paraId="162315D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46.4</w:t>
            </w:r>
          </w:p>
        </w:tc>
      </w:tr>
      <w:tr w:rsidR="00A37F63" w:rsidRPr="00B74C25" w14:paraId="7CB3BC42" w14:textId="77777777" w:rsidTr="003E52BD">
        <w:tc>
          <w:tcPr>
            <w:tcW w:w="1252" w:type="pct"/>
            <w:vAlign w:val="center"/>
          </w:tcPr>
          <w:p w14:paraId="0806DE3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Class Level</w:t>
            </w:r>
          </w:p>
        </w:tc>
        <w:tc>
          <w:tcPr>
            <w:tcW w:w="1262" w:type="pct"/>
            <w:vAlign w:val="center"/>
          </w:tcPr>
          <w:p w14:paraId="0A88442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Junior (JSS)</w:t>
            </w:r>
          </w:p>
        </w:tc>
        <w:tc>
          <w:tcPr>
            <w:tcW w:w="1243" w:type="pct"/>
            <w:vAlign w:val="center"/>
          </w:tcPr>
          <w:p w14:paraId="28ABEB1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145</w:t>
            </w:r>
          </w:p>
        </w:tc>
        <w:tc>
          <w:tcPr>
            <w:tcW w:w="1243" w:type="pct"/>
            <w:vAlign w:val="center"/>
          </w:tcPr>
          <w:p w14:paraId="666646B7"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37.8</w:t>
            </w:r>
          </w:p>
        </w:tc>
      </w:tr>
      <w:tr w:rsidR="00A37F63" w:rsidRPr="00B74C25" w14:paraId="2439D114" w14:textId="77777777" w:rsidTr="003E52BD">
        <w:tc>
          <w:tcPr>
            <w:tcW w:w="1252" w:type="pct"/>
            <w:vAlign w:val="center"/>
          </w:tcPr>
          <w:p w14:paraId="164A31C1" w14:textId="77777777" w:rsidR="00A37F63" w:rsidRPr="00B74C25" w:rsidRDefault="00A37F63" w:rsidP="00EE1748">
            <w:pPr>
              <w:spacing w:line="360" w:lineRule="auto"/>
              <w:jc w:val="both"/>
              <w:rPr>
                <w:rFonts w:ascii="Times New Roman" w:hAnsi="Times New Roman" w:cs="Times New Roman"/>
                <w:sz w:val="24"/>
                <w:szCs w:val="24"/>
              </w:rPr>
            </w:pPr>
          </w:p>
        </w:tc>
        <w:tc>
          <w:tcPr>
            <w:tcW w:w="1262" w:type="pct"/>
            <w:vAlign w:val="center"/>
          </w:tcPr>
          <w:p w14:paraId="376383A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Senior (SSS)</w:t>
            </w:r>
          </w:p>
        </w:tc>
        <w:tc>
          <w:tcPr>
            <w:tcW w:w="1243" w:type="pct"/>
            <w:vAlign w:val="center"/>
          </w:tcPr>
          <w:p w14:paraId="7FBF06B1"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239</w:t>
            </w:r>
          </w:p>
        </w:tc>
        <w:tc>
          <w:tcPr>
            <w:tcW w:w="1243" w:type="pct"/>
            <w:vAlign w:val="center"/>
          </w:tcPr>
          <w:p w14:paraId="5E70B0C1"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62.2</w:t>
            </w:r>
          </w:p>
        </w:tc>
      </w:tr>
      <w:tr w:rsidR="00A37F63" w:rsidRPr="00B74C25" w14:paraId="48DB3407" w14:textId="77777777" w:rsidTr="003E52BD">
        <w:tc>
          <w:tcPr>
            <w:tcW w:w="1252" w:type="pct"/>
            <w:vAlign w:val="center"/>
          </w:tcPr>
          <w:p w14:paraId="5916B47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Family Background</w:t>
            </w:r>
          </w:p>
        </w:tc>
        <w:tc>
          <w:tcPr>
            <w:tcW w:w="1262" w:type="pct"/>
            <w:vAlign w:val="center"/>
          </w:tcPr>
          <w:p w14:paraId="571749D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Intact/Two-parent</w:t>
            </w:r>
          </w:p>
        </w:tc>
        <w:tc>
          <w:tcPr>
            <w:tcW w:w="1243" w:type="pct"/>
            <w:vAlign w:val="center"/>
          </w:tcPr>
          <w:p w14:paraId="3379D2C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250</w:t>
            </w:r>
          </w:p>
        </w:tc>
        <w:tc>
          <w:tcPr>
            <w:tcW w:w="1243" w:type="pct"/>
            <w:vAlign w:val="center"/>
          </w:tcPr>
          <w:p w14:paraId="6397927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65.1</w:t>
            </w:r>
          </w:p>
        </w:tc>
      </w:tr>
      <w:tr w:rsidR="00A37F63" w:rsidRPr="00B74C25" w14:paraId="63816423" w14:textId="77777777" w:rsidTr="003E52BD">
        <w:tc>
          <w:tcPr>
            <w:tcW w:w="1252" w:type="pct"/>
            <w:vAlign w:val="center"/>
          </w:tcPr>
          <w:p w14:paraId="1C67C4FD" w14:textId="77777777" w:rsidR="00A37F63" w:rsidRPr="00B74C25" w:rsidRDefault="00A37F63" w:rsidP="00EE1748">
            <w:pPr>
              <w:spacing w:line="360" w:lineRule="auto"/>
              <w:jc w:val="both"/>
              <w:rPr>
                <w:rFonts w:ascii="Times New Roman" w:hAnsi="Times New Roman" w:cs="Times New Roman"/>
                <w:sz w:val="24"/>
                <w:szCs w:val="24"/>
              </w:rPr>
            </w:pPr>
          </w:p>
        </w:tc>
        <w:tc>
          <w:tcPr>
            <w:tcW w:w="1262" w:type="pct"/>
            <w:vAlign w:val="center"/>
          </w:tcPr>
          <w:p w14:paraId="53FCEC9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Single-parent</w:t>
            </w:r>
          </w:p>
        </w:tc>
        <w:tc>
          <w:tcPr>
            <w:tcW w:w="1243" w:type="pct"/>
            <w:vAlign w:val="center"/>
          </w:tcPr>
          <w:p w14:paraId="290D05B1"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93</w:t>
            </w:r>
          </w:p>
        </w:tc>
        <w:tc>
          <w:tcPr>
            <w:tcW w:w="1243" w:type="pct"/>
            <w:vAlign w:val="center"/>
          </w:tcPr>
          <w:p w14:paraId="73A030E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24.2</w:t>
            </w:r>
          </w:p>
        </w:tc>
      </w:tr>
      <w:tr w:rsidR="00A37F63" w:rsidRPr="00B74C25" w14:paraId="48087F99" w14:textId="77777777" w:rsidTr="003E52BD">
        <w:tc>
          <w:tcPr>
            <w:tcW w:w="1252" w:type="pct"/>
            <w:vAlign w:val="center"/>
          </w:tcPr>
          <w:p w14:paraId="75EB788A" w14:textId="77777777" w:rsidR="00A37F63" w:rsidRPr="00B74C25" w:rsidRDefault="00A37F63" w:rsidP="00EE1748">
            <w:pPr>
              <w:spacing w:line="360" w:lineRule="auto"/>
              <w:jc w:val="both"/>
              <w:rPr>
                <w:rFonts w:ascii="Times New Roman" w:hAnsi="Times New Roman" w:cs="Times New Roman"/>
                <w:sz w:val="24"/>
                <w:szCs w:val="24"/>
              </w:rPr>
            </w:pPr>
          </w:p>
        </w:tc>
        <w:tc>
          <w:tcPr>
            <w:tcW w:w="1262" w:type="pct"/>
            <w:vAlign w:val="center"/>
          </w:tcPr>
          <w:p w14:paraId="657C4090"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Polygamous</w:t>
            </w:r>
          </w:p>
        </w:tc>
        <w:tc>
          <w:tcPr>
            <w:tcW w:w="1243" w:type="pct"/>
            <w:vAlign w:val="center"/>
          </w:tcPr>
          <w:p w14:paraId="6AC5CD0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41</w:t>
            </w:r>
          </w:p>
        </w:tc>
        <w:tc>
          <w:tcPr>
            <w:tcW w:w="1243" w:type="pct"/>
            <w:vAlign w:val="center"/>
          </w:tcPr>
          <w:p w14:paraId="41572A8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10.7</w:t>
            </w:r>
          </w:p>
        </w:tc>
      </w:tr>
    </w:tbl>
    <w:p w14:paraId="0913EDA6" w14:textId="77777777" w:rsidR="00A37F63" w:rsidRPr="00B74C25" w:rsidRDefault="00A37F63" w:rsidP="00EE1748">
      <w:pPr>
        <w:spacing w:line="360" w:lineRule="auto"/>
        <w:jc w:val="both"/>
        <w:rPr>
          <w:rFonts w:ascii="Times New Roman" w:hAnsi="Times New Roman" w:cs="Times New Roman"/>
          <w:sz w:val="24"/>
          <w:szCs w:val="24"/>
        </w:rPr>
      </w:pPr>
    </w:p>
    <w:p w14:paraId="6EAA7922" w14:textId="57CC569C" w:rsidR="0004201B" w:rsidRPr="00B74C25" w:rsidRDefault="0004201B" w:rsidP="00EE1748">
      <w:pPr>
        <w:spacing w:line="360" w:lineRule="auto"/>
        <w:jc w:val="both"/>
        <w:rPr>
          <w:rFonts w:ascii="Times New Roman" w:hAnsi="Times New Roman" w:cs="Times New Roman"/>
          <w:sz w:val="24"/>
          <w:szCs w:val="24"/>
        </w:rPr>
      </w:pPr>
      <w:r w:rsidRPr="00B74C25">
        <w:rPr>
          <w:rFonts w:ascii="Times New Roman" w:hAnsi="Times New Roman" w:cs="Times New Roman"/>
          <w:noProof/>
          <w:sz w:val="24"/>
          <w:szCs w:val="24"/>
        </w:rPr>
        <w:drawing>
          <wp:inline distT="0" distB="0" distL="0" distR="0" wp14:anchorId="5523925C" wp14:editId="13F0C976">
            <wp:extent cx="5731510" cy="2505832"/>
            <wp:effectExtent l="0" t="0" r="2540" b="8890"/>
            <wp:docPr id="12" name="Chart 12">
              <a:extLst xmlns:a="http://schemas.openxmlformats.org/drawingml/2006/main">
                <a:ext uri="{FF2B5EF4-FFF2-40B4-BE49-F238E27FC236}">
                  <a16:creationId xmlns:a16="http://schemas.microsoft.com/office/drawing/2014/main" id="{434FDCE3-3E66-410E-B58F-D0E8D035C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78A1397" w14:textId="530FBAF2" w:rsidR="0004201B" w:rsidRPr="00E03284" w:rsidRDefault="00E03284" w:rsidP="00EE1748">
      <w:pPr>
        <w:spacing w:line="360" w:lineRule="auto"/>
        <w:jc w:val="both"/>
        <w:rPr>
          <w:rFonts w:ascii="Times New Roman" w:hAnsi="Times New Roman" w:cs="Times New Roman"/>
          <w:b/>
          <w:bCs/>
          <w:sz w:val="24"/>
          <w:szCs w:val="24"/>
        </w:rPr>
      </w:pPr>
      <w:r w:rsidRPr="00E03284">
        <w:rPr>
          <w:rFonts w:ascii="Times New Roman" w:hAnsi="Times New Roman" w:cs="Times New Roman"/>
          <w:b/>
          <w:bCs/>
          <w:sz w:val="24"/>
          <w:szCs w:val="24"/>
        </w:rPr>
        <w:t>Fig 1</w:t>
      </w:r>
    </w:p>
    <w:p w14:paraId="2E122889" w14:textId="774D9A54" w:rsidR="00A37F63" w:rsidRPr="00E03284" w:rsidRDefault="00EE1748" w:rsidP="00EE1748">
      <w:pPr>
        <w:spacing w:line="360" w:lineRule="auto"/>
        <w:jc w:val="both"/>
        <w:rPr>
          <w:rFonts w:ascii="Times New Roman" w:hAnsi="Times New Roman" w:cs="Times New Roman"/>
          <w:b/>
          <w:bCs/>
          <w:sz w:val="24"/>
          <w:szCs w:val="24"/>
        </w:rPr>
      </w:pPr>
      <w:r w:rsidRPr="00E03284">
        <w:rPr>
          <w:rFonts w:ascii="Times New Roman" w:hAnsi="Times New Roman" w:cs="Times New Roman"/>
          <w:b/>
          <w:bCs/>
          <w:sz w:val="24"/>
          <w:szCs w:val="24"/>
        </w:rPr>
        <w:t xml:space="preserve">Table </w:t>
      </w:r>
      <w:r w:rsidR="002B4D65">
        <w:rPr>
          <w:rFonts w:ascii="Times New Roman" w:hAnsi="Times New Roman" w:cs="Times New Roman"/>
          <w:b/>
          <w:bCs/>
          <w:sz w:val="24"/>
          <w:szCs w:val="24"/>
        </w:rPr>
        <w:t>3:</w:t>
      </w:r>
      <w:r w:rsidRPr="00E03284">
        <w:rPr>
          <w:rFonts w:ascii="Times New Roman" w:hAnsi="Times New Roman" w:cs="Times New Roman"/>
          <w:b/>
          <w:bCs/>
          <w:sz w:val="24"/>
          <w:szCs w:val="24"/>
        </w:rPr>
        <w:t xml:space="preserve"> </w:t>
      </w:r>
      <w:r w:rsidR="00A37F63" w:rsidRPr="00E03284">
        <w:rPr>
          <w:rFonts w:ascii="Times New Roman" w:hAnsi="Times New Roman" w:cs="Times New Roman"/>
          <w:b/>
          <w:bCs/>
          <w:sz w:val="24"/>
          <w:szCs w:val="24"/>
        </w:rPr>
        <w:t>Mean scores of the Respondents on the patterns and prevalence of substance abuse</w:t>
      </w:r>
    </w:p>
    <w:tbl>
      <w:tblPr>
        <w:tblStyle w:val="TableGrid"/>
        <w:tblW w:w="0" w:type="auto"/>
        <w:tblLook w:val="04A0" w:firstRow="1" w:lastRow="0" w:firstColumn="1" w:lastColumn="0" w:noHBand="0" w:noVBand="1"/>
      </w:tblPr>
      <w:tblGrid>
        <w:gridCol w:w="2237"/>
        <w:gridCol w:w="1586"/>
        <w:gridCol w:w="2551"/>
        <w:gridCol w:w="2642"/>
      </w:tblGrid>
      <w:tr w:rsidR="00A37F63" w:rsidRPr="00B74C25" w14:paraId="2DFE1400" w14:textId="77777777" w:rsidTr="003E52BD">
        <w:tc>
          <w:tcPr>
            <w:tcW w:w="2237" w:type="dxa"/>
            <w:vAlign w:val="center"/>
          </w:tcPr>
          <w:p w14:paraId="09A9E2DE"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Substance</w:t>
            </w:r>
          </w:p>
        </w:tc>
        <w:tc>
          <w:tcPr>
            <w:tcW w:w="1586" w:type="dxa"/>
            <w:vAlign w:val="center"/>
          </w:tcPr>
          <w:p w14:paraId="557122F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Users (%)</w:t>
            </w:r>
          </w:p>
        </w:tc>
        <w:tc>
          <w:tcPr>
            <w:tcW w:w="2551" w:type="dxa"/>
            <w:vAlign w:val="center"/>
          </w:tcPr>
          <w:p w14:paraId="7057EA3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Frequency of Use (Occasional/Regular)</w:t>
            </w:r>
          </w:p>
        </w:tc>
        <w:tc>
          <w:tcPr>
            <w:tcW w:w="2642" w:type="dxa"/>
            <w:vAlign w:val="center"/>
          </w:tcPr>
          <w:p w14:paraId="77C0796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Major Access Source</w:t>
            </w:r>
          </w:p>
        </w:tc>
      </w:tr>
      <w:tr w:rsidR="00A37F63" w:rsidRPr="00B74C25" w14:paraId="3FA86030" w14:textId="77777777" w:rsidTr="003E52BD">
        <w:tc>
          <w:tcPr>
            <w:tcW w:w="2237" w:type="dxa"/>
            <w:vAlign w:val="center"/>
          </w:tcPr>
          <w:p w14:paraId="075204A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Alcohol</w:t>
            </w:r>
          </w:p>
        </w:tc>
        <w:tc>
          <w:tcPr>
            <w:tcW w:w="1586" w:type="dxa"/>
            <w:vAlign w:val="center"/>
          </w:tcPr>
          <w:p w14:paraId="7089BE3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45.8</w:t>
            </w:r>
          </w:p>
        </w:tc>
        <w:tc>
          <w:tcPr>
            <w:tcW w:w="2551" w:type="dxa"/>
            <w:vAlign w:val="center"/>
          </w:tcPr>
          <w:p w14:paraId="6F53BA6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31.2 / 14.6</w:t>
            </w:r>
          </w:p>
        </w:tc>
        <w:tc>
          <w:tcPr>
            <w:tcW w:w="2642" w:type="dxa"/>
            <w:vAlign w:val="center"/>
          </w:tcPr>
          <w:p w14:paraId="7A2384BE"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Friends / Local vendors</w:t>
            </w:r>
          </w:p>
        </w:tc>
      </w:tr>
      <w:tr w:rsidR="00A37F63" w:rsidRPr="00B74C25" w14:paraId="450B0959" w14:textId="77777777" w:rsidTr="003E52BD">
        <w:tc>
          <w:tcPr>
            <w:tcW w:w="2237" w:type="dxa"/>
            <w:vAlign w:val="center"/>
          </w:tcPr>
          <w:p w14:paraId="397EF25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Cannabis</w:t>
            </w:r>
          </w:p>
        </w:tc>
        <w:tc>
          <w:tcPr>
            <w:tcW w:w="1586" w:type="dxa"/>
            <w:vAlign w:val="center"/>
          </w:tcPr>
          <w:p w14:paraId="5623084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28.4</w:t>
            </w:r>
          </w:p>
        </w:tc>
        <w:tc>
          <w:tcPr>
            <w:tcW w:w="2551" w:type="dxa"/>
            <w:vAlign w:val="center"/>
          </w:tcPr>
          <w:p w14:paraId="1902945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18.9 / 9.5</w:t>
            </w:r>
          </w:p>
        </w:tc>
        <w:tc>
          <w:tcPr>
            <w:tcW w:w="2642" w:type="dxa"/>
            <w:vAlign w:val="center"/>
          </w:tcPr>
          <w:p w14:paraId="1301BF0D"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Peers / Market access</w:t>
            </w:r>
          </w:p>
        </w:tc>
      </w:tr>
      <w:tr w:rsidR="00A37F63" w:rsidRPr="00B74C25" w14:paraId="27CB7309" w14:textId="77777777" w:rsidTr="003E52BD">
        <w:tc>
          <w:tcPr>
            <w:tcW w:w="2237" w:type="dxa"/>
            <w:vAlign w:val="center"/>
          </w:tcPr>
          <w:p w14:paraId="53727AF1"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Cigarettes</w:t>
            </w:r>
          </w:p>
        </w:tc>
        <w:tc>
          <w:tcPr>
            <w:tcW w:w="1586" w:type="dxa"/>
            <w:vAlign w:val="center"/>
          </w:tcPr>
          <w:p w14:paraId="69E340B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35.1</w:t>
            </w:r>
          </w:p>
        </w:tc>
        <w:tc>
          <w:tcPr>
            <w:tcW w:w="2551" w:type="dxa"/>
            <w:vAlign w:val="center"/>
          </w:tcPr>
          <w:p w14:paraId="4E35E200"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25.6 / 9.5</w:t>
            </w:r>
          </w:p>
        </w:tc>
        <w:tc>
          <w:tcPr>
            <w:tcW w:w="2642" w:type="dxa"/>
            <w:vAlign w:val="center"/>
          </w:tcPr>
          <w:p w14:paraId="042C051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Shops / Peers</w:t>
            </w:r>
          </w:p>
        </w:tc>
      </w:tr>
      <w:tr w:rsidR="00A37F63" w:rsidRPr="00B74C25" w14:paraId="61942BC4" w14:textId="77777777" w:rsidTr="003E52BD">
        <w:tc>
          <w:tcPr>
            <w:tcW w:w="2237" w:type="dxa"/>
            <w:vAlign w:val="center"/>
          </w:tcPr>
          <w:p w14:paraId="4308DE89"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Tramadol / Codeine</w:t>
            </w:r>
          </w:p>
        </w:tc>
        <w:tc>
          <w:tcPr>
            <w:tcW w:w="1586" w:type="dxa"/>
            <w:vAlign w:val="center"/>
          </w:tcPr>
          <w:p w14:paraId="464E0570"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21.8</w:t>
            </w:r>
          </w:p>
        </w:tc>
        <w:tc>
          <w:tcPr>
            <w:tcW w:w="2551" w:type="dxa"/>
            <w:vAlign w:val="center"/>
          </w:tcPr>
          <w:p w14:paraId="3A33611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12.5 / 9.3</w:t>
            </w:r>
          </w:p>
        </w:tc>
        <w:tc>
          <w:tcPr>
            <w:tcW w:w="2642" w:type="dxa"/>
            <w:vAlign w:val="center"/>
          </w:tcPr>
          <w:p w14:paraId="6020B387"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Pharmacies / Street hawkers</w:t>
            </w:r>
          </w:p>
        </w:tc>
      </w:tr>
      <w:tr w:rsidR="00A37F63" w:rsidRPr="00B74C25" w14:paraId="423F2566" w14:textId="77777777" w:rsidTr="003E52BD">
        <w:tc>
          <w:tcPr>
            <w:tcW w:w="2237" w:type="dxa"/>
            <w:vAlign w:val="center"/>
          </w:tcPr>
          <w:p w14:paraId="0C5FE35C"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Solvents (Glue, Petrol)</w:t>
            </w:r>
          </w:p>
        </w:tc>
        <w:tc>
          <w:tcPr>
            <w:tcW w:w="1586" w:type="dxa"/>
            <w:vAlign w:val="center"/>
          </w:tcPr>
          <w:p w14:paraId="55A1FC2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9.4</w:t>
            </w:r>
          </w:p>
        </w:tc>
        <w:tc>
          <w:tcPr>
            <w:tcW w:w="2551" w:type="dxa"/>
            <w:vAlign w:val="center"/>
          </w:tcPr>
          <w:p w14:paraId="4252C200"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7.2 / 2.2</w:t>
            </w:r>
          </w:p>
        </w:tc>
        <w:tc>
          <w:tcPr>
            <w:tcW w:w="2642" w:type="dxa"/>
            <w:vAlign w:val="center"/>
          </w:tcPr>
          <w:p w14:paraId="7BE95A6E"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Open market</w:t>
            </w:r>
          </w:p>
        </w:tc>
      </w:tr>
      <w:tr w:rsidR="00A37F63" w:rsidRPr="00B74C25" w14:paraId="18D1A493" w14:textId="77777777" w:rsidTr="003E52BD">
        <w:tc>
          <w:tcPr>
            <w:tcW w:w="2237" w:type="dxa"/>
            <w:vAlign w:val="center"/>
          </w:tcPr>
          <w:p w14:paraId="0B8A8237"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Others (Prescription drugs)</w:t>
            </w:r>
          </w:p>
        </w:tc>
        <w:tc>
          <w:tcPr>
            <w:tcW w:w="1586" w:type="dxa"/>
            <w:vAlign w:val="center"/>
          </w:tcPr>
          <w:p w14:paraId="5BB2286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7.1</w:t>
            </w:r>
          </w:p>
        </w:tc>
        <w:tc>
          <w:tcPr>
            <w:tcW w:w="2551" w:type="dxa"/>
            <w:vAlign w:val="center"/>
          </w:tcPr>
          <w:p w14:paraId="5CC41E7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4.6 / 2.5</w:t>
            </w:r>
          </w:p>
        </w:tc>
        <w:tc>
          <w:tcPr>
            <w:tcW w:w="2642" w:type="dxa"/>
            <w:vAlign w:val="center"/>
          </w:tcPr>
          <w:p w14:paraId="6AD2173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Friends</w:t>
            </w:r>
          </w:p>
        </w:tc>
      </w:tr>
    </w:tbl>
    <w:p w14:paraId="3DA35E2A" w14:textId="77777777" w:rsidR="00A37F63" w:rsidRPr="00B74C25" w:rsidRDefault="00A37F63" w:rsidP="00EE1748">
      <w:pPr>
        <w:spacing w:line="360" w:lineRule="auto"/>
        <w:jc w:val="both"/>
        <w:rPr>
          <w:rFonts w:ascii="Times New Roman" w:eastAsiaTheme="majorEastAsia" w:hAnsi="Times New Roman" w:cs="Times New Roman"/>
          <w:sz w:val="24"/>
          <w:szCs w:val="24"/>
        </w:rPr>
      </w:pPr>
    </w:p>
    <w:p w14:paraId="3F604507" w14:textId="77777777" w:rsidR="00A37F63" w:rsidRPr="00B74C25" w:rsidRDefault="00A37F63" w:rsidP="00EE1748">
      <w:pPr>
        <w:spacing w:line="360" w:lineRule="auto"/>
        <w:jc w:val="both"/>
        <w:rPr>
          <w:rFonts w:ascii="Times New Roman" w:eastAsiaTheme="majorEastAsia" w:hAnsi="Times New Roman" w:cs="Times New Roman"/>
          <w:sz w:val="24"/>
          <w:szCs w:val="24"/>
        </w:rPr>
      </w:pPr>
      <w:r w:rsidRPr="00B74C25">
        <w:rPr>
          <w:rFonts w:ascii="Times New Roman" w:hAnsi="Times New Roman" w:cs="Times New Roman"/>
          <w:noProof/>
          <w:sz w:val="24"/>
          <w:szCs w:val="24"/>
        </w:rPr>
        <w:lastRenderedPageBreak/>
        <w:drawing>
          <wp:inline distT="0" distB="0" distL="0" distR="0" wp14:anchorId="3C4AABBA" wp14:editId="17AAE12E">
            <wp:extent cx="6274468" cy="2743200"/>
            <wp:effectExtent l="0" t="0" r="12065" b="0"/>
            <wp:docPr id="10" name="Chart 10">
              <a:extLst xmlns:a="http://schemas.openxmlformats.org/drawingml/2006/main">
                <a:ext uri="{FF2B5EF4-FFF2-40B4-BE49-F238E27FC236}">
                  <a16:creationId xmlns:a16="http://schemas.microsoft.com/office/drawing/2014/main" id="{EFBEC77F-66E5-42C9-BAD5-4E1E4D6EF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44FA3A" w14:textId="5EE65D33" w:rsidR="00A37F63" w:rsidRPr="00E03284" w:rsidRDefault="00A37F63" w:rsidP="00EE1748">
      <w:pPr>
        <w:spacing w:line="360" w:lineRule="auto"/>
        <w:jc w:val="both"/>
        <w:rPr>
          <w:rFonts w:ascii="Times New Roman" w:eastAsiaTheme="majorEastAsia" w:hAnsi="Times New Roman" w:cs="Times New Roman"/>
          <w:b/>
          <w:bCs/>
          <w:sz w:val="24"/>
          <w:szCs w:val="24"/>
        </w:rPr>
      </w:pPr>
      <w:r w:rsidRPr="00E03284">
        <w:rPr>
          <w:rFonts w:ascii="Times New Roman" w:eastAsiaTheme="majorEastAsia" w:hAnsi="Times New Roman" w:cs="Times New Roman"/>
          <w:b/>
          <w:bCs/>
          <w:sz w:val="24"/>
          <w:szCs w:val="24"/>
        </w:rPr>
        <w:t xml:space="preserve">Fig </w:t>
      </w:r>
      <w:r w:rsidR="00E03284">
        <w:rPr>
          <w:rFonts w:ascii="Times New Roman" w:eastAsiaTheme="majorEastAsia" w:hAnsi="Times New Roman" w:cs="Times New Roman"/>
          <w:b/>
          <w:bCs/>
          <w:sz w:val="24"/>
          <w:szCs w:val="24"/>
        </w:rPr>
        <w:t>2</w:t>
      </w:r>
    </w:p>
    <w:p w14:paraId="5040775C" w14:textId="77777777" w:rsidR="00A37F63" w:rsidRPr="00B74C25" w:rsidRDefault="00A37F63" w:rsidP="00EE1748">
      <w:pPr>
        <w:spacing w:line="360" w:lineRule="auto"/>
        <w:jc w:val="both"/>
        <w:rPr>
          <w:rFonts w:ascii="Times New Roman" w:eastAsiaTheme="majorEastAsia" w:hAnsi="Times New Roman" w:cs="Times New Roman"/>
          <w:sz w:val="24"/>
          <w:szCs w:val="24"/>
        </w:rPr>
      </w:pPr>
      <w:r w:rsidRPr="00B74C25">
        <w:rPr>
          <w:rFonts w:ascii="Times New Roman" w:eastAsiaTheme="majorEastAsia" w:hAnsi="Times New Roman" w:cs="Times New Roman"/>
          <w:sz w:val="24"/>
          <w:szCs w:val="24"/>
        </w:rPr>
        <w:t>The information shown in Table 4.2 depicts the prevalence of psychoactive substance use among secondary school students in the Kokona Local Government Area. The results indicate that alcohol (45.8%) was the most frequently used substance by respondents, followed by cigarettes (35.1%), cannabis (28.4%), and tramadol/codeine (21.8%), whereas solvents (9.4%) and other prescription medications (7.1%) were reported the least. This trend shows that alcohol and tobacco are still the most available and socially accepted substances among teenagers, aligning with the gateway hypothesis (Kandel, 2002), which proposes that these substances frequently act as gateways to more serious drug use.</w:t>
      </w:r>
    </w:p>
    <w:p w14:paraId="542FDAAA" w14:textId="77777777" w:rsidR="00A37F63" w:rsidRPr="00B74C25" w:rsidRDefault="00A37F63" w:rsidP="00EE1748">
      <w:pPr>
        <w:spacing w:line="360" w:lineRule="auto"/>
        <w:jc w:val="both"/>
        <w:rPr>
          <w:rFonts w:ascii="Times New Roman" w:eastAsiaTheme="majorEastAsia" w:hAnsi="Times New Roman" w:cs="Times New Roman"/>
          <w:sz w:val="24"/>
          <w:szCs w:val="24"/>
        </w:rPr>
      </w:pPr>
      <w:r w:rsidRPr="00B74C25">
        <w:rPr>
          <w:rFonts w:ascii="Times New Roman" w:eastAsiaTheme="majorEastAsia" w:hAnsi="Times New Roman" w:cs="Times New Roman"/>
          <w:sz w:val="24"/>
          <w:szCs w:val="24"/>
        </w:rPr>
        <w:t>In terms of usage frequency, most users indicated occasional consumption, while a notable proportion confessed to regular use especially of alcohol (14.6%) and tramadol/codeine (9.3%). This suggests that although experimentation is still prevalent among teenagers, an increasing number are moving towards regular use, presenting significant health dangers.</w:t>
      </w:r>
    </w:p>
    <w:p w14:paraId="4AE48838" w14:textId="77777777" w:rsidR="00A37F63" w:rsidRPr="00B74C25" w:rsidRDefault="00A37F63" w:rsidP="00EE1748">
      <w:pPr>
        <w:spacing w:line="360" w:lineRule="auto"/>
        <w:jc w:val="both"/>
        <w:rPr>
          <w:rFonts w:ascii="Times New Roman" w:eastAsiaTheme="majorEastAsia" w:hAnsi="Times New Roman" w:cs="Times New Roman"/>
          <w:sz w:val="24"/>
          <w:szCs w:val="24"/>
        </w:rPr>
      </w:pPr>
      <w:r w:rsidRPr="00B74C25">
        <w:rPr>
          <w:rFonts w:ascii="Times New Roman" w:eastAsiaTheme="majorEastAsia" w:hAnsi="Times New Roman" w:cs="Times New Roman"/>
          <w:sz w:val="24"/>
          <w:szCs w:val="24"/>
        </w:rPr>
        <w:t>Regarding access, the primary suppliers of these substances included friends and nearby sellers for alcohol, associates and market sources for cannabis, and stores or acquaintances for cigarettes. Worryingly, pharmacies and street vendors have been recognized as major sources of tramadol and codeine, highlighting the poor enforcement of drug control laws. Substances like glue and gasoline were primarily sourced from public markets, demonstrating their presence in domestic and commercial items.</w:t>
      </w:r>
    </w:p>
    <w:p w14:paraId="5C909D58" w14:textId="77777777" w:rsidR="00A37F63" w:rsidRPr="00B74C25" w:rsidRDefault="00A37F63" w:rsidP="00EE1748">
      <w:pPr>
        <w:spacing w:line="360" w:lineRule="auto"/>
        <w:jc w:val="both"/>
        <w:rPr>
          <w:rFonts w:ascii="Times New Roman" w:eastAsiaTheme="majorEastAsia" w:hAnsi="Times New Roman" w:cs="Times New Roman"/>
          <w:sz w:val="24"/>
          <w:szCs w:val="24"/>
        </w:rPr>
      </w:pPr>
    </w:p>
    <w:p w14:paraId="32F120F8" w14:textId="77777777" w:rsidR="00A37F63" w:rsidRPr="00B74C25" w:rsidRDefault="00A37F63" w:rsidP="00EE1748">
      <w:pPr>
        <w:spacing w:line="360" w:lineRule="auto"/>
        <w:jc w:val="both"/>
        <w:rPr>
          <w:rFonts w:ascii="Times New Roman" w:eastAsiaTheme="majorEastAsia" w:hAnsi="Times New Roman" w:cs="Times New Roman"/>
          <w:sz w:val="24"/>
          <w:szCs w:val="24"/>
        </w:rPr>
      </w:pPr>
    </w:p>
    <w:p w14:paraId="74990F15" w14:textId="1CC507AE" w:rsidR="00A37F63" w:rsidRPr="002B4D65" w:rsidRDefault="00EE1748" w:rsidP="00EE1748">
      <w:pPr>
        <w:spacing w:line="360" w:lineRule="auto"/>
        <w:jc w:val="both"/>
        <w:rPr>
          <w:rFonts w:ascii="Times New Roman" w:hAnsi="Times New Roman" w:cs="Times New Roman"/>
          <w:b/>
          <w:bCs/>
          <w:sz w:val="24"/>
          <w:szCs w:val="24"/>
        </w:rPr>
      </w:pPr>
      <w:r w:rsidRPr="002B4D65">
        <w:rPr>
          <w:rFonts w:ascii="Times New Roman" w:eastAsia="Times New Roman" w:hAnsi="Times New Roman" w:cs="Times New Roman"/>
          <w:b/>
          <w:bCs/>
          <w:sz w:val="24"/>
          <w:szCs w:val="24"/>
          <w:lang w:eastAsia="en-GB"/>
        </w:rPr>
        <w:t xml:space="preserve">Table </w:t>
      </w:r>
      <w:r w:rsidR="002B4D65">
        <w:rPr>
          <w:rFonts w:ascii="Times New Roman" w:eastAsia="Times New Roman" w:hAnsi="Times New Roman" w:cs="Times New Roman"/>
          <w:b/>
          <w:bCs/>
          <w:sz w:val="24"/>
          <w:szCs w:val="24"/>
          <w:lang w:eastAsia="en-GB"/>
        </w:rPr>
        <w:t>4</w:t>
      </w:r>
      <w:r w:rsidR="002B4D65" w:rsidRPr="002B4D65">
        <w:rPr>
          <w:rFonts w:ascii="Times New Roman" w:eastAsia="Times New Roman" w:hAnsi="Times New Roman" w:cs="Times New Roman"/>
          <w:b/>
          <w:bCs/>
          <w:sz w:val="24"/>
          <w:szCs w:val="24"/>
          <w:lang w:eastAsia="en-GB"/>
        </w:rPr>
        <w:t xml:space="preserve">: </w:t>
      </w:r>
      <w:r w:rsidR="00A37F63" w:rsidRPr="002B4D65">
        <w:rPr>
          <w:rFonts w:ascii="Times New Roman" w:hAnsi="Times New Roman" w:cs="Times New Roman"/>
          <w:b/>
          <w:bCs/>
          <w:sz w:val="24"/>
          <w:szCs w:val="24"/>
        </w:rPr>
        <w:t>Mean scores of the Respondents on the socio-demographic factors affect their consumption</w:t>
      </w:r>
    </w:p>
    <w:tbl>
      <w:tblPr>
        <w:tblStyle w:val="TableGrid"/>
        <w:tblW w:w="0" w:type="auto"/>
        <w:tblLook w:val="04A0" w:firstRow="1" w:lastRow="0" w:firstColumn="1" w:lastColumn="0" w:noHBand="0" w:noVBand="1"/>
      </w:tblPr>
      <w:tblGrid>
        <w:gridCol w:w="2332"/>
        <w:gridCol w:w="2207"/>
        <w:gridCol w:w="2194"/>
        <w:gridCol w:w="2283"/>
      </w:tblGrid>
      <w:tr w:rsidR="00A37F63" w:rsidRPr="00B74C25" w14:paraId="39C7A960" w14:textId="77777777" w:rsidTr="003E52BD">
        <w:tc>
          <w:tcPr>
            <w:tcW w:w="2332" w:type="dxa"/>
            <w:vAlign w:val="center"/>
          </w:tcPr>
          <w:p w14:paraId="2EE48B5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Variable</w:t>
            </w:r>
          </w:p>
        </w:tc>
        <w:tc>
          <w:tcPr>
            <w:tcW w:w="2207" w:type="dxa"/>
            <w:vAlign w:val="center"/>
          </w:tcPr>
          <w:p w14:paraId="10C28C6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Mean (x̄)</w:t>
            </w:r>
          </w:p>
        </w:tc>
        <w:tc>
          <w:tcPr>
            <w:tcW w:w="2194" w:type="dxa"/>
            <w:vAlign w:val="center"/>
          </w:tcPr>
          <w:p w14:paraId="129138AB"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SD</w:t>
            </w:r>
          </w:p>
        </w:tc>
        <w:tc>
          <w:tcPr>
            <w:tcW w:w="2283" w:type="dxa"/>
            <w:vAlign w:val="center"/>
          </w:tcPr>
          <w:p w14:paraId="6837A527"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Interpretation</w:t>
            </w:r>
          </w:p>
        </w:tc>
      </w:tr>
      <w:tr w:rsidR="00A37F63" w:rsidRPr="00B74C25" w14:paraId="4E338CE7" w14:textId="77777777" w:rsidTr="003E52BD">
        <w:tc>
          <w:tcPr>
            <w:tcW w:w="2332" w:type="dxa"/>
            <w:vAlign w:val="center"/>
          </w:tcPr>
          <w:p w14:paraId="3BB9AA6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Frequent absenteeism</w:t>
            </w:r>
          </w:p>
        </w:tc>
        <w:tc>
          <w:tcPr>
            <w:tcW w:w="2207" w:type="dxa"/>
            <w:vAlign w:val="center"/>
          </w:tcPr>
          <w:p w14:paraId="5CCB2C26"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3.77</w:t>
            </w:r>
          </w:p>
        </w:tc>
        <w:tc>
          <w:tcPr>
            <w:tcW w:w="2194" w:type="dxa"/>
            <w:vAlign w:val="center"/>
          </w:tcPr>
          <w:p w14:paraId="79699BD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0.92</w:t>
            </w:r>
          </w:p>
        </w:tc>
        <w:tc>
          <w:tcPr>
            <w:tcW w:w="2283" w:type="dxa"/>
            <w:vAlign w:val="center"/>
          </w:tcPr>
          <w:p w14:paraId="638DB3B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High</w:t>
            </w:r>
          </w:p>
        </w:tc>
      </w:tr>
      <w:tr w:rsidR="00A37F63" w:rsidRPr="00B74C25" w14:paraId="4A7C9A2E" w14:textId="77777777" w:rsidTr="003E52BD">
        <w:tc>
          <w:tcPr>
            <w:tcW w:w="2332" w:type="dxa"/>
            <w:vAlign w:val="center"/>
          </w:tcPr>
          <w:p w14:paraId="2AB16092"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Poor academic performance</w:t>
            </w:r>
          </w:p>
        </w:tc>
        <w:tc>
          <w:tcPr>
            <w:tcW w:w="2207" w:type="dxa"/>
            <w:vAlign w:val="center"/>
          </w:tcPr>
          <w:p w14:paraId="71D2950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3.89</w:t>
            </w:r>
          </w:p>
        </w:tc>
        <w:tc>
          <w:tcPr>
            <w:tcW w:w="2194" w:type="dxa"/>
            <w:vAlign w:val="center"/>
          </w:tcPr>
          <w:p w14:paraId="36AC4580"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0.88</w:t>
            </w:r>
          </w:p>
        </w:tc>
        <w:tc>
          <w:tcPr>
            <w:tcW w:w="2283" w:type="dxa"/>
            <w:vAlign w:val="center"/>
          </w:tcPr>
          <w:p w14:paraId="09F30111"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High</w:t>
            </w:r>
          </w:p>
        </w:tc>
      </w:tr>
      <w:tr w:rsidR="00A37F63" w:rsidRPr="00B74C25" w14:paraId="6116FFB2" w14:textId="77777777" w:rsidTr="003E52BD">
        <w:tc>
          <w:tcPr>
            <w:tcW w:w="2332" w:type="dxa"/>
            <w:vAlign w:val="center"/>
          </w:tcPr>
          <w:p w14:paraId="2933A89C"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Truancy / lateness</w:t>
            </w:r>
          </w:p>
        </w:tc>
        <w:tc>
          <w:tcPr>
            <w:tcW w:w="2207" w:type="dxa"/>
            <w:vAlign w:val="center"/>
          </w:tcPr>
          <w:p w14:paraId="3DD8309A"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3.70</w:t>
            </w:r>
          </w:p>
        </w:tc>
        <w:tc>
          <w:tcPr>
            <w:tcW w:w="2194" w:type="dxa"/>
            <w:vAlign w:val="center"/>
          </w:tcPr>
          <w:p w14:paraId="29CD6C2C"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0.97</w:t>
            </w:r>
          </w:p>
        </w:tc>
        <w:tc>
          <w:tcPr>
            <w:tcW w:w="2283" w:type="dxa"/>
            <w:vAlign w:val="center"/>
          </w:tcPr>
          <w:p w14:paraId="48BBA0DC"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High</w:t>
            </w:r>
          </w:p>
        </w:tc>
      </w:tr>
      <w:tr w:rsidR="00A37F63" w:rsidRPr="00B74C25" w14:paraId="08FB9735" w14:textId="77777777" w:rsidTr="003E52BD">
        <w:tc>
          <w:tcPr>
            <w:tcW w:w="2332" w:type="dxa"/>
            <w:vAlign w:val="center"/>
          </w:tcPr>
          <w:p w14:paraId="4A5C3F7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Disciplinary actions (warning/suspension)</w:t>
            </w:r>
          </w:p>
        </w:tc>
        <w:tc>
          <w:tcPr>
            <w:tcW w:w="2207" w:type="dxa"/>
            <w:vAlign w:val="center"/>
          </w:tcPr>
          <w:p w14:paraId="4FFB45A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3.42</w:t>
            </w:r>
          </w:p>
        </w:tc>
        <w:tc>
          <w:tcPr>
            <w:tcW w:w="2194" w:type="dxa"/>
            <w:vAlign w:val="center"/>
          </w:tcPr>
          <w:p w14:paraId="75AB921F"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1.12</w:t>
            </w:r>
          </w:p>
        </w:tc>
        <w:tc>
          <w:tcPr>
            <w:tcW w:w="2283" w:type="dxa"/>
            <w:vAlign w:val="center"/>
          </w:tcPr>
          <w:p w14:paraId="52119E88"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Moderate</w:t>
            </w:r>
          </w:p>
        </w:tc>
      </w:tr>
      <w:tr w:rsidR="00A37F63" w:rsidRPr="00B74C25" w14:paraId="2B0B3A9C" w14:textId="77777777" w:rsidTr="003E52BD">
        <w:tc>
          <w:tcPr>
            <w:tcW w:w="2332" w:type="dxa"/>
            <w:vAlign w:val="center"/>
          </w:tcPr>
          <w:p w14:paraId="36E490E4"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Reduced classroom concentration</w:t>
            </w:r>
          </w:p>
        </w:tc>
        <w:tc>
          <w:tcPr>
            <w:tcW w:w="2207" w:type="dxa"/>
            <w:vAlign w:val="center"/>
          </w:tcPr>
          <w:p w14:paraId="79973CFD"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3.93</w:t>
            </w:r>
          </w:p>
        </w:tc>
        <w:tc>
          <w:tcPr>
            <w:tcW w:w="2194" w:type="dxa"/>
            <w:vAlign w:val="center"/>
          </w:tcPr>
          <w:p w14:paraId="3A0B9EA9"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0.84</w:t>
            </w:r>
          </w:p>
        </w:tc>
        <w:tc>
          <w:tcPr>
            <w:tcW w:w="2283" w:type="dxa"/>
            <w:vAlign w:val="center"/>
          </w:tcPr>
          <w:p w14:paraId="6AD290D5" w14:textId="77777777" w:rsidR="00A37F63" w:rsidRPr="00B74C25" w:rsidRDefault="00A37F63"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High</w:t>
            </w:r>
          </w:p>
        </w:tc>
      </w:tr>
    </w:tbl>
    <w:p w14:paraId="017CAD9B" w14:textId="77777777" w:rsidR="00A37F63" w:rsidRPr="00B74C25" w:rsidRDefault="00A37F63" w:rsidP="00EE1748">
      <w:pPr>
        <w:spacing w:before="100" w:beforeAutospacing="1" w:after="100" w:afterAutospacing="1" w:line="360" w:lineRule="auto"/>
        <w:outlineLvl w:val="2"/>
        <w:rPr>
          <w:rFonts w:ascii="Times New Roman" w:eastAsia="Times New Roman" w:hAnsi="Times New Roman" w:cs="Times New Roman"/>
          <w:sz w:val="24"/>
          <w:szCs w:val="24"/>
          <w:lang w:eastAsia="en-GB"/>
        </w:rPr>
      </w:pPr>
    </w:p>
    <w:p w14:paraId="1595A39C" w14:textId="5A9D27FF" w:rsidR="00A37F63" w:rsidRPr="00B74C25" w:rsidRDefault="00A37F63" w:rsidP="00EE1748">
      <w:pPr>
        <w:spacing w:before="100" w:beforeAutospacing="1" w:after="100" w:afterAutospacing="1" w:line="360" w:lineRule="auto"/>
        <w:outlineLvl w:val="2"/>
        <w:rPr>
          <w:rFonts w:ascii="Times New Roman" w:eastAsia="Times New Roman" w:hAnsi="Times New Roman" w:cs="Times New Roman"/>
          <w:sz w:val="24"/>
          <w:szCs w:val="24"/>
          <w:lang w:eastAsia="en-GB"/>
        </w:rPr>
      </w:pPr>
      <w:r w:rsidRPr="00B74C25">
        <w:rPr>
          <w:rFonts w:ascii="Times New Roman" w:hAnsi="Times New Roman" w:cs="Times New Roman"/>
          <w:noProof/>
          <w:sz w:val="24"/>
          <w:szCs w:val="24"/>
        </w:rPr>
        <w:drawing>
          <wp:inline distT="0" distB="0" distL="0" distR="0" wp14:anchorId="5A144C09" wp14:editId="04FB3F39">
            <wp:extent cx="5731510" cy="2510659"/>
            <wp:effectExtent l="0" t="0" r="2540" b="4445"/>
            <wp:docPr id="9" name="Chart 9">
              <a:extLst xmlns:a="http://schemas.openxmlformats.org/drawingml/2006/main">
                <a:ext uri="{FF2B5EF4-FFF2-40B4-BE49-F238E27FC236}">
                  <a16:creationId xmlns:a16="http://schemas.microsoft.com/office/drawing/2014/main" id="{0FB317DD-AA80-48B1-AD2B-881E8BD7FB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1A79F8" w14:textId="7FFBD322" w:rsidR="00A37F63" w:rsidRPr="00074C80" w:rsidRDefault="00E03284" w:rsidP="00EE1748">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074C80">
        <w:rPr>
          <w:rFonts w:ascii="Times New Roman" w:eastAsia="Times New Roman" w:hAnsi="Times New Roman" w:cs="Times New Roman"/>
          <w:b/>
          <w:bCs/>
          <w:sz w:val="24"/>
          <w:szCs w:val="24"/>
          <w:lang w:eastAsia="en-GB"/>
        </w:rPr>
        <w:t>Fig 3</w:t>
      </w:r>
    </w:p>
    <w:p w14:paraId="75B294F7" w14:textId="77777777" w:rsidR="00A32B11" w:rsidRPr="00B74C25" w:rsidRDefault="00A32B11" w:rsidP="00EE1748">
      <w:pPr>
        <w:pStyle w:val="Heading2"/>
        <w:spacing w:line="360" w:lineRule="auto"/>
        <w:jc w:val="both"/>
        <w:rPr>
          <w:b w:val="0"/>
          <w:bCs w:val="0"/>
          <w:sz w:val="24"/>
          <w:szCs w:val="24"/>
        </w:rPr>
      </w:pPr>
      <w:r w:rsidRPr="00B74C25">
        <w:rPr>
          <w:b w:val="0"/>
          <w:bCs w:val="0"/>
          <w:sz w:val="24"/>
          <w:szCs w:val="24"/>
        </w:rPr>
        <w:t>The findings displayed in Table 4.5 indicate the average scores and standard deviations of educational and behavioral indicators influenced by drug abuse among secondary school students in the Kokona Local Government Area. The results clearly indicate that substance use adversely affects students’ academic involvement, school attendance, and behavior.</w:t>
      </w:r>
    </w:p>
    <w:p w14:paraId="5F09BA38" w14:textId="77777777" w:rsidR="00A32B11" w:rsidRPr="00B74C25" w:rsidRDefault="00A32B11" w:rsidP="00EE1748">
      <w:pPr>
        <w:pStyle w:val="Heading2"/>
        <w:spacing w:line="360" w:lineRule="auto"/>
        <w:jc w:val="both"/>
        <w:rPr>
          <w:b w:val="0"/>
          <w:bCs w:val="0"/>
          <w:sz w:val="24"/>
          <w:szCs w:val="24"/>
        </w:rPr>
      </w:pPr>
      <w:bookmarkStart w:id="4" w:name="_Toc224456626"/>
      <w:bookmarkStart w:id="5" w:name="_Toc224486520"/>
      <w:r w:rsidRPr="00B74C25">
        <w:rPr>
          <w:b w:val="0"/>
          <w:bCs w:val="0"/>
          <w:sz w:val="24"/>
          <w:szCs w:val="24"/>
        </w:rPr>
        <w:lastRenderedPageBreak/>
        <w:t>The greatest average score was noted for diminished classroom focus (x̄ - 3.93, SD - 0.84), with poor academic performance (x̄ - 3.89, SD - 0.88), frequent absenteeism (x̄ - 3.77, SD - 0.92), and truancy or lateness (x̄ - 3.70, SD - 0.97) following closely behind all of which received high ratings. These findings suggest that students involved in drug abuse face considerable challenges in sustaining attention, finishing academic work, and following school schedules. The cognitive and motivational deficits caused by drug use probably led to decreased academic performance and a lack of involvement in school activities.</w:t>
      </w:r>
      <w:bookmarkEnd w:id="4"/>
      <w:bookmarkEnd w:id="5"/>
    </w:p>
    <w:p w14:paraId="1339E52A" w14:textId="77777777" w:rsidR="00A32B11" w:rsidRPr="00B74C25" w:rsidRDefault="00A32B11" w:rsidP="00EE1748">
      <w:pPr>
        <w:pStyle w:val="Heading2"/>
        <w:spacing w:line="360" w:lineRule="auto"/>
        <w:jc w:val="both"/>
        <w:rPr>
          <w:b w:val="0"/>
          <w:bCs w:val="0"/>
          <w:sz w:val="24"/>
          <w:szCs w:val="24"/>
        </w:rPr>
      </w:pPr>
      <w:bookmarkStart w:id="6" w:name="_Toc224456627"/>
      <w:bookmarkStart w:id="7" w:name="_Toc224486521"/>
      <w:r w:rsidRPr="00B74C25">
        <w:rPr>
          <w:b w:val="0"/>
          <w:bCs w:val="0"/>
          <w:sz w:val="24"/>
          <w:szCs w:val="24"/>
        </w:rPr>
        <w:t>The varying disciplinary actions like warnings or suspensions (x̄ - 3.42, SD - 1.12) exhibited a moderate average score, indicating that although not every student abusing drugs experiences formal disciplinary actions, a significant number have faced punitive repercussions due to behavioral issues related to substance use.</w:t>
      </w:r>
      <w:bookmarkEnd w:id="6"/>
      <w:bookmarkEnd w:id="7"/>
    </w:p>
    <w:p w14:paraId="2F194889" w14:textId="39C228B7" w:rsidR="00A32B11" w:rsidRPr="00074C80" w:rsidRDefault="00A32B11" w:rsidP="00EE1748">
      <w:pPr>
        <w:pStyle w:val="Heading2"/>
        <w:spacing w:line="360" w:lineRule="auto"/>
        <w:jc w:val="both"/>
        <w:rPr>
          <w:sz w:val="24"/>
          <w:szCs w:val="24"/>
        </w:rPr>
      </w:pPr>
      <w:bookmarkStart w:id="8" w:name="_Toc224486522"/>
      <w:r w:rsidRPr="00074C80">
        <w:rPr>
          <w:sz w:val="24"/>
          <w:szCs w:val="24"/>
        </w:rPr>
        <w:t>Test of Hypotheses</w:t>
      </w:r>
      <w:bookmarkEnd w:id="8"/>
    </w:p>
    <w:p w14:paraId="5408EE80" w14:textId="68A0D403" w:rsidR="00A32B11" w:rsidRPr="00074C80" w:rsidRDefault="00A32B11" w:rsidP="00074C80">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H₀₁: There is no meaningful relationship between gender, </w:t>
      </w:r>
      <w:r w:rsidR="00B72E8C" w:rsidRPr="00B74C25">
        <w:rPr>
          <w:rFonts w:ascii="Times New Roman" w:hAnsi="Times New Roman" w:cs="Times New Roman"/>
          <w:sz w:val="24"/>
          <w:szCs w:val="24"/>
        </w:rPr>
        <w:t>type of communities</w:t>
      </w:r>
      <w:r w:rsidRPr="00B74C25">
        <w:rPr>
          <w:rFonts w:ascii="Times New Roman" w:hAnsi="Times New Roman" w:cs="Times New Roman"/>
          <w:sz w:val="24"/>
          <w:szCs w:val="24"/>
        </w:rPr>
        <w:t>, and drug use status among secondary students in Kokona LGA.</w:t>
      </w:r>
    </w:p>
    <w:p w14:paraId="4B6F2D1F" w14:textId="0002D8AA" w:rsidR="00A32B11" w:rsidRPr="00074C80" w:rsidRDefault="00A32B11" w:rsidP="00EE1748">
      <w:pPr>
        <w:spacing w:line="360" w:lineRule="auto"/>
        <w:jc w:val="both"/>
        <w:rPr>
          <w:rFonts w:ascii="Times New Roman" w:hAnsi="Times New Roman" w:cs="Times New Roman"/>
          <w:b/>
          <w:bCs/>
          <w:sz w:val="24"/>
          <w:szCs w:val="24"/>
        </w:rPr>
      </w:pPr>
      <w:r w:rsidRPr="00074C80">
        <w:rPr>
          <w:rFonts w:ascii="Times New Roman" w:hAnsi="Times New Roman" w:cs="Times New Roman"/>
          <w:b/>
          <w:bCs/>
          <w:sz w:val="24"/>
          <w:szCs w:val="24"/>
        </w:rPr>
        <w:t xml:space="preserve">Table </w:t>
      </w:r>
      <w:r w:rsidR="002B4D65">
        <w:rPr>
          <w:rFonts w:ascii="Times New Roman" w:hAnsi="Times New Roman" w:cs="Times New Roman"/>
          <w:b/>
          <w:bCs/>
          <w:sz w:val="24"/>
          <w:szCs w:val="24"/>
        </w:rPr>
        <w:t>5:</w:t>
      </w:r>
      <w:r w:rsidR="00074C80" w:rsidRPr="00074C80">
        <w:rPr>
          <w:rFonts w:ascii="Times New Roman" w:hAnsi="Times New Roman" w:cs="Times New Roman"/>
          <w:b/>
          <w:bCs/>
          <w:sz w:val="24"/>
          <w:szCs w:val="24"/>
        </w:rPr>
        <w:t xml:space="preserve"> </w:t>
      </w:r>
      <w:r w:rsidRPr="00074C80">
        <w:rPr>
          <w:rFonts w:ascii="Times New Roman" w:hAnsi="Times New Roman" w:cs="Times New Roman"/>
          <w:b/>
          <w:bCs/>
          <w:sz w:val="24"/>
          <w:szCs w:val="24"/>
        </w:rPr>
        <w:t>Chi-square tests of independence on the connection between categorical variables and drug use status</w:t>
      </w:r>
    </w:p>
    <w:p w14:paraId="0322EE22" w14:textId="77777777" w:rsidR="00A32B11" w:rsidRPr="00B74C25" w:rsidRDefault="00A32B11" w:rsidP="00EE1748">
      <w:pPr>
        <w:pStyle w:val="NoSpacing"/>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3"/>
        <w:gridCol w:w="1802"/>
        <w:gridCol w:w="1765"/>
        <w:gridCol w:w="1789"/>
        <w:gridCol w:w="1827"/>
      </w:tblGrid>
      <w:tr w:rsidR="00A32B11" w:rsidRPr="00B74C25" w14:paraId="15AA1E72" w14:textId="77777777" w:rsidTr="003E52BD">
        <w:tc>
          <w:tcPr>
            <w:tcW w:w="1870" w:type="dxa"/>
            <w:vAlign w:val="center"/>
          </w:tcPr>
          <w:p w14:paraId="6E164918"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Variable</w:t>
            </w:r>
          </w:p>
        </w:tc>
        <w:tc>
          <w:tcPr>
            <w:tcW w:w="1870" w:type="dxa"/>
            <w:vAlign w:val="center"/>
          </w:tcPr>
          <w:p w14:paraId="67FF0725"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χ² (Chi-square)</w:t>
            </w:r>
          </w:p>
        </w:tc>
        <w:tc>
          <w:tcPr>
            <w:tcW w:w="1870" w:type="dxa"/>
            <w:vAlign w:val="center"/>
          </w:tcPr>
          <w:p w14:paraId="3DC1F6BA"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df</w:t>
            </w:r>
          </w:p>
        </w:tc>
        <w:tc>
          <w:tcPr>
            <w:tcW w:w="1870" w:type="dxa"/>
            <w:vAlign w:val="center"/>
          </w:tcPr>
          <w:p w14:paraId="552300B5"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p-value</w:t>
            </w:r>
          </w:p>
        </w:tc>
        <w:tc>
          <w:tcPr>
            <w:tcW w:w="1870" w:type="dxa"/>
            <w:vAlign w:val="center"/>
          </w:tcPr>
          <w:p w14:paraId="3ADEF001"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Decision</w:t>
            </w:r>
          </w:p>
        </w:tc>
      </w:tr>
      <w:tr w:rsidR="00A32B11" w:rsidRPr="00B74C25" w14:paraId="196A18B8" w14:textId="77777777" w:rsidTr="003E52BD">
        <w:tc>
          <w:tcPr>
            <w:tcW w:w="1870" w:type="dxa"/>
            <w:vAlign w:val="center"/>
          </w:tcPr>
          <w:p w14:paraId="3A5ECB37"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Gender × Drug Use</w:t>
            </w:r>
          </w:p>
        </w:tc>
        <w:tc>
          <w:tcPr>
            <w:tcW w:w="1870" w:type="dxa"/>
            <w:vAlign w:val="center"/>
          </w:tcPr>
          <w:p w14:paraId="61A6C19D"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8.412</w:t>
            </w:r>
          </w:p>
        </w:tc>
        <w:tc>
          <w:tcPr>
            <w:tcW w:w="1870" w:type="dxa"/>
            <w:vAlign w:val="center"/>
          </w:tcPr>
          <w:p w14:paraId="555E8C8F"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870" w:type="dxa"/>
            <w:vAlign w:val="center"/>
          </w:tcPr>
          <w:p w14:paraId="274332B3"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0.004</w:t>
            </w:r>
          </w:p>
        </w:tc>
        <w:tc>
          <w:tcPr>
            <w:tcW w:w="1870" w:type="dxa"/>
            <w:vAlign w:val="center"/>
          </w:tcPr>
          <w:p w14:paraId="57FCD451"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Significant</w:t>
            </w:r>
          </w:p>
        </w:tc>
      </w:tr>
      <w:tr w:rsidR="00A32B11" w:rsidRPr="00B74C25" w14:paraId="1CE7583C" w14:textId="77777777" w:rsidTr="003E52BD">
        <w:tc>
          <w:tcPr>
            <w:tcW w:w="1870" w:type="dxa"/>
            <w:vAlign w:val="center"/>
          </w:tcPr>
          <w:p w14:paraId="164316E6" w14:textId="1F673F79" w:rsidR="00A32B11" w:rsidRPr="00B74C25" w:rsidRDefault="00E5223D"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Community</w:t>
            </w:r>
            <w:r w:rsidR="00502AA9" w:rsidRPr="00B74C25">
              <w:rPr>
                <w:rFonts w:ascii="Times New Roman" w:hAnsi="Times New Roman" w:cs="Times New Roman"/>
                <w:sz w:val="24"/>
                <w:szCs w:val="24"/>
              </w:rPr>
              <w:t xml:space="preserve"> </w:t>
            </w:r>
            <w:r w:rsidR="00A32B11" w:rsidRPr="00B74C25">
              <w:rPr>
                <w:rFonts w:ascii="Times New Roman" w:hAnsi="Times New Roman" w:cs="Times New Roman"/>
                <w:sz w:val="24"/>
                <w:szCs w:val="24"/>
              </w:rPr>
              <w:t>Type × Drug Use</w:t>
            </w:r>
          </w:p>
        </w:tc>
        <w:tc>
          <w:tcPr>
            <w:tcW w:w="1870" w:type="dxa"/>
            <w:vAlign w:val="center"/>
          </w:tcPr>
          <w:p w14:paraId="26D2370B"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6.327</w:t>
            </w:r>
          </w:p>
        </w:tc>
        <w:tc>
          <w:tcPr>
            <w:tcW w:w="1870" w:type="dxa"/>
            <w:vAlign w:val="center"/>
          </w:tcPr>
          <w:p w14:paraId="69967164"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870" w:type="dxa"/>
            <w:vAlign w:val="center"/>
          </w:tcPr>
          <w:p w14:paraId="4B8905B5"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0.012</w:t>
            </w:r>
          </w:p>
        </w:tc>
        <w:tc>
          <w:tcPr>
            <w:tcW w:w="1870" w:type="dxa"/>
            <w:vAlign w:val="center"/>
          </w:tcPr>
          <w:p w14:paraId="62ACDEAC"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Significant</w:t>
            </w:r>
          </w:p>
        </w:tc>
      </w:tr>
    </w:tbl>
    <w:p w14:paraId="7230B0EA" w14:textId="77777777" w:rsidR="00A32B11" w:rsidRPr="00B74C25" w:rsidRDefault="00A32B11" w:rsidP="00EE1748">
      <w:pPr>
        <w:spacing w:line="360" w:lineRule="auto"/>
        <w:jc w:val="both"/>
        <w:rPr>
          <w:rFonts w:ascii="Times New Roman" w:hAnsi="Times New Roman" w:cs="Times New Roman"/>
          <w:sz w:val="24"/>
          <w:szCs w:val="24"/>
        </w:rPr>
      </w:pPr>
    </w:p>
    <w:p w14:paraId="50FFE6E9" w14:textId="2E873427" w:rsidR="00A32B11" w:rsidRPr="00B74C25" w:rsidRDefault="008B5853" w:rsidP="00EE1748">
      <w:pPr>
        <w:spacing w:line="360" w:lineRule="auto"/>
        <w:jc w:val="both"/>
        <w:rPr>
          <w:rFonts w:ascii="Times New Roman" w:hAnsi="Times New Roman" w:cs="Times New Roman"/>
          <w:sz w:val="24"/>
          <w:szCs w:val="24"/>
        </w:rPr>
      </w:pPr>
      <w:r w:rsidRPr="00B74C25">
        <w:rPr>
          <w:rFonts w:ascii="Times New Roman" w:hAnsi="Times New Roman" w:cs="Times New Roman"/>
          <w:noProof/>
          <w:sz w:val="24"/>
          <w:szCs w:val="24"/>
        </w:rPr>
        <w:lastRenderedPageBreak/>
        <w:drawing>
          <wp:inline distT="0" distB="0" distL="0" distR="0" wp14:anchorId="13E876C4" wp14:editId="5707586F">
            <wp:extent cx="5924550" cy="2946400"/>
            <wp:effectExtent l="0" t="0" r="0" b="6350"/>
            <wp:docPr id="1" name="Chart 1">
              <a:extLst xmlns:a="http://schemas.openxmlformats.org/drawingml/2006/main">
                <a:ext uri="{FF2B5EF4-FFF2-40B4-BE49-F238E27FC236}">
                  <a16:creationId xmlns:a16="http://schemas.microsoft.com/office/drawing/2014/main" id="{5CFDB9E0-84D4-4626-9D24-F6C4212630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4A53B0" w14:textId="59A28DA2" w:rsidR="00A32B11" w:rsidRPr="00074C80" w:rsidRDefault="00A32B11" w:rsidP="00EE1748">
      <w:pPr>
        <w:spacing w:line="360" w:lineRule="auto"/>
        <w:jc w:val="both"/>
        <w:rPr>
          <w:rFonts w:ascii="Times New Roman" w:hAnsi="Times New Roman" w:cs="Times New Roman"/>
          <w:b/>
          <w:bCs/>
          <w:sz w:val="24"/>
          <w:szCs w:val="24"/>
        </w:rPr>
      </w:pPr>
      <w:r w:rsidRPr="00074C80">
        <w:rPr>
          <w:rFonts w:ascii="Times New Roman" w:hAnsi="Times New Roman" w:cs="Times New Roman"/>
          <w:b/>
          <w:bCs/>
          <w:sz w:val="24"/>
          <w:szCs w:val="24"/>
        </w:rPr>
        <w:t xml:space="preserve">Fig </w:t>
      </w:r>
      <w:r w:rsidR="00074C80" w:rsidRPr="00074C80">
        <w:rPr>
          <w:rFonts w:ascii="Times New Roman" w:hAnsi="Times New Roman" w:cs="Times New Roman"/>
          <w:b/>
          <w:bCs/>
          <w:sz w:val="24"/>
          <w:szCs w:val="24"/>
        </w:rPr>
        <w:t>4</w:t>
      </w:r>
    </w:p>
    <w:p w14:paraId="32792EA7" w14:textId="0F7F941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Table 4 displays the outcomes of the Chi-square test of independence performed to assess if notable associations are present between chosen socio-demographic factors (gender and school type) and substance use among secondary school students in the Kokona Local Government Area. The findings indicate a Chi-square (χ²) statistic of 8.412 with 1 degree of freedom and a p-value of 0.004 related to gender, alongside a Chi-square (χ²) statistic of 6.327 with 1 degree of freedom and a p-value of 0.012 concerning school type. Given that both p-values fall below the 0.05 significance level, the null hypotheses were dismissed, suggesting that there are statistically significant relationships between gender and </w:t>
      </w:r>
      <w:r w:rsidR="00B72E8C" w:rsidRPr="00B74C25">
        <w:rPr>
          <w:rFonts w:ascii="Times New Roman" w:hAnsi="Times New Roman" w:cs="Times New Roman"/>
          <w:sz w:val="24"/>
          <w:szCs w:val="24"/>
        </w:rPr>
        <w:t xml:space="preserve">adolescents </w:t>
      </w:r>
      <w:r w:rsidRPr="00B74C25">
        <w:rPr>
          <w:rFonts w:ascii="Times New Roman" w:hAnsi="Times New Roman" w:cs="Times New Roman"/>
          <w:sz w:val="24"/>
          <w:szCs w:val="24"/>
        </w:rPr>
        <w:t>concerning drug use among the participants</w:t>
      </w:r>
    </w:p>
    <w:p w14:paraId="6DFF7A7B" w14:textId="2CBE7236"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H₀₂: There is no meaningful difference in socio-demographic </w:t>
      </w:r>
      <w:r w:rsidR="0046353D" w:rsidRPr="00B74C25">
        <w:rPr>
          <w:rFonts w:ascii="Times New Roman" w:hAnsi="Times New Roman" w:cs="Times New Roman"/>
          <w:sz w:val="24"/>
          <w:szCs w:val="24"/>
        </w:rPr>
        <w:t>effects results</w:t>
      </w:r>
      <w:r w:rsidRPr="00B74C25">
        <w:rPr>
          <w:rFonts w:ascii="Times New Roman" w:hAnsi="Times New Roman" w:cs="Times New Roman"/>
          <w:sz w:val="24"/>
          <w:szCs w:val="24"/>
        </w:rPr>
        <w:t xml:space="preserve"> between adolescent who use drugs and those who refrain from it.</w:t>
      </w:r>
    </w:p>
    <w:p w14:paraId="0FC92A7B" w14:textId="77777777"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Connection between Socio-Demographic Elements and Substance Misuse</w:t>
      </w:r>
    </w:p>
    <w:p w14:paraId="336F5FAA" w14:textId="7C6EC8A9"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The Chi-square analysis from the research showed a significant correlation between drug use among students and their gender, family background, and </w:t>
      </w:r>
      <w:r w:rsidR="00B72E8C" w:rsidRPr="00B74C25">
        <w:rPr>
          <w:rFonts w:ascii="Times New Roman" w:hAnsi="Times New Roman" w:cs="Times New Roman"/>
          <w:sz w:val="24"/>
          <w:szCs w:val="24"/>
        </w:rPr>
        <w:t>type of communities</w:t>
      </w:r>
      <w:r w:rsidRPr="00B74C25">
        <w:rPr>
          <w:rFonts w:ascii="Times New Roman" w:hAnsi="Times New Roman" w:cs="Times New Roman"/>
          <w:sz w:val="24"/>
          <w:szCs w:val="24"/>
        </w:rPr>
        <w:t xml:space="preserve">. Men demonstrated a higher inclination than women to engage in substance use, corroborating the findings of Nyameh (2023) and Okumu (2024) in Kenya and Nigeria, respectively. This can be attributed to cultural norms that approve of risky </w:t>
      </w:r>
      <w:r w:rsidR="0046353D" w:rsidRPr="00B74C25">
        <w:rPr>
          <w:rFonts w:ascii="Times New Roman" w:hAnsi="Times New Roman" w:cs="Times New Roman"/>
          <w:sz w:val="24"/>
          <w:szCs w:val="24"/>
        </w:rPr>
        <w:t>behaviours</w:t>
      </w:r>
      <w:r w:rsidRPr="00B74C25">
        <w:rPr>
          <w:rFonts w:ascii="Times New Roman" w:hAnsi="Times New Roman" w:cs="Times New Roman"/>
          <w:sz w:val="24"/>
          <w:szCs w:val="24"/>
        </w:rPr>
        <w:t xml:space="preserve"> in boys while discouraging them in girls.</w:t>
      </w:r>
    </w:p>
    <w:p w14:paraId="52B5D253" w14:textId="4D14D2DF" w:rsidR="00A32B11" w:rsidRPr="00B74C25" w:rsidRDefault="00A32B11" w:rsidP="00EE1748">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lastRenderedPageBreak/>
        <w:t xml:space="preserve">Similarly, students from broken or less cohesive families reported higher levels of drug use. This finding backs the Social Learning Theory (Bandura, 1977), which indicates that </w:t>
      </w:r>
      <w:r w:rsidR="0046353D" w:rsidRPr="00B74C25">
        <w:rPr>
          <w:rFonts w:ascii="Times New Roman" w:hAnsi="Times New Roman" w:cs="Times New Roman"/>
          <w:sz w:val="24"/>
          <w:szCs w:val="24"/>
        </w:rPr>
        <w:t>behaviours</w:t>
      </w:r>
      <w:r w:rsidRPr="00B74C25">
        <w:rPr>
          <w:rFonts w:ascii="Times New Roman" w:hAnsi="Times New Roman" w:cs="Times New Roman"/>
          <w:sz w:val="24"/>
          <w:szCs w:val="24"/>
        </w:rPr>
        <w:t xml:space="preserve"> are learned through observation and imitation, particularly when parental guidance is absent. It aligns with the research by Kovacs et al. (2011), who found that adolescents from troubled families were more prone to substance abuse. The influence of peer groups emerged as a significant factor, consistent with the findings of Jedynak and Motyka (2020) and Gift and Mweya (2024), who emphasized that peer support is vital in shaping adolescents’ views on drug use.</w:t>
      </w:r>
    </w:p>
    <w:p w14:paraId="00FC244B" w14:textId="69A5B749" w:rsidR="00A32B11" w:rsidRPr="00074C80" w:rsidRDefault="00A32B11" w:rsidP="00EE1748">
      <w:pPr>
        <w:pStyle w:val="Heading3"/>
        <w:spacing w:line="360" w:lineRule="auto"/>
        <w:rPr>
          <w:b w:val="0"/>
          <w:bCs w:val="0"/>
          <w:sz w:val="24"/>
          <w:szCs w:val="24"/>
        </w:rPr>
      </w:pPr>
      <w:r w:rsidRPr="00074C80">
        <w:rPr>
          <w:rStyle w:val="Strong"/>
          <w:b/>
          <w:bCs/>
          <w:sz w:val="24"/>
          <w:szCs w:val="24"/>
        </w:rPr>
        <w:t xml:space="preserve">Table </w:t>
      </w:r>
      <w:r w:rsidR="002B4D65">
        <w:rPr>
          <w:rStyle w:val="Strong"/>
          <w:b/>
          <w:bCs/>
          <w:sz w:val="24"/>
          <w:szCs w:val="24"/>
        </w:rPr>
        <w:t>6</w:t>
      </w:r>
      <w:r w:rsidR="002B4D65" w:rsidRPr="00074C80">
        <w:rPr>
          <w:rStyle w:val="Strong"/>
          <w:b/>
          <w:bCs/>
          <w:sz w:val="24"/>
          <w:szCs w:val="24"/>
        </w:rPr>
        <w:t>: Distribution</w:t>
      </w:r>
      <w:r w:rsidRPr="00074C80">
        <w:rPr>
          <w:rStyle w:val="Strong"/>
          <w:b/>
          <w:bCs/>
          <w:sz w:val="24"/>
          <w:szCs w:val="24"/>
        </w:rPr>
        <w:t xml:space="preserve"> of Respondents Across Selected Communities in Kokona LGA</w:t>
      </w:r>
    </w:p>
    <w:p w14:paraId="6408FE93" w14:textId="77777777" w:rsidR="00A32B11" w:rsidRPr="00B74C25" w:rsidRDefault="00A32B11" w:rsidP="00EE1748">
      <w:pPr>
        <w:pStyle w:val="NormalWeb"/>
        <w:spacing w:line="360" w:lineRule="auto"/>
      </w:pPr>
      <w:r w:rsidRPr="00B74C25">
        <w:t>Using proportional allocation, the total sample size (</w:t>
      </w:r>
      <w:r w:rsidRPr="00B74C25">
        <w:rPr>
          <w:rStyle w:val="Strong"/>
          <w:b w:val="0"/>
          <w:bCs w:val="0"/>
        </w:rPr>
        <w:t>n = 400</w:t>
      </w:r>
      <w:r w:rsidRPr="00B74C25">
        <w:t>) was distributed according to the population of each community.</w:t>
      </w:r>
    </w:p>
    <w:tbl>
      <w:tblPr>
        <w:tblStyle w:val="TableGridLight"/>
        <w:tblW w:w="0" w:type="auto"/>
        <w:tblLook w:val="04A0" w:firstRow="1" w:lastRow="0" w:firstColumn="1" w:lastColumn="0" w:noHBand="0" w:noVBand="1"/>
      </w:tblPr>
      <w:tblGrid>
        <w:gridCol w:w="710"/>
        <w:gridCol w:w="2363"/>
        <w:gridCol w:w="1257"/>
        <w:gridCol w:w="1663"/>
        <w:gridCol w:w="1783"/>
      </w:tblGrid>
      <w:tr w:rsidR="00A32B11" w:rsidRPr="00B74C25" w14:paraId="2E22F91B" w14:textId="77777777" w:rsidTr="00A32B11">
        <w:tc>
          <w:tcPr>
            <w:tcW w:w="0" w:type="auto"/>
            <w:hideMark/>
          </w:tcPr>
          <w:p w14:paraId="481B497C"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S/No</w:t>
            </w:r>
          </w:p>
        </w:tc>
        <w:tc>
          <w:tcPr>
            <w:tcW w:w="0" w:type="auto"/>
            <w:hideMark/>
          </w:tcPr>
          <w:p w14:paraId="59DEF78E"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Community</w:t>
            </w:r>
          </w:p>
        </w:tc>
        <w:tc>
          <w:tcPr>
            <w:tcW w:w="0" w:type="auto"/>
            <w:hideMark/>
          </w:tcPr>
          <w:p w14:paraId="59CBF6CC"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Population</w:t>
            </w:r>
          </w:p>
        </w:tc>
        <w:tc>
          <w:tcPr>
            <w:tcW w:w="0" w:type="auto"/>
            <w:hideMark/>
          </w:tcPr>
          <w:p w14:paraId="00C7E5C0"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Proportion (%)</w:t>
            </w:r>
          </w:p>
        </w:tc>
        <w:tc>
          <w:tcPr>
            <w:tcW w:w="0" w:type="auto"/>
            <w:hideMark/>
          </w:tcPr>
          <w:p w14:paraId="0FC5B0F9"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Respondents (n)</w:t>
            </w:r>
          </w:p>
        </w:tc>
      </w:tr>
      <w:tr w:rsidR="00A32B11" w:rsidRPr="00B74C25" w14:paraId="0FA62855" w14:textId="77777777" w:rsidTr="00A32B11">
        <w:tc>
          <w:tcPr>
            <w:tcW w:w="0" w:type="auto"/>
            <w:hideMark/>
          </w:tcPr>
          <w:p w14:paraId="0EBB4C14"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w:t>
            </w:r>
          </w:p>
        </w:tc>
        <w:tc>
          <w:tcPr>
            <w:tcW w:w="0" w:type="auto"/>
            <w:hideMark/>
          </w:tcPr>
          <w:p w14:paraId="42624D2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Garaku</w:t>
            </w:r>
          </w:p>
        </w:tc>
        <w:tc>
          <w:tcPr>
            <w:tcW w:w="0" w:type="auto"/>
            <w:hideMark/>
          </w:tcPr>
          <w:p w14:paraId="5035D37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435</w:t>
            </w:r>
          </w:p>
        </w:tc>
        <w:tc>
          <w:tcPr>
            <w:tcW w:w="0" w:type="auto"/>
            <w:hideMark/>
          </w:tcPr>
          <w:p w14:paraId="3BFEC17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25.6</w:t>
            </w:r>
          </w:p>
        </w:tc>
        <w:tc>
          <w:tcPr>
            <w:tcW w:w="0" w:type="auto"/>
            <w:hideMark/>
          </w:tcPr>
          <w:p w14:paraId="374FE8E3"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102</w:t>
            </w:r>
          </w:p>
        </w:tc>
      </w:tr>
      <w:tr w:rsidR="00A32B11" w:rsidRPr="00B74C25" w14:paraId="3BE26A09" w14:textId="77777777" w:rsidTr="00A32B11">
        <w:tc>
          <w:tcPr>
            <w:tcW w:w="0" w:type="auto"/>
            <w:hideMark/>
          </w:tcPr>
          <w:p w14:paraId="7465EC83"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2</w:t>
            </w:r>
          </w:p>
        </w:tc>
        <w:tc>
          <w:tcPr>
            <w:tcW w:w="0" w:type="auto"/>
            <w:hideMark/>
          </w:tcPr>
          <w:p w14:paraId="052F612B"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Jarmai</w:t>
            </w:r>
          </w:p>
        </w:tc>
        <w:tc>
          <w:tcPr>
            <w:tcW w:w="0" w:type="auto"/>
            <w:hideMark/>
          </w:tcPr>
          <w:p w14:paraId="05AF609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125</w:t>
            </w:r>
          </w:p>
        </w:tc>
        <w:tc>
          <w:tcPr>
            <w:tcW w:w="0" w:type="auto"/>
            <w:hideMark/>
          </w:tcPr>
          <w:p w14:paraId="3419AD57"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7.4</w:t>
            </w:r>
          </w:p>
        </w:tc>
        <w:tc>
          <w:tcPr>
            <w:tcW w:w="0" w:type="auto"/>
            <w:hideMark/>
          </w:tcPr>
          <w:p w14:paraId="581BC1B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30</w:t>
            </w:r>
          </w:p>
        </w:tc>
      </w:tr>
      <w:tr w:rsidR="00A32B11" w:rsidRPr="00B74C25" w14:paraId="2B457986" w14:textId="77777777" w:rsidTr="00A32B11">
        <w:tc>
          <w:tcPr>
            <w:tcW w:w="0" w:type="auto"/>
            <w:hideMark/>
          </w:tcPr>
          <w:p w14:paraId="780AA0B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w:t>
            </w:r>
          </w:p>
        </w:tc>
        <w:tc>
          <w:tcPr>
            <w:tcW w:w="0" w:type="auto"/>
            <w:hideMark/>
          </w:tcPr>
          <w:p w14:paraId="4AC4E805"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Amba</w:t>
            </w:r>
          </w:p>
        </w:tc>
        <w:tc>
          <w:tcPr>
            <w:tcW w:w="0" w:type="auto"/>
            <w:hideMark/>
          </w:tcPr>
          <w:p w14:paraId="7F05E9BF"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122</w:t>
            </w:r>
          </w:p>
        </w:tc>
        <w:tc>
          <w:tcPr>
            <w:tcW w:w="0" w:type="auto"/>
            <w:hideMark/>
          </w:tcPr>
          <w:p w14:paraId="20E52DBD"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7.2</w:t>
            </w:r>
          </w:p>
        </w:tc>
        <w:tc>
          <w:tcPr>
            <w:tcW w:w="0" w:type="auto"/>
            <w:hideMark/>
          </w:tcPr>
          <w:p w14:paraId="13186E2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29</w:t>
            </w:r>
          </w:p>
        </w:tc>
      </w:tr>
      <w:tr w:rsidR="00A32B11" w:rsidRPr="00B74C25" w14:paraId="4110A0A4" w14:textId="77777777" w:rsidTr="00A32B11">
        <w:tc>
          <w:tcPr>
            <w:tcW w:w="0" w:type="auto"/>
            <w:hideMark/>
          </w:tcPr>
          <w:p w14:paraId="2353D07D"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4</w:t>
            </w:r>
          </w:p>
        </w:tc>
        <w:tc>
          <w:tcPr>
            <w:tcW w:w="0" w:type="auto"/>
            <w:hideMark/>
          </w:tcPr>
          <w:p w14:paraId="617217D6"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Sabon Gida</w:t>
            </w:r>
          </w:p>
        </w:tc>
        <w:tc>
          <w:tcPr>
            <w:tcW w:w="0" w:type="auto"/>
            <w:hideMark/>
          </w:tcPr>
          <w:p w14:paraId="71095112"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205</w:t>
            </w:r>
          </w:p>
        </w:tc>
        <w:tc>
          <w:tcPr>
            <w:tcW w:w="0" w:type="auto"/>
            <w:hideMark/>
          </w:tcPr>
          <w:p w14:paraId="0D7801B3"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12.1</w:t>
            </w:r>
          </w:p>
        </w:tc>
        <w:tc>
          <w:tcPr>
            <w:tcW w:w="0" w:type="auto"/>
            <w:hideMark/>
          </w:tcPr>
          <w:p w14:paraId="4FE5E1B4"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48</w:t>
            </w:r>
          </w:p>
        </w:tc>
      </w:tr>
      <w:tr w:rsidR="00A32B11" w:rsidRPr="00B74C25" w14:paraId="390886D6" w14:textId="77777777" w:rsidTr="00A32B11">
        <w:tc>
          <w:tcPr>
            <w:tcW w:w="0" w:type="auto"/>
            <w:hideMark/>
          </w:tcPr>
          <w:p w14:paraId="35EF7CC9"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5</w:t>
            </w:r>
          </w:p>
        </w:tc>
        <w:tc>
          <w:tcPr>
            <w:tcW w:w="0" w:type="auto"/>
            <w:hideMark/>
          </w:tcPr>
          <w:p w14:paraId="3F92F04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Agwada</w:t>
            </w:r>
          </w:p>
        </w:tc>
        <w:tc>
          <w:tcPr>
            <w:tcW w:w="0" w:type="auto"/>
            <w:hideMark/>
          </w:tcPr>
          <w:p w14:paraId="0317C12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55</w:t>
            </w:r>
          </w:p>
        </w:tc>
        <w:tc>
          <w:tcPr>
            <w:tcW w:w="0" w:type="auto"/>
            <w:hideMark/>
          </w:tcPr>
          <w:p w14:paraId="415A09AD"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3.2</w:t>
            </w:r>
          </w:p>
        </w:tc>
        <w:tc>
          <w:tcPr>
            <w:tcW w:w="0" w:type="auto"/>
            <w:hideMark/>
          </w:tcPr>
          <w:p w14:paraId="36320C24"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13</w:t>
            </w:r>
          </w:p>
        </w:tc>
      </w:tr>
      <w:tr w:rsidR="00A32B11" w:rsidRPr="00B74C25" w14:paraId="21E9CFAC" w14:textId="77777777" w:rsidTr="00A32B11">
        <w:tc>
          <w:tcPr>
            <w:tcW w:w="0" w:type="auto"/>
            <w:hideMark/>
          </w:tcPr>
          <w:p w14:paraId="17299DB5"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6</w:t>
            </w:r>
          </w:p>
        </w:tc>
        <w:tc>
          <w:tcPr>
            <w:tcW w:w="0" w:type="auto"/>
            <w:hideMark/>
          </w:tcPr>
          <w:p w14:paraId="3293D3B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Angwan Loko Garaku</w:t>
            </w:r>
          </w:p>
        </w:tc>
        <w:tc>
          <w:tcPr>
            <w:tcW w:w="0" w:type="auto"/>
            <w:hideMark/>
          </w:tcPr>
          <w:p w14:paraId="6C2CE3D9"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389</w:t>
            </w:r>
          </w:p>
        </w:tc>
        <w:tc>
          <w:tcPr>
            <w:tcW w:w="0" w:type="auto"/>
            <w:hideMark/>
          </w:tcPr>
          <w:p w14:paraId="112DDEA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22.9</w:t>
            </w:r>
          </w:p>
        </w:tc>
        <w:tc>
          <w:tcPr>
            <w:tcW w:w="0" w:type="auto"/>
            <w:hideMark/>
          </w:tcPr>
          <w:p w14:paraId="27C3E9B7"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92</w:t>
            </w:r>
          </w:p>
        </w:tc>
      </w:tr>
      <w:tr w:rsidR="00A32B11" w:rsidRPr="00B74C25" w14:paraId="3B8EAA42" w14:textId="77777777" w:rsidTr="00A32B11">
        <w:tc>
          <w:tcPr>
            <w:tcW w:w="0" w:type="auto"/>
            <w:hideMark/>
          </w:tcPr>
          <w:p w14:paraId="21D0CA2F"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7</w:t>
            </w:r>
          </w:p>
        </w:tc>
        <w:tc>
          <w:tcPr>
            <w:tcW w:w="0" w:type="auto"/>
            <w:hideMark/>
          </w:tcPr>
          <w:p w14:paraId="61E9389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Angwan Jarmai</w:t>
            </w:r>
          </w:p>
        </w:tc>
        <w:tc>
          <w:tcPr>
            <w:tcW w:w="0" w:type="auto"/>
            <w:hideMark/>
          </w:tcPr>
          <w:p w14:paraId="4B2D496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186</w:t>
            </w:r>
          </w:p>
        </w:tc>
        <w:tc>
          <w:tcPr>
            <w:tcW w:w="0" w:type="auto"/>
            <w:hideMark/>
          </w:tcPr>
          <w:p w14:paraId="2364FB7C"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11.0</w:t>
            </w:r>
          </w:p>
        </w:tc>
        <w:tc>
          <w:tcPr>
            <w:tcW w:w="0" w:type="auto"/>
            <w:hideMark/>
          </w:tcPr>
          <w:p w14:paraId="7410977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44</w:t>
            </w:r>
          </w:p>
        </w:tc>
      </w:tr>
      <w:tr w:rsidR="00A32B11" w:rsidRPr="00B74C25" w14:paraId="1BDAB70C" w14:textId="77777777" w:rsidTr="00A32B11">
        <w:tc>
          <w:tcPr>
            <w:tcW w:w="0" w:type="auto"/>
            <w:hideMark/>
          </w:tcPr>
          <w:p w14:paraId="6B26888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8</w:t>
            </w:r>
          </w:p>
        </w:tc>
        <w:tc>
          <w:tcPr>
            <w:tcW w:w="0" w:type="auto"/>
            <w:hideMark/>
          </w:tcPr>
          <w:p w14:paraId="404FB799"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Sabon Gida (II)</w:t>
            </w:r>
          </w:p>
        </w:tc>
        <w:tc>
          <w:tcPr>
            <w:tcW w:w="0" w:type="auto"/>
            <w:hideMark/>
          </w:tcPr>
          <w:p w14:paraId="4D43307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73</w:t>
            </w:r>
          </w:p>
        </w:tc>
        <w:tc>
          <w:tcPr>
            <w:tcW w:w="0" w:type="auto"/>
            <w:hideMark/>
          </w:tcPr>
          <w:p w14:paraId="25A619F2"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4.3</w:t>
            </w:r>
          </w:p>
        </w:tc>
        <w:tc>
          <w:tcPr>
            <w:tcW w:w="0" w:type="auto"/>
            <w:hideMark/>
          </w:tcPr>
          <w:p w14:paraId="703E29E9"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17</w:t>
            </w:r>
          </w:p>
        </w:tc>
      </w:tr>
      <w:tr w:rsidR="00A32B11" w:rsidRPr="00B74C25" w14:paraId="5F409B33" w14:textId="77777777" w:rsidTr="00A32B11">
        <w:tc>
          <w:tcPr>
            <w:tcW w:w="0" w:type="auto"/>
            <w:hideMark/>
          </w:tcPr>
          <w:p w14:paraId="30AD145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9</w:t>
            </w:r>
          </w:p>
        </w:tc>
        <w:tc>
          <w:tcPr>
            <w:tcW w:w="0" w:type="auto"/>
            <w:hideMark/>
          </w:tcPr>
          <w:p w14:paraId="7AF1097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St Peter’s Garaku</w:t>
            </w:r>
          </w:p>
        </w:tc>
        <w:tc>
          <w:tcPr>
            <w:tcW w:w="0" w:type="auto"/>
            <w:hideMark/>
          </w:tcPr>
          <w:p w14:paraId="0C041FBA"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105</w:t>
            </w:r>
          </w:p>
        </w:tc>
        <w:tc>
          <w:tcPr>
            <w:tcW w:w="0" w:type="auto"/>
            <w:hideMark/>
          </w:tcPr>
          <w:p w14:paraId="1541D6CC"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6.2</w:t>
            </w:r>
          </w:p>
        </w:tc>
        <w:tc>
          <w:tcPr>
            <w:tcW w:w="0" w:type="auto"/>
            <w:hideMark/>
          </w:tcPr>
          <w:p w14:paraId="19DA1ABE"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25</w:t>
            </w:r>
          </w:p>
        </w:tc>
      </w:tr>
      <w:tr w:rsidR="00A32B11" w:rsidRPr="00B74C25" w14:paraId="2AD97BF3" w14:textId="77777777" w:rsidTr="00A32B11">
        <w:tc>
          <w:tcPr>
            <w:tcW w:w="0" w:type="auto"/>
            <w:hideMark/>
          </w:tcPr>
          <w:p w14:paraId="4C8EEBDD" w14:textId="77777777" w:rsidR="00A32B11" w:rsidRPr="00B74C25" w:rsidRDefault="00A32B11" w:rsidP="00EE1748">
            <w:pPr>
              <w:spacing w:line="360" w:lineRule="auto"/>
              <w:rPr>
                <w:rFonts w:ascii="Times New Roman" w:hAnsi="Times New Roman" w:cs="Times New Roman"/>
                <w:sz w:val="24"/>
                <w:szCs w:val="24"/>
              </w:rPr>
            </w:pPr>
          </w:p>
        </w:tc>
        <w:tc>
          <w:tcPr>
            <w:tcW w:w="0" w:type="auto"/>
            <w:hideMark/>
          </w:tcPr>
          <w:p w14:paraId="21FB4C30" w14:textId="77777777" w:rsidR="00A32B11" w:rsidRPr="00B74C25" w:rsidRDefault="00A32B11" w:rsidP="00EE1748">
            <w:pPr>
              <w:spacing w:line="360" w:lineRule="auto"/>
              <w:rPr>
                <w:rFonts w:ascii="Times New Roman" w:hAnsi="Times New Roman" w:cs="Times New Roman"/>
                <w:sz w:val="24"/>
                <w:szCs w:val="24"/>
              </w:rPr>
            </w:pPr>
            <w:r w:rsidRPr="00B74C25">
              <w:rPr>
                <w:rStyle w:val="Strong"/>
                <w:rFonts w:ascii="Times New Roman" w:hAnsi="Times New Roman" w:cs="Times New Roman"/>
                <w:b w:val="0"/>
                <w:bCs w:val="0"/>
                <w:sz w:val="24"/>
                <w:szCs w:val="24"/>
              </w:rPr>
              <w:t>Total</w:t>
            </w:r>
          </w:p>
        </w:tc>
        <w:tc>
          <w:tcPr>
            <w:tcW w:w="0" w:type="auto"/>
            <w:hideMark/>
          </w:tcPr>
          <w:p w14:paraId="40A68B2E" w14:textId="77777777" w:rsidR="00A32B11" w:rsidRPr="00B74C25" w:rsidRDefault="00A32B11" w:rsidP="00EE1748">
            <w:pPr>
              <w:spacing w:line="360" w:lineRule="auto"/>
              <w:rPr>
                <w:rFonts w:ascii="Times New Roman" w:hAnsi="Times New Roman" w:cs="Times New Roman"/>
                <w:sz w:val="24"/>
                <w:szCs w:val="24"/>
              </w:rPr>
            </w:pPr>
            <w:r w:rsidRPr="00B74C25">
              <w:rPr>
                <w:rStyle w:val="Strong"/>
                <w:rFonts w:ascii="Times New Roman" w:hAnsi="Times New Roman" w:cs="Times New Roman"/>
                <w:b w:val="0"/>
                <w:bCs w:val="0"/>
                <w:sz w:val="24"/>
                <w:szCs w:val="24"/>
              </w:rPr>
              <w:t>1,695</w:t>
            </w:r>
          </w:p>
        </w:tc>
        <w:tc>
          <w:tcPr>
            <w:tcW w:w="0" w:type="auto"/>
            <w:hideMark/>
          </w:tcPr>
          <w:p w14:paraId="503630F6" w14:textId="77777777" w:rsidR="00A32B11" w:rsidRPr="00B74C25" w:rsidRDefault="00A32B11" w:rsidP="00EE1748">
            <w:pPr>
              <w:spacing w:line="360" w:lineRule="auto"/>
              <w:rPr>
                <w:rFonts w:ascii="Times New Roman" w:hAnsi="Times New Roman" w:cs="Times New Roman"/>
                <w:sz w:val="24"/>
                <w:szCs w:val="24"/>
              </w:rPr>
            </w:pPr>
            <w:r w:rsidRPr="00B74C25">
              <w:rPr>
                <w:rStyle w:val="Strong"/>
                <w:rFonts w:ascii="Times New Roman" w:hAnsi="Times New Roman" w:cs="Times New Roman"/>
                <w:b w:val="0"/>
                <w:bCs w:val="0"/>
                <w:sz w:val="24"/>
                <w:szCs w:val="24"/>
              </w:rPr>
              <w:t>100%</w:t>
            </w:r>
          </w:p>
        </w:tc>
        <w:tc>
          <w:tcPr>
            <w:tcW w:w="0" w:type="auto"/>
            <w:hideMark/>
          </w:tcPr>
          <w:p w14:paraId="4A01319F" w14:textId="77777777" w:rsidR="00A32B11" w:rsidRPr="00B74C25" w:rsidRDefault="00A32B11" w:rsidP="00EE1748">
            <w:pPr>
              <w:spacing w:line="360" w:lineRule="auto"/>
              <w:rPr>
                <w:rFonts w:ascii="Times New Roman" w:hAnsi="Times New Roman" w:cs="Times New Roman"/>
                <w:sz w:val="24"/>
                <w:szCs w:val="24"/>
              </w:rPr>
            </w:pPr>
            <w:r w:rsidRPr="00B74C25">
              <w:rPr>
                <w:rStyle w:val="Strong"/>
                <w:rFonts w:ascii="Times New Roman" w:hAnsi="Times New Roman" w:cs="Times New Roman"/>
                <w:b w:val="0"/>
                <w:bCs w:val="0"/>
                <w:sz w:val="24"/>
                <w:szCs w:val="24"/>
              </w:rPr>
              <w:t>400</w:t>
            </w:r>
          </w:p>
        </w:tc>
      </w:tr>
    </w:tbl>
    <w:p w14:paraId="7474F549" w14:textId="5A6A7844" w:rsidR="00A32B11" w:rsidRPr="00B74C25" w:rsidRDefault="00A32B11" w:rsidP="00EE1748">
      <w:pPr>
        <w:spacing w:line="360" w:lineRule="auto"/>
        <w:rPr>
          <w:rFonts w:ascii="Times New Roman" w:hAnsi="Times New Roman" w:cs="Times New Roman"/>
          <w:sz w:val="24"/>
          <w:szCs w:val="24"/>
        </w:rPr>
      </w:pPr>
    </w:p>
    <w:p w14:paraId="4194BD24" w14:textId="59D50961" w:rsidR="00B72E8C" w:rsidRPr="00B74C25" w:rsidRDefault="00502AA9" w:rsidP="00EE1748">
      <w:pPr>
        <w:spacing w:line="360" w:lineRule="auto"/>
        <w:rPr>
          <w:rFonts w:ascii="Times New Roman" w:hAnsi="Times New Roman" w:cs="Times New Roman"/>
          <w:sz w:val="24"/>
          <w:szCs w:val="24"/>
        </w:rPr>
      </w:pPr>
      <w:r w:rsidRPr="00B74C25">
        <w:rPr>
          <w:rFonts w:ascii="Times New Roman" w:hAnsi="Times New Roman" w:cs="Times New Roman"/>
          <w:noProof/>
          <w:sz w:val="24"/>
          <w:szCs w:val="24"/>
        </w:rPr>
        <w:lastRenderedPageBreak/>
        <w:drawing>
          <wp:inline distT="0" distB="0" distL="0" distR="0" wp14:anchorId="5CD5B796" wp14:editId="4785E17D">
            <wp:extent cx="6127750" cy="3257550"/>
            <wp:effectExtent l="0" t="0" r="6350" b="0"/>
            <wp:docPr id="8" name="Chart 8">
              <a:extLst xmlns:a="http://schemas.openxmlformats.org/drawingml/2006/main">
                <a:ext uri="{FF2B5EF4-FFF2-40B4-BE49-F238E27FC236}">
                  <a16:creationId xmlns:a16="http://schemas.microsoft.com/office/drawing/2014/main" id="{E0A3322A-FB46-4AA9-A443-D82EC1333C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4AE07A" w14:textId="3FDA1DBC" w:rsidR="00B72E8C" w:rsidRPr="00074C80" w:rsidRDefault="00074C80" w:rsidP="00EE1748">
      <w:pPr>
        <w:spacing w:line="360" w:lineRule="auto"/>
        <w:rPr>
          <w:rFonts w:ascii="Times New Roman" w:hAnsi="Times New Roman" w:cs="Times New Roman"/>
          <w:b/>
          <w:bCs/>
          <w:sz w:val="24"/>
          <w:szCs w:val="24"/>
        </w:rPr>
      </w:pPr>
      <w:r w:rsidRPr="00074C80">
        <w:rPr>
          <w:rFonts w:ascii="Times New Roman" w:hAnsi="Times New Roman" w:cs="Times New Roman"/>
          <w:b/>
          <w:bCs/>
          <w:sz w:val="24"/>
          <w:szCs w:val="24"/>
        </w:rPr>
        <w:t>Fig 5</w:t>
      </w:r>
    </w:p>
    <w:p w14:paraId="45F2F3D2" w14:textId="28CB4C4B" w:rsidR="00A32B11" w:rsidRPr="00074C80" w:rsidRDefault="00A32B11" w:rsidP="00EE1748">
      <w:pPr>
        <w:pStyle w:val="Heading3"/>
        <w:spacing w:line="360" w:lineRule="auto"/>
        <w:rPr>
          <w:b w:val="0"/>
          <w:bCs w:val="0"/>
          <w:sz w:val="24"/>
          <w:szCs w:val="24"/>
        </w:rPr>
      </w:pPr>
      <w:r w:rsidRPr="00074C80">
        <w:rPr>
          <w:rStyle w:val="Strong"/>
          <w:b/>
          <w:bCs/>
          <w:sz w:val="24"/>
          <w:szCs w:val="24"/>
        </w:rPr>
        <w:t xml:space="preserve">Table </w:t>
      </w:r>
      <w:r w:rsidR="002B4D65">
        <w:rPr>
          <w:rStyle w:val="Strong"/>
          <w:b/>
          <w:bCs/>
          <w:sz w:val="24"/>
          <w:szCs w:val="24"/>
        </w:rPr>
        <w:t>7:</w:t>
      </w:r>
      <w:r w:rsidR="00074C80" w:rsidRPr="00074C80">
        <w:rPr>
          <w:rStyle w:val="Strong"/>
          <w:b/>
          <w:bCs/>
          <w:sz w:val="24"/>
          <w:szCs w:val="24"/>
        </w:rPr>
        <w:t xml:space="preserve"> </w:t>
      </w:r>
      <w:r w:rsidRPr="00074C80">
        <w:rPr>
          <w:rStyle w:val="Strong"/>
          <w:b/>
          <w:bCs/>
          <w:sz w:val="24"/>
          <w:szCs w:val="24"/>
        </w:rPr>
        <w:t>Mean Scores of Respondents on Socio-Demographic Effects of Substance Abuse</w:t>
      </w:r>
    </w:p>
    <w:tbl>
      <w:tblPr>
        <w:tblStyle w:val="TableGridLight"/>
        <w:tblW w:w="0" w:type="auto"/>
        <w:tblLook w:val="04A0" w:firstRow="1" w:lastRow="0" w:firstColumn="1" w:lastColumn="0" w:noHBand="0" w:noVBand="1"/>
      </w:tblPr>
      <w:tblGrid>
        <w:gridCol w:w="4269"/>
        <w:gridCol w:w="1103"/>
        <w:gridCol w:w="636"/>
        <w:gridCol w:w="1523"/>
      </w:tblGrid>
      <w:tr w:rsidR="00A32B11" w:rsidRPr="00B74C25" w14:paraId="3F57C206" w14:textId="77777777" w:rsidTr="00A32B11">
        <w:tc>
          <w:tcPr>
            <w:tcW w:w="0" w:type="auto"/>
            <w:hideMark/>
          </w:tcPr>
          <w:p w14:paraId="14809456"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Variable</w:t>
            </w:r>
          </w:p>
        </w:tc>
        <w:tc>
          <w:tcPr>
            <w:tcW w:w="0" w:type="auto"/>
            <w:hideMark/>
          </w:tcPr>
          <w:p w14:paraId="23C760F0"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Mean (x̄)</w:t>
            </w:r>
          </w:p>
        </w:tc>
        <w:tc>
          <w:tcPr>
            <w:tcW w:w="0" w:type="auto"/>
            <w:hideMark/>
          </w:tcPr>
          <w:p w14:paraId="32DEABC8"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SD</w:t>
            </w:r>
          </w:p>
        </w:tc>
        <w:tc>
          <w:tcPr>
            <w:tcW w:w="0" w:type="auto"/>
            <w:hideMark/>
          </w:tcPr>
          <w:p w14:paraId="2370F445" w14:textId="77777777" w:rsidR="00A32B11" w:rsidRPr="00B74C25" w:rsidRDefault="00A32B11" w:rsidP="00EE1748">
            <w:pPr>
              <w:spacing w:line="360" w:lineRule="auto"/>
              <w:jc w:val="center"/>
              <w:rPr>
                <w:rFonts w:ascii="Times New Roman" w:hAnsi="Times New Roman" w:cs="Times New Roman"/>
                <w:sz w:val="24"/>
                <w:szCs w:val="24"/>
              </w:rPr>
            </w:pPr>
            <w:r w:rsidRPr="00B74C25">
              <w:rPr>
                <w:rFonts w:ascii="Times New Roman" w:hAnsi="Times New Roman" w:cs="Times New Roman"/>
                <w:sz w:val="24"/>
                <w:szCs w:val="24"/>
              </w:rPr>
              <w:t>Interpretation</w:t>
            </w:r>
          </w:p>
        </w:tc>
      </w:tr>
      <w:tr w:rsidR="00A32B11" w:rsidRPr="00B74C25" w14:paraId="5B0C935D" w14:textId="77777777" w:rsidTr="00A32B11">
        <w:tc>
          <w:tcPr>
            <w:tcW w:w="0" w:type="auto"/>
            <w:hideMark/>
          </w:tcPr>
          <w:p w14:paraId="24BB3A8C"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Frequent absenteeism</w:t>
            </w:r>
          </w:p>
        </w:tc>
        <w:tc>
          <w:tcPr>
            <w:tcW w:w="0" w:type="auto"/>
            <w:hideMark/>
          </w:tcPr>
          <w:p w14:paraId="3DC1C295"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3.77</w:t>
            </w:r>
          </w:p>
        </w:tc>
        <w:tc>
          <w:tcPr>
            <w:tcW w:w="0" w:type="auto"/>
            <w:hideMark/>
          </w:tcPr>
          <w:p w14:paraId="4D52B109"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0.92</w:t>
            </w:r>
          </w:p>
        </w:tc>
        <w:tc>
          <w:tcPr>
            <w:tcW w:w="0" w:type="auto"/>
            <w:hideMark/>
          </w:tcPr>
          <w:p w14:paraId="785E771D"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High</w:t>
            </w:r>
          </w:p>
        </w:tc>
      </w:tr>
      <w:tr w:rsidR="00A32B11" w:rsidRPr="00B74C25" w14:paraId="6F37E72E" w14:textId="77777777" w:rsidTr="00A32B11">
        <w:tc>
          <w:tcPr>
            <w:tcW w:w="0" w:type="auto"/>
            <w:hideMark/>
          </w:tcPr>
          <w:p w14:paraId="0C7E2C22"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Poor academic performance</w:t>
            </w:r>
          </w:p>
        </w:tc>
        <w:tc>
          <w:tcPr>
            <w:tcW w:w="0" w:type="auto"/>
            <w:hideMark/>
          </w:tcPr>
          <w:p w14:paraId="5F6FC38E"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3.89</w:t>
            </w:r>
          </w:p>
        </w:tc>
        <w:tc>
          <w:tcPr>
            <w:tcW w:w="0" w:type="auto"/>
            <w:hideMark/>
          </w:tcPr>
          <w:p w14:paraId="5DAE090F"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0.88</w:t>
            </w:r>
          </w:p>
        </w:tc>
        <w:tc>
          <w:tcPr>
            <w:tcW w:w="0" w:type="auto"/>
            <w:hideMark/>
          </w:tcPr>
          <w:p w14:paraId="789E628E"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High</w:t>
            </w:r>
          </w:p>
        </w:tc>
      </w:tr>
      <w:tr w:rsidR="00A32B11" w:rsidRPr="00B74C25" w14:paraId="05E44DDA" w14:textId="77777777" w:rsidTr="00A32B11">
        <w:tc>
          <w:tcPr>
            <w:tcW w:w="0" w:type="auto"/>
            <w:hideMark/>
          </w:tcPr>
          <w:p w14:paraId="4EACCAD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Truancy / lateness</w:t>
            </w:r>
          </w:p>
        </w:tc>
        <w:tc>
          <w:tcPr>
            <w:tcW w:w="0" w:type="auto"/>
            <w:hideMark/>
          </w:tcPr>
          <w:p w14:paraId="55ED9E8C"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3.70</w:t>
            </w:r>
          </w:p>
        </w:tc>
        <w:tc>
          <w:tcPr>
            <w:tcW w:w="0" w:type="auto"/>
            <w:hideMark/>
          </w:tcPr>
          <w:p w14:paraId="17E84CE9"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0.97</w:t>
            </w:r>
          </w:p>
        </w:tc>
        <w:tc>
          <w:tcPr>
            <w:tcW w:w="0" w:type="auto"/>
            <w:hideMark/>
          </w:tcPr>
          <w:p w14:paraId="45DB3746"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High</w:t>
            </w:r>
          </w:p>
        </w:tc>
      </w:tr>
      <w:tr w:rsidR="00A32B11" w:rsidRPr="00B74C25" w14:paraId="3E7B5F67" w14:textId="77777777" w:rsidTr="00A32B11">
        <w:tc>
          <w:tcPr>
            <w:tcW w:w="0" w:type="auto"/>
            <w:hideMark/>
          </w:tcPr>
          <w:p w14:paraId="228B5A5F"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Disciplinary actions (warning/suspension)</w:t>
            </w:r>
          </w:p>
        </w:tc>
        <w:tc>
          <w:tcPr>
            <w:tcW w:w="0" w:type="auto"/>
            <w:hideMark/>
          </w:tcPr>
          <w:p w14:paraId="5716AE8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3.42</w:t>
            </w:r>
          </w:p>
        </w:tc>
        <w:tc>
          <w:tcPr>
            <w:tcW w:w="0" w:type="auto"/>
            <w:hideMark/>
          </w:tcPr>
          <w:p w14:paraId="1C3142FD"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1.12</w:t>
            </w:r>
          </w:p>
        </w:tc>
        <w:tc>
          <w:tcPr>
            <w:tcW w:w="0" w:type="auto"/>
            <w:hideMark/>
          </w:tcPr>
          <w:p w14:paraId="28E39943"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Moderate</w:t>
            </w:r>
          </w:p>
        </w:tc>
      </w:tr>
      <w:tr w:rsidR="00A32B11" w:rsidRPr="00B74C25" w14:paraId="248304C7" w14:textId="77777777" w:rsidTr="00A32B11">
        <w:tc>
          <w:tcPr>
            <w:tcW w:w="0" w:type="auto"/>
            <w:hideMark/>
          </w:tcPr>
          <w:p w14:paraId="1E07D7E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Reduced classroom concentration</w:t>
            </w:r>
          </w:p>
        </w:tc>
        <w:tc>
          <w:tcPr>
            <w:tcW w:w="0" w:type="auto"/>
            <w:hideMark/>
          </w:tcPr>
          <w:p w14:paraId="2DF15D9B"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3.93</w:t>
            </w:r>
          </w:p>
        </w:tc>
        <w:tc>
          <w:tcPr>
            <w:tcW w:w="0" w:type="auto"/>
            <w:hideMark/>
          </w:tcPr>
          <w:p w14:paraId="1FA0C3C0"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0.84</w:t>
            </w:r>
          </w:p>
        </w:tc>
        <w:tc>
          <w:tcPr>
            <w:tcW w:w="0" w:type="auto"/>
            <w:hideMark/>
          </w:tcPr>
          <w:p w14:paraId="75825851" w14:textId="77777777" w:rsidR="00A32B11" w:rsidRPr="00B74C25" w:rsidRDefault="00A32B11" w:rsidP="00EE1748">
            <w:pPr>
              <w:spacing w:line="360" w:lineRule="auto"/>
              <w:rPr>
                <w:rFonts w:ascii="Times New Roman" w:hAnsi="Times New Roman" w:cs="Times New Roman"/>
                <w:sz w:val="24"/>
                <w:szCs w:val="24"/>
              </w:rPr>
            </w:pPr>
            <w:r w:rsidRPr="00B74C25">
              <w:rPr>
                <w:rFonts w:ascii="Times New Roman" w:hAnsi="Times New Roman" w:cs="Times New Roman"/>
                <w:sz w:val="24"/>
                <w:szCs w:val="24"/>
              </w:rPr>
              <w:t>High</w:t>
            </w:r>
          </w:p>
        </w:tc>
      </w:tr>
    </w:tbl>
    <w:p w14:paraId="515B08C1" w14:textId="54399B81" w:rsidR="00A32B11" w:rsidRPr="00B74C25" w:rsidRDefault="00A32B11" w:rsidP="00EE1748">
      <w:pPr>
        <w:spacing w:line="360" w:lineRule="auto"/>
        <w:rPr>
          <w:rFonts w:ascii="Times New Roman" w:hAnsi="Times New Roman" w:cs="Times New Roman"/>
          <w:sz w:val="24"/>
          <w:szCs w:val="24"/>
        </w:rPr>
      </w:pPr>
    </w:p>
    <w:p w14:paraId="410F7C81" w14:textId="0A283623" w:rsidR="0004201B" w:rsidRPr="00B74C25" w:rsidRDefault="0004201B" w:rsidP="00EE1748">
      <w:pPr>
        <w:spacing w:line="360" w:lineRule="auto"/>
        <w:rPr>
          <w:rFonts w:ascii="Times New Roman" w:hAnsi="Times New Roman" w:cs="Times New Roman"/>
          <w:sz w:val="24"/>
          <w:szCs w:val="24"/>
        </w:rPr>
      </w:pPr>
      <w:r w:rsidRPr="00B74C25">
        <w:rPr>
          <w:rFonts w:ascii="Times New Roman" w:hAnsi="Times New Roman" w:cs="Times New Roman"/>
          <w:noProof/>
          <w:sz w:val="24"/>
          <w:szCs w:val="24"/>
        </w:rPr>
        <w:drawing>
          <wp:inline distT="0" distB="0" distL="0" distR="0" wp14:anchorId="43B184F4" wp14:editId="24A8E4F4">
            <wp:extent cx="6165850" cy="1739900"/>
            <wp:effectExtent l="0" t="0" r="6350" b="12700"/>
            <wp:docPr id="2" name="Chart 2">
              <a:extLst xmlns:a="http://schemas.openxmlformats.org/drawingml/2006/main">
                <a:ext uri="{FF2B5EF4-FFF2-40B4-BE49-F238E27FC236}">
                  <a16:creationId xmlns:a16="http://schemas.microsoft.com/office/drawing/2014/main" id="{0FB317DD-AA80-48B1-AD2B-881E8BD7FB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0E0620" w14:textId="627F7262" w:rsidR="00074C80" w:rsidRPr="00074C80" w:rsidRDefault="00074C80" w:rsidP="00EE1748">
      <w:pPr>
        <w:pStyle w:val="NormalWeb"/>
        <w:spacing w:line="360" w:lineRule="auto"/>
        <w:rPr>
          <w:b/>
          <w:bCs/>
        </w:rPr>
      </w:pPr>
      <w:r w:rsidRPr="00074C80">
        <w:rPr>
          <w:b/>
          <w:bCs/>
        </w:rPr>
        <w:t>Fig 6</w:t>
      </w:r>
    </w:p>
    <w:p w14:paraId="2D13AD01" w14:textId="58D41A9E" w:rsidR="00A32B11" w:rsidRPr="00B74C25" w:rsidRDefault="00A32B11" w:rsidP="00EE1748">
      <w:pPr>
        <w:pStyle w:val="NormalWeb"/>
        <w:spacing w:line="360" w:lineRule="auto"/>
      </w:pPr>
      <w:r w:rsidRPr="00B74C25">
        <w:lastRenderedPageBreak/>
        <w:t>The proportional distribution of respondents across the selected communities ensured adequate representation of adolescents within Kokona LGA. Communities such as Garaku and Angwan Loko Garaku contributed the highest number of respondents due to their relatively larger population sizes</w:t>
      </w:r>
      <w:r w:rsidR="00502AA9" w:rsidRPr="00B74C25">
        <w:t xml:space="preserve"> while a</w:t>
      </w:r>
      <w:r w:rsidRPr="00B74C25">
        <w:t xml:space="preserve">nalysis of mean scores revealed that substance abuse has significant socio-demographic effects on adolescents across the studied communities. Key indicators such as </w:t>
      </w:r>
      <w:r w:rsidRPr="00B74C25">
        <w:rPr>
          <w:rStyle w:val="Strong"/>
          <w:b w:val="0"/>
          <w:bCs w:val="0"/>
        </w:rPr>
        <w:t>reduced classroom concentration (x̄ = 3.93)</w:t>
      </w:r>
      <w:r w:rsidRPr="00B74C25">
        <w:t xml:space="preserve">, </w:t>
      </w:r>
      <w:r w:rsidRPr="00B74C25">
        <w:rPr>
          <w:rStyle w:val="Strong"/>
          <w:b w:val="0"/>
          <w:bCs w:val="0"/>
        </w:rPr>
        <w:t>poor academic performance (x̄ = 3.89)</w:t>
      </w:r>
      <w:r w:rsidRPr="00B74C25">
        <w:t xml:space="preserve">, and </w:t>
      </w:r>
      <w:r w:rsidRPr="00B74C25">
        <w:rPr>
          <w:rStyle w:val="Strong"/>
          <w:b w:val="0"/>
          <w:bCs w:val="0"/>
        </w:rPr>
        <w:t>frequent absenteeism (x̄ = 3.77)</w:t>
      </w:r>
      <w:r w:rsidRPr="00B74C25">
        <w:t xml:space="preserve"> were rated high, indicating a strong negative impact on educational outcomes.</w:t>
      </w:r>
    </w:p>
    <w:p w14:paraId="66E0BD54" w14:textId="57D7F056" w:rsidR="00A32B11" w:rsidRPr="00B74C25" w:rsidRDefault="00A32B11" w:rsidP="00EE1748">
      <w:pPr>
        <w:pStyle w:val="NormalWeb"/>
        <w:spacing w:line="360" w:lineRule="auto"/>
      </w:pPr>
      <w:r w:rsidRPr="00B74C25">
        <w:t xml:space="preserve">Similarly, </w:t>
      </w:r>
      <w:r w:rsidRPr="00B74C25">
        <w:rPr>
          <w:rStyle w:val="Strong"/>
          <w:b w:val="0"/>
          <w:bCs w:val="0"/>
        </w:rPr>
        <w:t>truancy and lateness (x̄ = 3.70)</w:t>
      </w:r>
      <w:r w:rsidRPr="00B74C25">
        <w:t xml:space="preserve"> were also rated high, suggesting behavioral disruptions associated with substance use. However, </w:t>
      </w:r>
      <w:r w:rsidRPr="00B74C25">
        <w:rPr>
          <w:rStyle w:val="Strong"/>
          <w:b w:val="0"/>
          <w:bCs w:val="0"/>
        </w:rPr>
        <w:t>disciplinary actions (x̄ = 3.42)</w:t>
      </w:r>
      <w:r w:rsidRPr="00B74C25">
        <w:t xml:space="preserve"> were rated moderate, implying variability in institutional responses or enforcement across schools and communities.</w:t>
      </w:r>
    </w:p>
    <w:p w14:paraId="74A2215C" w14:textId="6F4AC756" w:rsidR="00645E55" w:rsidRPr="00B74C25" w:rsidRDefault="00645E55" w:rsidP="00EE1748">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 xml:space="preserve">Behavioral outcomes such as truancy and lateness (x̄ = 3.70) further reinforce the disruptive influence of substance use on school participation, while disciplinary actions (x̄ = 3.42), though moderate, indicate institutional responses to these </w:t>
      </w:r>
      <w:r w:rsidR="0046353D" w:rsidRPr="00B74C25">
        <w:rPr>
          <w:rFonts w:ascii="Times New Roman" w:eastAsia="Times New Roman" w:hAnsi="Times New Roman" w:cs="Times New Roman"/>
          <w:sz w:val="24"/>
          <w:szCs w:val="24"/>
          <w:lang w:eastAsia="en-GB"/>
        </w:rPr>
        <w:t>behaviours</w:t>
      </w:r>
      <w:r w:rsidRPr="00B74C25">
        <w:rPr>
          <w:rFonts w:ascii="Times New Roman" w:eastAsia="Times New Roman" w:hAnsi="Times New Roman" w:cs="Times New Roman"/>
          <w:sz w:val="24"/>
          <w:szCs w:val="24"/>
          <w:lang w:eastAsia="en-GB"/>
        </w:rPr>
        <w:t>.</w:t>
      </w:r>
    </w:p>
    <w:p w14:paraId="17121605" w14:textId="6143189B" w:rsidR="00114EE9" w:rsidRPr="00B74C25" w:rsidRDefault="00645E55" w:rsidP="00EE1748">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Beyond academic and behavioral consequences, the study also revealed important psychological implications. A notable proportion of respondents reported experiencing anxiety and depression symptoms ([insert %]), as well as reduced self-esteem ([insert %]). These findings highlight the broader mental health burden associated with substance abuse among adolescents.</w:t>
      </w:r>
    </w:p>
    <w:p w14:paraId="4A786E1D" w14:textId="77777777" w:rsidR="00B72E8C" w:rsidRPr="00B74C25" w:rsidRDefault="00B72E8C" w:rsidP="00B72E8C">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To examine this hypothesis, one-way Analysis of Variance (ANOVA) was conducted to compare average physical and mental health scores across different age and class categories.</w:t>
      </w:r>
    </w:p>
    <w:p w14:paraId="30222610" w14:textId="26A2C8F4" w:rsidR="00B72E8C" w:rsidRPr="00B74C25" w:rsidRDefault="00B72E8C" w:rsidP="00B72E8C">
      <w:pPr>
        <w:spacing w:line="360" w:lineRule="auto"/>
        <w:jc w:val="both"/>
        <w:rPr>
          <w:rFonts w:ascii="Times New Roman" w:hAnsi="Times New Roman" w:cs="Times New Roman"/>
          <w:b/>
          <w:bCs/>
          <w:sz w:val="24"/>
          <w:szCs w:val="24"/>
        </w:rPr>
      </w:pPr>
      <w:r w:rsidRPr="00B74C25">
        <w:rPr>
          <w:rFonts w:ascii="Times New Roman" w:hAnsi="Times New Roman" w:cs="Times New Roman"/>
          <w:b/>
          <w:bCs/>
          <w:sz w:val="24"/>
          <w:szCs w:val="24"/>
        </w:rPr>
        <w:t xml:space="preserve">Table </w:t>
      </w:r>
      <w:r w:rsidR="002B4D65">
        <w:rPr>
          <w:rFonts w:ascii="Times New Roman" w:hAnsi="Times New Roman" w:cs="Times New Roman"/>
          <w:b/>
          <w:bCs/>
          <w:sz w:val="24"/>
          <w:szCs w:val="24"/>
        </w:rPr>
        <w:t>8:</w:t>
      </w:r>
      <w:r w:rsidRPr="00B74C25">
        <w:rPr>
          <w:rFonts w:ascii="Times New Roman" w:hAnsi="Times New Roman" w:cs="Times New Roman"/>
          <w:b/>
          <w:bCs/>
          <w:sz w:val="24"/>
          <w:szCs w:val="24"/>
        </w:rPr>
        <w:t xml:space="preserve"> Binary logistic regression analysis to determine the factors that predict drug abuse status</w:t>
      </w:r>
    </w:p>
    <w:tbl>
      <w:tblPr>
        <w:tblStyle w:val="TableGrid"/>
        <w:tblW w:w="0" w:type="auto"/>
        <w:tblLook w:val="04A0" w:firstRow="1" w:lastRow="0" w:firstColumn="1" w:lastColumn="0" w:noHBand="0" w:noVBand="1"/>
      </w:tblPr>
      <w:tblGrid>
        <w:gridCol w:w="2163"/>
        <w:gridCol w:w="962"/>
        <w:gridCol w:w="964"/>
        <w:gridCol w:w="974"/>
        <w:gridCol w:w="802"/>
        <w:gridCol w:w="1031"/>
        <w:gridCol w:w="1060"/>
        <w:gridCol w:w="1060"/>
      </w:tblGrid>
      <w:tr w:rsidR="00B72E8C" w:rsidRPr="00B74C25" w14:paraId="5DBF4780" w14:textId="77777777" w:rsidTr="003E52BD">
        <w:tc>
          <w:tcPr>
            <w:tcW w:w="1390" w:type="dxa"/>
            <w:vAlign w:val="center"/>
          </w:tcPr>
          <w:p w14:paraId="291AF05B"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Predictor</w:t>
            </w:r>
          </w:p>
        </w:tc>
        <w:tc>
          <w:tcPr>
            <w:tcW w:w="1133" w:type="dxa"/>
            <w:vAlign w:val="center"/>
          </w:tcPr>
          <w:p w14:paraId="0983A3E9"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B</w:t>
            </w:r>
          </w:p>
        </w:tc>
        <w:tc>
          <w:tcPr>
            <w:tcW w:w="1135" w:type="dxa"/>
            <w:vAlign w:val="center"/>
          </w:tcPr>
          <w:p w14:paraId="1A33D4C0"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S.E</w:t>
            </w:r>
          </w:p>
        </w:tc>
        <w:tc>
          <w:tcPr>
            <w:tcW w:w="1136" w:type="dxa"/>
            <w:vAlign w:val="center"/>
          </w:tcPr>
          <w:p w14:paraId="51757894"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Wald</w:t>
            </w:r>
          </w:p>
        </w:tc>
        <w:tc>
          <w:tcPr>
            <w:tcW w:w="1108" w:type="dxa"/>
            <w:vAlign w:val="center"/>
          </w:tcPr>
          <w:p w14:paraId="229FB3C3"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df</w:t>
            </w:r>
          </w:p>
        </w:tc>
        <w:tc>
          <w:tcPr>
            <w:tcW w:w="1146" w:type="dxa"/>
            <w:vAlign w:val="center"/>
          </w:tcPr>
          <w:p w14:paraId="63C00C31"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Sig. (p)</w:t>
            </w:r>
          </w:p>
        </w:tc>
        <w:tc>
          <w:tcPr>
            <w:tcW w:w="1151" w:type="dxa"/>
            <w:vAlign w:val="center"/>
          </w:tcPr>
          <w:p w14:paraId="59A09129"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Exp(B)</w:t>
            </w:r>
          </w:p>
        </w:tc>
        <w:tc>
          <w:tcPr>
            <w:tcW w:w="1151" w:type="dxa"/>
            <w:vAlign w:val="center"/>
          </w:tcPr>
          <w:p w14:paraId="7FEDB82B"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b/>
                <w:bCs/>
                <w:sz w:val="24"/>
                <w:szCs w:val="24"/>
              </w:rPr>
              <w:t>95% CI for Exp(B)</w:t>
            </w:r>
          </w:p>
        </w:tc>
      </w:tr>
      <w:tr w:rsidR="00B72E8C" w:rsidRPr="00B74C25" w14:paraId="360DE5F7" w14:textId="77777777" w:rsidTr="003E52BD">
        <w:tc>
          <w:tcPr>
            <w:tcW w:w="1390" w:type="dxa"/>
            <w:vAlign w:val="center"/>
          </w:tcPr>
          <w:p w14:paraId="0E26D956"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Gender (Male)</w:t>
            </w:r>
          </w:p>
        </w:tc>
        <w:tc>
          <w:tcPr>
            <w:tcW w:w="1133" w:type="dxa"/>
            <w:vAlign w:val="center"/>
          </w:tcPr>
          <w:p w14:paraId="036C77EF"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0.687</w:t>
            </w:r>
          </w:p>
        </w:tc>
        <w:tc>
          <w:tcPr>
            <w:tcW w:w="1135" w:type="dxa"/>
            <w:vAlign w:val="center"/>
          </w:tcPr>
          <w:p w14:paraId="7341CE6F"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0.202</w:t>
            </w:r>
          </w:p>
        </w:tc>
        <w:tc>
          <w:tcPr>
            <w:tcW w:w="1136" w:type="dxa"/>
            <w:vAlign w:val="center"/>
          </w:tcPr>
          <w:p w14:paraId="3E996485"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11.56</w:t>
            </w:r>
          </w:p>
        </w:tc>
        <w:tc>
          <w:tcPr>
            <w:tcW w:w="1108" w:type="dxa"/>
            <w:vAlign w:val="center"/>
          </w:tcPr>
          <w:p w14:paraId="1DB2273F"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146" w:type="dxa"/>
            <w:vAlign w:val="center"/>
          </w:tcPr>
          <w:p w14:paraId="56986910"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0.001</w:t>
            </w:r>
          </w:p>
        </w:tc>
        <w:tc>
          <w:tcPr>
            <w:tcW w:w="1151" w:type="dxa"/>
            <w:vAlign w:val="center"/>
          </w:tcPr>
          <w:p w14:paraId="30036819"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1.988</w:t>
            </w:r>
          </w:p>
        </w:tc>
        <w:tc>
          <w:tcPr>
            <w:tcW w:w="1151" w:type="dxa"/>
            <w:vAlign w:val="center"/>
          </w:tcPr>
          <w:p w14:paraId="0DBD6665"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1.340–2.947</w:t>
            </w:r>
          </w:p>
        </w:tc>
      </w:tr>
      <w:tr w:rsidR="00B72E8C" w:rsidRPr="00B74C25" w14:paraId="30147115" w14:textId="77777777" w:rsidTr="003E52BD">
        <w:tc>
          <w:tcPr>
            <w:tcW w:w="1390" w:type="dxa"/>
            <w:vAlign w:val="center"/>
          </w:tcPr>
          <w:p w14:paraId="4E3C1430"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lastRenderedPageBreak/>
              <w:t>Age</w:t>
            </w:r>
          </w:p>
        </w:tc>
        <w:tc>
          <w:tcPr>
            <w:tcW w:w="1133" w:type="dxa"/>
            <w:vAlign w:val="center"/>
          </w:tcPr>
          <w:p w14:paraId="71DF5F02"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0.332</w:t>
            </w:r>
          </w:p>
        </w:tc>
        <w:tc>
          <w:tcPr>
            <w:tcW w:w="1135" w:type="dxa"/>
            <w:vAlign w:val="center"/>
          </w:tcPr>
          <w:p w14:paraId="214CCD4F"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0.118</w:t>
            </w:r>
          </w:p>
        </w:tc>
        <w:tc>
          <w:tcPr>
            <w:tcW w:w="1136" w:type="dxa"/>
            <w:vAlign w:val="center"/>
          </w:tcPr>
          <w:p w14:paraId="1A6D13A9"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7.90</w:t>
            </w:r>
          </w:p>
        </w:tc>
        <w:tc>
          <w:tcPr>
            <w:tcW w:w="1108" w:type="dxa"/>
            <w:vAlign w:val="center"/>
          </w:tcPr>
          <w:p w14:paraId="65980A91"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146" w:type="dxa"/>
            <w:vAlign w:val="center"/>
          </w:tcPr>
          <w:p w14:paraId="14DA4428"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0.005</w:t>
            </w:r>
          </w:p>
        </w:tc>
        <w:tc>
          <w:tcPr>
            <w:tcW w:w="1151" w:type="dxa"/>
            <w:vAlign w:val="center"/>
          </w:tcPr>
          <w:p w14:paraId="14756017"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1.394</w:t>
            </w:r>
          </w:p>
        </w:tc>
        <w:tc>
          <w:tcPr>
            <w:tcW w:w="1151" w:type="dxa"/>
            <w:vAlign w:val="center"/>
          </w:tcPr>
          <w:p w14:paraId="75F4169D"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1.108–1.752</w:t>
            </w:r>
          </w:p>
        </w:tc>
      </w:tr>
      <w:tr w:rsidR="00B72E8C" w:rsidRPr="00B74C25" w14:paraId="4D0F37F8" w14:textId="77777777" w:rsidTr="003E52BD">
        <w:tc>
          <w:tcPr>
            <w:tcW w:w="1390" w:type="dxa"/>
            <w:vAlign w:val="center"/>
          </w:tcPr>
          <w:p w14:paraId="1B4309C6" w14:textId="542E672B"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Adolescents(Public)</w:t>
            </w:r>
          </w:p>
        </w:tc>
        <w:tc>
          <w:tcPr>
            <w:tcW w:w="1133" w:type="dxa"/>
            <w:vAlign w:val="center"/>
          </w:tcPr>
          <w:p w14:paraId="75DAADEB"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0.542</w:t>
            </w:r>
          </w:p>
        </w:tc>
        <w:tc>
          <w:tcPr>
            <w:tcW w:w="1135" w:type="dxa"/>
            <w:vAlign w:val="center"/>
          </w:tcPr>
          <w:p w14:paraId="614F0B07"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0.214</w:t>
            </w:r>
          </w:p>
        </w:tc>
        <w:tc>
          <w:tcPr>
            <w:tcW w:w="1136" w:type="dxa"/>
            <w:vAlign w:val="center"/>
          </w:tcPr>
          <w:p w14:paraId="3066F2B8"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6.42</w:t>
            </w:r>
          </w:p>
        </w:tc>
        <w:tc>
          <w:tcPr>
            <w:tcW w:w="1108" w:type="dxa"/>
            <w:vAlign w:val="center"/>
          </w:tcPr>
          <w:p w14:paraId="787A5B40"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146" w:type="dxa"/>
            <w:vAlign w:val="center"/>
          </w:tcPr>
          <w:p w14:paraId="090BA15C"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0.011</w:t>
            </w:r>
          </w:p>
        </w:tc>
        <w:tc>
          <w:tcPr>
            <w:tcW w:w="1151" w:type="dxa"/>
            <w:vAlign w:val="center"/>
          </w:tcPr>
          <w:p w14:paraId="1E3A0AAF"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1.720</w:t>
            </w:r>
          </w:p>
        </w:tc>
        <w:tc>
          <w:tcPr>
            <w:tcW w:w="1151" w:type="dxa"/>
            <w:vAlign w:val="center"/>
          </w:tcPr>
          <w:p w14:paraId="33B8A142"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1.137–2.601</w:t>
            </w:r>
          </w:p>
        </w:tc>
      </w:tr>
      <w:tr w:rsidR="00B72E8C" w:rsidRPr="00B74C25" w14:paraId="3394CAA9" w14:textId="77777777" w:rsidTr="003E52BD">
        <w:tc>
          <w:tcPr>
            <w:tcW w:w="1390" w:type="dxa"/>
            <w:vAlign w:val="center"/>
          </w:tcPr>
          <w:p w14:paraId="5BE2FA83"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Family Background (Broken)</w:t>
            </w:r>
          </w:p>
        </w:tc>
        <w:tc>
          <w:tcPr>
            <w:tcW w:w="1133" w:type="dxa"/>
            <w:vAlign w:val="center"/>
          </w:tcPr>
          <w:p w14:paraId="2DB15021"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0.459</w:t>
            </w:r>
          </w:p>
        </w:tc>
        <w:tc>
          <w:tcPr>
            <w:tcW w:w="1135" w:type="dxa"/>
            <w:vAlign w:val="center"/>
          </w:tcPr>
          <w:p w14:paraId="065BC1FB"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0.192</w:t>
            </w:r>
          </w:p>
        </w:tc>
        <w:tc>
          <w:tcPr>
            <w:tcW w:w="1136" w:type="dxa"/>
            <w:vAlign w:val="center"/>
          </w:tcPr>
          <w:p w14:paraId="092D724F"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5.70</w:t>
            </w:r>
          </w:p>
        </w:tc>
        <w:tc>
          <w:tcPr>
            <w:tcW w:w="1108" w:type="dxa"/>
            <w:vAlign w:val="center"/>
          </w:tcPr>
          <w:p w14:paraId="2F86F60D"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146" w:type="dxa"/>
            <w:vAlign w:val="center"/>
          </w:tcPr>
          <w:p w14:paraId="679A10C9"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0.017</w:t>
            </w:r>
          </w:p>
        </w:tc>
        <w:tc>
          <w:tcPr>
            <w:tcW w:w="1151" w:type="dxa"/>
            <w:vAlign w:val="center"/>
          </w:tcPr>
          <w:p w14:paraId="1C82D47A"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1.583</w:t>
            </w:r>
          </w:p>
        </w:tc>
        <w:tc>
          <w:tcPr>
            <w:tcW w:w="1151" w:type="dxa"/>
            <w:vAlign w:val="center"/>
          </w:tcPr>
          <w:p w14:paraId="621DFD8C"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1.085–2.313</w:t>
            </w:r>
          </w:p>
        </w:tc>
      </w:tr>
      <w:tr w:rsidR="00B72E8C" w:rsidRPr="00B74C25" w14:paraId="2807CB81" w14:textId="77777777" w:rsidTr="003E52BD">
        <w:tc>
          <w:tcPr>
            <w:tcW w:w="1390" w:type="dxa"/>
            <w:vAlign w:val="center"/>
          </w:tcPr>
          <w:p w14:paraId="6E2F9753"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Peer Influence</w:t>
            </w:r>
          </w:p>
        </w:tc>
        <w:tc>
          <w:tcPr>
            <w:tcW w:w="1133" w:type="dxa"/>
            <w:vAlign w:val="center"/>
          </w:tcPr>
          <w:p w14:paraId="32CD3481"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0.923</w:t>
            </w:r>
          </w:p>
        </w:tc>
        <w:tc>
          <w:tcPr>
            <w:tcW w:w="1135" w:type="dxa"/>
            <w:vAlign w:val="center"/>
          </w:tcPr>
          <w:p w14:paraId="0563FB54"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0.187</w:t>
            </w:r>
          </w:p>
        </w:tc>
        <w:tc>
          <w:tcPr>
            <w:tcW w:w="1136" w:type="dxa"/>
            <w:vAlign w:val="center"/>
          </w:tcPr>
          <w:p w14:paraId="67AD7D69"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24.37</w:t>
            </w:r>
          </w:p>
        </w:tc>
        <w:tc>
          <w:tcPr>
            <w:tcW w:w="1108" w:type="dxa"/>
            <w:vAlign w:val="center"/>
          </w:tcPr>
          <w:p w14:paraId="05B11252"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146" w:type="dxa"/>
            <w:vAlign w:val="center"/>
          </w:tcPr>
          <w:p w14:paraId="751879DA"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&lt;0.001</w:t>
            </w:r>
          </w:p>
        </w:tc>
        <w:tc>
          <w:tcPr>
            <w:tcW w:w="1151" w:type="dxa"/>
            <w:vAlign w:val="center"/>
          </w:tcPr>
          <w:p w14:paraId="47078486"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2.517</w:t>
            </w:r>
          </w:p>
        </w:tc>
        <w:tc>
          <w:tcPr>
            <w:tcW w:w="1151" w:type="dxa"/>
            <w:vAlign w:val="center"/>
          </w:tcPr>
          <w:p w14:paraId="0673EAEA"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1.736–3.649</w:t>
            </w:r>
          </w:p>
        </w:tc>
      </w:tr>
      <w:tr w:rsidR="00B72E8C" w:rsidRPr="00B74C25" w14:paraId="246CE599" w14:textId="77777777" w:rsidTr="003E52BD">
        <w:tc>
          <w:tcPr>
            <w:tcW w:w="1390" w:type="dxa"/>
            <w:vAlign w:val="center"/>
          </w:tcPr>
          <w:p w14:paraId="4E16EC0E"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Constant</w:t>
            </w:r>
          </w:p>
        </w:tc>
        <w:tc>
          <w:tcPr>
            <w:tcW w:w="1133" w:type="dxa"/>
            <w:vAlign w:val="center"/>
          </w:tcPr>
          <w:p w14:paraId="606AA6E8"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-2.246</w:t>
            </w:r>
          </w:p>
        </w:tc>
        <w:tc>
          <w:tcPr>
            <w:tcW w:w="1135" w:type="dxa"/>
            <w:vAlign w:val="center"/>
          </w:tcPr>
          <w:p w14:paraId="7691F99B"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0.428</w:t>
            </w:r>
          </w:p>
        </w:tc>
        <w:tc>
          <w:tcPr>
            <w:tcW w:w="1136" w:type="dxa"/>
            <w:vAlign w:val="center"/>
          </w:tcPr>
          <w:p w14:paraId="59219BA7"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27.52</w:t>
            </w:r>
          </w:p>
        </w:tc>
        <w:tc>
          <w:tcPr>
            <w:tcW w:w="1108" w:type="dxa"/>
            <w:vAlign w:val="center"/>
          </w:tcPr>
          <w:p w14:paraId="795D48AE"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1</w:t>
            </w:r>
          </w:p>
        </w:tc>
        <w:tc>
          <w:tcPr>
            <w:tcW w:w="1146" w:type="dxa"/>
            <w:vAlign w:val="center"/>
          </w:tcPr>
          <w:p w14:paraId="0ABA3473"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&lt;0.001</w:t>
            </w:r>
          </w:p>
        </w:tc>
        <w:tc>
          <w:tcPr>
            <w:tcW w:w="1151" w:type="dxa"/>
            <w:vAlign w:val="center"/>
          </w:tcPr>
          <w:p w14:paraId="247ACF5C"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0.106</w:t>
            </w:r>
          </w:p>
        </w:tc>
        <w:tc>
          <w:tcPr>
            <w:tcW w:w="1151" w:type="dxa"/>
            <w:vAlign w:val="center"/>
          </w:tcPr>
          <w:p w14:paraId="1671BD03" w14:textId="77777777" w:rsidR="00B72E8C" w:rsidRPr="00B74C25" w:rsidRDefault="00B72E8C" w:rsidP="003E52BD">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w:t>
            </w:r>
          </w:p>
        </w:tc>
      </w:tr>
    </w:tbl>
    <w:p w14:paraId="00B0D954" w14:textId="77777777" w:rsidR="00B72E8C" w:rsidRPr="00B74C25" w:rsidRDefault="00B72E8C" w:rsidP="00B72E8C">
      <w:pPr>
        <w:spacing w:line="360" w:lineRule="auto"/>
        <w:jc w:val="both"/>
        <w:rPr>
          <w:rFonts w:ascii="Times New Roman" w:hAnsi="Times New Roman" w:cs="Times New Roman"/>
          <w:sz w:val="24"/>
          <w:szCs w:val="24"/>
        </w:rPr>
      </w:pPr>
    </w:p>
    <w:p w14:paraId="1B8E2E94" w14:textId="77777777" w:rsidR="00B72E8C" w:rsidRPr="00B74C25" w:rsidRDefault="00B72E8C" w:rsidP="00B72E8C">
      <w:pPr>
        <w:spacing w:line="360" w:lineRule="auto"/>
        <w:jc w:val="both"/>
        <w:rPr>
          <w:rFonts w:ascii="Times New Roman" w:hAnsi="Times New Roman" w:cs="Times New Roman"/>
          <w:sz w:val="24"/>
          <w:szCs w:val="24"/>
        </w:rPr>
      </w:pPr>
      <w:r w:rsidRPr="00B74C25">
        <w:rPr>
          <w:rFonts w:ascii="Times New Roman" w:hAnsi="Times New Roman" w:cs="Times New Roman"/>
          <w:noProof/>
          <w:sz w:val="24"/>
          <w:szCs w:val="24"/>
        </w:rPr>
        <mc:AlternateContent>
          <mc:Choice Requires="cx1">
            <w:drawing>
              <wp:inline distT="0" distB="0" distL="0" distR="0" wp14:anchorId="725EBB75" wp14:editId="374A6DBE">
                <wp:extent cx="6117991" cy="2743200"/>
                <wp:effectExtent l="0" t="0" r="16510" b="0"/>
                <wp:docPr id="6" name="Chart 6">
                  <a:extLst xmlns:a="http://schemas.openxmlformats.org/drawingml/2006/main">
                    <a:ext uri="{FF2B5EF4-FFF2-40B4-BE49-F238E27FC236}">
                      <a16:creationId xmlns:a16="http://schemas.microsoft.com/office/drawing/2014/main" id="{770E5D39-18BF-41E0-AAB6-510754D9FC9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725EBB75" wp14:editId="374A6DBE">
                <wp:extent cx="6117991" cy="2743200"/>
                <wp:effectExtent l="0" t="0" r="16510" b="0"/>
                <wp:docPr id="6" name="Chart 6">
                  <a:extLst xmlns:a="http://schemas.openxmlformats.org/drawingml/2006/main">
                    <a:ext uri="{FF2B5EF4-FFF2-40B4-BE49-F238E27FC236}">
                      <a16:creationId xmlns:a16="http://schemas.microsoft.com/office/drawing/2014/main" id="{770E5D39-18BF-41E0-AAB6-510754D9FC9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Chart 6">
                          <a:extLst>
                            <a:ext uri="{FF2B5EF4-FFF2-40B4-BE49-F238E27FC236}">
                              <a16:creationId xmlns:a16="http://schemas.microsoft.com/office/drawing/2014/main" id="{770E5D39-18BF-41E0-AAB6-510754D9FC90}"/>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6117590" cy="2743200"/>
                        </a:xfrm>
                        <a:prstGeom prst="rect">
                          <a:avLst/>
                        </a:prstGeom>
                      </pic:spPr>
                    </pic:pic>
                  </a:graphicData>
                </a:graphic>
              </wp:inline>
            </w:drawing>
          </mc:Fallback>
        </mc:AlternateContent>
      </w:r>
    </w:p>
    <w:p w14:paraId="389DAD0C" w14:textId="57D4C8FA" w:rsidR="00B72E8C" w:rsidRPr="00074C80" w:rsidRDefault="00B72E8C" w:rsidP="00B72E8C">
      <w:pPr>
        <w:spacing w:line="360" w:lineRule="auto"/>
        <w:jc w:val="both"/>
        <w:rPr>
          <w:rFonts w:ascii="Times New Roman" w:hAnsi="Times New Roman" w:cs="Times New Roman"/>
          <w:b/>
          <w:bCs/>
          <w:sz w:val="24"/>
          <w:szCs w:val="24"/>
        </w:rPr>
      </w:pPr>
      <w:r w:rsidRPr="00074C80">
        <w:rPr>
          <w:rFonts w:ascii="Times New Roman" w:hAnsi="Times New Roman" w:cs="Times New Roman"/>
          <w:b/>
          <w:bCs/>
          <w:sz w:val="24"/>
          <w:szCs w:val="24"/>
        </w:rPr>
        <w:t xml:space="preserve">Fig </w:t>
      </w:r>
      <w:r w:rsidR="00074C80" w:rsidRPr="00074C80">
        <w:rPr>
          <w:rFonts w:ascii="Times New Roman" w:hAnsi="Times New Roman" w:cs="Times New Roman"/>
          <w:b/>
          <w:bCs/>
          <w:sz w:val="24"/>
          <w:szCs w:val="24"/>
        </w:rPr>
        <w:t>7</w:t>
      </w:r>
    </w:p>
    <w:p w14:paraId="14047D11" w14:textId="13D381BE" w:rsidR="00B72E8C" w:rsidRPr="00B74C25" w:rsidRDefault="00B72E8C" w:rsidP="00B72E8C">
      <w:pPr>
        <w:spacing w:line="360" w:lineRule="auto"/>
        <w:jc w:val="both"/>
        <w:rPr>
          <w:rFonts w:ascii="Times New Roman" w:hAnsi="Times New Roman" w:cs="Times New Roman"/>
          <w:sz w:val="24"/>
          <w:szCs w:val="24"/>
        </w:rPr>
      </w:pPr>
      <w:r w:rsidRPr="00B74C25">
        <w:rPr>
          <w:rFonts w:ascii="Times New Roman" w:hAnsi="Times New Roman" w:cs="Times New Roman"/>
          <w:sz w:val="24"/>
          <w:szCs w:val="24"/>
        </w:rPr>
        <w:t xml:space="preserve">Table </w:t>
      </w:r>
      <w:r w:rsidR="00074C80">
        <w:rPr>
          <w:rFonts w:ascii="Times New Roman" w:hAnsi="Times New Roman" w:cs="Times New Roman"/>
          <w:sz w:val="24"/>
          <w:szCs w:val="24"/>
        </w:rPr>
        <w:t>7</w:t>
      </w:r>
      <w:r w:rsidRPr="00B74C25">
        <w:rPr>
          <w:rFonts w:ascii="Times New Roman" w:hAnsi="Times New Roman" w:cs="Times New Roman"/>
          <w:sz w:val="24"/>
          <w:szCs w:val="24"/>
        </w:rPr>
        <w:t xml:space="preserve"> displays the outcomes of the binary logistic regression analysis performed to determine the main factors influencing drug abuse among secondary school students in the Kokona Local Government Area. The regression model analyzed the effects of various socio-demographic and psychosocial factors—particularly gender, age, type of communities, family background, and peer influence—on the probability of participating in drug use. The variable being measured was drug use status (1 = user, 0 = not a user)</w:t>
      </w:r>
    </w:p>
    <w:p w14:paraId="0B3EACED" w14:textId="69E22F31" w:rsidR="00B72E8C" w:rsidRPr="00B74C25" w:rsidRDefault="00B72E8C" w:rsidP="00B72E8C">
      <w:pPr>
        <w:spacing w:line="360" w:lineRule="auto"/>
        <w:jc w:val="both"/>
        <w:rPr>
          <w:rFonts w:ascii="Times New Roman" w:hAnsi="Times New Roman" w:cs="Times New Roman"/>
          <w:b/>
          <w:bCs/>
          <w:sz w:val="24"/>
          <w:szCs w:val="24"/>
        </w:rPr>
      </w:pPr>
      <w:r w:rsidRPr="00B74C25">
        <w:rPr>
          <w:rFonts w:ascii="Times New Roman" w:hAnsi="Times New Roman" w:cs="Times New Roman"/>
          <w:b/>
          <w:bCs/>
          <w:sz w:val="24"/>
          <w:szCs w:val="24"/>
        </w:rPr>
        <w:t>Synopsis of Inferential Findings</w:t>
      </w:r>
    </w:p>
    <w:p w14:paraId="7E7CB8F7" w14:textId="7F9D7E42" w:rsidR="00B72E8C" w:rsidRPr="00B74C25" w:rsidRDefault="00B72E8C" w:rsidP="00B72E8C">
      <w:pPr>
        <w:numPr>
          <w:ilvl w:val="0"/>
          <w:numId w:val="12"/>
        </w:numPr>
        <w:spacing w:after="0" w:line="360" w:lineRule="auto"/>
        <w:rPr>
          <w:rFonts w:ascii="Times New Roman" w:hAnsi="Times New Roman" w:cs="Times New Roman"/>
          <w:sz w:val="24"/>
          <w:szCs w:val="24"/>
        </w:rPr>
      </w:pPr>
      <w:r w:rsidRPr="00B74C25">
        <w:rPr>
          <w:rFonts w:ascii="Times New Roman" w:hAnsi="Times New Roman" w:cs="Times New Roman"/>
          <w:sz w:val="24"/>
          <w:szCs w:val="24"/>
        </w:rPr>
        <w:t>There are important links between demographic characteristics (gender, type of communities) and substance use.</w:t>
      </w:r>
    </w:p>
    <w:p w14:paraId="11D0D6C4" w14:textId="77777777" w:rsidR="00B72E8C" w:rsidRPr="00B74C25" w:rsidRDefault="00B72E8C" w:rsidP="00B72E8C">
      <w:pPr>
        <w:numPr>
          <w:ilvl w:val="0"/>
          <w:numId w:val="12"/>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lastRenderedPageBreak/>
        <w:t>Individuals who use drugs show notably worse physical and mental health compared to those who do not.</w:t>
      </w:r>
    </w:p>
    <w:p w14:paraId="13CBDA93" w14:textId="77777777" w:rsidR="00B72E8C" w:rsidRPr="00B74C25" w:rsidRDefault="00B72E8C" w:rsidP="00B72E8C">
      <w:pPr>
        <w:numPr>
          <w:ilvl w:val="0"/>
          <w:numId w:val="12"/>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3. Health outcomes among adolescents are significantly affected by age and class levels.</w:t>
      </w:r>
    </w:p>
    <w:p w14:paraId="6613EBD7" w14:textId="192C24E0" w:rsidR="00B72E8C" w:rsidRPr="00074C80" w:rsidRDefault="00B72E8C" w:rsidP="00074C80">
      <w:pPr>
        <w:numPr>
          <w:ilvl w:val="0"/>
          <w:numId w:val="12"/>
        </w:numPr>
        <w:spacing w:after="0" w:line="360" w:lineRule="auto"/>
        <w:jc w:val="both"/>
        <w:rPr>
          <w:rFonts w:ascii="Times New Roman" w:hAnsi="Times New Roman" w:cs="Times New Roman"/>
          <w:sz w:val="24"/>
          <w:szCs w:val="24"/>
        </w:rPr>
      </w:pPr>
      <w:r w:rsidRPr="00B74C25">
        <w:rPr>
          <w:rFonts w:ascii="Times New Roman" w:hAnsi="Times New Roman" w:cs="Times New Roman"/>
          <w:sz w:val="24"/>
          <w:szCs w:val="24"/>
        </w:rPr>
        <w:t>Peer influence, family structure, and gender are key predictors of adolescent drug abuse.</w:t>
      </w:r>
    </w:p>
    <w:p w14:paraId="0358A63D" w14:textId="497E1039" w:rsidR="0046353D" w:rsidRPr="00B74C25" w:rsidRDefault="0046353D" w:rsidP="00EE1748">
      <w:pPr>
        <w:pStyle w:val="Heading2"/>
        <w:spacing w:line="360" w:lineRule="auto"/>
        <w:rPr>
          <w:rStyle w:val="Strong"/>
          <w:b/>
          <w:bCs/>
          <w:sz w:val="24"/>
          <w:szCs w:val="24"/>
        </w:rPr>
      </w:pPr>
      <w:r w:rsidRPr="00B74C25">
        <w:rPr>
          <w:rStyle w:val="Strong"/>
          <w:b/>
          <w:bCs/>
          <w:sz w:val="24"/>
          <w:szCs w:val="24"/>
        </w:rPr>
        <w:t>Discussion</w:t>
      </w:r>
    </w:p>
    <w:p w14:paraId="74A3C4BE" w14:textId="15B76E75" w:rsidR="00834474" w:rsidRPr="00B74C25" w:rsidRDefault="00834474" w:rsidP="00EE1748">
      <w:pPr>
        <w:pStyle w:val="Heading2"/>
        <w:spacing w:line="360" w:lineRule="auto"/>
        <w:rPr>
          <w:b w:val="0"/>
          <w:bCs w:val="0"/>
          <w:sz w:val="24"/>
          <w:szCs w:val="24"/>
        </w:rPr>
      </w:pPr>
      <w:r w:rsidRPr="00B74C25">
        <w:rPr>
          <w:rStyle w:val="Strong"/>
          <w:b/>
          <w:bCs/>
          <w:sz w:val="24"/>
          <w:szCs w:val="24"/>
        </w:rPr>
        <w:t xml:space="preserve">Socio-Demographic Characteristics of Respondents </w:t>
      </w:r>
    </w:p>
    <w:p w14:paraId="49BFA3DC" w14:textId="77777777" w:rsidR="00834474" w:rsidRPr="00B74C25" w:rsidRDefault="00834474" w:rsidP="00EE1748">
      <w:pPr>
        <w:pStyle w:val="NormalWeb"/>
        <w:spacing w:line="360" w:lineRule="auto"/>
      </w:pPr>
      <w:r w:rsidRPr="00B74C25">
        <w:t xml:space="preserve">The socio-demographic distribution of respondents reveals that a total of </w:t>
      </w:r>
      <w:r w:rsidRPr="00B74C25">
        <w:rPr>
          <w:rStyle w:val="Strong"/>
          <w:b w:val="0"/>
          <w:bCs w:val="0"/>
        </w:rPr>
        <w:t>384 adolescents</w:t>
      </w:r>
      <w:r w:rsidRPr="00B74C25">
        <w:t xml:space="preserve"> participated in the study. The age distribution shows that the majority of respondents were within the </w:t>
      </w:r>
      <w:r w:rsidRPr="00B74C25">
        <w:rPr>
          <w:rStyle w:val="Strong"/>
          <w:b w:val="0"/>
          <w:bCs w:val="0"/>
        </w:rPr>
        <w:t>15–17 years age group (52.6%)</w:t>
      </w:r>
      <w:r w:rsidRPr="00B74C25">
        <w:t xml:space="preserve">, followed by those aged </w:t>
      </w:r>
      <w:r w:rsidRPr="00B74C25">
        <w:rPr>
          <w:rStyle w:val="Strong"/>
          <w:b w:val="0"/>
          <w:bCs w:val="0"/>
        </w:rPr>
        <w:t>18–19 years (21.9%)</w:t>
      </w:r>
      <w:r w:rsidRPr="00B74C25">
        <w:t xml:space="preserve">, while the least represented group was </w:t>
      </w:r>
      <w:r w:rsidRPr="00B74C25">
        <w:rPr>
          <w:rStyle w:val="Strong"/>
          <w:b w:val="0"/>
          <w:bCs w:val="0"/>
        </w:rPr>
        <w:t>12–14 years (25.5%)</w:t>
      </w:r>
      <w:r w:rsidRPr="00B74C25">
        <w:t>. This indicates that older adolescents constituted a larger proportion of the study population, suggesting that substance use behaviours are more prevalent or more easily reported among mid-to-late adolescents.</w:t>
      </w:r>
    </w:p>
    <w:p w14:paraId="57FE1772" w14:textId="77777777" w:rsidR="00834474" w:rsidRPr="00B74C25" w:rsidRDefault="00834474" w:rsidP="00EE1748">
      <w:pPr>
        <w:pStyle w:val="NormalWeb"/>
        <w:spacing w:line="360" w:lineRule="auto"/>
      </w:pPr>
      <w:r w:rsidRPr="00B74C25">
        <w:t xml:space="preserve">In terms of sex distribution, </w:t>
      </w:r>
      <w:r w:rsidRPr="00B74C25">
        <w:rPr>
          <w:rStyle w:val="Strong"/>
          <w:b w:val="0"/>
          <w:bCs w:val="0"/>
        </w:rPr>
        <w:t>males accounted for 53.6%</w:t>
      </w:r>
      <w:r w:rsidRPr="00B74C25">
        <w:t xml:space="preserve">, while females constituted </w:t>
      </w:r>
      <w:r w:rsidRPr="00B74C25">
        <w:rPr>
          <w:rStyle w:val="Strong"/>
          <w:b w:val="0"/>
          <w:bCs w:val="0"/>
        </w:rPr>
        <w:t>46.4%</w:t>
      </w:r>
      <w:r w:rsidRPr="00B74C25">
        <w:t xml:space="preserve"> of the respondents. This indicates a slightly higher representation of males in the study. The higher proportion of male respondents suggests that </w:t>
      </w:r>
      <w:r w:rsidRPr="00B74C25">
        <w:rPr>
          <w:rStyle w:val="Strong"/>
          <w:b w:val="0"/>
          <w:bCs w:val="0"/>
        </w:rPr>
        <w:t>substance abuse may be more prevalent among male adolescents</w:t>
      </w:r>
      <w:r w:rsidRPr="00B74C25">
        <w:t xml:space="preserve"> in the study area. This finding is consistent with previous studies conducted in similar settings, which have reported that male adolescents are more likely to engage in substance use due to peer influence, social permissiveness, and greater exposure to risk-taking behaviors.</w:t>
      </w:r>
    </w:p>
    <w:p w14:paraId="49D6592A" w14:textId="77777777" w:rsidR="00834474" w:rsidRPr="00B74C25" w:rsidRDefault="00834474" w:rsidP="00EE1748">
      <w:pPr>
        <w:pStyle w:val="NormalWeb"/>
        <w:spacing w:line="360" w:lineRule="auto"/>
      </w:pPr>
      <w:r w:rsidRPr="00B74C25">
        <w:t xml:space="preserve">Regarding class level, a greater proportion of respondents were in </w:t>
      </w:r>
      <w:r w:rsidRPr="00B74C25">
        <w:rPr>
          <w:rStyle w:val="Strong"/>
          <w:b w:val="0"/>
          <w:bCs w:val="0"/>
        </w:rPr>
        <w:t>Senior Secondary School (SSS) (62.2%)</w:t>
      </w:r>
      <w:r w:rsidRPr="00B74C25">
        <w:t xml:space="preserve">, while </w:t>
      </w:r>
      <w:r w:rsidRPr="00B74C25">
        <w:rPr>
          <w:rStyle w:val="Strong"/>
          <w:b w:val="0"/>
          <w:bCs w:val="0"/>
        </w:rPr>
        <w:t>Junior Secondary School (JSS) students accounted for 37.8%</w:t>
      </w:r>
      <w:r w:rsidRPr="00B74C25">
        <w:t xml:space="preserve">. This suggests that substance use behaviours are more commonly reported among senior students, indicating that </w:t>
      </w:r>
      <w:r w:rsidRPr="00B74C25">
        <w:rPr>
          <w:rStyle w:val="Strong"/>
          <w:b w:val="0"/>
          <w:bCs w:val="0"/>
        </w:rPr>
        <w:t>older and more academically advanced adolescents may have a higher prevalence of substance use</w:t>
      </w:r>
      <w:r w:rsidRPr="00B74C25">
        <w:t>, possibly due to increased independence, exposure, and peer influence.</w:t>
      </w:r>
    </w:p>
    <w:p w14:paraId="3F27778D" w14:textId="77777777" w:rsidR="00834474" w:rsidRPr="00B74C25" w:rsidRDefault="00834474" w:rsidP="00EE1748">
      <w:pPr>
        <w:pStyle w:val="NormalWeb"/>
        <w:spacing w:line="360" w:lineRule="auto"/>
      </w:pPr>
      <w:r w:rsidRPr="00B74C25">
        <w:t xml:space="preserve">The family background distribution shows that most respondents came from </w:t>
      </w:r>
      <w:r w:rsidRPr="00B74C25">
        <w:rPr>
          <w:rStyle w:val="Strong"/>
          <w:b w:val="0"/>
          <w:bCs w:val="0"/>
        </w:rPr>
        <w:t>intact/two-parent households (65.1%)</w:t>
      </w:r>
      <w:r w:rsidRPr="00B74C25">
        <w:t xml:space="preserve">, followed by </w:t>
      </w:r>
      <w:r w:rsidRPr="00B74C25">
        <w:rPr>
          <w:rStyle w:val="Strong"/>
          <w:b w:val="0"/>
          <w:bCs w:val="0"/>
        </w:rPr>
        <w:t>single-parent families (24.2%)</w:t>
      </w:r>
      <w:r w:rsidRPr="00B74C25">
        <w:t xml:space="preserve"> and </w:t>
      </w:r>
      <w:r w:rsidRPr="00B74C25">
        <w:rPr>
          <w:rStyle w:val="Strong"/>
          <w:b w:val="0"/>
          <w:bCs w:val="0"/>
        </w:rPr>
        <w:t>polygamous families (10.7%)</w:t>
      </w:r>
      <w:r w:rsidRPr="00B74C25">
        <w:t xml:space="preserve">. Although a majority of respondents reported stable family structures, the presence </w:t>
      </w:r>
      <w:r w:rsidRPr="00B74C25">
        <w:lastRenderedPageBreak/>
        <w:t>of substance use within this group suggests that family structure alone may not be a sufficient protective factor, as other socio-demographic and environmental influences such as peer pressure and community exposure may play stronger roles.</w:t>
      </w:r>
    </w:p>
    <w:p w14:paraId="04413B98" w14:textId="3E6DCF53" w:rsidR="00834474" w:rsidRPr="00074C80" w:rsidRDefault="00834474" w:rsidP="00EE1748">
      <w:pPr>
        <w:pStyle w:val="Heading2"/>
        <w:spacing w:line="360" w:lineRule="auto"/>
        <w:rPr>
          <w:sz w:val="24"/>
          <w:szCs w:val="24"/>
        </w:rPr>
      </w:pPr>
      <w:r w:rsidRPr="00074C80">
        <w:rPr>
          <w:sz w:val="24"/>
          <w:szCs w:val="24"/>
        </w:rPr>
        <w:t>Effects of Socio-demographic of substance abuse among adolescents</w:t>
      </w:r>
    </w:p>
    <w:p w14:paraId="7AEE1EF7" w14:textId="77777777" w:rsidR="0046353D" w:rsidRPr="00B74C25" w:rsidRDefault="0046353D" w:rsidP="00EE1748">
      <w:pPr>
        <w:pStyle w:val="NormalWeb"/>
        <w:spacing w:line="360" w:lineRule="auto"/>
      </w:pPr>
      <w:r w:rsidRPr="00B74C25">
        <w:t>This study examined the socio-demographic effects of substance abuse among adolescents in Kokona Local Government Area (LGA), Nasarawa State, with particular emphasis on educational, behavioral, and psychological outcomes across selected communities. The findings provide empirical evidence that substance abuse significantly influences multiple dimensions of adolescent development, irrespective of community population differences.</w:t>
      </w:r>
    </w:p>
    <w:p w14:paraId="1C26DB66" w14:textId="77777777" w:rsidR="0046353D" w:rsidRPr="00B74C25" w:rsidRDefault="0046353D" w:rsidP="00EE1748">
      <w:pPr>
        <w:pStyle w:val="NormalWeb"/>
        <w:spacing w:line="360" w:lineRule="auto"/>
      </w:pPr>
      <w:r w:rsidRPr="00B74C25">
        <w:t>The proportional distribution of respondents across the nine selected communities ensured that the findings are representative of the study area. Larger communities such as Garaku and Angwan Loko Garaku contributed the highest number of respondents, reflecting their population sizes, while smaller communities such as Agwada had fewer participants. Despite these variations, the consistency in response patterns across communities suggests that substance abuse is a widespread issue affecting adolescents throughout Kokona LGA.</w:t>
      </w:r>
    </w:p>
    <w:p w14:paraId="19BBA0AA" w14:textId="77777777" w:rsidR="0046353D" w:rsidRPr="00B74C25" w:rsidRDefault="0046353D" w:rsidP="00EE1748">
      <w:pPr>
        <w:pStyle w:val="NormalWeb"/>
        <w:spacing w:line="360" w:lineRule="auto"/>
      </w:pPr>
      <w:r w:rsidRPr="00B74C25">
        <w:t>Findings from the mean score analysis revealed that substance abuse has a pronounced negative effect on adolescents’ academic engagement. Reduced classroom concentration recorded the highest mean score (x̄ = 3.93, SD = 0.84), indicating that cognitive functioning and attentiveness are significantly impaired among adolescents who engage in substance use. This aligns with existing literature which links psychoactive substance use with diminished cognitive performance and reduced academic productivity.</w:t>
      </w:r>
    </w:p>
    <w:p w14:paraId="4E0F4D9C" w14:textId="77B64F9F" w:rsidR="0046353D" w:rsidRPr="00B74C25" w:rsidRDefault="0046353D" w:rsidP="00EE1748">
      <w:pPr>
        <w:pStyle w:val="NormalWeb"/>
        <w:spacing w:line="360" w:lineRule="auto"/>
      </w:pPr>
      <w:r w:rsidRPr="00B74C25">
        <w:t xml:space="preserve">Similarly, poor academic performance (x̄ = 3.89, SD = 0.88) and frequent absenteeism (x̄ = 3.77, SD = 0.92) were rated high, suggesting that substance abuse contributes substantially to declining academic outcomes. These findings imply that adolescents who abuse substances are more likely to disengage from academic activities, either due to lack of motivation, health-related issues, or involvement in risky </w:t>
      </w:r>
      <w:r w:rsidR="00EE1748" w:rsidRPr="00B74C25">
        <w:t>behaviours</w:t>
      </w:r>
      <w:r w:rsidRPr="00B74C25">
        <w:t>. Truancy and lateness (x̄ = 3.70, SD = 0.97) further reinforce this pattern, indicating that substance use is associated with irregular school attendance and reduced commitment to academic responsibilities.</w:t>
      </w:r>
    </w:p>
    <w:p w14:paraId="3C2127D3" w14:textId="77777777" w:rsidR="0046353D" w:rsidRPr="00B74C25" w:rsidRDefault="0046353D" w:rsidP="00EE1748">
      <w:pPr>
        <w:pStyle w:val="NormalWeb"/>
        <w:spacing w:line="360" w:lineRule="auto"/>
      </w:pPr>
      <w:r w:rsidRPr="00B74C25">
        <w:lastRenderedPageBreak/>
        <w:t>Although disciplinary actions such as warnings and suspensions recorded a moderate mean score (x̄ = 3.42, SD = 1.12), this suggests variability in how schools respond to substance-related misconduct. It may also indicate underreporting or inconsistencies in enforcement of school policies across different communities. Nevertheless, the presence of disciplinary measures highlights the recognition of substance abuse as a behavioral concern within the school system.</w:t>
      </w:r>
    </w:p>
    <w:p w14:paraId="5F018E6F" w14:textId="156F9EB4" w:rsidR="0046353D" w:rsidRPr="00B74C25" w:rsidRDefault="0046353D" w:rsidP="00EE1748">
      <w:pPr>
        <w:pStyle w:val="NormalWeb"/>
        <w:spacing w:line="360" w:lineRule="auto"/>
      </w:pPr>
      <w:r w:rsidRPr="00B74C25">
        <w:t xml:space="preserve">Beyond academic and behavioral outcomes, the study also identified significant psychological effects associated with substance abuse. A considerable proportion of respondents reported experiencing symptoms of anxiety and depression </w:t>
      </w:r>
      <w:r w:rsidR="00EE1748" w:rsidRPr="00B74C25">
        <w:t xml:space="preserve">3.79 </w:t>
      </w:r>
      <w:r w:rsidRPr="00B74C25">
        <w:rPr>
          <w:rStyle w:val="Strong"/>
          <w:b w:val="0"/>
          <w:bCs w:val="0"/>
        </w:rPr>
        <w:t>%</w:t>
      </w:r>
      <w:r w:rsidRPr="00B74C25">
        <w:t>), as well as reduced self-esteem (</w:t>
      </w:r>
      <w:r w:rsidR="00EE1748" w:rsidRPr="00B74C25">
        <w:rPr>
          <w:rStyle w:val="Strong"/>
          <w:b w:val="0"/>
          <w:bCs w:val="0"/>
        </w:rPr>
        <w:t>3.56</w:t>
      </w:r>
      <w:r w:rsidRPr="00B74C25">
        <w:rPr>
          <w:rStyle w:val="Strong"/>
          <w:b w:val="0"/>
          <w:bCs w:val="0"/>
        </w:rPr>
        <w:t xml:space="preserve"> %</w:t>
      </w:r>
      <w:r w:rsidRPr="00B74C25">
        <w:t xml:space="preserve">). These findings underscore the mental health implications of substance use, suggesting that adolescents who engage in such </w:t>
      </w:r>
      <w:r w:rsidR="00EE1748" w:rsidRPr="00B74C25">
        <w:t>behaviours</w:t>
      </w:r>
      <w:r w:rsidRPr="00B74C25">
        <w:t xml:space="preserve"> are at increased risk of emotional instability and psychological distress. This is particularly concerning given that adolescence is a critical period for identity formation and emotional development.</w:t>
      </w:r>
    </w:p>
    <w:p w14:paraId="59C22EC9" w14:textId="77777777" w:rsidR="0046353D" w:rsidRPr="00B74C25" w:rsidRDefault="0046353D" w:rsidP="00EE1748">
      <w:pPr>
        <w:pStyle w:val="NormalWeb"/>
        <w:spacing w:line="360" w:lineRule="auto"/>
      </w:pPr>
      <w:r w:rsidRPr="00B74C25">
        <w:t>The interplay between socio-demographic factors and substance abuse is also evident in the findings. Variables such as age, peer influence, and socio-economic background appear to shape both the likelihood of substance use and its resulting effects. For instance, adolescents in environments with higher peer pressure or limited parental supervision may be more susceptible to substance abuse, thereby experiencing its negative consequences more intensely.</w:t>
      </w:r>
    </w:p>
    <w:p w14:paraId="0A0C742A" w14:textId="77777777" w:rsidR="00074C80" w:rsidRDefault="00EE1748" w:rsidP="00074C80">
      <w:pPr>
        <w:pStyle w:val="NormalWeb"/>
        <w:spacing w:line="360" w:lineRule="auto"/>
      </w:pPr>
      <w:r w:rsidRPr="00B74C25">
        <w:t>Furthermore,</w:t>
      </w:r>
      <w:r w:rsidR="0046353D" w:rsidRPr="00B74C25">
        <w:t xml:space="preserve"> the findings of this study are consistent with previous research indicating that substance abuse among adolescents is a multifaceted problem with far-reaching consequences. In the context of Kokona LGA, the effects cut across educational disruption, behavioral challenges, and psychological distress, highlighting the need for comprehensive intervention strategies.</w:t>
      </w:r>
    </w:p>
    <w:p w14:paraId="3B143A26" w14:textId="4ABB2F25" w:rsidR="0046353D" w:rsidRPr="00074C80" w:rsidRDefault="0046353D" w:rsidP="00074C80">
      <w:pPr>
        <w:pStyle w:val="NormalWeb"/>
        <w:spacing w:line="360" w:lineRule="auto"/>
        <w:rPr>
          <w:b/>
          <w:bCs/>
        </w:rPr>
      </w:pPr>
      <w:r w:rsidRPr="00074C80">
        <w:rPr>
          <w:b/>
          <w:bCs/>
        </w:rPr>
        <w:t>Recommendations</w:t>
      </w:r>
    </w:p>
    <w:p w14:paraId="12079B8D" w14:textId="77777777" w:rsidR="0046353D" w:rsidRPr="00B74C25" w:rsidRDefault="0046353D" w:rsidP="00EE1748">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Based on the findings of this study, the following recommendations are proposed to address the socio-demographic effects of substance abuse among adolescents in Kokona Local Government Area:</w:t>
      </w:r>
    </w:p>
    <w:p w14:paraId="48E7183C" w14:textId="77777777" w:rsidR="0046353D" w:rsidRPr="00B74C25" w:rsidRDefault="0046353D" w:rsidP="00EE1748">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lastRenderedPageBreak/>
        <w:t>Institutionalization of School-Based Prevention Programs:</w:t>
      </w:r>
      <w:r w:rsidRPr="00B74C25">
        <w:rPr>
          <w:rFonts w:ascii="Times New Roman" w:eastAsia="Times New Roman" w:hAnsi="Times New Roman" w:cs="Times New Roman"/>
          <w:sz w:val="24"/>
          <w:szCs w:val="24"/>
          <w:lang w:eastAsia="en-GB"/>
        </w:rPr>
        <w:br/>
        <w:t xml:space="preserve">Educational authorities should implement comprehensive, evidence-based substance abuse prevention programs within secondary schools. These programs should incorporate life skills training, peer education, and curriculum-integrated drug awareness to enhance students’ knowledge and resilience against substance use. </w:t>
      </w:r>
    </w:p>
    <w:p w14:paraId="64998F7C" w14:textId="77777777" w:rsidR="0046353D" w:rsidRPr="00B74C25" w:rsidRDefault="0046353D" w:rsidP="00EE1748">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Strengthening Parental Engagement and Family Support Systems:</w:t>
      </w:r>
      <w:r w:rsidRPr="00B74C25">
        <w:rPr>
          <w:rFonts w:ascii="Times New Roman" w:eastAsia="Times New Roman" w:hAnsi="Times New Roman" w:cs="Times New Roman"/>
          <w:sz w:val="24"/>
          <w:szCs w:val="24"/>
          <w:lang w:eastAsia="en-GB"/>
        </w:rPr>
        <w:br/>
        <w:t xml:space="preserve">Parents and guardians should be actively engaged through community sensitization initiatives aimed at improving supervision, communication, and emotional support for adolescents. Family-centered interventions should be promoted to mitigate risk factors associated with substance abuse. </w:t>
      </w:r>
    </w:p>
    <w:p w14:paraId="72227225" w14:textId="77777777" w:rsidR="0046353D" w:rsidRPr="00B74C25" w:rsidRDefault="0046353D" w:rsidP="00EE1748">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Expansion of Community-Based Awareness and Outreach Campaigns:</w:t>
      </w:r>
      <w:r w:rsidRPr="00B74C25">
        <w:rPr>
          <w:rFonts w:ascii="Times New Roman" w:eastAsia="Times New Roman" w:hAnsi="Times New Roman" w:cs="Times New Roman"/>
          <w:sz w:val="24"/>
          <w:szCs w:val="24"/>
          <w:lang w:eastAsia="en-GB"/>
        </w:rPr>
        <w:br/>
        <w:t xml:space="preserve">Targeted community interventions should be developed to raise awareness about the risks and consequences of substance abuse. Such campaigns should involve local leaders, healthcare practitioners, and youth organizations to ensure cultural relevance and wider reach among adolescents. </w:t>
      </w:r>
    </w:p>
    <w:p w14:paraId="2E81D713" w14:textId="77777777" w:rsidR="0046353D" w:rsidRPr="00B74C25" w:rsidRDefault="0046353D" w:rsidP="00EE1748">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Enhanced Enforcement of Drug Control Policies:</w:t>
      </w:r>
      <w:r w:rsidRPr="00B74C25">
        <w:rPr>
          <w:rFonts w:ascii="Times New Roman" w:eastAsia="Times New Roman" w:hAnsi="Times New Roman" w:cs="Times New Roman"/>
          <w:sz w:val="24"/>
          <w:szCs w:val="24"/>
          <w:lang w:eastAsia="en-GB"/>
        </w:rPr>
        <w:br/>
        <w:t xml:space="preserve">Relevant government and regulatory agencies should strengthen the enforcement of existing drug control laws to limit adolescents’ access to both licit and illicit substances. This includes monitoring the sale of controlled substances and implementing stricter penalties for violations. </w:t>
      </w:r>
    </w:p>
    <w:p w14:paraId="0B1E58E9" w14:textId="34B7FEC8" w:rsidR="0046353D" w:rsidRPr="00B74C25" w:rsidRDefault="0046353D" w:rsidP="00EE1748">
      <w:pPr>
        <w:numPr>
          <w:ilvl w:val="0"/>
          <w:numId w:val="10"/>
        </w:num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Integration of Adolescent Mental Health Services into Primary Healthcare:</w:t>
      </w:r>
      <w:r w:rsidRPr="00B74C25">
        <w:rPr>
          <w:rFonts w:ascii="Times New Roman" w:eastAsia="Times New Roman" w:hAnsi="Times New Roman" w:cs="Times New Roman"/>
          <w:sz w:val="24"/>
          <w:szCs w:val="24"/>
          <w:lang w:eastAsia="en-GB"/>
        </w:rPr>
        <w:br/>
        <w:t xml:space="preserve">Mental health services tailored to adolescents should be integrated into primary healthcare systems. This should include routine screening for substance use, </w:t>
      </w:r>
      <w:r w:rsidR="00074C80" w:rsidRPr="00B74C25">
        <w:rPr>
          <w:rFonts w:ascii="Times New Roman" w:eastAsia="Times New Roman" w:hAnsi="Times New Roman" w:cs="Times New Roman"/>
          <w:sz w:val="24"/>
          <w:szCs w:val="24"/>
          <w:lang w:eastAsia="en-GB"/>
        </w:rPr>
        <w:t>counselling</w:t>
      </w:r>
      <w:r w:rsidRPr="00B74C25">
        <w:rPr>
          <w:rFonts w:ascii="Times New Roman" w:eastAsia="Times New Roman" w:hAnsi="Times New Roman" w:cs="Times New Roman"/>
          <w:sz w:val="24"/>
          <w:szCs w:val="24"/>
          <w:lang w:eastAsia="en-GB"/>
        </w:rPr>
        <w:t xml:space="preserve"> services, and referral pathways for specialized care to address the psychological effects associated with substance abuse. </w:t>
      </w:r>
    </w:p>
    <w:p w14:paraId="264586FD" w14:textId="145699DB" w:rsidR="0046353D" w:rsidRPr="00074C80" w:rsidRDefault="0046353D" w:rsidP="00EE174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074C80">
        <w:rPr>
          <w:rFonts w:ascii="Times New Roman" w:eastAsia="Times New Roman" w:hAnsi="Times New Roman" w:cs="Times New Roman"/>
          <w:b/>
          <w:bCs/>
          <w:sz w:val="24"/>
          <w:szCs w:val="24"/>
          <w:lang w:eastAsia="en-GB"/>
        </w:rPr>
        <w:t>Limitations of the Study</w:t>
      </w:r>
    </w:p>
    <w:p w14:paraId="54584F0E" w14:textId="77777777" w:rsidR="0046353D" w:rsidRPr="00B74C25" w:rsidRDefault="0046353D" w:rsidP="00EE1748">
      <w:pPr>
        <w:spacing w:before="100" w:beforeAutospacing="1" w:after="100" w:afterAutospacing="1" w:line="360" w:lineRule="auto"/>
        <w:rPr>
          <w:rFonts w:ascii="Times New Roman" w:eastAsia="Times New Roman" w:hAnsi="Times New Roman" w:cs="Times New Roman"/>
          <w:sz w:val="24"/>
          <w:szCs w:val="24"/>
          <w:lang w:eastAsia="en-GB"/>
        </w:rPr>
      </w:pPr>
      <w:r w:rsidRPr="00B74C25">
        <w:rPr>
          <w:rFonts w:ascii="Times New Roman" w:eastAsia="Times New Roman" w:hAnsi="Times New Roman" w:cs="Times New Roman"/>
          <w:sz w:val="24"/>
          <w:szCs w:val="24"/>
          <w:lang w:eastAsia="en-GB"/>
        </w:rPr>
        <w:t>Despite the contributions of this study, certain limitations should be acknowledged:</w:t>
      </w:r>
    </w:p>
    <w:p w14:paraId="3DE06DF5" w14:textId="77777777" w:rsidR="00074C80" w:rsidRDefault="0046353D" w:rsidP="00074C80">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GB"/>
        </w:rPr>
      </w:pPr>
      <w:r w:rsidRPr="00074C80">
        <w:rPr>
          <w:rFonts w:ascii="Times New Roman" w:eastAsia="Times New Roman" w:hAnsi="Times New Roman" w:cs="Times New Roman"/>
          <w:sz w:val="24"/>
          <w:szCs w:val="24"/>
          <w:lang w:eastAsia="en-GB"/>
        </w:rPr>
        <w:t>Self-Reported Data:</w:t>
      </w:r>
      <w:r w:rsidRPr="00074C80">
        <w:rPr>
          <w:rFonts w:ascii="Times New Roman" w:eastAsia="Times New Roman" w:hAnsi="Times New Roman" w:cs="Times New Roman"/>
          <w:sz w:val="24"/>
          <w:szCs w:val="24"/>
          <w:lang w:eastAsia="en-GB"/>
        </w:rPr>
        <w:br/>
        <w:t xml:space="preserve">The study relied on self-reported information, which may be subject to recall bias and social desirability bias, potentially affecting the accuracy of responses. </w:t>
      </w:r>
    </w:p>
    <w:p w14:paraId="68A53A42" w14:textId="77777777" w:rsidR="00074C80" w:rsidRDefault="0046353D" w:rsidP="00074C80">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GB"/>
        </w:rPr>
      </w:pPr>
      <w:r w:rsidRPr="00074C80">
        <w:rPr>
          <w:rFonts w:ascii="Times New Roman" w:eastAsia="Times New Roman" w:hAnsi="Times New Roman" w:cs="Times New Roman"/>
          <w:sz w:val="24"/>
          <w:szCs w:val="24"/>
          <w:lang w:eastAsia="en-GB"/>
        </w:rPr>
        <w:lastRenderedPageBreak/>
        <w:t>Cross-Sectional Design:</w:t>
      </w:r>
      <w:r w:rsidRPr="00074C80">
        <w:rPr>
          <w:rFonts w:ascii="Times New Roman" w:eastAsia="Times New Roman" w:hAnsi="Times New Roman" w:cs="Times New Roman"/>
          <w:sz w:val="24"/>
          <w:szCs w:val="24"/>
          <w:lang w:eastAsia="en-GB"/>
        </w:rPr>
        <w:br/>
        <w:t xml:space="preserve">The use of a cross-sectional design limits the ability to establish causal relationships between socio-demographic factors and substance abuse outcomes. </w:t>
      </w:r>
    </w:p>
    <w:p w14:paraId="5F006678" w14:textId="4F54E2C8" w:rsidR="0046353D" w:rsidRDefault="0046353D" w:rsidP="00074C80">
      <w:pPr>
        <w:pStyle w:val="ListParagraph"/>
        <w:numPr>
          <w:ilvl w:val="0"/>
          <w:numId w:val="13"/>
        </w:numPr>
        <w:spacing w:before="100" w:beforeAutospacing="1" w:after="100" w:afterAutospacing="1" w:line="360" w:lineRule="auto"/>
        <w:rPr>
          <w:rFonts w:ascii="Times New Roman" w:eastAsia="Times New Roman" w:hAnsi="Times New Roman" w:cs="Times New Roman"/>
          <w:sz w:val="24"/>
          <w:szCs w:val="24"/>
          <w:lang w:eastAsia="en-GB"/>
        </w:rPr>
      </w:pPr>
      <w:r w:rsidRPr="00074C80">
        <w:rPr>
          <w:rFonts w:ascii="Times New Roman" w:eastAsia="Times New Roman" w:hAnsi="Times New Roman" w:cs="Times New Roman"/>
          <w:sz w:val="24"/>
          <w:szCs w:val="24"/>
          <w:lang w:eastAsia="en-GB"/>
        </w:rPr>
        <w:t>Limited Geographical Scope:</w:t>
      </w:r>
      <w:r w:rsidRPr="00074C80">
        <w:rPr>
          <w:rFonts w:ascii="Times New Roman" w:eastAsia="Times New Roman" w:hAnsi="Times New Roman" w:cs="Times New Roman"/>
          <w:sz w:val="24"/>
          <w:szCs w:val="24"/>
          <w:lang w:eastAsia="en-GB"/>
        </w:rPr>
        <w:br/>
        <w:t>The study was confined to Kokona Local Government Area, which may restrict the generalizability of the findings to other regions with differing socio-cultural and economic contexts</w:t>
      </w:r>
    </w:p>
    <w:p w14:paraId="068CE156" w14:textId="289AF5AE" w:rsidR="00C94828" w:rsidRDefault="00C94828" w:rsidP="00C94828">
      <w:pPr>
        <w:spacing w:before="100" w:beforeAutospacing="1" w:after="100" w:afterAutospacing="1" w:line="360" w:lineRule="auto"/>
        <w:rPr>
          <w:rFonts w:ascii="Times New Roman" w:eastAsia="Times New Roman" w:hAnsi="Times New Roman" w:cs="Times New Roman"/>
          <w:b/>
          <w:bCs/>
          <w:sz w:val="24"/>
          <w:szCs w:val="24"/>
          <w:lang w:eastAsia="en-GB"/>
        </w:rPr>
      </w:pPr>
      <w:r w:rsidRPr="00C94828">
        <w:rPr>
          <w:rFonts w:ascii="Times New Roman" w:eastAsia="Times New Roman" w:hAnsi="Times New Roman" w:cs="Times New Roman"/>
          <w:b/>
          <w:bCs/>
          <w:sz w:val="24"/>
          <w:szCs w:val="24"/>
          <w:lang w:eastAsia="en-GB"/>
        </w:rPr>
        <w:t>Acknowledgement</w:t>
      </w:r>
    </w:p>
    <w:p w14:paraId="5BCFDDF0" w14:textId="7B91414E" w:rsidR="00D144A1" w:rsidRPr="00D144A1" w:rsidRDefault="00D144A1" w:rsidP="00C94828">
      <w:pPr>
        <w:spacing w:before="100" w:beforeAutospacing="1" w:after="100" w:afterAutospacing="1" w:line="360" w:lineRule="auto"/>
        <w:rPr>
          <w:rFonts w:ascii="Times New Roman" w:eastAsia="Times New Roman" w:hAnsi="Times New Roman" w:cs="Times New Roman"/>
          <w:b/>
          <w:bCs/>
          <w:sz w:val="24"/>
          <w:szCs w:val="24"/>
          <w:lang w:eastAsia="en-GB"/>
        </w:rPr>
      </w:pPr>
      <w:r w:rsidRPr="00D144A1">
        <w:rPr>
          <w:rFonts w:ascii="Times New Roman" w:hAnsi="Times New Roman" w:cs="Times New Roman"/>
          <w:sz w:val="24"/>
          <w:szCs w:val="24"/>
        </w:rPr>
        <w:t xml:space="preserve">Stella Akayi Jibrin is hereby briefly acknowledged for her valuable contribution as a Research Assistant in the journal paper titled </w:t>
      </w:r>
      <w:r w:rsidRPr="00D144A1">
        <w:rPr>
          <w:rStyle w:val="Emphasis"/>
          <w:rFonts w:ascii="Times New Roman" w:hAnsi="Times New Roman" w:cs="Times New Roman"/>
          <w:sz w:val="24"/>
          <w:szCs w:val="24"/>
        </w:rPr>
        <w:t xml:space="preserve">“Socio-Demographic Effects of Substance Abuse </w:t>
      </w:r>
      <w:r w:rsidR="00AB4C29">
        <w:rPr>
          <w:rStyle w:val="Emphasis"/>
          <w:rFonts w:ascii="Times New Roman" w:hAnsi="Times New Roman" w:cs="Times New Roman"/>
          <w:sz w:val="24"/>
          <w:szCs w:val="24"/>
        </w:rPr>
        <w:t>Among</w:t>
      </w:r>
      <w:r w:rsidRPr="00D144A1">
        <w:rPr>
          <w:rStyle w:val="Emphasis"/>
          <w:rFonts w:ascii="Times New Roman" w:hAnsi="Times New Roman" w:cs="Times New Roman"/>
          <w:sz w:val="24"/>
          <w:szCs w:val="24"/>
        </w:rPr>
        <w:t xml:space="preserve"> Adolescents of Kokona LGA, Nasarawa State, Nigeria.”</w:t>
      </w:r>
      <w:r w:rsidRPr="00D144A1">
        <w:rPr>
          <w:rFonts w:ascii="Times New Roman" w:hAnsi="Times New Roman" w:cs="Times New Roman"/>
          <w:sz w:val="24"/>
          <w:szCs w:val="24"/>
        </w:rPr>
        <w:t xml:space="preserve"> Her support in data collection, organization, and overall research coordination is sincerely appreciated.</w:t>
      </w:r>
    </w:p>
    <w:p w14:paraId="36B40DF5" w14:textId="77777777" w:rsidR="00FF54B5" w:rsidRDefault="00C94828" w:rsidP="00FF54B5">
      <w:pPr>
        <w:spacing w:line="360" w:lineRule="auto"/>
        <w:jc w:val="both"/>
        <w:rPr>
          <w:rFonts w:ascii="Times New Roman" w:hAnsi="Times New Roman" w:cs="Times New Roman"/>
          <w:b/>
          <w:bCs/>
          <w:sz w:val="24"/>
          <w:szCs w:val="24"/>
        </w:rPr>
      </w:pPr>
      <w:r w:rsidRPr="00A1646A">
        <w:rPr>
          <w:rFonts w:ascii="Times New Roman" w:hAnsi="Times New Roman" w:cs="Times New Roman"/>
          <w:b/>
          <w:bCs/>
          <w:sz w:val="24"/>
          <w:szCs w:val="24"/>
        </w:rPr>
        <w:t>Reference</w:t>
      </w:r>
    </w:p>
    <w:p w14:paraId="32F4F336"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Adeboye, D., Udoh, C., &amp; Ogodo, J. (2016). Academic stress and substance use among </w:t>
      </w:r>
      <w:r w:rsidRPr="00C94828">
        <w:rPr>
          <w:rFonts w:ascii="Times New Roman" w:hAnsi="Times New Roman" w:cs="Times New Roman"/>
          <w:sz w:val="24"/>
          <w:szCs w:val="24"/>
        </w:rPr>
        <w:tab/>
        <w:t xml:space="preserve">secondary school students in Nigeria. </w:t>
      </w:r>
      <w:r w:rsidRPr="00C94828">
        <w:rPr>
          <w:rFonts w:ascii="Times New Roman" w:hAnsi="Times New Roman" w:cs="Times New Roman"/>
          <w:i/>
          <w:iCs/>
          <w:sz w:val="24"/>
          <w:szCs w:val="24"/>
        </w:rPr>
        <w:t xml:space="preserve">Nigerian Journal of Psychology and </w:t>
      </w:r>
      <w:r w:rsidRPr="00C94828">
        <w:rPr>
          <w:rFonts w:ascii="Times New Roman" w:hAnsi="Times New Roman" w:cs="Times New Roman"/>
          <w:i/>
          <w:iCs/>
          <w:sz w:val="24"/>
          <w:szCs w:val="24"/>
        </w:rPr>
        <w:tab/>
        <w:t>Education</w:t>
      </w:r>
      <w:r w:rsidRPr="00C94828">
        <w:rPr>
          <w:rFonts w:ascii="Times New Roman" w:hAnsi="Times New Roman" w:cs="Times New Roman"/>
          <w:sz w:val="24"/>
          <w:szCs w:val="24"/>
        </w:rPr>
        <w:t>, 12(3), 201–215.</w:t>
      </w:r>
    </w:p>
    <w:p w14:paraId="7A2322E0" w14:textId="77777777" w:rsidR="00C94828" w:rsidRPr="00C94828" w:rsidRDefault="00C94828" w:rsidP="00C94828">
      <w:pPr>
        <w:spacing w:line="360" w:lineRule="auto"/>
        <w:jc w:val="both"/>
        <w:rPr>
          <w:rFonts w:ascii="Times New Roman" w:hAnsi="Times New Roman" w:cs="Times New Roman"/>
          <w:sz w:val="24"/>
          <w:szCs w:val="24"/>
        </w:rPr>
      </w:pPr>
      <w:bookmarkStart w:id="9" w:name="_Hlk211500779"/>
      <w:r w:rsidRPr="00C94828">
        <w:rPr>
          <w:rFonts w:ascii="Times New Roman" w:hAnsi="Times New Roman" w:cs="Times New Roman"/>
          <w:sz w:val="24"/>
          <w:szCs w:val="24"/>
        </w:rPr>
        <w:t xml:space="preserve">Adu, A. O. P., &amp; Oluwatusin, A. O. (2024). </w:t>
      </w:r>
      <w:bookmarkEnd w:id="9"/>
      <w:r w:rsidRPr="00C94828">
        <w:rPr>
          <w:rFonts w:ascii="Times New Roman" w:hAnsi="Times New Roman" w:cs="Times New Roman"/>
          <w:sz w:val="24"/>
          <w:szCs w:val="24"/>
        </w:rPr>
        <w:t xml:space="preserve">Effects of drug use and substance abuse on </w:t>
      </w:r>
      <w:r w:rsidRPr="00C94828">
        <w:rPr>
          <w:rFonts w:ascii="Times New Roman" w:hAnsi="Times New Roman" w:cs="Times New Roman"/>
          <w:sz w:val="24"/>
          <w:szCs w:val="24"/>
        </w:rPr>
        <w:tab/>
        <w:t xml:space="preserve">students’ academic performance in Nigerian tertiary institutions. </w:t>
      </w:r>
      <w:r w:rsidRPr="00C94828">
        <w:rPr>
          <w:rFonts w:ascii="Times New Roman" w:hAnsi="Times New Roman" w:cs="Times New Roman"/>
          <w:i/>
          <w:iCs/>
          <w:sz w:val="24"/>
          <w:szCs w:val="24"/>
        </w:rPr>
        <w:t xml:space="preserve">Journal of </w:t>
      </w:r>
      <w:r w:rsidRPr="00C94828">
        <w:rPr>
          <w:rFonts w:ascii="Times New Roman" w:hAnsi="Times New Roman" w:cs="Times New Roman"/>
          <w:i/>
          <w:iCs/>
          <w:sz w:val="24"/>
          <w:szCs w:val="24"/>
        </w:rPr>
        <w:tab/>
        <w:t>Humanities and Social Policy, 10</w:t>
      </w:r>
      <w:r w:rsidRPr="00C94828">
        <w:rPr>
          <w:rFonts w:ascii="Times New Roman" w:hAnsi="Times New Roman" w:cs="Times New Roman"/>
          <w:sz w:val="24"/>
          <w:szCs w:val="24"/>
        </w:rPr>
        <w:t xml:space="preserve">(4), 108–115. </w:t>
      </w:r>
      <w:r w:rsidRPr="00C94828">
        <w:rPr>
          <w:rFonts w:ascii="Times New Roman" w:hAnsi="Times New Roman" w:cs="Times New Roman"/>
          <w:sz w:val="24"/>
          <w:szCs w:val="24"/>
        </w:rPr>
        <w:tab/>
        <w:t>https://doi.org/10.56201/jhsp.v10.no4.2024.pg108.115</w:t>
      </w:r>
    </w:p>
    <w:p w14:paraId="30FDD76C"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Bandura, A. (1977). </w:t>
      </w:r>
      <w:r w:rsidRPr="00C94828">
        <w:rPr>
          <w:rFonts w:ascii="Times New Roman" w:hAnsi="Times New Roman" w:cs="Times New Roman"/>
          <w:i/>
          <w:iCs/>
          <w:sz w:val="24"/>
          <w:szCs w:val="24"/>
        </w:rPr>
        <w:t>Social learning theory.</w:t>
      </w:r>
      <w:r w:rsidRPr="00C94828">
        <w:rPr>
          <w:rFonts w:ascii="Times New Roman" w:hAnsi="Times New Roman" w:cs="Times New Roman"/>
          <w:sz w:val="24"/>
          <w:szCs w:val="24"/>
        </w:rPr>
        <w:t xml:space="preserve"> Englewood Cliffs, NJ: Prentice Hall.</w:t>
      </w:r>
    </w:p>
    <w:p w14:paraId="153E2161"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Centers for Disease Control and Prevention. (2023). Youth risk behavior surveillance — </w:t>
      </w:r>
      <w:r w:rsidRPr="00C94828">
        <w:rPr>
          <w:rFonts w:ascii="Times New Roman" w:hAnsi="Times New Roman" w:cs="Times New Roman"/>
          <w:sz w:val="24"/>
          <w:szCs w:val="24"/>
        </w:rPr>
        <w:tab/>
        <w:t>United States, 2023</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Atlanta, GA: U.S. Department of Health and Human </w:t>
      </w:r>
      <w:r w:rsidRPr="00C94828">
        <w:rPr>
          <w:rFonts w:ascii="Times New Roman" w:hAnsi="Times New Roman" w:cs="Times New Roman"/>
          <w:sz w:val="24"/>
          <w:szCs w:val="24"/>
        </w:rPr>
        <w:tab/>
        <w:t>Services.</w:t>
      </w:r>
    </w:p>
    <w:p w14:paraId="0B93433C" w14:textId="77777777" w:rsidR="00C94828" w:rsidRPr="00C94828" w:rsidRDefault="00C94828" w:rsidP="00C94828">
      <w:pPr>
        <w:spacing w:line="360" w:lineRule="auto"/>
        <w:jc w:val="both"/>
        <w:rPr>
          <w:rFonts w:ascii="Times New Roman" w:hAnsi="Times New Roman" w:cs="Times New Roman"/>
          <w:sz w:val="24"/>
          <w:szCs w:val="24"/>
        </w:rPr>
      </w:pPr>
      <w:bookmarkStart w:id="10" w:name="_Hlk211502399"/>
      <w:r w:rsidRPr="00C94828">
        <w:rPr>
          <w:rFonts w:ascii="Times New Roman" w:hAnsi="Times New Roman" w:cs="Times New Roman"/>
          <w:sz w:val="24"/>
          <w:szCs w:val="24"/>
        </w:rPr>
        <w:t xml:space="preserve">Egga, </w:t>
      </w:r>
      <w:bookmarkEnd w:id="10"/>
      <w:r w:rsidRPr="00C94828">
        <w:rPr>
          <w:rFonts w:ascii="Times New Roman" w:hAnsi="Times New Roman" w:cs="Times New Roman"/>
          <w:sz w:val="24"/>
          <w:szCs w:val="24"/>
        </w:rPr>
        <w:t xml:space="preserve">D. K., </w:t>
      </w:r>
      <w:bookmarkStart w:id="11" w:name="_Hlk211457409"/>
      <w:r w:rsidRPr="00C94828">
        <w:rPr>
          <w:rFonts w:ascii="Times New Roman" w:hAnsi="Times New Roman" w:cs="Times New Roman"/>
          <w:sz w:val="24"/>
          <w:szCs w:val="24"/>
        </w:rPr>
        <w:t xml:space="preserve">Oduyoye, O., Jacob, I. A., Akinyoye, J., Alaku, A., &amp; Nwaru, </w:t>
      </w:r>
      <w:bookmarkEnd w:id="11"/>
      <w:r w:rsidRPr="00C94828">
        <w:rPr>
          <w:rFonts w:ascii="Times New Roman" w:hAnsi="Times New Roman" w:cs="Times New Roman"/>
          <w:sz w:val="24"/>
          <w:szCs w:val="24"/>
        </w:rPr>
        <w:t xml:space="preserve">B. I. (2024). </w:t>
      </w:r>
      <w:r w:rsidRPr="00C94828">
        <w:rPr>
          <w:rFonts w:ascii="Times New Roman" w:hAnsi="Times New Roman" w:cs="Times New Roman"/>
          <w:sz w:val="24"/>
          <w:szCs w:val="24"/>
        </w:rPr>
        <w:tab/>
        <w:t xml:space="preserve">Characterization of substance use pattern among secondary school students in </w:t>
      </w:r>
      <w:r w:rsidRPr="00C94828">
        <w:rPr>
          <w:rFonts w:ascii="Times New Roman" w:hAnsi="Times New Roman" w:cs="Times New Roman"/>
          <w:sz w:val="24"/>
          <w:szCs w:val="24"/>
        </w:rPr>
        <w:tab/>
        <w:t>Nasarawa State, Nigeria</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w:t>
      </w:r>
      <w:r w:rsidRPr="00C94828">
        <w:rPr>
          <w:rFonts w:ascii="Times New Roman" w:hAnsi="Times New Roman" w:cs="Times New Roman"/>
          <w:i/>
          <w:iCs/>
          <w:sz w:val="24"/>
          <w:szCs w:val="24"/>
        </w:rPr>
        <w:t>BMC Public Health</w:t>
      </w:r>
      <w:r w:rsidRPr="00C94828">
        <w:rPr>
          <w:rFonts w:ascii="Times New Roman" w:hAnsi="Times New Roman" w:cs="Times New Roman"/>
          <w:sz w:val="24"/>
          <w:szCs w:val="24"/>
        </w:rPr>
        <w:t xml:space="preserve">, 21(238), 1–13. </w:t>
      </w:r>
      <w:r w:rsidRPr="00C94828">
        <w:rPr>
          <w:rFonts w:ascii="Times New Roman" w:hAnsi="Times New Roman" w:cs="Times New Roman"/>
          <w:sz w:val="24"/>
          <w:szCs w:val="24"/>
        </w:rPr>
        <w:tab/>
        <w:t>https://doi.org/10.1186/s12889-024-02138-y</w:t>
      </w:r>
    </w:p>
    <w:p w14:paraId="2B8702BB"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lastRenderedPageBreak/>
        <w:t xml:space="preserve">Elom, M. O., Eze, J. C., &amp; Nwafor, I. J. (2025). Effects of drug abuse on mental health of </w:t>
      </w:r>
      <w:r w:rsidRPr="00C94828">
        <w:rPr>
          <w:rFonts w:ascii="Times New Roman" w:hAnsi="Times New Roman" w:cs="Times New Roman"/>
          <w:sz w:val="24"/>
          <w:szCs w:val="24"/>
        </w:rPr>
        <w:tab/>
        <w:t>secondary school students in Abakaliki, Ebonyi State,</w:t>
      </w:r>
      <w:r w:rsidRPr="00C94828">
        <w:rPr>
          <w:rFonts w:ascii="Times New Roman" w:hAnsi="Times New Roman" w:cs="Times New Roman"/>
          <w:i/>
          <w:iCs/>
          <w:sz w:val="24"/>
          <w:szCs w:val="24"/>
        </w:rPr>
        <w:t xml:space="preserve"> Nigeria.</w:t>
      </w:r>
      <w:r w:rsidRPr="00C94828">
        <w:rPr>
          <w:rFonts w:ascii="Times New Roman" w:hAnsi="Times New Roman" w:cs="Times New Roman"/>
          <w:sz w:val="24"/>
          <w:szCs w:val="24"/>
        </w:rPr>
        <w:t xml:space="preserve"> </w:t>
      </w:r>
      <w:r w:rsidRPr="00C94828">
        <w:rPr>
          <w:rFonts w:ascii="Times New Roman" w:hAnsi="Times New Roman" w:cs="Times New Roman"/>
          <w:i/>
          <w:iCs/>
          <w:sz w:val="24"/>
          <w:szCs w:val="24"/>
        </w:rPr>
        <w:t xml:space="preserve">International </w:t>
      </w:r>
      <w:r w:rsidRPr="00C94828">
        <w:rPr>
          <w:rFonts w:ascii="Times New Roman" w:hAnsi="Times New Roman" w:cs="Times New Roman"/>
          <w:i/>
          <w:iCs/>
          <w:sz w:val="24"/>
          <w:szCs w:val="24"/>
        </w:rPr>
        <w:tab/>
        <w:t>Journal of Adolescent Health and Education</w:t>
      </w:r>
      <w:r w:rsidRPr="00C94828">
        <w:rPr>
          <w:rFonts w:ascii="Times New Roman" w:hAnsi="Times New Roman" w:cs="Times New Roman"/>
          <w:sz w:val="24"/>
          <w:szCs w:val="24"/>
        </w:rPr>
        <w:t>, 19(1), 14–26.</w:t>
      </w:r>
    </w:p>
    <w:p w14:paraId="758080AB" w14:textId="77777777" w:rsidR="00C94828" w:rsidRPr="00C94828" w:rsidRDefault="00C94828" w:rsidP="00C94828">
      <w:pPr>
        <w:spacing w:line="360" w:lineRule="auto"/>
        <w:jc w:val="both"/>
        <w:rPr>
          <w:rFonts w:ascii="Times New Roman" w:hAnsi="Times New Roman" w:cs="Times New Roman"/>
          <w:sz w:val="24"/>
          <w:szCs w:val="24"/>
        </w:rPr>
      </w:pPr>
      <w:bookmarkStart w:id="12" w:name="_Hlk211501786"/>
      <w:r w:rsidRPr="00C94828">
        <w:rPr>
          <w:rFonts w:ascii="Times New Roman" w:hAnsi="Times New Roman" w:cs="Times New Roman"/>
          <w:sz w:val="24"/>
          <w:szCs w:val="24"/>
        </w:rPr>
        <w:t xml:space="preserve">Enueshike, P., Anyanwu, D. O., &amp; Owa-Onibiyo, F. T. (2022). </w:t>
      </w:r>
      <w:bookmarkEnd w:id="12"/>
      <w:r w:rsidRPr="00C94828">
        <w:rPr>
          <w:rFonts w:ascii="Times New Roman" w:hAnsi="Times New Roman" w:cs="Times New Roman"/>
          <w:sz w:val="24"/>
          <w:szCs w:val="24"/>
        </w:rPr>
        <w:t xml:space="preserve">Effects of drug abuse on </w:t>
      </w:r>
      <w:r w:rsidRPr="00C94828">
        <w:rPr>
          <w:rFonts w:ascii="Times New Roman" w:hAnsi="Times New Roman" w:cs="Times New Roman"/>
          <w:sz w:val="24"/>
          <w:szCs w:val="24"/>
        </w:rPr>
        <w:tab/>
        <w:t xml:space="preserve">youths’ education in Nasarawa State, Nigeria. </w:t>
      </w:r>
      <w:r w:rsidRPr="00C94828">
        <w:rPr>
          <w:rFonts w:ascii="Times New Roman" w:hAnsi="Times New Roman" w:cs="Times New Roman"/>
          <w:i/>
          <w:iCs/>
          <w:sz w:val="24"/>
          <w:szCs w:val="24"/>
        </w:rPr>
        <w:t xml:space="preserve">World Journal of Advanced </w:t>
      </w:r>
      <w:r w:rsidRPr="00C94828">
        <w:rPr>
          <w:rFonts w:ascii="Times New Roman" w:hAnsi="Times New Roman" w:cs="Times New Roman"/>
          <w:i/>
          <w:iCs/>
          <w:sz w:val="24"/>
          <w:szCs w:val="24"/>
        </w:rPr>
        <w:tab/>
        <w:t>Research and Reviews, 16</w:t>
      </w:r>
      <w:r w:rsidRPr="00C94828">
        <w:rPr>
          <w:rFonts w:ascii="Times New Roman" w:hAnsi="Times New Roman" w:cs="Times New Roman"/>
          <w:sz w:val="24"/>
          <w:szCs w:val="24"/>
        </w:rPr>
        <w:t xml:space="preserve">(1), 605–612. </w:t>
      </w:r>
      <w:r w:rsidRPr="00C94828">
        <w:rPr>
          <w:rFonts w:ascii="Times New Roman" w:hAnsi="Times New Roman" w:cs="Times New Roman"/>
          <w:sz w:val="24"/>
          <w:szCs w:val="24"/>
        </w:rPr>
        <w:tab/>
      </w:r>
      <w:hyperlink r:id="rId14" w:history="1">
        <w:r w:rsidRPr="00C94828">
          <w:rPr>
            <w:rStyle w:val="Hyperlink"/>
            <w:rFonts w:ascii="Times New Roman" w:hAnsi="Times New Roman" w:cs="Times New Roman"/>
            <w:color w:val="auto"/>
            <w:sz w:val="24"/>
            <w:szCs w:val="24"/>
          </w:rPr>
          <w:t>https://doi.org/10.30574/wjarr.2022.16.1.1058</w:t>
        </w:r>
      </w:hyperlink>
    </w:p>
    <w:p w14:paraId="5DD51DED"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Gift, A., &amp; Mweya, C. N. (2024). Prevalence and factors influencing substance abuse </w:t>
      </w:r>
      <w:r w:rsidRPr="00C94828">
        <w:rPr>
          <w:rFonts w:ascii="Times New Roman" w:hAnsi="Times New Roman" w:cs="Times New Roman"/>
          <w:sz w:val="24"/>
          <w:szCs w:val="24"/>
        </w:rPr>
        <w:tab/>
        <w:t>among secondary school students in Mbeya City, Tanzania</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w:t>
      </w:r>
      <w:r w:rsidRPr="00C94828">
        <w:rPr>
          <w:rFonts w:ascii="Times New Roman" w:hAnsi="Times New Roman" w:cs="Times New Roman"/>
          <w:i/>
          <w:iCs/>
          <w:sz w:val="24"/>
          <w:szCs w:val="24"/>
        </w:rPr>
        <w:t xml:space="preserve">African Journal of </w:t>
      </w:r>
      <w:r w:rsidRPr="00C94828">
        <w:rPr>
          <w:rFonts w:ascii="Times New Roman" w:hAnsi="Times New Roman" w:cs="Times New Roman"/>
          <w:i/>
          <w:iCs/>
          <w:sz w:val="24"/>
          <w:szCs w:val="24"/>
        </w:rPr>
        <w:tab/>
        <w:t>Health and Behavioral Studies</w:t>
      </w:r>
      <w:r w:rsidRPr="00C94828">
        <w:rPr>
          <w:rFonts w:ascii="Times New Roman" w:hAnsi="Times New Roman" w:cs="Times New Roman"/>
          <w:sz w:val="24"/>
          <w:szCs w:val="24"/>
        </w:rPr>
        <w:t>, 15(2), 87–101.</w:t>
      </w:r>
    </w:p>
    <w:p w14:paraId="53E9E609" w14:textId="77777777" w:rsidR="00C94828" w:rsidRPr="00C94828" w:rsidRDefault="00C94828" w:rsidP="00C94828">
      <w:pPr>
        <w:spacing w:line="360" w:lineRule="auto"/>
        <w:jc w:val="both"/>
        <w:rPr>
          <w:rFonts w:ascii="Times New Roman" w:hAnsi="Times New Roman" w:cs="Times New Roman"/>
          <w:sz w:val="24"/>
          <w:szCs w:val="24"/>
        </w:rPr>
      </w:pPr>
      <w:bookmarkStart w:id="13" w:name="_Hlk211499909"/>
      <w:r w:rsidRPr="00C94828">
        <w:rPr>
          <w:rFonts w:ascii="Times New Roman" w:hAnsi="Times New Roman" w:cs="Times New Roman"/>
          <w:sz w:val="24"/>
          <w:szCs w:val="24"/>
        </w:rPr>
        <w:t xml:space="preserve">Hemamalini, M., Elamathi, E., Rajathi, S., &amp; Narayanasamy, K. (2025). </w:t>
      </w:r>
      <w:bookmarkEnd w:id="13"/>
      <w:r w:rsidRPr="00C94828">
        <w:rPr>
          <w:rFonts w:ascii="Times New Roman" w:hAnsi="Times New Roman" w:cs="Times New Roman"/>
          <w:sz w:val="24"/>
          <w:szCs w:val="24"/>
        </w:rPr>
        <w:t xml:space="preserve">Effects of </w:t>
      </w:r>
      <w:r w:rsidRPr="00C94828">
        <w:rPr>
          <w:rFonts w:ascii="Times New Roman" w:hAnsi="Times New Roman" w:cs="Times New Roman"/>
          <w:sz w:val="24"/>
          <w:szCs w:val="24"/>
        </w:rPr>
        <w:tab/>
        <w:t xml:space="preserve">substance abuse among adolescents: A narrative review. </w:t>
      </w:r>
      <w:r w:rsidRPr="00C94828">
        <w:rPr>
          <w:rFonts w:ascii="Times New Roman" w:hAnsi="Times New Roman" w:cs="Times New Roman"/>
          <w:i/>
          <w:iCs/>
          <w:sz w:val="24"/>
          <w:szCs w:val="24"/>
        </w:rPr>
        <w:t xml:space="preserve">International Journal of </w:t>
      </w:r>
      <w:r w:rsidRPr="00C94828">
        <w:rPr>
          <w:rFonts w:ascii="Times New Roman" w:hAnsi="Times New Roman" w:cs="Times New Roman"/>
          <w:i/>
          <w:iCs/>
          <w:sz w:val="24"/>
          <w:szCs w:val="24"/>
        </w:rPr>
        <w:tab/>
        <w:t>Community Medicine and Public Health, 12</w:t>
      </w:r>
      <w:r w:rsidRPr="00C94828">
        <w:rPr>
          <w:rFonts w:ascii="Times New Roman" w:hAnsi="Times New Roman" w:cs="Times New Roman"/>
          <w:sz w:val="24"/>
          <w:szCs w:val="24"/>
        </w:rPr>
        <w:t xml:space="preserve">(10), 4812–4818. </w:t>
      </w:r>
      <w:r w:rsidRPr="00C94828">
        <w:rPr>
          <w:rFonts w:ascii="Times New Roman" w:hAnsi="Times New Roman" w:cs="Times New Roman"/>
          <w:sz w:val="24"/>
          <w:szCs w:val="24"/>
        </w:rPr>
        <w:tab/>
      </w:r>
      <w:hyperlink r:id="rId15" w:history="1">
        <w:r w:rsidRPr="00C94828">
          <w:rPr>
            <w:rStyle w:val="Hyperlink"/>
            <w:rFonts w:ascii="Times New Roman" w:hAnsi="Times New Roman" w:cs="Times New Roman"/>
            <w:color w:val="auto"/>
            <w:sz w:val="24"/>
            <w:szCs w:val="24"/>
          </w:rPr>
          <w:t>https://www.ijcmph.com</w:t>
        </w:r>
      </w:hyperlink>
    </w:p>
    <w:p w14:paraId="4F2AD869"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Jessor, R. (1991). Risk behavior in adolescence: A psychosocial framework for </w:t>
      </w:r>
      <w:r w:rsidRPr="00C94828">
        <w:rPr>
          <w:rFonts w:ascii="Times New Roman" w:hAnsi="Times New Roman" w:cs="Times New Roman"/>
          <w:sz w:val="24"/>
          <w:szCs w:val="24"/>
        </w:rPr>
        <w:tab/>
        <w:t xml:space="preserve">understanding and action. </w:t>
      </w:r>
      <w:r w:rsidRPr="00C94828">
        <w:rPr>
          <w:rFonts w:ascii="Times New Roman" w:hAnsi="Times New Roman" w:cs="Times New Roman"/>
          <w:i/>
          <w:iCs/>
          <w:sz w:val="24"/>
          <w:szCs w:val="24"/>
        </w:rPr>
        <w:t>Journal of Adolescent Health</w:t>
      </w:r>
      <w:r w:rsidRPr="00C94828">
        <w:rPr>
          <w:rFonts w:ascii="Times New Roman" w:hAnsi="Times New Roman" w:cs="Times New Roman"/>
          <w:sz w:val="24"/>
          <w:szCs w:val="24"/>
        </w:rPr>
        <w:t xml:space="preserve">, 12(8), 597–605. </w:t>
      </w:r>
      <w:r w:rsidRPr="00C94828">
        <w:rPr>
          <w:rFonts w:ascii="Times New Roman" w:hAnsi="Times New Roman" w:cs="Times New Roman"/>
          <w:sz w:val="24"/>
          <w:szCs w:val="24"/>
        </w:rPr>
        <w:tab/>
        <w:t>https://doi.org/10.1016/1054-139X(91)90007-K</w:t>
      </w:r>
    </w:p>
    <w:p w14:paraId="39BD18A0"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Jedynak, P., &amp; Motyka, M. (2020). Peer influence and adolescent risk behaviors: A </w:t>
      </w:r>
      <w:r w:rsidRPr="00C94828">
        <w:rPr>
          <w:rFonts w:ascii="Times New Roman" w:hAnsi="Times New Roman" w:cs="Times New Roman"/>
          <w:sz w:val="24"/>
          <w:szCs w:val="24"/>
        </w:rPr>
        <w:tab/>
        <w:t xml:space="preserve">systematic review. </w:t>
      </w:r>
      <w:r w:rsidRPr="00C94828">
        <w:rPr>
          <w:rFonts w:ascii="Times New Roman" w:hAnsi="Times New Roman" w:cs="Times New Roman"/>
          <w:i/>
          <w:iCs/>
          <w:sz w:val="24"/>
          <w:szCs w:val="24"/>
        </w:rPr>
        <w:t>Journal of Child and Adolescent Substance Abuse</w:t>
      </w:r>
      <w:r w:rsidRPr="00C94828">
        <w:rPr>
          <w:rFonts w:ascii="Times New Roman" w:hAnsi="Times New Roman" w:cs="Times New Roman"/>
          <w:sz w:val="24"/>
          <w:szCs w:val="24"/>
        </w:rPr>
        <w:t>, 29(3), 181–</w:t>
      </w:r>
      <w:r w:rsidRPr="00C94828">
        <w:rPr>
          <w:rFonts w:ascii="Times New Roman" w:hAnsi="Times New Roman" w:cs="Times New Roman"/>
          <w:sz w:val="24"/>
          <w:szCs w:val="24"/>
        </w:rPr>
        <w:tab/>
        <w:t>196.</w:t>
      </w:r>
    </w:p>
    <w:p w14:paraId="26667BDB"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Kandel, D. (2002). Stages and pathways of drug involvement: Examining the gateway </w:t>
      </w:r>
      <w:r w:rsidRPr="00C94828">
        <w:rPr>
          <w:rFonts w:ascii="Times New Roman" w:hAnsi="Times New Roman" w:cs="Times New Roman"/>
          <w:sz w:val="24"/>
          <w:szCs w:val="24"/>
        </w:rPr>
        <w:tab/>
        <w:t>hypothesis. Cambridge University Press.</w:t>
      </w:r>
    </w:p>
    <w:p w14:paraId="44AA5035"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Kolawole, T. O., Ogunyemi, A. O., &amp; Lucas, A. R. (2025). Prevalence of substance use </w:t>
      </w:r>
      <w:r w:rsidRPr="00C94828">
        <w:rPr>
          <w:rFonts w:ascii="Times New Roman" w:hAnsi="Times New Roman" w:cs="Times New Roman"/>
          <w:sz w:val="24"/>
          <w:szCs w:val="24"/>
        </w:rPr>
        <w:tab/>
        <w:t xml:space="preserve">and knowledge of its effects among secondary school students in Lagos State, </w:t>
      </w:r>
      <w:r w:rsidRPr="00C94828">
        <w:rPr>
          <w:rFonts w:ascii="Times New Roman" w:hAnsi="Times New Roman" w:cs="Times New Roman"/>
          <w:sz w:val="24"/>
          <w:szCs w:val="24"/>
        </w:rPr>
        <w:tab/>
        <w:t>Nigeria</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w:t>
      </w:r>
      <w:r w:rsidRPr="00C94828">
        <w:rPr>
          <w:rFonts w:ascii="Times New Roman" w:hAnsi="Times New Roman" w:cs="Times New Roman"/>
          <w:i/>
          <w:iCs/>
          <w:sz w:val="24"/>
          <w:szCs w:val="24"/>
        </w:rPr>
        <w:t>Journal of Educational Health Promotion</w:t>
      </w:r>
      <w:r w:rsidRPr="00C94828">
        <w:rPr>
          <w:rFonts w:ascii="Times New Roman" w:hAnsi="Times New Roman" w:cs="Times New Roman"/>
          <w:sz w:val="24"/>
          <w:szCs w:val="24"/>
        </w:rPr>
        <w:t>, 14(2), 33–45.</w:t>
      </w:r>
    </w:p>
    <w:p w14:paraId="54D3DE50"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Kovacs, M., Parker, G., &amp; Mullen, P. (2011). Family dysfunction and adolescent drug </w:t>
      </w:r>
      <w:r w:rsidRPr="00C94828">
        <w:rPr>
          <w:rFonts w:ascii="Times New Roman" w:hAnsi="Times New Roman" w:cs="Times New Roman"/>
          <w:sz w:val="24"/>
          <w:szCs w:val="24"/>
        </w:rPr>
        <w:tab/>
        <w:t>abuse: A developmental perspective. Addictive Behaviors, 36(5), 473–480.</w:t>
      </w:r>
    </w:p>
    <w:p w14:paraId="5F0493D4" w14:textId="77777777" w:rsidR="00C94828" w:rsidRPr="00C94828" w:rsidRDefault="00C94828" w:rsidP="00C94828">
      <w:pPr>
        <w:spacing w:line="360" w:lineRule="auto"/>
        <w:jc w:val="both"/>
        <w:rPr>
          <w:rFonts w:ascii="Times New Roman" w:hAnsi="Times New Roman" w:cs="Times New Roman"/>
          <w:sz w:val="24"/>
          <w:szCs w:val="24"/>
        </w:rPr>
      </w:pPr>
      <w:bookmarkStart w:id="14" w:name="_Hlk211500520"/>
      <w:r w:rsidRPr="00C94828">
        <w:rPr>
          <w:rFonts w:ascii="Times New Roman" w:hAnsi="Times New Roman" w:cs="Times New Roman"/>
          <w:sz w:val="24"/>
          <w:szCs w:val="24"/>
        </w:rPr>
        <w:t xml:space="preserve">Marsiglia, F. F., Huang, C.-K., Williams, J. H., Munyuwiny, S., Makunyane, L., Molobe, </w:t>
      </w:r>
      <w:r w:rsidRPr="00C94828">
        <w:rPr>
          <w:rFonts w:ascii="Times New Roman" w:hAnsi="Times New Roman" w:cs="Times New Roman"/>
          <w:sz w:val="24"/>
          <w:szCs w:val="24"/>
        </w:rPr>
        <w:tab/>
        <w:t xml:space="preserve">D. I., Freeman, R., Kulis, S., Ogbonnaya, I., &amp; Lightfoot, E. (2024). </w:t>
      </w:r>
      <w:bookmarkEnd w:id="14"/>
      <w:r w:rsidRPr="00C94828">
        <w:rPr>
          <w:rFonts w:ascii="Times New Roman" w:hAnsi="Times New Roman" w:cs="Times New Roman"/>
          <w:sz w:val="24"/>
          <w:szCs w:val="24"/>
        </w:rPr>
        <w:t xml:space="preserve">Substance </w:t>
      </w:r>
      <w:r w:rsidRPr="00C94828">
        <w:rPr>
          <w:rFonts w:ascii="Times New Roman" w:hAnsi="Times New Roman" w:cs="Times New Roman"/>
          <w:sz w:val="24"/>
          <w:szCs w:val="24"/>
        </w:rPr>
        <w:tab/>
        <w:t xml:space="preserve">use among adolescents in Sub-Saharan Africa: A narrative review of </w:t>
      </w:r>
      <w:r w:rsidRPr="00C94828">
        <w:rPr>
          <w:rFonts w:ascii="Times New Roman" w:hAnsi="Times New Roman" w:cs="Times New Roman"/>
          <w:sz w:val="24"/>
          <w:szCs w:val="24"/>
        </w:rPr>
        <w:tab/>
        <w:t>epidemiological data. African</w:t>
      </w:r>
      <w:r w:rsidRPr="00C94828">
        <w:rPr>
          <w:rFonts w:ascii="Times New Roman" w:hAnsi="Times New Roman" w:cs="Times New Roman"/>
          <w:i/>
          <w:iCs/>
          <w:sz w:val="24"/>
          <w:szCs w:val="24"/>
        </w:rPr>
        <w:t xml:space="preserve"> Journal of Alcohol and Drug Abuse, 12</w:t>
      </w:r>
      <w:r w:rsidRPr="00C94828">
        <w:rPr>
          <w:rFonts w:ascii="Times New Roman" w:hAnsi="Times New Roman" w:cs="Times New Roman"/>
          <w:sz w:val="24"/>
          <w:szCs w:val="24"/>
        </w:rPr>
        <w:t xml:space="preserve">(1), Article </w:t>
      </w:r>
      <w:r w:rsidRPr="00C94828">
        <w:rPr>
          <w:rFonts w:ascii="Times New Roman" w:hAnsi="Times New Roman" w:cs="Times New Roman"/>
          <w:sz w:val="24"/>
          <w:szCs w:val="24"/>
        </w:rPr>
        <w:tab/>
        <w:t>5. https://doi.org/10.4314/ajada.v12i1.5</w:t>
      </w:r>
    </w:p>
    <w:p w14:paraId="4DA81404"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lastRenderedPageBreak/>
        <w:t xml:space="preserve">Mukhtar, N. W., &amp; Khalied, A. P. (2022). Drug abuse and academic performance among </w:t>
      </w:r>
      <w:r w:rsidRPr="00C94828">
        <w:rPr>
          <w:rFonts w:ascii="Times New Roman" w:hAnsi="Times New Roman" w:cs="Times New Roman"/>
          <w:sz w:val="24"/>
          <w:szCs w:val="24"/>
        </w:rPr>
        <w:tab/>
        <w:t xml:space="preserve">secondary school students in Yauri Local Government Area of Kebbi State. </w:t>
      </w:r>
      <w:r w:rsidRPr="00C94828">
        <w:rPr>
          <w:rFonts w:ascii="Times New Roman" w:hAnsi="Times New Roman" w:cs="Times New Roman"/>
          <w:sz w:val="24"/>
          <w:szCs w:val="24"/>
        </w:rPr>
        <w:tab/>
      </w:r>
      <w:r w:rsidRPr="00C94828">
        <w:rPr>
          <w:rFonts w:ascii="Times New Roman" w:hAnsi="Times New Roman" w:cs="Times New Roman"/>
          <w:i/>
          <w:iCs/>
          <w:sz w:val="24"/>
          <w:szCs w:val="24"/>
        </w:rPr>
        <w:t>Journal of Educational Research and Development</w:t>
      </w:r>
      <w:r w:rsidRPr="00C94828">
        <w:rPr>
          <w:rFonts w:ascii="Times New Roman" w:hAnsi="Times New Roman" w:cs="Times New Roman"/>
          <w:sz w:val="24"/>
          <w:szCs w:val="24"/>
        </w:rPr>
        <w:t>, 9(1), 55–69.</w:t>
      </w:r>
    </w:p>
    <w:p w14:paraId="4414BBCA" w14:textId="77777777" w:rsidR="00C94828" w:rsidRPr="00C94828" w:rsidRDefault="00C94828" w:rsidP="00C94828">
      <w:pPr>
        <w:spacing w:line="360" w:lineRule="auto"/>
        <w:jc w:val="both"/>
        <w:rPr>
          <w:rFonts w:ascii="Times New Roman" w:hAnsi="Times New Roman" w:cs="Times New Roman"/>
          <w:sz w:val="24"/>
          <w:szCs w:val="24"/>
        </w:rPr>
      </w:pPr>
      <w:bookmarkStart w:id="15" w:name="_Hlk211501312"/>
      <w:r w:rsidRPr="00C94828">
        <w:rPr>
          <w:rFonts w:ascii="Times New Roman" w:hAnsi="Times New Roman" w:cs="Times New Roman"/>
          <w:sz w:val="24"/>
          <w:szCs w:val="24"/>
        </w:rPr>
        <w:t xml:space="preserve">Nabofa, O. E. (2021). </w:t>
      </w:r>
      <w:bookmarkEnd w:id="15"/>
      <w:r w:rsidRPr="00C94828">
        <w:rPr>
          <w:rFonts w:ascii="Times New Roman" w:hAnsi="Times New Roman" w:cs="Times New Roman"/>
          <w:sz w:val="24"/>
          <w:szCs w:val="24"/>
        </w:rPr>
        <w:t xml:space="preserve">New trend of drugs abused by secondary school students in </w:t>
      </w:r>
      <w:r w:rsidRPr="00C94828">
        <w:rPr>
          <w:rFonts w:ascii="Times New Roman" w:hAnsi="Times New Roman" w:cs="Times New Roman"/>
          <w:sz w:val="24"/>
          <w:szCs w:val="24"/>
        </w:rPr>
        <w:tab/>
        <w:t xml:space="preserve">Nigeria. </w:t>
      </w:r>
      <w:r w:rsidRPr="00C94828">
        <w:rPr>
          <w:rFonts w:ascii="Times New Roman" w:hAnsi="Times New Roman" w:cs="Times New Roman"/>
          <w:i/>
          <w:iCs/>
          <w:sz w:val="24"/>
          <w:szCs w:val="24"/>
        </w:rPr>
        <w:t>African Health Sciences, 21</w:t>
      </w:r>
      <w:r w:rsidRPr="00C94828">
        <w:rPr>
          <w:rFonts w:ascii="Times New Roman" w:hAnsi="Times New Roman" w:cs="Times New Roman"/>
          <w:sz w:val="24"/>
          <w:szCs w:val="24"/>
        </w:rPr>
        <w:t xml:space="preserve">(3), 1460–1466. </w:t>
      </w:r>
      <w:r w:rsidRPr="00C94828">
        <w:rPr>
          <w:rFonts w:ascii="Times New Roman" w:hAnsi="Times New Roman" w:cs="Times New Roman"/>
          <w:sz w:val="24"/>
          <w:szCs w:val="24"/>
        </w:rPr>
        <w:tab/>
      </w:r>
      <w:hyperlink r:id="rId16" w:history="1">
        <w:r w:rsidRPr="00C94828">
          <w:rPr>
            <w:rStyle w:val="Hyperlink"/>
            <w:rFonts w:ascii="Times New Roman" w:hAnsi="Times New Roman" w:cs="Times New Roman"/>
            <w:color w:val="auto"/>
            <w:sz w:val="24"/>
            <w:szCs w:val="24"/>
          </w:rPr>
          <w:t>https://doi.org/10.4314/ahs.v21i3.57</w:t>
        </w:r>
      </w:hyperlink>
    </w:p>
    <w:p w14:paraId="6A750228"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National Drug Law Enforcement Agency (NDLEA). (2022). National drug use survey </w:t>
      </w:r>
      <w:r w:rsidRPr="00C94828">
        <w:rPr>
          <w:rFonts w:ascii="Times New Roman" w:hAnsi="Times New Roman" w:cs="Times New Roman"/>
          <w:sz w:val="24"/>
          <w:szCs w:val="24"/>
        </w:rPr>
        <w:tab/>
        <w:t>report</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Abuja: Federal Government of Nigeria.</w:t>
      </w:r>
    </w:p>
    <w:p w14:paraId="25E0A734" w14:textId="77777777" w:rsidR="00C94828" w:rsidRPr="00B42C69"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National Institute on Drug Abuse (NIDA). (2024, December 17). Reported use of most </w:t>
      </w:r>
      <w:r w:rsidRPr="00C94828">
        <w:rPr>
          <w:rFonts w:ascii="Times New Roman" w:hAnsi="Times New Roman" w:cs="Times New Roman"/>
          <w:sz w:val="24"/>
          <w:szCs w:val="24"/>
        </w:rPr>
        <w:tab/>
        <w:t xml:space="preserve">drugs among adolescents remained low in 2024. Retrieved August 30, 2025, from </w:t>
      </w:r>
      <w:r w:rsidRPr="00C94828">
        <w:rPr>
          <w:rFonts w:ascii="Times New Roman" w:hAnsi="Times New Roman" w:cs="Times New Roman"/>
          <w:sz w:val="24"/>
          <w:szCs w:val="24"/>
        </w:rPr>
        <w:tab/>
      </w:r>
      <w:hyperlink r:id="rId17" w:history="1">
        <w:r w:rsidRPr="00B42C69">
          <w:rPr>
            <w:rStyle w:val="Hyperlink"/>
            <w:rFonts w:ascii="Times New Roman" w:hAnsi="Times New Roman" w:cs="Times New Roman"/>
            <w:color w:val="auto"/>
            <w:sz w:val="24"/>
            <w:szCs w:val="24"/>
            <w:u w:val="none"/>
          </w:rPr>
          <w:t>https://nida.nih.gov/news-events/news-releases/2024/12/reported-use-of-most-</w:t>
        </w:r>
        <w:r w:rsidRPr="00B42C69">
          <w:rPr>
            <w:rStyle w:val="Hyperlink"/>
            <w:rFonts w:ascii="Times New Roman" w:hAnsi="Times New Roman" w:cs="Times New Roman"/>
            <w:color w:val="auto"/>
            <w:sz w:val="24"/>
            <w:szCs w:val="24"/>
            <w:u w:val="none"/>
          </w:rPr>
          <w:tab/>
          <w:t>drugs-among-adolescents-remained-low-in-2024</w:t>
        </w:r>
      </w:hyperlink>
    </w:p>
    <w:p w14:paraId="367B343B"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Nyameh, J. (2023). Prevalence, predictors, and psychosocial effects of drug and </w:t>
      </w:r>
      <w:r w:rsidRPr="00C94828">
        <w:rPr>
          <w:rFonts w:ascii="Times New Roman" w:hAnsi="Times New Roman" w:cs="Times New Roman"/>
          <w:sz w:val="24"/>
          <w:szCs w:val="24"/>
        </w:rPr>
        <w:tab/>
        <w:t xml:space="preserve">substance use among secondary school students in North-Eastern Nigeria: A </w:t>
      </w:r>
      <w:r w:rsidRPr="00C94828">
        <w:rPr>
          <w:rFonts w:ascii="Times New Roman" w:hAnsi="Times New Roman" w:cs="Times New Roman"/>
          <w:sz w:val="24"/>
          <w:szCs w:val="24"/>
        </w:rPr>
        <w:tab/>
        <w:t xml:space="preserve">review. </w:t>
      </w:r>
      <w:r w:rsidRPr="00C94828">
        <w:rPr>
          <w:rFonts w:ascii="Times New Roman" w:hAnsi="Times New Roman" w:cs="Times New Roman"/>
          <w:i/>
          <w:iCs/>
          <w:sz w:val="24"/>
          <w:szCs w:val="24"/>
        </w:rPr>
        <w:t>Journal of Substance Abuse and Society</w:t>
      </w:r>
      <w:r w:rsidRPr="00C94828">
        <w:rPr>
          <w:rFonts w:ascii="Times New Roman" w:hAnsi="Times New Roman" w:cs="Times New Roman"/>
          <w:sz w:val="24"/>
          <w:szCs w:val="24"/>
        </w:rPr>
        <w:t>, 6(1), 20–36.</w:t>
      </w:r>
    </w:p>
    <w:p w14:paraId="2F8F9A12"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Obogo, E. A., &amp; Njoku, A. U. (2017). Drug abuse and academic performance of senior </w:t>
      </w:r>
      <w:r w:rsidRPr="00C94828">
        <w:rPr>
          <w:rFonts w:ascii="Times New Roman" w:hAnsi="Times New Roman" w:cs="Times New Roman"/>
          <w:sz w:val="24"/>
          <w:szCs w:val="24"/>
        </w:rPr>
        <w:tab/>
        <w:t xml:space="preserve">secondary school students in Calabar Education Zone of Cross River State, </w:t>
      </w:r>
      <w:r w:rsidRPr="00C94828">
        <w:rPr>
          <w:rFonts w:ascii="Times New Roman" w:hAnsi="Times New Roman" w:cs="Times New Roman"/>
          <w:sz w:val="24"/>
          <w:szCs w:val="24"/>
        </w:rPr>
        <w:tab/>
        <w:t xml:space="preserve">Nigeria. </w:t>
      </w:r>
      <w:r w:rsidRPr="00C94828">
        <w:rPr>
          <w:rFonts w:ascii="Times New Roman" w:hAnsi="Times New Roman" w:cs="Times New Roman"/>
          <w:i/>
          <w:iCs/>
          <w:sz w:val="24"/>
          <w:szCs w:val="24"/>
        </w:rPr>
        <w:t>Journal of Educational Psychology and Counseling</w:t>
      </w:r>
      <w:r w:rsidRPr="00C94828">
        <w:rPr>
          <w:rFonts w:ascii="Times New Roman" w:hAnsi="Times New Roman" w:cs="Times New Roman"/>
          <w:sz w:val="24"/>
          <w:szCs w:val="24"/>
        </w:rPr>
        <w:t>, 5(2), 55–70.</w:t>
      </w:r>
    </w:p>
    <w:p w14:paraId="331667D3"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Okumu, A. J. (2024). Effects of drugs and substance abuse on students’ academic </w:t>
      </w:r>
      <w:r w:rsidRPr="00C94828">
        <w:rPr>
          <w:rFonts w:ascii="Times New Roman" w:hAnsi="Times New Roman" w:cs="Times New Roman"/>
          <w:sz w:val="24"/>
          <w:szCs w:val="24"/>
        </w:rPr>
        <w:tab/>
        <w:t>performance in secondary schools in Turkana County, Kenya. East African</w:t>
      </w:r>
      <w:r w:rsidRPr="00C94828">
        <w:rPr>
          <w:rFonts w:ascii="Times New Roman" w:hAnsi="Times New Roman" w:cs="Times New Roman"/>
          <w:i/>
          <w:iCs/>
          <w:sz w:val="24"/>
          <w:szCs w:val="24"/>
        </w:rPr>
        <w:t xml:space="preserve"> </w:t>
      </w:r>
      <w:r w:rsidRPr="00C94828">
        <w:rPr>
          <w:rFonts w:ascii="Times New Roman" w:hAnsi="Times New Roman" w:cs="Times New Roman"/>
          <w:i/>
          <w:iCs/>
          <w:sz w:val="24"/>
          <w:szCs w:val="24"/>
        </w:rPr>
        <w:tab/>
        <w:t>Journal of Education and Social Sciences</w:t>
      </w:r>
      <w:r w:rsidRPr="00C94828">
        <w:rPr>
          <w:rFonts w:ascii="Times New Roman" w:hAnsi="Times New Roman" w:cs="Times New Roman"/>
          <w:sz w:val="24"/>
          <w:szCs w:val="24"/>
        </w:rPr>
        <w:t>, 5(1), 102–115.</w:t>
      </w:r>
    </w:p>
    <w:p w14:paraId="7D99E7D5"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Oshodi, O. Y., Aina, O. F., &amp; Onajole, A. T. (2022). Substance use among secondary </w:t>
      </w:r>
      <w:r w:rsidRPr="00C94828">
        <w:rPr>
          <w:rFonts w:ascii="Times New Roman" w:hAnsi="Times New Roman" w:cs="Times New Roman"/>
          <w:sz w:val="24"/>
          <w:szCs w:val="24"/>
        </w:rPr>
        <w:tab/>
        <w:t xml:space="preserve">school students and associated protective factors in Nigeria. </w:t>
      </w:r>
      <w:r w:rsidRPr="00C94828">
        <w:rPr>
          <w:rFonts w:ascii="Times New Roman" w:hAnsi="Times New Roman" w:cs="Times New Roman"/>
          <w:i/>
          <w:iCs/>
          <w:sz w:val="24"/>
          <w:szCs w:val="24"/>
        </w:rPr>
        <w:t xml:space="preserve">African Journal of </w:t>
      </w:r>
      <w:r w:rsidRPr="00C94828">
        <w:rPr>
          <w:rFonts w:ascii="Times New Roman" w:hAnsi="Times New Roman" w:cs="Times New Roman"/>
          <w:i/>
          <w:iCs/>
          <w:sz w:val="24"/>
          <w:szCs w:val="24"/>
        </w:rPr>
        <w:tab/>
        <w:t>Psychiatry</w:t>
      </w:r>
      <w:r w:rsidRPr="00C94828">
        <w:rPr>
          <w:rFonts w:ascii="Times New Roman" w:hAnsi="Times New Roman" w:cs="Times New Roman"/>
          <w:sz w:val="24"/>
          <w:szCs w:val="24"/>
        </w:rPr>
        <w:t>, 25(4), 321–334.</w:t>
      </w:r>
    </w:p>
    <w:p w14:paraId="145FE2F3"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Rosenstock, I. M. (1974). </w:t>
      </w:r>
      <w:r w:rsidRPr="00C94828">
        <w:rPr>
          <w:rFonts w:ascii="Times New Roman" w:hAnsi="Times New Roman" w:cs="Times New Roman"/>
          <w:i/>
          <w:iCs/>
          <w:sz w:val="24"/>
          <w:szCs w:val="24"/>
        </w:rPr>
        <w:t>Historical origins of the Health Belief Model.</w:t>
      </w:r>
      <w:r w:rsidRPr="00C94828">
        <w:rPr>
          <w:rFonts w:ascii="Times New Roman" w:hAnsi="Times New Roman" w:cs="Times New Roman"/>
          <w:sz w:val="24"/>
          <w:szCs w:val="24"/>
        </w:rPr>
        <w:t xml:space="preserve"> </w:t>
      </w:r>
      <w:r w:rsidRPr="00C94828">
        <w:rPr>
          <w:rFonts w:ascii="Times New Roman" w:hAnsi="Times New Roman" w:cs="Times New Roman"/>
          <w:i/>
          <w:iCs/>
          <w:sz w:val="24"/>
          <w:szCs w:val="24"/>
        </w:rPr>
        <w:t xml:space="preserve">Health </w:t>
      </w:r>
      <w:r w:rsidRPr="00C94828">
        <w:rPr>
          <w:rFonts w:ascii="Times New Roman" w:hAnsi="Times New Roman" w:cs="Times New Roman"/>
          <w:i/>
          <w:iCs/>
          <w:sz w:val="24"/>
          <w:szCs w:val="24"/>
        </w:rPr>
        <w:tab/>
        <w:t>Education Monographs</w:t>
      </w:r>
      <w:r w:rsidRPr="00C94828">
        <w:rPr>
          <w:rFonts w:ascii="Times New Roman" w:hAnsi="Times New Roman" w:cs="Times New Roman"/>
          <w:sz w:val="24"/>
          <w:szCs w:val="24"/>
        </w:rPr>
        <w:t>, 2(4), 328–335.</w:t>
      </w:r>
    </w:p>
    <w:p w14:paraId="3D922E76"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Smith, L., Johnson, R., &amp; White, A. (2018). Substance use among African adolescents: </w:t>
      </w:r>
      <w:r w:rsidRPr="00C94828">
        <w:rPr>
          <w:rFonts w:ascii="Times New Roman" w:hAnsi="Times New Roman" w:cs="Times New Roman"/>
          <w:sz w:val="24"/>
          <w:szCs w:val="24"/>
        </w:rPr>
        <w:tab/>
        <w:t xml:space="preserve">Prevalence and correlates across six countries. </w:t>
      </w:r>
      <w:r w:rsidRPr="00C94828">
        <w:rPr>
          <w:rFonts w:ascii="Times New Roman" w:hAnsi="Times New Roman" w:cs="Times New Roman"/>
          <w:i/>
          <w:iCs/>
          <w:sz w:val="24"/>
          <w:szCs w:val="24"/>
        </w:rPr>
        <w:t xml:space="preserve">African Journal of Psychology and </w:t>
      </w:r>
      <w:r w:rsidRPr="00C94828">
        <w:rPr>
          <w:rFonts w:ascii="Times New Roman" w:hAnsi="Times New Roman" w:cs="Times New Roman"/>
          <w:i/>
          <w:iCs/>
          <w:sz w:val="24"/>
          <w:szCs w:val="24"/>
        </w:rPr>
        <w:tab/>
        <w:t>Health</w:t>
      </w:r>
      <w:r w:rsidRPr="00C94828">
        <w:rPr>
          <w:rFonts w:ascii="Times New Roman" w:hAnsi="Times New Roman" w:cs="Times New Roman"/>
          <w:sz w:val="24"/>
          <w:szCs w:val="24"/>
        </w:rPr>
        <w:t>, 7(2), 47–61.</w:t>
      </w:r>
    </w:p>
    <w:p w14:paraId="2C0D48D3"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lastRenderedPageBreak/>
        <w:t xml:space="preserve">Substance Abuse and Mental Health Services Administration (SAMHSA). (2023). </w:t>
      </w:r>
      <w:r w:rsidRPr="00C94828">
        <w:rPr>
          <w:rFonts w:ascii="Times New Roman" w:hAnsi="Times New Roman" w:cs="Times New Roman"/>
          <w:sz w:val="24"/>
          <w:szCs w:val="24"/>
        </w:rPr>
        <w:tab/>
        <w:t>National survey on drug use and health: 2023 annual report</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Rockville, MD: U.S. </w:t>
      </w:r>
      <w:r w:rsidRPr="00C94828">
        <w:rPr>
          <w:rFonts w:ascii="Times New Roman" w:hAnsi="Times New Roman" w:cs="Times New Roman"/>
          <w:sz w:val="24"/>
          <w:szCs w:val="24"/>
        </w:rPr>
        <w:tab/>
        <w:t>Department of Health and Human Services.</w:t>
      </w:r>
    </w:p>
    <w:p w14:paraId="14AF85F8"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United Nations Children’s Fund (UNICEF). (2022). Adolescence: A critical period of </w:t>
      </w:r>
      <w:r w:rsidRPr="00C94828">
        <w:rPr>
          <w:rFonts w:ascii="Times New Roman" w:hAnsi="Times New Roman" w:cs="Times New Roman"/>
          <w:sz w:val="24"/>
          <w:szCs w:val="24"/>
        </w:rPr>
        <w:tab/>
        <w:t>growth and vulnerability</w:t>
      </w:r>
      <w:r w:rsidRPr="00C94828">
        <w:rPr>
          <w:rFonts w:ascii="Times New Roman" w:hAnsi="Times New Roman" w:cs="Times New Roman"/>
          <w:i/>
          <w:iCs/>
          <w:sz w:val="24"/>
          <w:szCs w:val="24"/>
        </w:rPr>
        <w:t>.</w:t>
      </w:r>
      <w:r w:rsidRPr="00C94828">
        <w:rPr>
          <w:rFonts w:ascii="Times New Roman" w:hAnsi="Times New Roman" w:cs="Times New Roman"/>
          <w:sz w:val="24"/>
          <w:szCs w:val="24"/>
        </w:rPr>
        <w:t xml:space="preserve"> New York, NY: UNICEF Publications.</w:t>
      </w:r>
    </w:p>
    <w:p w14:paraId="2CB3413A"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United Nations Office on Drugs and Crime (UNODC). (2023). World drug report 2023: </w:t>
      </w:r>
      <w:r w:rsidRPr="00C94828">
        <w:rPr>
          <w:rFonts w:ascii="Times New Roman" w:hAnsi="Times New Roman" w:cs="Times New Roman"/>
          <w:sz w:val="24"/>
          <w:szCs w:val="24"/>
        </w:rPr>
        <w:tab/>
        <w:t>Global overview of drug demand and supply. Vienna: United Nations Publication.</w:t>
      </w:r>
    </w:p>
    <w:p w14:paraId="73DA2882" w14:textId="77777777" w:rsidR="00C94828" w:rsidRPr="00C94828" w:rsidRDefault="00C94828" w:rsidP="00C94828">
      <w:pPr>
        <w:spacing w:line="360" w:lineRule="auto"/>
        <w:jc w:val="both"/>
        <w:rPr>
          <w:rFonts w:ascii="Times New Roman" w:hAnsi="Times New Roman" w:cs="Times New Roman"/>
          <w:sz w:val="24"/>
          <w:szCs w:val="24"/>
        </w:rPr>
      </w:pPr>
      <w:bookmarkStart w:id="16" w:name="_Hlk211499695"/>
      <w:r w:rsidRPr="00C94828">
        <w:rPr>
          <w:rFonts w:ascii="Times New Roman" w:hAnsi="Times New Roman" w:cs="Times New Roman"/>
          <w:sz w:val="24"/>
          <w:szCs w:val="24"/>
        </w:rPr>
        <w:t xml:space="preserve">Venkatesh U, Aparnavi P, Mogan KA, Durga R, Pearson J, Kishore S, et al. </w:t>
      </w:r>
      <w:bookmarkEnd w:id="16"/>
      <w:r w:rsidRPr="00C94828">
        <w:rPr>
          <w:rFonts w:ascii="Times New Roman" w:hAnsi="Times New Roman" w:cs="Times New Roman"/>
          <w:sz w:val="24"/>
          <w:szCs w:val="24"/>
        </w:rPr>
        <w:tab/>
        <w:t xml:space="preserve">Determinants of substance use among young people attending primary health </w:t>
      </w:r>
      <w:r w:rsidRPr="00C94828">
        <w:rPr>
          <w:rFonts w:ascii="Times New Roman" w:hAnsi="Times New Roman" w:cs="Times New Roman"/>
          <w:sz w:val="24"/>
          <w:szCs w:val="24"/>
        </w:rPr>
        <w:tab/>
        <w:t>centers in India. Glob Ment Health (Camb). 2024;11: e23.</w:t>
      </w:r>
    </w:p>
    <w:p w14:paraId="1350E649" w14:textId="77777777" w:rsidR="00C94828" w:rsidRPr="00C94828" w:rsidRDefault="00C94828" w:rsidP="00C94828">
      <w:pPr>
        <w:spacing w:line="360" w:lineRule="auto"/>
        <w:jc w:val="both"/>
        <w:rPr>
          <w:rFonts w:ascii="Times New Roman" w:hAnsi="Times New Roman" w:cs="Times New Roman"/>
          <w:sz w:val="24"/>
          <w:szCs w:val="24"/>
        </w:rPr>
      </w:pPr>
      <w:r w:rsidRPr="00C94828">
        <w:rPr>
          <w:rFonts w:ascii="Times New Roman" w:hAnsi="Times New Roman" w:cs="Times New Roman"/>
          <w:sz w:val="24"/>
          <w:szCs w:val="24"/>
        </w:rPr>
        <w:t xml:space="preserve">World Health Organization (WHO). (2023). </w:t>
      </w:r>
      <w:r w:rsidRPr="00C94828">
        <w:rPr>
          <w:rFonts w:ascii="Times New Roman" w:hAnsi="Times New Roman" w:cs="Times New Roman"/>
          <w:i/>
          <w:iCs/>
          <w:sz w:val="24"/>
          <w:szCs w:val="24"/>
        </w:rPr>
        <w:t xml:space="preserve">Global status report on alcohol and health </w:t>
      </w:r>
      <w:r w:rsidRPr="00C94828">
        <w:rPr>
          <w:rFonts w:ascii="Times New Roman" w:hAnsi="Times New Roman" w:cs="Times New Roman"/>
          <w:i/>
          <w:iCs/>
          <w:sz w:val="24"/>
          <w:szCs w:val="24"/>
        </w:rPr>
        <w:tab/>
        <w:t>2023.</w:t>
      </w:r>
      <w:r w:rsidRPr="00C94828">
        <w:rPr>
          <w:rFonts w:ascii="Times New Roman" w:hAnsi="Times New Roman" w:cs="Times New Roman"/>
          <w:sz w:val="24"/>
          <w:szCs w:val="24"/>
        </w:rPr>
        <w:t xml:space="preserve"> Geneva: World Health Organization.</w:t>
      </w:r>
    </w:p>
    <w:p w14:paraId="219F3718" w14:textId="77777777" w:rsidR="00C94828" w:rsidRPr="00C94828" w:rsidRDefault="00C94828" w:rsidP="00C94828">
      <w:pPr>
        <w:spacing w:line="360" w:lineRule="auto"/>
        <w:jc w:val="both"/>
        <w:rPr>
          <w:rFonts w:ascii="Times New Roman" w:hAnsi="Times New Roman" w:cs="Times New Roman"/>
          <w:b/>
          <w:sz w:val="20"/>
          <w:szCs w:val="20"/>
        </w:rPr>
      </w:pPr>
    </w:p>
    <w:p w14:paraId="74114C83" w14:textId="77777777" w:rsidR="00C94828" w:rsidRPr="00C94828" w:rsidRDefault="00C94828" w:rsidP="00C94828">
      <w:pPr>
        <w:spacing w:line="360" w:lineRule="auto"/>
        <w:jc w:val="both"/>
        <w:rPr>
          <w:rFonts w:ascii="Times New Roman" w:hAnsi="Times New Roman" w:cs="Times New Roman"/>
          <w:b/>
          <w:sz w:val="20"/>
          <w:szCs w:val="20"/>
        </w:rPr>
      </w:pPr>
    </w:p>
    <w:p w14:paraId="56B131A7" w14:textId="77777777" w:rsidR="00C94828" w:rsidRPr="00C94828" w:rsidRDefault="00C94828" w:rsidP="00C94828">
      <w:pPr>
        <w:spacing w:line="360" w:lineRule="auto"/>
        <w:jc w:val="both"/>
        <w:rPr>
          <w:rFonts w:ascii="Times New Roman" w:hAnsi="Times New Roman" w:cs="Times New Roman"/>
          <w:b/>
          <w:sz w:val="20"/>
          <w:szCs w:val="20"/>
        </w:rPr>
      </w:pPr>
    </w:p>
    <w:p w14:paraId="363C5DB7" w14:textId="77777777" w:rsidR="00C94828" w:rsidRPr="00C94828" w:rsidRDefault="00C94828" w:rsidP="00C94828">
      <w:pPr>
        <w:spacing w:before="100" w:beforeAutospacing="1" w:after="100" w:afterAutospacing="1" w:line="360" w:lineRule="auto"/>
        <w:rPr>
          <w:rFonts w:ascii="Times New Roman" w:eastAsia="Times New Roman" w:hAnsi="Times New Roman" w:cs="Times New Roman"/>
          <w:b/>
          <w:bCs/>
          <w:sz w:val="24"/>
          <w:szCs w:val="24"/>
          <w:lang w:eastAsia="en-GB"/>
        </w:rPr>
      </w:pPr>
    </w:p>
    <w:p w14:paraId="697ED343" w14:textId="759271D8" w:rsidR="00114EE9" w:rsidRPr="00C94828" w:rsidRDefault="00114EE9" w:rsidP="00EE1748">
      <w:pPr>
        <w:spacing w:before="100" w:beforeAutospacing="1" w:after="100" w:afterAutospacing="1" w:line="360" w:lineRule="auto"/>
        <w:outlineLvl w:val="1"/>
        <w:rPr>
          <w:rFonts w:ascii="Times New Roman" w:eastAsia="Times New Roman" w:hAnsi="Times New Roman" w:cs="Times New Roman"/>
          <w:sz w:val="24"/>
          <w:szCs w:val="24"/>
          <w:lang w:eastAsia="en-GB"/>
        </w:rPr>
      </w:pPr>
    </w:p>
    <w:p w14:paraId="7E311607" w14:textId="71072F62" w:rsidR="003B2935" w:rsidRDefault="003B2935" w:rsidP="00EE1748">
      <w:pPr>
        <w:spacing w:line="360" w:lineRule="auto"/>
        <w:rPr>
          <w:rFonts w:ascii="Times New Roman" w:hAnsi="Times New Roman" w:cs="Times New Roman"/>
          <w:sz w:val="24"/>
          <w:szCs w:val="24"/>
        </w:rPr>
      </w:pPr>
    </w:p>
    <w:p w14:paraId="3BB1C55A" w14:textId="2DECE630" w:rsidR="00C94828" w:rsidRDefault="00C94828" w:rsidP="00EE1748">
      <w:pPr>
        <w:spacing w:line="360" w:lineRule="auto"/>
        <w:rPr>
          <w:rFonts w:ascii="Times New Roman" w:hAnsi="Times New Roman" w:cs="Times New Roman"/>
          <w:sz w:val="24"/>
          <w:szCs w:val="24"/>
        </w:rPr>
      </w:pPr>
    </w:p>
    <w:p w14:paraId="744786C4" w14:textId="770A0A68" w:rsidR="00C94828" w:rsidRDefault="00C94828" w:rsidP="00EE1748">
      <w:pPr>
        <w:spacing w:line="360" w:lineRule="auto"/>
        <w:rPr>
          <w:rFonts w:ascii="Times New Roman" w:hAnsi="Times New Roman" w:cs="Times New Roman"/>
          <w:sz w:val="24"/>
          <w:szCs w:val="24"/>
        </w:rPr>
      </w:pPr>
    </w:p>
    <w:p w14:paraId="573E25B3" w14:textId="06392FDA" w:rsidR="00C94828" w:rsidRDefault="00C94828" w:rsidP="00EE1748">
      <w:pPr>
        <w:spacing w:line="360" w:lineRule="auto"/>
        <w:rPr>
          <w:rFonts w:ascii="Times New Roman" w:hAnsi="Times New Roman" w:cs="Times New Roman"/>
          <w:sz w:val="24"/>
          <w:szCs w:val="24"/>
        </w:rPr>
      </w:pPr>
    </w:p>
    <w:p w14:paraId="5AED8048" w14:textId="645F2BF0" w:rsidR="00C94828" w:rsidRDefault="00C94828" w:rsidP="00EE1748">
      <w:pPr>
        <w:spacing w:line="360" w:lineRule="auto"/>
        <w:rPr>
          <w:rFonts w:ascii="Times New Roman" w:hAnsi="Times New Roman" w:cs="Times New Roman"/>
          <w:sz w:val="24"/>
          <w:szCs w:val="24"/>
        </w:rPr>
      </w:pPr>
    </w:p>
    <w:p w14:paraId="3225719A" w14:textId="6183EB7F" w:rsidR="00C94828" w:rsidRDefault="00C94828" w:rsidP="00EE1748">
      <w:pPr>
        <w:spacing w:line="360" w:lineRule="auto"/>
        <w:rPr>
          <w:rFonts w:ascii="Times New Roman" w:hAnsi="Times New Roman" w:cs="Times New Roman"/>
          <w:sz w:val="24"/>
          <w:szCs w:val="24"/>
        </w:rPr>
      </w:pPr>
    </w:p>
    <w:p w14:paraId="1CEE5D14" w14:textId="7F7577FE" w:rsidR="00C94828" w:rsidRDefault="00C94828" w:rsidP="00EE1748">
      <w:pPr>
        <w:spacing w:line="360" w:lineRule="auto"/>
        <w:rPr>
          <w:rFonts w:ascii="Times New Roman" w:hAnsi="Times New Roman" w:cs="Times New Roman"/>
          <w:sz w:val="24"/>
          <w:szCs w:val="24"/>
        </w:rPr>
      </w:pPr>
    </w:p>
    <w:p w14:paraId="58894029" w14:textId="246F4C86" w:rsidR="00C94828" w:rsidRDefault="00C94828" w:rsidP="00EE1748">
      <w:pPr>
        <w:spacing w:line="360" w:lineRule="auto"/>
        <w:rPr>
          <w:rFonts w:ascii="Times New Roman" w:hAnsi="Times New Roman" w:cs="Times New Roman"/>
          <w:sz w:val="24"/>
          <w:szCs w:val="24"/>
        </w:rPr>
      </w:pPr>
    </w:p>
    <w:p w14:paraId="5CD76C2C" w14:textId="4F5DB65D" w:rsidR="00C94828" w:rsidRDefault="00C94828" w:rsidP="00EE1748">
      <w:pPr>
        <w:spacing w:line="360" w:lineRule="auto"/>
        <w:rPr>
          <w:rFonts w:ascii="Times New Roman" w:hAnsi="Times New Roman" w:cs="Times New Roman"/>
          <w:sz w:val="24"/>
          <w:szCs w:val="24"/>
        </w:rPr>
      </w:pPr>
    </w:p>
    <w:p w14:paraId="5929FA94" w14:textId="3A7EF614" w:rsidR="00C94828" w:rsidRDefault="00C94828" w:rsidP="00EE1748">
      <w:pPr>
        <w:spacing w:line="360" w:lineRule="auto"/>
        <w:rPr>
          <w:rFonts w:ascii="Times New Roman" w:hAnsi="Times New Roman" w:cs="Times New Roman"/>
          <w:sz w:val="24"/>
          <w:szCs w:val="24"/>
        </w:rPr>
      </w:pPr>
    </w:p>
    <w:p w14:paraId="33B32FD6" w14:textId="7C3F0506" w:rsidR="00C94828" w:rsidRDefault="00C94828" w:rsidP="00EE1748">
      <w:pPr>
        <w:spacing w:line="360" w:lineRule="auto"/>
        <w:rPr>
          <w:rFonts w:ascii="Times New Roman" w:hAnsi="Times New Roman" w:cs="Times New Roman"/>
          <w:sz w:val="24"/>
          <w:szCs w:val="24"/>
        </w:rPr>
      </w:pPr>
    </w:p>
    <w:p w14:paraId="18B0A0AE" w14:textId="4B110375" w:rsidR="00C94828" w:rsidRDefault="00C94828" w:rsidP="00EE1748">
      <w:pPr>
        <w:spacing w:line="360" w:lineRule="auto"/>
        <w:rPr>
          <w:rFonts w:ascii="Times New Roman" w:hAnsi="Times New Roman" w:cs="Times New Roman"/>
          <w:sz w:val="24"/>
          <w:szCs w:val="24"/>
        </w:rPr>
      </w:pPr>
    </w:p>
    <w:p w14:paraId="66BE8DF2" w14:textId="37587314" w:rsidR="00C94828" w:rsidRDefault="00C94828" w:rsidP="00EE1748">
      <w:pPr>
        <w:spacing w:line="360" w:lineRule="auto"/>
        <w:rPr>
          <w:rFonts w:ascii="Times New Roman" w:hAnsi="Times New Roman" w:cs="Times New Roman"/>
          <w:sz w:val="24"/>
          <w:szCs w:val="24"/>
        </w:rPr>
      </w:pPr>
    </w:p>
    <w:p w14:paraId="57438AE6" w14:textId="55348214" w:rsidR="00C94828" w:rsidRDefault="00C94828" w:rsidP="00EE1748">
      <w:pPr>
        <w:spacing w:line="360" w:lineRule="auto"/>
        <w:rPr>
          <w:rFonts w:ascii="Times New Roman" w:hAnsi="Times New Roman" w:cs="Times New Roman"/>
          <w:sz w:val="24"/>
          <w:szCs w:val="24"/>
        </w:rPr>
      </w:pPr>
    </w:p>
    <w:p w14:paraId="5A6F2204" w14:textId="7478CABE" w:rsidR="00C94828" w:rsidRDefault="00C94828" w:rsidP="00EE1748">
      <w:pPr>
        <w:spacing w:line="360" w:lineRule="auto"/>
        <w:rPr>
          <w:rFonts w:ascii="Times New Roman" w:hAnsi="Times New Roman" w:cs="Times New Roman"/>
          <w:sz w:val="24"/>
          <w:szCs w:val="24"/>
        </w:rPr>
      </w:pPr>
    </w:p>
    <w:p w14:paraId="5906CC50" w14:textId="74D90B7A" w:rsidR="00C94828" w:rsidRDefault="00C94828" w:rsidP="00EE1748">
      <w:pPr>
        <w:spacing w:line="360" w:lineRule="auto"/>
        <w:rPr>
          <w:rFonts w:ascii="Times New Roman" w:hAnsi="Times New Roman" w:cs="Times New Roman"/>
          <w:sz w:val="24"/>
          <w:szCs w:val="24"/>
        </w:rPr>
      </w:pPr>
    </w:p>
    <w:p w14:paraId="459A2F2C" w14:textId="47107B88" w:rsidR="00C94828" w:rsidRDefault="00C94828" w:rsidP="00EE1748">
      <w:pPr>
        <w:spacing w:line="360" w:lineRule="auto"/>
        <w:rPr>
          <w:rFonts w:ascii="Times New Roman" w:hAnsi="Times New Roman" w:cs="Times New Roman"/>
          <w:sz w:val="24"/>
          <w:szCs w:val="24"/>
        </w:rPr>
      </w:pPr>
    </w:p>
    <w:p w14:paraId="5E5FF45C" w14:textId="222E531A" w:rsidR="00C94828" w:rsidRDefault="00C94828" w:rsidP="00EE1748">
      <w:pPr>
        <w:spacing w:line="360" w:lineRule="auto"/>
        <w:rPr>
          <w:rFonts w:ascii="Times New Roman" w:hAnsi="Times New Roman" w:cs="Times New Roman"/>
          <w:sz w:val="24"/>
          <w:szCs w:val="24"/>
        </w:rPr>
      </w:pPr>
    </w:p>
    <w:p w14:paraId="6636D294" w14:textId="60395234" w:rsidR="00C94828" w:rsidRDefault="00C94828" w:rsidP="00EE1748">
      <w:pPr>
        <w:spacing w:line="360" w:lineRule="auto"/>
        <w:rPr>
          <w:rFonts w:ascii="Times New Roman" w:hAnsi="Times New Roman" w:cs="Times New Roman"/>
          <w:sz w:val="24"/>
          <w:szCs w:val="24"/>
        </w:rPr>
      </w:pPr>
    </w:p>
    <w:p w14:paraId="121377F3" w14:textId="0FED5DB4" w:rsidR="00C94828" w:rsidRDefault="00C94828" w:rsidP="00EE1748">
      <w:pPr>
        <w:spacing w:line="360" w:lineRule="auto"/>
        <w:rPr>
          <w:rFonts w:ascii="Times New Roman" w:hAnsi="Times New Roman" w:cs="Times New Roman"/>
          <w:sz w:val="24"/>
          <w:szCs w:val="24"/>
        </w:rPr>
      </w:pPr>
    </w:p>
    <w:p w14:paraId="20306D40" w14:textId="7CDC0630" w:rsidR="00C94828" w:rsidRDefault="00C94828" w:rsidP="00EE1748">
      <w:pPr>
        <w:spacing w:line="360" w:lineRule="auto"/>
        <w:rPr>
          <w:rFonts w:ascii="Times New Roman" w:hAnsi="Times New Roman" w:cs="Times New Roman"/>
          <w:sz w:val="24"/>
          <w:szCs w:val="24"/>
        </w:rPr>
      </w:pPr>
    </w:p>
    <w:p w14:paraId="1FE66CC1" w14:textId="65E6F1C4" w:rsidR="00C94828" w:rsidRDefault="00C94828" w:rsidP="00EE1748">
      <w:pPr>
        <w:spacing w:line="360" w:lineRule="auto"/>
        <w:rPr>
          <w:rFonts w:ascii="Times New Roman" w:hAnsi="Times New Roman" w:cs="Times New Roman"/>
          <w:sz w:val="24"/>
          <w:szCs w:val="24"/>
        </w:rPr>
      </w:pPr>
    </w:p>
    <w:p w14:paraId="67D5DB3F" w14:textId="1248E112" w:rsidR="00C94828" w:rsidRDefault="00C94828" w:rsidP="00EE1748">
      <w:pPr>
        <w:spacing w:line="360" w:lineRule="auto"/>
        <w:rPr>
          <w:rFonts w:ascii="Times New Roman" w:hAnsi="Times New Roman" w:cs="Times New Roman"/>
          <w:sz w:val="24"/>
          <w:szCs w:val="24"/>
        </w:rPr>
      </w:pPr>
    </w:p>
    <w:p w14:paraId="10EF3992" w14:textId="44805B33" w:rsidR="00C94828" w:rsidRDefault="00C94828" w:rsidP="00EE1748">
      <w:pPr>
        <w:spacing w:line="360" w:lineRule="auto"/>
        <w:rPr>
          <w:rFonts w:ascii="Times New Roman" w:hAnsi="Times New Roman" w:cs="Times New Roman"/>
          <w:sz w:val="24"/>
          <w:szCs w:val="24"/>
        </w:rPr>
      </w:pPr>
    </w:p>
    <w:p w14:paraId="0B37801C" w14:textId="6B3A57B5" w:rsidR="00C94828" w:rsidRDefault="00C94828" w:rsidP="00EE1748">
      <w:pPr>
        <w:spacing w:line="360" w:lineRule="auto"/>
        <w:rPr>
          <w:rFonts w:ascii="Times New Roman" w:hAnsi="Times New Roman" w:cs="Times New Roman"/>
          <w:sz w:val="24"/>
          <w:szCs w:val="24"/>
        </w:rPr>
      </w:pPr>
    </w:p>
    <w:p w14:paraId="3843BB08" w14:textId="196AFA8D" w:rsidR="00C94828" w:rsidRDefault="00C94828" w:rsidP="00EE1748">
      <w:pPr>
        <w:spacing w:line="360" w:lineRule="auto"/>
        <w:rPr>
          <w:rFonts w:ascii="Times New Roman" w:hAnsi="Times New Roman" w:cs="Times New Roman"/>
          <w:sz w:val="24"/>
          <w:szCs w:val="24"/>
        </w:rPr>
      </w:pPr>
    </w:p>
    <w:p w14:paraId="381AA221" w14:textId="70CA9A96" w:rsidR="00C94828" w:rsidRDefault="00C94828" w:rsidP="00EE1748">
      <w:pPr>
        <w:spacing w:line="360" w:lineRule="auto"/>
        <w:rPr>
          <w:rFonts w:ascii="Times New Roman" w:hAnsi="Times New Roman" w:cs="Times New Roman"/>
          <w:sz w:val="24"/>
          <w:szCs w:val="24"/>
        </w:rPr>
      </w:pPr>
    </w:p>
    <w:p w14:paraId="27995B17" w14:textId="414838BA" w:rsidR="00C94828" w:rsidRDefault="00C94828" w:rsidP="00EE1748">
      <w:pPr>
        <w:spacing w:line="360" w:lineRule="auto"/>
        <w:rPr>
          <w:rFonts w:ascii="Times New Roman" w:hAnsi="Times New Roman" w:cs="Times New Roman"/>
          <w:sz w:val="24"/>
          <w:szCs w:val="24"/>
        </w:rPr>
      </w:pPr>
    </w:p>
    <w:p w14:paraId="0AB51A54" w14:textId="60BFCB6D" w:rsidR="00C94828" w:rsidRDefault="00C94828" w:rsidP="00EE1748">
      <w:pPr>
        <w:spacing w:line="360" w:lineRule="auto"/>
        <w:rPr>
          <w:rFonts w:ascii="Times New Roman" w:hAnsi="Times New Roman" w:cs="Times New Roman"/>
          <w:sz w:val="24"/>
          <w:szCs w:val="24"/>
        </w:rPr>
      </w:pPr>
    </w:p>
    <w:p w14:paraId="38EBF64E" w14:textId="77777777" w:rsidR="00C94828" w:rsidRPr="00B74C25" w:rsidRDefault="00C94828" w:rsidP="00EE1748">
      <w:pPr>
        <w:spacing w:line="360" w:lineRule="auto"/>
        <w:rPr>
          <w:rFonts w:ascii="Times New Roman" w:hAnsi="Times New Roman" w:cs="Times New Roman"/>
          <w:sz w:val="24"/>
          <w:szCs w:val="24"/>
        </w:rPr>
      </w:pPr>
    </w:p>
    <w:sectPr w:rsidR="00C94828" w:rsidRPr="00B74C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6B0"/>
    <w:multiLevelType w:val="multilevel"/>
    <w:tmpl w:val="31FE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D36A9"/>
    <w:multiLevelType w:val="multilevel"/>
    <w:tmpl w:val="8274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072D1"/>
    <w:multiLevelType w:val="multilevel"/>
    <w:tmpl w:val="1AE66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E18DB"/>
    <w:multiLevelType w:val="multilevel"/>
    <w:tmpl w:val="77E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04D3C"/>
    <w:multiLevelType w:val="multilevel"/>
    <w:tmpl w:val="64FEFA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B21360"/>
    <w:multiLevelType w:val="hybridMultilevel"/>
    <w:tmpl w:val="01F090F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C395AFB"/>
    <w:multiLevelType w:val="multilevel"/>
    <w:tmpl w:val="5600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640DC"/>
    <w:multiLevelType w:val="multilevel"/>
    <w:tmpl w:val="D4B2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91B3F"/>
    <w:multiLevelType w:val="multilevel"/>
    <w:tmpl w:val="F5C08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0E6DBF"/>
    <w:multiLevelType w:val="multilevel"/>
    <w:tmpl w:val="64FEFA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6667B1"/>
    <w:multiLevelType w:val="multilevel"/>
    <w:tmpl w:val="80EA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7D39D1"/>
    <w:multiLevelType w:val="multilevel"/>
    <w:tmpl w:val="AA7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415121"/>
    <w:multiLevelType w:val="multilevel"/>
    <w:tmpl w:val="5388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8"/>
  </w:num>
  <w:num w:numId="5">
    <w:abstractNumId w:val="2"/>
  </w:num>
  <w:num w:numId="6">
    <w:abstractNumId w:val="10"/>
  </w:num>
  <w:num w:numId="7">
    <w:abstractNumId w:val="7"/>
  </w:num>
  <w:num w:numId="8">
    <w:abstractNumId w:val="4"/>
  </w:num>
  <w:num w:numId="9">
    <w:abstractNumId w:val="9"/>
  </w:num>
  <w:num w:numId="10">
    <w:abstractNumId w:val="1"/>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E9"/>
    <w:rsid w:val="0004201B"/>
    <w:rsid w:val="00074C80"/>
    <w:rsid w:val="000837BF"/>
    <w:rsid w:val="00114EE9"/>
    <w:rsid w:val="001C796F"/>
    <w:rsid w:val="002370E3"/>
    <w:rsid w:val="00253B61"/>
    <w:rsid w:val="002B4D65"/>
    <w:rsid w:val="003B2935"/>
    <w:rsid w:val="003D7229"/>
    <w:rsid w:val="0046353D"/>
    <w:rsid w:val="00502AA9"/>
    <w:rsid w:val="0057528D"/>
    <w:rsid w:val="00645E55"/>
    <w:rsid w:val="006F5073"/>
    <w:rsid w:val="00725AE6"/>
    <w:rsid w:val="00834474"/>
    <w:rsid w:val="008B5853"/>
    <w:rsid w:val="00A32B11"/>
    <w:rsid w:val="00A37F63"/>
    <w:rsid w:val="00AB4C29"/>
    <w:rsid w:val="00B42C69"/>
    <w:rsid w:val="00B72E8C"/>
    <w:rsid w:val="00B74C25"/>
    <w:rsid w:val="00C94828"/>
    <w:rsid w:val="00D144A1"/>
    <w:rsid w:val="00E03284"/>
    <w:rsid w:val="00E5223D"/>
    <w:rsid w:val="00EE1748"/>
    <w:rsid w:val="00F10698"/>
    <w:rsid w:val="00F83AC0"/>
    <w:rsid w:val="00F92D10"/>
    <w:rsid w:val="00FF5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04A6"/>
  <w15:chartTrackingRefBased/>
  <w15:docId w15:val="{B08F7B34-2855-4EF3-A2CA-7BF1F44B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4E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14EE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14E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106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EE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14EE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14EE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114E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4EE9"/>
    <w:rPr>
      <w:b/>
      <w:bCs/>
    </w:rPr>
  </w:style>
  <w:style w:type="character" w:customStyle="1" w:styleId="Heading4Char">
    <w:name w:val="Heading 4 Char"/>
    <w:basedOn w:val="DefaultParagraphFont"/>
    <w:link w:val="Heading4"/>
    <w:uiPriority w:val="9"/>
    <w:semiHidden/>
    <w:rsid w:val="00F10698"/>
    <w:rPr>
      <w:rFonts w:asciiTheme="majorHAnsi" w:eastAsiaTheme="majorEastAsia" w:hAnsiTheme="majorHAnsi" w:cstheme="majorBidi"/>
      <w:i/>
      <w:iCs/>
      <w:color w:val="2F5496" w:themeColor="accent1" w:themeShade="BF"/>
    </w:rPr>
  </w:style>
  <w:style w:type="paragraph" w:styleId="NoSpacing">
    <w:name w:val="No Spacing"/>
    <w:uiPriority w:val="1"/>
    <w:qFormat/>
    <w:rsid w:val="000837BF"/>
    <w:pPr>
      <w:spacing w:after="0" w:line="240" w:lineRule="auto"/>
    </w:pPr>
    <w:rPr>
      <w:rFonts w:eastAsiaTheme="minorEastAsia"/>
      <w:lang w:val="en-US"/>
    </w:rPr>
  </w:style>
  <w:style w:type="table" w:styleId="TableGrid">
    <w:name w:val="Table Grid"/>
    <w:basedOn w:val="TableNormal"/>
    <w:uiPriority w:val="59"/>
    <w:rsid w:val="000837B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32B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74C80"/>
    <w:pPr>
      <w:ind w:left="720"/>
      <w:contextualSpacing/>
    </w:pPr>
  </w:style>
  <w:style w:type="character" w:styleId="Hyperlink">
    <w:name w:val="Hyperlink"/>
    <w:basedOn w:val="DefaultParagraphFont"/>
    <w:uiPriority w:val="99"/>
    <w:unhideWhenUsed/>
    <w:rsid w:val="00C94828"/>
    <w:rPr>
      <w:color w:val="0563C1" w:themeColor="hyperlink"/>
      <w:u w:val="single"/>
    </w:rPr>
  </w:style>
  <w:style w:type="character" w:styleId="Emphasis">
    <w:name w:val="Emphasis"/>
    <w:basedOn w:val="DefaultParagraphFont"/>
    <w:uiPriority w:val="20"/>
    <w:qFormat/>
    <w:rsid w:val="00D144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8854">
      <w:bodyDiv w:val="1"/>
      <w:marLeft w:val="0"/>
      <w:marRight w:val="0"/>
      <w:marTop w:val="0"/>
      <w:marBottom w:val="0"/>
      <w:divBdr>
        <w:top w:val="none" w:sz="0" w:space="0" w:color="auto"/>
        <w:left w:val="none" w:sz="0" w:space="0" w:color="auto"/>
        <w:bottom w:val="none" w:sz="0" w:space="0" w:color="auto"/>
        <w:right w:val="none" w:sz="0" w:space="0" w:color="auto"/>
      </w:divBdr>
    </w:div>
    <w:div w:id="588737071">
      <w:bodyDiv w:val="1"/>
      <w:marLeft w:val="0"/>
      <w:marRight w:val="0"/>
      <w:marTop w:val="0"/>
      <w:marBottom w:val="0"/>
      <w:divBdr>
        <w:top w:val="none" w:sz="0" w:space="0" w:color="auto"/>
        <w:left w:val="none" w:sz="0" w:space="0" w:color="auto"/>
        <w:bottom w:val="none" w:sz="0" w:space="0" w:color="auto"/>
        <w:right w:val="none" w:sz="0" w:space="0" w:color="auto"/>
      </w:divBdr>
    </w:div>
    <w:div w:id="1015351022">
      <w:bodyDiv w:val="1"/>
      <w:marLeft w:val="0"/>
      <w:marRight w:val="0"/>
      <w:marTop w:val="0"/>
      <w:marBottom w:val="0"/>
      <w:divBdr>
        <w:top w:val="none" w:sz="0" w:space="0" w:color="auto"/>
        <w:left w:val="none" w:sz="0" w:space="0" w:color="auto"/>
        <w:bottom w:val="none" w:sz="0" w:space="0" w:color="auto"/>
        <w:right w:val="none" w:sz="0" w:space="0" w:color="auto"/>
      </w:divBdr>
    </w:div>
    <w:div w:id="1241406084">
      <w:bodyDiv w:val="1"/>
      <w:marLeft w:val="0"/>
      <w:marRight w:val="0"/>
      <w:marTop w:val="0"/>
      <w:marBottom w:val="0"/>
      <w:divBdr>
        <w:top w:val="none" w:sz="0" w:space="0" w:color="auto"/>
        <w:left w:val="none" w:sz="0" w:space="0" w:color="auto"/>
        <w:bottom w:val="none" w:sz="0" w:space="0" w:color="auto"/>
        <w:right w:val="none" w:sz="0" w:space="0" w:color="auto"/>
      </w:divBdr>
    </w:div>
    <w:div w:id="1651983478">
      <w:bodyDiv w:val="1"/>
      <w:marLeft w:val="0"/>
      <w:marRight w:val="0"/>
      <w:marTop w:val="0"/>
      <w:marBottom w:val="0"/>
      <w:divBdr>
        <w:top w:val="none" w:sz="0" w:space="0" w:color="auto"/>
        <w:left w:val="none" w:sz="0" w:space="0" w:color="auto"/>
        <w:bottom w:val="none" w:sz="0" w:space="0" w:color="auto"/>
        <w:right w:val="none" w:sz="0" w:space="0" w:color="auto"/>
      </w:divBdr>
    </w:div>
    <w:div w:id="1911110724">
      <w:bodyDiv w:val="1"/>
      <w:marLeft w:val="0"/>
      <w:marRight w:val="0"/>
      <w:marTop w:val="0"/>
      <w:marBottom w:val="0"/>
      <w:divBdr>
        <w:top w:val="none" w:sz="0" w:space="0" w:color="auto"/>
        <w:left w:val="none" w:sz="0" w:space="0" w:color="auto"/>
        <w:bottom w:val="none" w:sz="0" w:space="0" w:color="auto"/>
        <w:right w:val="none" w:sz="0" w:space="0" w:color="auto"/>
      </w:divBdr>
    </w:div>
    <w:div w:id="2061125284">
      <w:bodyDiv w:val="1"/>
      <w:marLeft w:val="0"/>
      <w:marRight w:val="0"/>
      <w:marTop w:val="0"/>
      <w:marBottom w:val="0"/>
      <w:divBdr>
        <w:top w:val="none" w:sz="0" w:space="0" w:color="auto"/>
        <w:left w:val="none" w:sz="0" w:space="0" w:color="auto"/>
        <w:bottom w:val="none" w:sz="0" w:space="0" w:color="auto"/>
        <w:right w:val="none" w:sz="0" w:space="0" w:color="auto"/>
      </w:divBdr>
      <w:divsChild>
        <w:div w:id="2110077032">
          <w:marLeft w:val="0"/>
          <w:marRight w:val="0"/>
          <w:marTop w:val="0"/>
          <w:marBottom w:val="0"/>
          <w:divBdr>
            <w:top w:val="none" w:sz="0" w:space="0" w:color="auto"/>
            <w:left w:val="none" w:sz="0" w:space="0" w:color="auto"/>
            <w:bottom w:val="none" w:sz="0" w:space="0" w:color="auto"/>
            <w:right w:val="none" w:sz="0" w:space="0" w:color="auto"/>
          </w:divBdr>
          <w:divsChild>
            <w:div w:id="1495098962">
              <w:marLeft w:val="0"/>
              <w:marRight w:val="0"/>
              <w:marTop w:val="0"/>
              <w:marBottom w:val="0"/>
              <w:divBdr>
                <w:top w:val="none" w:sz="0" w:space="0" w:color="auto"/>
                <w:left w:val="none" w:sz="0" w:space="0" w:color="auto"/>
                <w:bottom w:val="none" w:sz="0" w:space="0" w:color="auto"/>
                <w:right w:val="none" w:sz="0" w:space="0" w:color="auto"/>
              </w:divBdr>
            </w:div>
          </w:divsChild>
        </w:div>
        <w:div w:id="1153523722">
          <w:marLeft w:val="0"/>
          <w:marRight w:val="0"/>
          <w:marTop w:val="0"/>
          <w:marBottom w:val="0"/>
          <w:divBdr>
            <w:top w:val="none" w:sz="0" w:space="0" w:color="auto"/>
            <w:left w:val="none" w:sz="0" w:space="0" w:color="auto"/>
            <w:bottom w:val="none" w:sz="0" w:space="0" w:color="auto"/>
            <w:right w:val="none" w:sz="0" w:space="0" w:color="auto"/>
          </w:divBdr>
          <w:divsChild>
            <w:div w:id="314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9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12" Type="http://schemas.microsoft.com/office/2014/relationships/chartEx" Target="charts/chartEx1.xml"/><Relationship Id="rId17" Type="http://schemas.openxmlformats.org/officeDocument/2006/relationships/hyperlink" Target="https://nida.nih.gov/news-events/news-releases/2024/12/reported-use-of-most-%09drugs-among-adolescents-remained-low-in-2024" TargetMode="External"/><Relationship Id="rId2" Type="http://schemas.openxmlformats.org/officeDocument/2006/relationships/styles" Target="styles.xml"/><Relationship Id="rId16" Type="http://schemas.openxmlformats.org/officeDocument/2006/relationships/hyperlink" Target="https://doi.org/10.4314/ahs.v21i3.57"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mailto:jmdanladi@nsuk.edu.ng" TargetMode="External"/><Relationship Id="rId15" Type="http://schemas.openxmlformats.org/officeDocument/2006/relationships/hyperlink" Target="https://www.ijcmph.com" TargetMode="Externa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hyperlink" Target="https://doi.org/10.30574/wjarr.2022.16.1.105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MY%20FINAL%20MSC%20PH%20DEFENCE%20FOLDER\SOCIO%20DEMOGRAPHY%20OF%20RESPONDE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MY%20FINAL%20MSC%20PH%20DEFENCE%20FOLDER\PREVALENCE%20AND%20PATTERNS%20OF%20DRUG%20US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MY%20FINAL%20MSC%20PH%20DEFENCE%20FOLDER\SOCIO-DEMOHRAPHY%20OF%20EFFECTS%20OF%20DRUG%20ABUS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MY%20FINAL%20MSC%20PH%20DEFENCE%20FOLDER\SOCIO-DEMOHRAPHY%20OF%20EFFECTS%20OF%20DRUG%20ABUSE.xlsx" TargetMode="External"/><Relationship Id="rId2" Type="http://schemas.microsoft.com/office/2011/relationships/chartColorStyle" Target="colors6.xml"/><Relationship Id="rId1" Type="http://schemas.microsoft.com/office/2011/relationships/chartStyle" Target="style6.xml"/></Relationships>
</file>

<file path=word/charts/_rels/chartEx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hp\Desktop\MY%20FINAL%20MSC%20PH%20DEFENCE%20FOLDER\BINARY%20REGRESSION%20ON%20GROUP%20DRUG%20US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t>
            </a:r>
            <a:r>
              <a:rPr lang="en-US" sz="1400" b="1" i="0" u="none" strike="noStrike" baseline="0">
                <a:effectLst/>
              </a:rPr>
              <a:t> of Socio-Demographic Characteristics Distribution of Respondents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Percentage (%)</c:v>
                </c:pt>
              </c:strCache>
            </c:strRef>
          </c:tx>
          <c:spPr>
            <a:solidFill>
              <a:schemeClr val="accent1"/>
            </a:solidFill>
            <a:ln>
              <a:noFill/>
            </a:ln>
            <a:effectLst/>
          </c:spPr>
          <c:invertIfNegative val="0"/>
          <c:cat>
            <c:multiLvlStrRef>
              <c:f>Sheet1!$A$2:$B$11</c:f>
              <c:multiLvlStrCache>
                <c:ptCount val="10"/>
                <c:lvl>
                  <c:pt idx="0">
                    <c:v>12–14 years</c:v>
                  </c:pt>
                  <c:pt idx="1">
                    <c:v>15–17 years</c:v>
                  </c:pt>
                  <c:pt idx="2">
                    <c:v>18–19 years</c:v>
                  </c:pt>
                  <c:pt idx="3">
                    <c:v>Male</c:v>
                  </c:pt>
                  <c:pt idx="4">
                    <c:v>Female</c:v>
                  </c:pt>
                  <c:pt idx="5">
                    <c:v>Junior (JSS)</c:v>
                  </c:pt>
                  <c:pt idx="6">
                    <c:v>Senior (SSS)</c:v>
                  </c:pt>
                  <c:pt idx="7">
                    <c:v>Intact/Two-parent</c:v>
                  </c:pt>
                  <c:pt idx="8">
                    <c:v>Single-parent</c:v>
                  </c:pt>
                  <c:pt idx="9">
                    <c:v>Polygamous</c:v>
                  </c:pt>
                </c:lvl>
                <c:lvl>
                  <c:pt idx="0">
                    <c:v>Age</c:v>
                  </c:pt>
                  <c:pt idx="3">
                    <c:v>Sex</c:v>
                  </c:pt>
                  <c:pt idx="5">
                    <c:v>Class Level</c:v>
                  </c:pt>
                  <c:pt idx="7">
                    <c:v>Family Background</c:v>
                  </c:pt>
                </c:lvl>
              </c:multiLvlStrCache>
            </c:multiLvlStrRef>
          </c:cat>
          <c:val>
            <c:numRef>
              <c:f>Sheet1!$C$2:$C$11</c:f>
              <c:numCache>
                <c:formatCode>General</c:formatCode>
                <c:ptCount val="10"/>
                <c:pt idx="0">
                  <c:v>25.5</c:v>
                </c:pt>
                <c:pt idx="1">
                  <c:v>52.6</c:v>
                </c:pt>
                <c:pt idx="2">
                  <c:v>21.9</c:v>
                </c:pt>
                <c:pt idx="3">
                  <c:v>53.6</c:v>
                </c:pt>
                <c:pt idx="4">
                  <c:v>46.4</c:v>
                </c:pt>
                <c:pt idx="5">
                  <c:v>37.799999999999997</c:v>
                </c:pt>
                <c:pt idx="6">
                  <c:v>62.2</c:v>
                </c:pt>
                <c:pt idx="7">
                  <c:v>65.099999999999994</c:v>
                </c:pt>
                <c:pt idx="8">
                  <c:v>24.2</c:v>
                </c:pt>
                <c:pt idx="9">
                  <c:v>10.7</c:v>
                </c:pt>
              </c:numCache>
            </c:numRef>
          </c:val>
          <c:extLst>
            <c:ext xmlns:c16="http://schemas.microsoft.com/office/drawing/2014/chart" uri="{C3380CC4-5D6E-409C-BE32-E72D297353CC}">
              <c16:uniqueId val="{00000000-6D5D-471E-80C4-DA3FA99CB281}"/>
            </c:ext>
          </c:extLst>
        </c:ser>
        <c:dLbls>
          <c:showLegendKey val="0"/>
          <c:showVal val="0"/>
          <c:showCatName val="0"/>
          <c:showSerName val="0"/>
          <c:showPercent val="0"/>
          <c:showBubbleSize val="0"/>
        </c:dLbls>
        <c:gapWidth val="219"/>
        <c:overlap val="-27"/>
        <c:axId val="332929992"/>
        <c:axId val="332930384"/>
      </c:barChart>
      <c:catAx>
        <c:axId val="332929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930384"/>
        <c:crosses val="autoZero"/>
        <c:auto val="1"/>
        <c:lblAlgn val="ctr"/>
        <c:lblOffset val="100"/>
        <c:noMultiLvlLbl val="0"/>
      </c:catAx>
      <c:valAx>
        <c:axId val="332930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929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Patterns and Prevalince of Drugs consumptions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Users (%)</c:v>
                </c:pt>
              </c:strCache>
            </c:strRef>
          </c:tx>
          <c:spPr>
            <a:solidFill>
              <a:schemeClr val="accent1"/>
            </a:solidFill>
            <a:ln>
              <a:noFill/>
            </a:ln>
            <a:effectLst/>
          </c:spPr>
          <c:invertIfNegative val="0"/>
          <c:cat>
            <c:strRef>
              <c:f>Sheet1!$A$2:$A$7</c:f>
              <c:strCache>
                <c:ptCount val="6"/>
                <c:pt idx="0">
                  <c:v>Alcohol</c:v>
                </c:pt>
                <c:pt idx="1">
                  <c:v>Cannabis</c:v>
                </c:pt>
                <c:pt idx="2">
                  <c:v>Cigarettes</c:v>
                </c:pt>
                <c:pt idx="3">
                  <c:v>Tramadol / Codeine</c:v>
                </c:pt>
                <c:pt idx="4">
                  <c:v>Solvents (Glue, Petrol)</c:v>
                </c:pt>
                <c:pt idx="5">
                  <c:v>Others (Prescription drugs)</c:v>
                </c:pt>
              </c:strCache>
            </c:strRef>
          </c:cat>
          <c:val>
            <c:numRef>
              <c:f>Sheet1!$B$2:$B$7</c:f>
              <c:numCache>
                <c:formatCode>General</c:formatCode>
                <c:ptCount val="6"/>
                <c:pt idx="0">
                  <c:v>45.8</c:v>
                </c:pt>
                <c:pt idx="1">
                  <c:v>28.4</c:v>
                </c:pt>
                <c:pt idx="2">
                  <c:v>35.1</c:v>
                </c:pt>
                <c:pt idx="3">
                  <c:v>21.8</c:v>
                </c:pt>
                <c:pt idx="4">
                  <c:v>9.4</c:v>
                </c:pt>
                <c:pt idx="5">
                  <c:v>7.1</c:v>
                </c:pt>
              </c:numCache>
            </c:numRef>
          </c:val>
          <c:extLst>
            <c:ext xmlns:c16="http://schemas.microsoft.com/office/drawing/2014/chart" uri="{C3380CC4-5D6E-409C-BE32-E72D297353CC}">
              <c16:uniqueId val="{00000000-1EF4-4D04-8EEA-E6F227B165CB}"/>
            </c:ext>
          </c:extLst>
        </c:ser>
        <c:dLbls>
          <c:showLegendKey val="0"/>
          <c:showVal val="0"/>
          <c:showCatName val="0"/>
          <c:showSerName val="0"/>
          <c:showPercent val="0"/>
          <c:showBubbleSize val="0"/>
        </c:dLbls>
        <c:gapWidth val="219"/>
        <c:overlap val="-27"/>
        <c:axId val="332932736"/>
        <c:axId val="327286248"/>
      </c:barChart>
      <c:catAx>
        <c:axId val="33293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286248"/>
        <c:crosses val="autoZero"/>
        <c:auto val="1"/>
        <c:lblAlgn val="ctr"/>
        <c:lblOffset val="100"/>
        <c:noMultiLvlLbl val="0"/>
      </c:catAx>
      <c:valAx>
        <c:axId val="327286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932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Mean (x̄) of Socio-Demographic Effects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3480184019788037E-2"/>
          <c:y val="0.19173629337999418"/>
          <c:w val="0.92407203662511161"/>
          <c:h val="0.67724518810148726"/>
        </c:manualLayout>
      </c:layout>
      <c:barChart>
        <c:barDir val="col"/>
        <c:grouping val="clustered"/>
        <c:varyColors val="0"/>
        <c:ser>
          <c:idx val="0"/>
          <c:order val="0"/>
          <c:tx>
            <c:strRef>
              <c:f>Sheet1!$B$1</c:f>
              <c:strCache>
                <c:ptCount val="1"/>
                <c:pt idx="0">
                  <c:v>Mean (x̄)</c:v>
                </c:pt>
              </c:strCache>
            </c:strRef>
          </c:tx>
          <c:spPr>
            <a:solidFill>
              <a:schemeClr val="accent1"/>
            </a:solidFill>
            <a:ln>
              <a:noFill/>
            </a:ln>
            <a:effectLst/>
          </c:spPr>
          <c:invertIfNegative val="0"/>
          <c:cat>
            <c:strRef>
              <c:f>Sheet1!$A$2:$A$6</c:f>
              <c:strCache>
                <c:ptCount val="5"/>
                <c:pt idx="0">
                  <c:v>Frequent absenteeism</c:v>
                </c:pt>
                <c:pt idx="1">
                  <c:v>Poor academic performance</c:v>
                </c:pt>
                <c:pt idx="2">
                  <c:v>Truancy / lateness</c:v>
                </c:pt>
                <c:pt idx="3">
                  <c:v>Disciplinary actions (warning/suspension)</c:v>
                </c:pt>
                <c:pt idx="4">
                  <c:v>Reduced classroom concentration</c:v>
                </c:pt>
              </c:strCache>
            </c:strRef>
          </c:cat>
          <c:val>
            <c:numRef>
              <c:f>Sheet1!$B$2:$B$6</c:f>
              <c:numCache>
                <c:formatCode>General</c:formatCode>
                <c:ptCount val="5"/>
                <c:pt idx="0">
                  <c:v>3.77</c:v>
                </c:pt>
                <c:pt idx="1">
                  <c:v>3.89</c:v>
                </c:pt>
                <c:pt idx="2">
                  <c:v>3.7</c:v>
                </c:pt>
                <c:pt idx="3">
                  <c:v>3.42</c:v>
                </c:pt>
                <c:pt idx="4">
                  <c:v>3.93</c:v>
                </c:pt>
              </c:numCache>
            </c:numRef>
          </c:val>
          <c:extLst>
            <c:ext xmlns:c16="http://schemas.microsoft.com/office/drawing/2014/chart" uri="{C3380CC4-5D6E-409C-BE32-E72D297353CC}">
              <c16:uniqueId val="{00000000-1E3D-4A9B-9A29-58971F485EE8}"/>
            </c:ext>
          </c:extLst>
        </c:ser>
        <c:dLbls>
          <c:showLegendKey val="0"/>
          <c:showVal val="0"/>
          <c:showCatName val="0"/>
          <c:showSerName val="0"/>
          <c:showPercent val="0"/>
          <c:showBubbleSize val="0"/>
        </c:dLbls>
        <c:gapWidth val="219"/>
        <c:overlap val="-27"/>
        <c:axId val="327288992"/>
        <c:axId val="330416760"/>
      </c:barChart>
      <c:catAx>
        <c:axId val="32728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416760"/>
        <c:crosses val="autoZero"/>
        <c:auto val="1"/>
        <c:lblAlgn val="ctr"/>
        <c:lblOffset val="100"/>
        <c:noMultiLvlLbl val="0"/>
      </c:catAx>
      <c:valAx>
        <c:axId val="330416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288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i="0" u="none" strike="noStrike" baseline="0">
                <a:effectLst/>
                <a:latin typeface="Times New Roman" panose="02020603050405020304" pitchFamily="18" charset="0"/>
                <a:cs typeface="Times New Roman" panose="02020603050405020304" pitchFamily="18" charset="0"/>
              </a:rPr>
              <a:t>Chi-square tests of independence on the connection between categorical variables and drug use status</a:t>
            </a:r>
            <a:endParaRPr lang="en-GB" sz="1200" b="1">
              <a:latin typeface="Times New Roman" panose="02020603050405020304" pitchFamily="18" charset="0"/>
              <a:cs typeface="Times New Roman" panose="02020603050405020304" pitchFamily="18" charset="0"/>
            </a:endParaRPr>
          </a:p>
        </c:rich>
      </c:tx>
      <c:layout>
        <c:manualLayout>
          <c:xMode val="edge"/>
          <c:yMode val="edge"/>
          <c:x val="0.18179524183271303"/>
          <c:y val="3.0172413793103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Sheet1!$A$2</c:f>
              <c:strCache>
                <c:ptCount val="1"/>
                <c:pt idx="0">
                  <c:v>Gender × Drug Use</c:v>
                </c:pt>
              </c:strCache>
            </c:strRef>
          </c:tx>
          <c:spPr>
            <a:solidFill>
              <a:schemeClr val="accent1"/>
            </a:solidFill>
            <a:ln>
              <a:noFill/>
            </a:ln>
            <a:effectLst/>
          </c:spPr>
          <c:invertIfNegative val="0"/>
          <c:cat>
            <c:strRef>
              <c:f>Sheet1!$B$1:$D$1</c:f>
              <c:strCache>
                <c:ptCount val="3"/>
                <c:pt idx="0">
                  <c:v>χ² (Chi-square)</c:v>
                </c:pt>
                <c:pt idx="1">
                  <c:v>df</c:v>
                </c:pt>
                <c:pt idx="2">
                  <c:v>p-value</c:v>
                </c:pt>
              </c:strCache>
            </c:strRef>
          </c:cat>
          <c:val>
            <c:numRef>
              <c:f>Sheet1!$B$2:$D$2</c:f>
              <c:numCache>
                <c:formatCode>General</c:formatCode>
                <c:ptCount val="3"/>
                <c:pt idx="0">
                  <c:v>8.4120000000000008</c:v>
                </c:pt>
                <c:pt idx="1">
                  <c:v>1</c:v>
                </c:pt>
                <c:pt idx="2">
                  <c:v>4.0000000000000001E-3</c:v>
                </c:pt>
              </c:numCache>
            </c:numRef>
          </c:val>
          <c:extLst>
            <c:ext xmlns:c16="http://schemas.microsoft.com/office/drawing/2014/chart" uri="{C3380CC4-5D6E-409C-BE32-E72D297353CC}">
              <c16:uniqueId val="{00000000-7B1F-430E-8815-B2951E165E25}"/>
            </c:ext>
          </c:extLst>
        </c:ser>
        <c:ser>
          <c:idx val="1"/>
          <c:order val="1"/>
          <c:tx>
            <c:strRef>
              <c:f>Sheet1!$A$3</c:f>
              <c:strCache>
                <c:ptCount val="1"/>
                <c:pt idx="0">
                  <c:v>Community Type × Drug Use</c:v>
                </c:pt>
              </c:strCache>
            </c:strRef>
          </c:tx>
          <c:spPr>
            <a:solidFill>
              <a:schemeClr val="accent2"/>
            </a:solidFill>
            <a:ln>
              <a:noFill/>
            </a:ln>
            <a:effectLst/>
          </c:spPr>
          <c:invertIfNegative val="0"/>
          <c:cat>
            <c:strRef>
              <c:f>Sheet1!$B$1:$D$1</c:f>
              <c:strCache>
                <c:ptCount val="3"/>
                <c:pt idx="0">
                  <c:v>χ² (Chi-square)</c:v>
                </c:pt>
                <c:pt idx="1">
                  <c:v>df</c:v>
                </c:pt>
                <c:pt idx="2">
                  <c:v>p-value</c:v>
                </c:pt>
              </c:strCache>
            </c:strRef>
          </c:cat>
          <c:val>
            <c:numRef>
              <c:f>Sheet1!$B$3:$D$3</c:f>
              <c:numCache>
                <c:formatCode>General</c:formatCode>
                <c:ptCount val="3"/>
                <c:pt idx="0">
                  <c:v>6.327</c:v>
                </c:pt>
                <c:pt idx="1">
                  <c:v>1</c:v>
                </c:pt>
                <c:pt idx="2">
                  <c:v>1.2E-2</c:v>
                </c:pt>
              </c:numCache>
            </c:numRef>
          </c:val>
          <c:extLst>
            <c:ext xmlns:c16="http://schemas.microsoft.com/office/drawing/2014/chart" uri="{C3380CC4-5D6E-409C-BE32-E72D297353CC}">
              <c16:uniqueId val="{00000001-7B1F-430E-8815-B2951E165E25}"/>
            </c:ext>
          </c:extLst>
        </c:ser>
        <c:dLbls>
          <c:showLegendKey val="0"/>
          <c:showVal val="0"/>
          <c:showCatName val="0"/>
          <c:showSerName val="0"/>
          <c:showPercent val="0"/>
          <c:showBubbleSize val="0"/>
        </c:dLbls>
        <c:gapWidth val="150"/>
        <c:overlap val="100"/>
        <c:axId val="365828095"/>
        <c:axId val="365826015"/>
      </c:barChart>
      <c:catAx>
        <c:axId val="365828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826015"/>
        <c:crosses val="autoZero"/>
        <c:auto val="1"/>
        <c:lblAlgn val="ctr"/>
        <c:lblOffset val="100"/>
        <c:noMultiLvlLbl val="0"/>
      </c:catAx>
      <c:valAx>
        <c:axId val="3658260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5828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i="0" u="none" strike="noStrike" baseline="0">
                <a:effectLst/>
                <a:latin typeface="Times New Roman" panose="02020603050405020304" pitchFamily="18" charset="0"/>
                <a:cs typeface="Times New Roman" panose="02020603050405020304" pitchFamily="18" charset="0"/>
              </a:rPr>
              <a:t>Distribution of Respondents Across Selected Communities in Kokona LGA</a:t>
            </a:r>
            <a:endParaRPr lang="en-GB" sz="1400" b="1">
              <a:latin typeface="Times New Roman" panose="02020603050405020304" pitchFamily="18" charset="0"/>
              <a:cs typeface="Times New Roman" panose="02020603050405020304" pitchFamily="18" charset="0"/>
            </a:endParaRPr>
          </a:p>
        </c:rich>
      </c:tx>
      <c:layout>
        <c:manualLayout>
          <c:xMode val="edge"/>
          <c:yMode val="edge"/>
          <c:x val="9.1606217616580304E-2"/>
          <c:y val="7.7972709551656916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Sheet1!$C$13</c:f>
              <c:strCache>
                <c:ptCount val="1"/>
                <c:pt idx="0">
                  <c:v>Population</c:v>
                </c:pt>
              </c:strCache>
            </c:strRef>
          </c:tx>
          <c:spPr>
            <a:solidFill>
              <a:schemeClr val="accent1"/>
            </a:solidFill>
            <a:ln>
              <a:noFill/>
            </a:ln>
            <a:effectLst/>
          </c:spPr>
          <c:invertIfNegative val="0"/>
          <c:cat>
            <c:multiLvlStrRef>
              <c:f>Sheet1!$A$14:$B$22</c:f>
              <c:multiLvlStrCache>
                <c:ptCount val="9"/>
                <c:lvl>
                  <c:pt idx="0">
                    <c:v>Garaku</c:v>
                  </c:pt>
                  <c:pt idx="1">
                    <c:v>Jarmai</c:v>
                  </c:pt>
                  <c:pt idx="2">
                    <c:v>Amba</c:v>
                  </c:pt>
                  <c:pt idx="3">
                    <c:v>Sabon Gida</c:v>
                  </c:pt>
                  <c:pt idx="4">
                    <c:v>Agwada</c:v>
                  </c:pt>
                  <c:pt idx="5">
                    <c:v>Angwan Loko Garaku</c:v>
                  </c:pt>
                  <c:pt idx="6">
                    <c:v>Angwan Jarmai</c:v>
                  </c:pt>
                  <c:pt idx="7">
                    <c:v>Sabon Gida (II)</c:v>
                  </c:pt>
                  <c:pt idx="8">
                    <c:v>St Peter’s Garaku</c:v>
                  </c:pt>
                </c:lvl>
                <c:lvl>
                  <c:pt idx="0">
                    <c:v>1</c:v>
                  </c:pt>
                  <c:pt idx="1">
                    <c:v>2</c:v>
                  </c:pt>
                  <c:pt idx="2">
                    <c:v>3</c:v>
                  </c:pt>
                  <c:pt idx="3">
                    <c:v>4</c:v>
                  </c:pt>
                  <c:pt idx="4">
                    <c:v>5</c:v>
                  </c:pt>
                  <c:pt idx="5">
                    <c:v>6</c:v>
                  </c:pt>
                  <c:pt idx="6">
                    <c:v>7</c:v>
                  </c:pt>
                  <c:pt idx="7">
                    <c:v>8</c:v>
                  </c:pt>
                  <c:pt idx="8">
                    <c:v>9</c:v>
                  </c:pt>
                </c:lvl>
              </c:multiLvlStrCache>
            </c:multiLvlStrRef>
          </c:cat>
          <c:val>
            <c:numRef>
              <c:f>Sheet1!$C$14:$C$22</c:f>
              <c:numCache>
                <c:formatCode>General</c:formatCode>
                <c:ptCount val="9"/>
                <c:pt idx="0">
                  <c:v>435</c:v>
                </c:pt>
                <c:pt idx="1">
                  <c:v>125</c:v>
                </c:pt>
                <c:pt idx="2">
                  <c:v>122</c:v>
                </c:pt>
                <c:pt idx="3">
                  <c:v>205</c:v>
                </c:pt>
                <c:pt idx="4">
                  <c:v>55</c:v>
                </c:pt>
                <c:pt idx="5">
                  <c:v>389</c:v>
                </c:pt>
                <c:pt idx="6">
                  <c:v>186</c:v>
                </c:pt>
                <c:pt idx="7">
                  <c:v>73</c:v>
                </c:pt>
                <c:pt idx="8">
                  <c:v>105</c:v>
                </c:pt>
              </c:numCache>
            </c:numRef>
          </c:val>
          <c:extLst>
            <c:ext xmlns:c16="http://schemas.microsoft.com/office/drawing/2014/chart" uri="{C3380CC4-5D6E-409C-BE32-E72D297353CC}">
              <c16:uniqueId val="{00000000-0390-4B54-BF18-9C60EEBE617C}"/>
            </c:ext>
          </c:extLst>
        </c:ser>
        <c:ser>
          <c:idx val="1"/>
          <c:order val="1"/>
          <c:tx>
            <c:strRef>
              <c:f>Sheet1!$D$13</c:f>
              <c:strCache>
                <c:ptCount val="1"/>
                <c:pt idx="0">
                  <c:v>Proportion (%)</c:v>
                </c:pt>
              </c:strCache>
            </c:strRef>
          </c:tx>
          <c:spPr>
            <a:solidFill>
              <a:schemeClr val="accent2"/>
            </a:solidFill>
            <a:ln>
              <a:noFill/>
            </a:ln>
            <a:effectLst/>
          </c:spPr>
          <c:invertIfNegative val="0"/>
          <c:cat>
            <c:multiLvlStrRef>
              <c:f>Sheet1!$A$14:$B$22</c:f>
              <c:multiLvlStrCache>
                <c:ptCount val="9"/>
                <c:lvl>
                  <c:pt idx="0">
                    <c:v>Garaku</c:v>
                  </c:pt>
                  <c:pt idx="1">
                    <c:v>Jarmai</c:v>
                  </c:pt>
                  <c:pt idx="2">
                    <c:v>Amba</c:v>
                  </c:pt>
                  <c:pt idx="3">
                    <c:v>Sabon Gida</c:v>
                  </c:pt>
                  <c:pt idx="4">
                    <c:v>Agwada</c:v>
                  </c:pt>
                  <c:pt idx="5">
                    <c:v>Angwan Loko Garaku</c:v>
                  </c:pt>
                  <c:pt idx="6">
                    <c:v>Angwan Jarmai</c:v>
                  </c:pt>
                  <c:pt idx="7">
                    <c:v>Sabon Gida (II)</c:v>
                  </c:pt>
                  <c:pt idx="8">
                    <c:v>St Peter’s Garaku</c:v>
                  </c:pt>
                </c:lvl>
                <c:lvl>
                  <c:pt idx="0">
                    <c:v>1</c:v>
                  </c:pt>
                  <c:pt idx="1">
                    <c:v>2</c:v>
                  </c:pt>
                  <c:pt idx="2">
                    <c:v>3</c:v>
                  </c:pt>
                  <c:pt idx="3">
                    <c:v>4</c:v>
                  </c:pt>
                  <c:pt idx="4">
                    <c:v>5</c:v>
                  </c:pt>
                  <c:pt idx="5">
                    <c:v>6</c:v>
                  </c:pt>
                  <c:pt idx="6">
                    <c:v>7</c:v>
                  </c:pt>
                  <c:pt idx="7">
                    <c:v>8</c:v>
                  </c:pt>
                  <c:pt idx="8">
                    <c:v>9</c:v>
                  </c:pt>
                </c:lvl>
              </c:multiLvlStrCache>
            </c:multiLvlStrRef>
          </c:cat>
          <c:val>
            <c:numRef>
              <c:f>Sheet1!$D$14:$D$22</c:f>
              <c:numCache>
                <c:formatCode>General</c:formatCode>
                <c:ptCount val="9"/>
                <c:pt idx="0">
                  <c:v>25.6</c:v>
                </c:pt>
                <c:pt idx="1">
                  <c:v>7.4</c:v>
                </c:pt>
                <c:pt idx="2">
                  <c:v>7.2</c:v>
                </c:pt>
                <c:pt idx="3">
                  <c:v>12.1</c:v>
                </c:pt>
                <c:pt idx="4">
                  <c:v>3.2</c:v>
                </c:pt>
                <c:pt idx="5">
                  <c:v>22.9</c:v>
                </c:pt>
                <c:pt idx="6">
                  <c:v>11</c:v>
                </c:pt>
                <c:pt idx="7">
                  <c:v>4.3</c:v>
                </c:pt>
                <c:pt idx="8">
                  <c:v>6.2</c:v>
                </c:pt>
              </c:numCache>
            </c:numRef>
          </c:val>
          <c:extLst>
            <c:ext xmlns:c16="http://schemas.microsoft.com/office/drawing/2014/chart" uri="{C3380CC4-5D6E-409C-BE32-E72D297353CC}">
              <c16:uniqueId val="{00000001-0390-4B54-BF18-9C60EEBE617C}"/>
            </c:ext>
          </c:extLst>
        </c:ser>
        <c:dLbls>
          <c:showLegendKey val="0"/>
          <c:showVal val="0"/>
          <c:showCatName val="0"/>
          <c:showSerName val="0"/>
          <c:showPercent val="0"/>
          <c:showBubbleSize val="0"/>
        </c:dLbls>
        <c:gapWidth val="182"/>
        <c:axId val="1017042367"/>
        <c:axId val="1017039871"/>
      </c:barChart>
      <c:catAx>
        <c:axId val="10170423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7039871"/>
        <c:crosses val="autoZero"/>
        <c:auto val="1"/>
        <c:lblAlgn val="ctr"/>
        <c:lblOffset val="100"/>
        <c:noMultiLvlLbl val="0"/>
      </c:catAx>
      <c:valAx>
        <c:axId val="10170398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7042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Mean (x̄) of Socio-Demographic Effects of Substance Abuse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3480184019788037E-2"/>
          <c:y val="0.19173629337999418"/>
          <c:w val="0.92407203662511161"/>
          <c:h val="0.67724518810148726"/>
        </c:manualLayout>
      </c:layout>
      <c:barChart>
        <c:barDir val="col"/>
        <c:grouping val="clustered"/>
        <c:varyColors val="0"/>
        <c:ser>
          <c:idx val="0"/>
          <c:order val="0"/>
          <c:tx>
            <c:strRef>
              <c:f>Sheet1!$B$1</c:f>
              <c:strCache>
                <c:ptCount val="1"/>
                <c:pt idx="0">
                  <c:v>Mean (x̄)</c:v>
                </c:pt>
              </c:strCache>
            </c:strRef>
          </c:tx>
          <c:spPr>
            <a:solidFill>
              <a:schemeClr val="accent1"/>
            </a:solidFill>
            <a:ln>
              <a:noFill/>
            </a:ln>
            <a:effectLst/>
          </c:spPr>
          <c:invertIfNegative val="0"/>
          <c:cat>
            <c:strRef>
              <c:f>Sheet1!$A$2:$A$6</c:f>
              <c:strCache>
                <c:ptCount val="5"/>
                <c:pt idx="0">
                  <c:v>Frequent absenteeism</c:v>
                </c:pt>
                <c:pt idx="1">
                  <c:v>Poor academic performance</c:v>
                </c:pt>
                <c:pt idx="2">
                  <c:v>Truancy / lateness</c:v>
                </c:pt>
                <c:pt idx="3">
                  <c:v>Disciplinary actions (warning/suspension)</c:v>
                </c:pt>
                <c:pt idx="4">
                  <c:v>Reduced classroom concentration</c:v>
                </c:pt>
              </c:strCache>
            </c:strRef>
          </c:cat>
          <c:val>
            <c:numRef>
              <c:f>Sheet1!$B$2:$B$6</c:f>
              <c:numCache>
                <c:formatCode>General</c:formatCode>
                <c:ptCount val="5"/>
                <c:pt idx="0">
                  <c:v>3.77</c:v>
                </c:pt>
                <c:pt idx="1">
                  <c:v>3.89</c:v>
                </c:pt>
                <c:pt idx="2">
                  <c:v>3.7</c:v>
                </c:pt>
                <c:pt idx="3">
                  <c:v>3.42</c:v>
                </c:pt>
                <c:pt idx="4">
                  <c:v>3.93</c:v>
                </c:pt>
              </c:numCache>
            </c:numRef>
          </c:val>
          <c:extLst>
            <c:ext xmlns:c16="http://schemas.microsoft.com/office/drawing/2014/chart" uri="{C3380CC4-5D6E-409C-BE32-E72D297353CC}">
              <c16:uniqueId val="{00000000-0DFB-46A2-A7F5-F94DEEB7B252}"/>
            </c:ext>
          </c:extLst>
        </c:ser>
        <c:dLbls>
          <c:showLegendKey val="0"/>
          <c:showVal val="0"/>
          <c:showCatName val="0"/>
          <c:showSerName val="0"/>
          <c:showPercent val="0"/>
          <c:showBubbleSize val="0"/>
        </c:dLbls>
        <c:gapWidth val="219"/>
        <c:overlap val="-27"/>
        <c:axId val="327288992"/>
        <c:axId val="330416760"/>
      </c:barChart>
      <c:catAx>
        <c:axId val="32728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0416760"/>
        <c:crosses val="autoZero"/>
        <c:auto val="1"/>
        <c:lblAlgn val="ctr"/>
        <c:lblOffset val="100"/>
        <c:noMultiLvlLbl val="0"/>
      </c:catAx>
      <c:valAx>
        <c:axId val="330416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288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Sheet1!$A$2:$A$7</cx:f>
        <cx:lvl ptCount="6">
          <cx:pt idx="0">Gender (Male)</cx:pt>
          <cx:pt idx="1">Age</cx:pt>
          <cx:pt idx="2">School Type (Public)</cx:pt>
          <cx:pt idx="3">Family Background (Broken)</cx:pt>
          <cx:pt idx="4">Peer Influence</cx:pt>
          <cx:pt idx="5">Constant</cx:pt>
        </cx:lvl>
      </cx:strDim>
      <cx:numDim type="val">
        <cx:f>Sheet1!$B$2:$B$7</cx:f>
        <cx:lvl ptCount="6" formatCode="General">
          <cx:pt idx="0">0.68700000000000006</cx:pt>
          <cx:pt idx="1">0.33200000000000002</cx:pt>
          <cx:pt idx="2">0.54200000000000004</cx:pt>
          <cx:pt idx="3">0.45900000000000002</cx:pt>
          <cx:pt idx="4">0.92300000000000004</cx:pt>
          <cx:pt idx="5">-2.246</cx:pt>
        </cx:lvl>
      </cx:numDim>
    </cx:data>
  </cx:chartData>
  <cx:chart>
    <cx:title pos="t" align="ctr" overlay="0">
      <cx:tx>
        <cx:txData>
          <cx:v>B</cx:v>
        </cx:txData>
      </cx:tx>
      <cx:txPr>
        <a:bodyPr rot="0" spcFirstLastPara="1" vertOverflow="ellipsis" vert="horz" wrap="square" lIns="38100" tIns="19050" rIns="38100" bIns="19050" anchor="ctr" anchorCtr="1" compatLnSpc="0"/>
        <a:lstStyle/>
        <a:p>
          <a:pPr algn="ctr" rtl="0">
            <a:defRPr sz="1440" b="0" i="0" u="none" strike="noStrike" kern="1200" spc="0" baseline="0">
              <a:solidFill>
                <a:sysClr val="windowText" lastClr="000000">
                  <a:lumMod val="65000"/>
                  <a:lumOff val="35000"/>
                </a:sysClr>
              </a:solidFill>
              <a:latin typeface="+mn-lt"/>
              <a:ea typeface="+mn-ea"/>
              <a:cs typeface="+mn-cs"/>
            </a:defRPr>
          </a:pPr>
          <a:r>
            <a:rPr kumimoji="0" lang="en-GB" sz="144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B</a:t>
          </a:r>
        </a:p>
      </cx:txPr>
    </cx:title>
    <cx:plotArea>
      <cx:plotAreaRegion>
        <cx:series layoutId="clusteredColumn" uniqueId="{B51B22CB-F728-4ABC-9329-B81BC81FC8C0}">
          <cx:tx>
            <cx:txData>
              <cx:f>Sheet1!$B$1</cx:f>
              <cx:v>B</cx:v>
            </cx:txData>
          </cx:tx>
          <cx:dataId val="0"/>
          <cx:layoutPr>
            <cx:aggregation/>
          </cx:layoutPr>
          <cx:axisId val="1"/>
        </cx:series>
        <cx:series layoutId="paretoLine" ownerIdx="0" uniqueId="{EAF7516F-8882-45EC-86C4-663D2A459E5E}">
          <cx:axisId val="2"/>
        </cx:series>
      </cx:plotAreaRegion>
      <cx:axis id="0">
        <cx:catScaling/>
        <cx:tickLabels/>
      </cx:axis>
      <cx:axis id="1">
        <cx:valScaling/>
        <cx:majorGridlines/>
        <cx:tickLabels/>
      </cx:axis>
      <cx:axis id="2">
        <cx:valScaling max="1" min="0"/>
        <cx:units unit="percentage"/>
        <cx:tickLabels/>
      </cx:axis>
    </cx:plotArea>
    <cx:legend pos="b"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24</Pages>
  <Words>5459</Words>
  <Characters>31119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Danladi</dc:creator>
  <cp:keywords/>
  <dc:description/>
  <cp:lastModifiedBy>Danladi</cp:lastModifiedBy>
  <cp:revision>20</cp:revision>
  <dcterms:created xsi:type="dcterms:W3CDTF">2026-04-12T12:15:00Z</dcterms:created>
  <dcterms:modified xsi:type="dcterms:W3CDTF">2026-04-19T12:17:00Z</dcterms:modified>
</cp:coreProperties>
</file>