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ONE</w:t>
      </w: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B65CF3" w:rsidRPr="00EA2158" w:rsidRDefault="00B65CF3" w:rsidP="00B65CF3">
      <w:pPr>
        <w:pBdr>
          <w:bottom w:val="single" w:sz="4" w:space="31" w:color="auto"/>
        </w:pBd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w:t>
      </w:r>
      <w:r w:rsidRPr="00EA2158">
        <w:rPr>
          <w:rFonts w:ascii="Times New Roman" w:eastAsia="Times New Roman" w:hAnsi="Times New Roman" w:cs="Times New Roman"/>
          <w:b/>
          <w:bCs/>
          <w:sz w:val="24"/>
          <w:szCs w:val="24"/>
        </w:rPr>
        <w:t xml:space="preserve"> the Study</w:t>
      </w:r>
    </w:p>
    <w:p w:rsidR="00B65CF3" w:rsidRDefault="00B65CF3" w:rsidP="00B65CF3">
      <w:pPr>
        <w:pBdr>
          <w:bottom w:val="single" w:sz="4" w:space="3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 xml:space="preserve">Technological innovations have transformed global financial systems prompting central banks to explore digital forms of sovereign money. One major development is the introduction of </w:t>
      </w:r>
      <w:r>
        <w:rPr>
          <w:rStyle w:val="Strong"/>
          <w:rFonts w:ascii="Times New Roman" w:hAnsi="Times New Roman" w:cs="Times New Roman"/>
          <w:sz w:val="24"/>
          <w:szCs w:val="24"/>
        </w:rPr>
        <w:t>Central Bank Digital Currencies (CBDCs)</w:t>
      </w:r>
      <w:r w:rsidRPr="00EA2158">
        <w:rPr>
          <w:rStyle w:val="Strong"/>
          <w:rFonts w:ascii="Times New Roman" w:hAnsi="Times New Roman" w:cs="Times New Roman"/>
          <w:sz w:val="24"/>
          <w:szCs w:val="24"/>
        </w:rPr>
        <w:t>.</w:t>
      </w:r>
      <w:r>
        <w:rPr>
          <w:rFonts w:ascii="Times New Roman" w:hAnsi="Times New Roman" w:cs="Times New Roman"/>
          <w:sz w:val="24"/>
          <w:szCs w:val="24"/>
        </w:rPr>
        <w:t xml:space="preserve"> A Central Bank Digital C</w:t>
      </w:r>
      <w:r w:rsidRPr="00EA2158">
        <w:rPr>
          <w:rFonts w:ascii="Times New Roman" w:hAnsi="Times New Roman" w:cs="Times New Roman"/>
          <w:sz w:val="24"/>
          <w:szCs w:val="24"/>
        </w:rPr>
        <w:t>urrencies (CBDCs) is a digital version of a fiat currency issued and regulated by central bank. However, no standardized technical definition of Central Bank Digital Currencies (CBDCs) exists because countries design their individual theoretical and conceptual perspectives on Central Bank Digital Currencies (CBDCs).  Bai, H., Cong, L.W., Luo, M., Xie, P., 2025. But despite lack of standardize definition there are some common features that are inherent across the countries that adopted and are using Central Bank Digital Currencies (CBDCs) which includes; digital form of fiat money, financial inclusion, legal tender status, two-tier operational model, support for monetary policy, Payment efficiency, etc. BIS (2020).</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hAnsi="Times New Roman" w:cs="Times New Roman"/>
          <w:sz w:val="24"/>
          <w:szCs w:val="24"/>
        </w:rPr>
        <w:t>Globally, the central ban</w:t>
      </w:r>
      <w:r>
        <w:rPr>
          <w:rFonts w:ascii="Times New Roman" w:hAnsi="Times New Roman" w:cs="Times New Roman"/>
          <w:sz w:val="24"/>
          <w:szCs w:val="24"/>
        </w:rPr>
        <w:t xml:space="preserve">ks of four developing countries </w:t>
      </w:r>
      <w:r w:rsidRPr="00EA2158">
        <w:rPr>
          <w:rFonts w:ascii="Times New Roman" w:hAnsi="Times New Roman" w:cs="Times New Roman"/>
          <w:sz w:val="24"/>
          <w:szCs w:val="24"/>
        </w:rPr>
        <w:t>the Bahamas,</w:t>
      </w:r>
      <w:r>
        <w:rPr>
          <w:rFonts w:ascii="Times New Roman" w:hAnsi="Times New Roman" w:cs="Times New Roman"/>
          <w:sz w:val="24"/>
          <w:szCs w:val="24"/>
        </w:rPr>
        <w:t xml:space="preserve"> Nigeria, Zimbabwe, and Jamaica </w:t>
      </w:r>
      <w:r w:rsidRPr="00EA2158">
        <w:rPr>
          <w:rFonts w:ascii="Times New Roman" w:hAnsi="Times New Roman" w:cs="Times New Roman"/>
          <w:sz w:val="24"/>
          <w:szCs w:val="24"/>
        </w:rPr>
        <w:t>are the earliest to launch and are currently using retail CBDCs. The design differences in these CBDCs reflect the varying economic, technological, and policy priorities. The Bahamas launched the “Sand Dollar” in 2017 to modernize and streamline the financial system, improve financial inclusion, increase transactional efficiency, and reduce service delivery costs. Both Nigeria and Zimbabwe launched their CBDCs in 2021. In Nigeria, the example of CBDC used was the “e-Naira” which was launched to increase financial inclusion, increase cross-border payment efficiency, reduce informality, and facilitate remittances. “ZiG” was launched in Zimbabwe to tame the Zimbabwean dollar’s depreciation using the country’s gold reserves. Finally, Jamaica launched “JAM-DEX” in 2023 for its transition to a digital economy, greater financial inclusion, and improved management processes and costs (CBDC Tracker, 2025).</w:t>
      </w:r>
    </w:p>
    <w:p w:rsidR="00B65CF3" w:rsidRPr="00EA2158" w:rsidRDefault="00B65CF3" w:rsidP="00B65CF3">
      <w:pPr>
        <w:pBdr>
          <w:bottom w:val="single" w:sz="4" w:space="1" w:color="auto"/>
        </w:pBdr>
        <w:spacing w:before="100" w:beforeAutospacing="1" w:after="100" w:afterAutospacing="1" w:line="240" w:lineRule="auto"/>
        <w:jc w:val="both"/>
        <w:rPr>
          <w:rStyle w:val="Strong"/>
          <w:rFonts w:ascii="Times New Roman" w:hAnsi="Times New Roman" w:cs="Times New Roman"/>
          <w:sz w:val="24"/>
          <w:szCs w:val="24"/>
        </w:rPr>
      </w:pPr>
      <w:r w:rsidRPr="00EA2158">
        <w:rPr>
          <w:rFonts w:ascii="Times New Roman" w:hAnsi="Times New Roman" w:cs="Times New Roman"/>
          <w:sz w:val="24"/>
          <w:szCs w:val="24"/>
        </w:rPr>
        <w:t>Digital currency provides an alternative channel for delivering financial services to underserved populations. Unlike traditional banking services that require physical infrastructure and documentation, digital currencies can be accessed with mobile phones and internet connectivity, thereby bridging the gap for remote and rural populations. The launch of the eNaira by the Central Bank of Nigeria in October 2021 is a major policy move aimed at boosting financial inclusion and reducing the dependence on cash-based transactions (CBN, 2021).</w:t>
      </w:r>
      <w:r w:rsidRPr="00EA2158">
        <w:rPr>
          <w:rStyle w:val="Strong"/>
          <w:rFonts w:ascii="Times New Roman" w:hAnsi="Times New Roman" w:cs="Times New Roman"/>
          <w:sz w:val="24"/>
          <w:szCs w:val="24"/>
        </w:rPr>
        <w:t xml:space="preserve"> </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 xml:space="preserve">Financial inclusion is the process of ensuring that individuals, households and businesses in a community have adequate access to formal financial services and products such as transactions, credit cards, payments, savings and insurance, and that these are delivered sustainably Cicchiello, A. F., Kazemikhasragh, A., Monferrá, S., &amp; Girón, A. (2021). It is the basic access to all financial services for all people (Ozili, 2023). Thus, financial inclusion may imply the state of ensuring that the majority of the population of a community has access to formal banking instruments of one kind or another to carry out transactions effectively and efficiently. </w:t>
      </w:r>
    </w:p>
    <w:p w:rsidR="00B65CF3" w:rsidRPr="00EA2158" w:rsidRDefault="00B65CF3" w:rsidP="00B65CF3">
      <w:pPr>
        <w:pBdr>
          <w:bottom w:val="single" w:sz="4" w:space="1" w:color="auto"/>
        </w:pBdr>
        <w:spacing w:before="100" w:beforeAutospacing="1" w:after="100" w:afterAutospacing="1" w:line="240" w:lineRule="auto"/>
        <w:jc w:val="both"/>
        <w:rPr>
          <w:rStyle w:val="Strong"/>
          <w:rFonts w:ascii="Times New Roman" w:hAnsi="Times New Roman" w:cs="Times New Roman"/>
          <w:sz w:val="24"/>
          <w:szCs w:val="24"/>
        </w:rPr>
      </w:pPr>
      <w:r w:rsidRPr="00EA2158">
        <w:rPr>
          <w:rStyle w:val="Strong"/>
          <w:rFonts w:ascii="Times New Roman" w:hAnsi="Times New Roman" w:cs="Times New Roman"/>
          <w:sz w:val="24"/>
          <w:szCs w:val="24"/>
        </w:rPr>
        <w:t xml:space="preserve"> </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Financial inclusion is one of the key drivers and advantages of issuing a CBDC in Nigeria (Ogunride, 2023). Financial literacy and awareness are a basic need for society and panacea for financial inclusion. Hence financial inclusion can be driven by a high level of financial literacy.</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lastRenderedPageBreak/>
        <w:t>Financial Stability is a panacea for economic growth in Nigeria and it is important to examine the possible impact of the Nigerian digital currency on financial stability. The main argument for the introduction of CBDC is that CBDCs offers an efficient and effective method for implementing helicopter-money responses from the government during economic downturn like the Covid 19 pandemic and in facilitating other socially orientated government-to-person monetary transfers (Amarta and Latifah 2023).</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From theoretical and empirical perspective the debates and discussion about e-Naira in Nigeria is relatively new however questions will arise about the economic and social consequences of the e-Naira in Nigeria. Bijlsma, M., C. van der Cruijsen, N. Jonker, and J. Reijerink. 2023 also stated that little is known about public awareness of CBDCs generally. In Nigeria, the collective effects of reduction in the use of cash through financial inclusion programs as well as the fiscal and economic policies of the central bank makes it imperative to measure the impact of the digital currency on financial inclusion, financial stability and monetary policies effectiveness.</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However, Nigerian economy been largely as informal, the impact of the e-Naira on financial inclusion and financial stability is yet to be known. This study seeks to contribute to the emerging literature on central bank digital currencies.</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1.2 Statement of the Problem</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Despite its early adoption of Central Bank Digital Currencies (CBDCs) eNaira, Nigeria continues to face persistent financial instability characterized by exchange rate volatility, inflationary pressures, cyber-risks, liquidity challenges in the banking sector, and fluctuating confidence in financial institutions. While the eNaira the Nigerian version of CBDCs which was intended to enhance payment efficiency, improve transparency, and support financial inclusion, its actual impact on financial stability is yet to be clearly established. </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The </w:t>
      </w:r>
      <w:r w:rsidRPr="00EA2158">
        <w:rPr>
          <w:rFonts w:ascii="Times New Roman" w:eastAsia="Times New Roman" w:hAnsi="Times New Roman" w:cs="Times New Roman"/>
          <w:b/>
          <w:bCs/>
          <w:sz w:val="24"/>
          <w:szCs w:val="24"/>
        </w:rPr>
        <w:t>Limited adoption of the eNaira</w:t>
      </w:r>
      <w:r w:rsidRPr="00EA2158">
        <w:rPr>
          <w:rFonts w:ascii="Times New Roman" w:eastAsia="Times New Roman" w:hAnsi="Times New Roman" w:cs="Times New Roman"/>
          <w:sz w:val="24"/>
          <w:szCs w:val="24"/>
        </w:rPr>
        <w:t xml:space="preserve"> raises concerns about its effectiveness in influencing financial system liquidity and stability. Also the introduction of CBDCs may alter </w:t>
      </w:r>
      <w:r w:rsidRPr="00EA2158">
        <w:rPr>
          <w:rFonts w:ascii="Times New Roman" w:eastAsia="Times New Roman" w:hAnsi="Times New Roman" w:cs="Times New Roman"/>
          <w:b/>
          <w:bCs/>
          <w:sz w:val="24"/>
          <w:szCs w:val="24"/>
        </w:rPr>
        <w:t>bank deposit structures</w:t>
      </w:r>
      <w:r w:rsidRPr="00EA2158">
        <w:rPr>
          <w:rFonts w:ascii="Times New Roman" w:eastAsia="Times New Roman" w:hAnsi="Times New Roman" w:cs="Times New Roman"/>
          <w:sz w:val="24"/>
          <w:szCs w:val="24"/>
        </w:rPr>
        <w:t>, potentially affecting banks’ ability to create credit and maintain stability.</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CBDCs may affect the </w:t>
      </w:r>
      <w:r w:rsidRPr="00EA2158">
        <w:rPr>
          <w:rFonts w:ascii="Times New Roman" w:eastAsia="Times New Roman" w:hAnsi="Times New Roman" w:cs="Times New Roman"/>
          <w:b/>
          <w:bCs/>
          <w:sz w:val="24"/>
          <w:szCs w:val="24"/>
        </w:rPr>
        <w:t>payment system</w:t>
      </w:r>
      <w:r w:rsidRPr="00EA2158">
        <w:rPr>
          <w:rFonts w:ascii="Times New Roman" w:eastAsia="Times New Roman" w:hAnsi="Times New Roman" w:cs="Times New Roman"/>
          <w:sz w:val="24"/>
          <w:szCs w:val="24"/>
        </w:rPr>
        <w:t>, reducing cash-related risks but potentially introducing cyber security, operational, and technological vulnerabilities.</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Empirical studies on CBDCs and financial stability in Nigeria remain scarce, creating a knowledge gap.</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The macroeconomic environment characterized by high inflation, unstable exchange rates, and low financial inclusion may influence the relationship between CBDCs and financial stability.</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Given these uncertainties, it is necessary to empirically examine how CBDC usage in Nigeria influences financial stability.</w:t>
      </w:r>
    </w:p>
    <w:p w:rsidR="00B65CF3" w:rsidRPr="00EA2158" w:rsidRDefault="00B65CF3" w:rsidP="00B65CF3">
      <w:pPr>
        <w:pStyle w:val="ListParagraph"/>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p>
    <w:p w:rsidR="00B65CF3" w:rsidRPr="00EA2158" w:rsidRDefault="00B65CF3" w:rsidP="00B65CF3">
      <w:pPr>
        <w:pBdr>
          <w:bottom w:val="single" w:sz="4" w:space="3" w:color="auto"/>
        </w:pBdr>
        <w:spacing w:before="100" w:beforeAutospacing="1" w:after="100" w:afterAutospacing="1" w:line="240" w:lineRule="auto"/>
        <w:jc w:val="both"/>
        <w:rPr>
          <w:rFonts w:ascii="Times New Roman" w:hAnsi="Times New Roman" w:cs="Times New Roman"/>
          <w:sz w:val="24"/>
          <w:szCs w:val="24"/>
        </w:rPr>
      </w:pPr>
    </w:p>
    <w:p w:rsidR="00B65CF3" w:rsidRPr="00EA2158" w:rsidRDefault="00B65CF3" w:rsidP="00B65CF3">
      <w:pPr>
        <w:pBdr>
          <w:bottom w:val="single" w:sz="4" w:space="3"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1.3 Objectives of the Study</w:t>
      </w:r>
    </w:p>
    <w:p w:rsidR="00B65CF3" w:rsidRPr="00EA2158" w:rsidRDefault="00B65CF3" w:rsidP="00B65CF3">
      <w:pPr>
        <w:pBdr>
          <w:bottom w:val="single" w:sz="4" w:space="3"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lastRenderedPageBreak/>
        <w:t>The broad objective of this study is to examine the role of central bank digital currencies (CBDCs) on financial stability in Nigeria.</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The specific objectives are to;</w:t>
      </w:r>
    </w:p>
    <w:p w:rsidR="00B65CF3" w:rsidRPr="00EA2158" w:rsidRDefault="00B65CF3" w:rsidP="00B65CF3">
      <w:pPr>
        <w:numPr>
          <w:ilvl w:val="0"/>
          <w:numId w:val="5"/>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Examine the effect of Central Bank Digital Currencies (CBDCs) transaction volume on financial stability in Nigeria.</w:t>
      </w:r>
    </w:p>
    <w:p w:rsidR="00B65CF3" w:rsidRPr="00EA2158" w:rsidRDefault="00B65CF3" w:rsidP="00B65CF3">
      <w:pPr>
        <w:numPr>
          <w:ilvl w:val="0"/>
          <w:numId w:val="5"/>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Evaluate the impact of Central Bank Digital Currencies (CBDCs) transaction value on financial stability.</w:t>
      </w:r>
    </w:p>
    <w:p w:rsidR="00B65CF3" w:rsidRPr="00EA2158" w:rsidRDefault="00B65CF3" w:rsidP="00B65CF3">
      <w:pPr>
        <w:numPr>
          <w:ilvl w:val="0"/>
          <w:numId w:val="5"/>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Investigate the influence of Central Bank Digital Currencies (CBDCs) wallet adoption on financial stability.</w:t>
      </w:r>
    </w:p>
    <w:p w:rsidR="00B65CF3" w:rsidRPr="00EA2158" w:rsidRDefault="00B65CF3" w:rsidP="00B65CF3">
      <w:pPr>
        <w:pBdr>
          <w:bottom w:val="single" w:sz="4" w:space="1"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1.4 Research Questions</w:t>
      </w:r>
    </w:p>
    <w:p w:rsidR="00B65CF3" w:rsidRPr="00EA2158" w:rsidRDefault="00B65CF3" w:rsidP="00B65CF3">
      <w:pPr>
        <w:numPr>
          <w:ilvl w:val="0"/>
          <w:numId w:val="6"/>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How does CBDCs transaction volume affect financial stability in Nigeria?</w:t>
      </w:r>
    </w:p>
    <w:p w:rsidR="00B65CF3" w:rsidRPr="00EA2158" w:rsidRDefault="00B65CF3" w:rsidP="00B65CF3">
      <w:pPr>
        <w:numPr>
          <w:ilvl w:val="0"/>
          <w:numId w:val="6"/>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What is the impact of CBDCs transaction value on financial stability?</w:t>
      </w:r>
    </w:p>
    <w:p w:rsidR="00B65CF3" w:rsidRPr="00EA2158" w:rsidRDefault="00B65CF3" w:rsidP="00B65CF3">
      <w:pPr>
        <w:numPr>
          <w:ilvl w:val="0"/>
          <w:numId w:val="6"/>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To what extent does CBDCs wallet adoption influence financial stability?</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1.5 Research Hypotheses</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The study will be guided by the following hypotheses:</w:t>
      </w:r>
    </w:p>
    <w:p w:rsidR="00B65CF3" w:rsidRPr="00EA2158" w:rsidRDefault="00B65CF3" w:rsidP="00B65CF3">
      <w:pPr>
        <w:pBdr>
          <w:bottom w:val="single" w:sz="4" w:space="1" w:color="auto"/>
        </w:pBdr>
        <w:spacing w:before="100" w:beforeAutospacing="1" w:after="100" w:afterAutospacing="1" w:line="240" w:lineRule="auto"/>
        <w:ind w:left="720"/>
        <w:rPr>
          <w:rFonts w:ascii="Times New Roman" w:eastAsia="Times New Roman" w:hAnsi="Times New Roman" w:cs="Times New Roman"/>
          <w:sz w:val="24"/>
          <w:szCs w:val="24"/>
        </w:rPr>
      </w:pPr>
      <w:r w:rsidRPr="00EA2158">
        <w:rPr>
          <w:rFonts w:ascii="Times New Roman" w:eastAsia="Times New Roman" w:hAnsi="Times New Roman" w:cs="Times New Roman"/>
          <w:b/>
          <w:bCs/>
          <w:sz w:val="24"/>
          <w:szCs w:val="24"/>
        </w:rPr>
        <w:t>H01:</w:t>
      </w:r>
      <w:r w:rsidRPr="00EA2158">
        <w:rPr>
          <w:rFonts w:ascii="Times New Roman" w:eastAsia="Times New Roman" w:hAnsi="Times New Roman" w:cs="Times New Roman"/>
          <w:sz w:val="24"/>
          <w:szCs w:val="24"/>
        </w:rPr>
        <w:t xml:space="preserve"> CBDC transaction volume has no significant effect on financial stability in Nigeria.</w:t>
      </w:r>
    </w:p>
    <w:p w:rsidR="00B65CF3" w:rsidRPr="00EA2158" w:rsidRDefault="00B65CF3" w:rsidP="00B65CF3">
      <w:pPr>
        <w:pBdr>
          <w:bottom w:val="single" w:sz="4" w:space="1" w:color="auto"/>
        </w:pBdr>
        <w:spacing w:before="100" w:beforeAutospacing="1" w:after="100" w:afterAutospacing="1" w:line="240" w:lineRule="auto"/>
        <w:ind w:left="720"/>
        <w:rPr>
          <w:rFonts w:ascii="Times New Roman" w:eastAsia="Times New Roman" w:hAnsi="Times New Roman" w:cs="Times New Roman"/>
          <w:sz w:val="24"/>
          <w:szCs w:val="24"/>
        </w:rPr>
      </w:pPr>
      <w:r w:rsidRPr="00EA2158">
        <w:rPr>
          <w:rFonts w:ascii="Times New Roman" w:eastAsia="Times New Roman" w:hAnsi="Times New Roman" w:cs="Times New Roman"/>
          <w:b/>
          <w:bCs/>
          <w:sz w:val="24"/>
          <w:szCs w:val="24"/>
        </w:rPr>
        <w:t>H02:</w:t>
      </w:r>
      <w:r w:rsidRPr="00EA2158">
        <w:rPr>
          <w:rFonts w:ascii="Times New Roman" w:eastAsia="Times New Roman" w:hAnsi="Times New Roman" w:cs="Times New Roman"/>
          <w:sz w:val="24"/>
          <w:szCs w:val="24"/>
        </w:rPr>
        <w:t xml:space="preserve"> CBDC transaction value has no significant effect on Nigeria’s financial stability.</w:t>
      </w:r>
    </w:p>
    <w:p w:rsidR="00B65CF3" w:rsidRPr="00EA2158" w:rsidRDefault="00B65CF3" w:rsidP="00B65CF3">
      <w:pPr>
        <w:pBdr>
          <w:bottom w:val="single" w:sz="4" w:space="1" w:color="auto"/>
        </w:pBdr>
        <w:spacing w:before="100" w:beforeAutospacing="1" w:after="100" w:afterAutospacing="1" w:line="240" w:lineRule="auto"/>
        <w:ind w:left="720"/>
        <w:rPr>
          <w:rFonts w:ascii="Times New Roman" w:eastAsia="Times New Roman" w:hAnsi="Times New Roman" w:cs="Times New Roman"/>
          <w:sz w:val="24"/>
          <w:szCs w:val="24"/>
        </w:rPr>
      </w:pPr>
      <w:r w:rsidRPr="00EA2158">
        <w:rPr>
          <w:rFonts w:ascii="Times New Roman" w:eastAsia="Times New Roman" w:hAnsi="Times New Roman" w:cs="Times New Roman"/>
          <w:b/>
          <w:bCs/>
          <w:sz w:val="24"/>
          <w:szCs w:val="24"/>
        </w:rPr>
        <w:t>H03:</w:t>
      </w:r>
      <w:r w:rsidRPr="00EA2158">
        <w:rPr>
          <w:rFonts w:ascii="Times New Roman" w:eastAsia="Times New Roman" w:hAnsi="Times New Roman" w:cs="Times New Roman"/>
          <w:sz w:val="24"/>
          <w:szCs w:val="24"/>
        </w:rPr>
        <w:t xml:space="preserve"> CBDC wallet adoption does not significantly influence financial stability in Nigeria.</w:t>
      </w:r>
    </w:p>
    <w:p w:rsidR="00B65CF3" w:rsidRPr="00EA2158" w:rsidRDefault="00B65CF3" w:rsidP="00B65CF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p>
    <w:p w:rsidR="00B65CF3" w:rsidRPr="00EA2158" w:rsidRDefault="00B65CF3" w:rsidP="00B65CF3">
      <w:pPr>
        <w:pBdr>
          <w:bottom w:val="single" w:sz="4" w:space="1"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1.6 Significance of the Study</w:t>
      </w:r>
    </w:p>
    <w:p w:rsidR="00B65CF3" w:rsidRPr="00EA2158" w:rsidRDefault="00B65CF3" w:rsidP="00B65CF3">
      <w:pPr>
        <w:numPr>
          <w:ilvl w:val="0"/>
          <w:numId w:val="7"/>
        </w:num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hAnsi="Times New Roman" w:cs="Times New Roman"/>
          <w:sz w:val="24"/>
          <w:szCs w:val="24"/>
        </w:rPr>
        <w:t xml:space="preserve">The findings of this study can be of immense benefit to several stakeholders. Firstly, it will assist monetary authorities particularly the Central Bank of Nigeria in </w:t>
      </w:r>
      <w:r w:rsidRPr="00EA2158">
        <w:rPr>
          <w:rFonts w:ascii="Times New Roman" w:eastAsia="Times New Roman" w:hAnsi="Times New Roman" w:cs="Times New Roman"/>
          <w:sz w:val="24"/>
          <w:szCs w:val="24"/>
        </w:rPr>
        <w:t>understanding how CBDCs adoption have impact on financial stability, provides evidence-based insights on how CBDCs influence financial stability and guides policy reforms.</w:t>
      </w:r>
    </w:p>
    <w:p w:rsidR="00B65CF3" w:rsidRPr="00EA2158" w:rsidRDefault="00B65CF3" w:rsidP="00B65CF3">
      <w:pPr>
        <w:spacing w:before="100" w:beforeAutospacing="1" w:after="100" w:afterAutospacing="1" w:line="240" w:lineRule="auto"/>
        <w:rPr>
          <w:rFonts w:ascii="Times New Roman" w:eastAsia="Times New Roman" w:hAnsi="Times New Roman" w:cs="Times New Roman"/>
          <w:sz w:val="24"/>
          <w:szCs w:val="24"/>
        </w:rPr>
      </w:pPr>
    </w:p>
    <w:p w:rsidR="00B65CF3" w:rsidRPr="00EA2158" w:rsidRDefault="00B65CF3" w:rsidP="00B65CF3">
      <w:pPr>
        <w:pStyle w:val="NormalWeb"/>
        <w:jc w:val="both"/>
      </w:pPr>
      <w:r w:rsidRPr="00EA2158">
        <w:t xml:space="preserve"> By clarifying the nature of the role of CBDCs on financial stability, the study will contribute to more informed monetary policy formulation and implementation.</w:t>
      </w:r>
    </w:p>
    <w:p w:rsidR="00B65CF3" w:rsidRPr="00EA2158" w:rsidRDefault="00B65CF3" w:rsidP="00B65CF3">
      <w:pPr>
        <w:pStyle w:val="NormalWeb"/>
        <w:jc w:val="both"/>
      </w:pPr>
      <w:r w:rsidRPr="00EA2158">
        <w:t>Secondly, the study can be valuable to financial institutions such as banks and fintech companies which will benefit from insights into how CBDCs affect financial intermediation, liquidity, and systemic risk by providing evidence-based guidance on how CBDCs influence financial stability. This is critical in an environment marked by high inflation, exchange-rate volatility and recurrent economic shocks.</w:t>
      </w:r>
    </w:p>
    <w:p w:rsidR="00B65CF3" w:rsidRPr="00EA2158" w:rsidRDefault="00B65CF3" w:rsidP="00B65CF3">
      <w:pPr>
        <w:pStyle w:val="NormalWeb"/>
        <w:jc w:val="both"/>
      </w:pPr>
      <w:r w:rsidRPr="00EA2158">
        <w:t xml:space="preserve">Thirdly, the study can serve as a useful reference for researchers, students, and academics examining Central Bank Digital Currencies (CBDCs) in Nigeria, It will also enrich existing </w:t>
      </w:r>
      <w:r w:rsidRPr="00EA2158">
        <w:lastRenderedPageBreak/>
        <w:t xml:space="preserve">literature by filling empirical gaps identified in previous studies. Understanding CBDC effects will guide strategies to strengthen financial stability and foster economic growth. </w:t>
      </w:r>
    </w:p>
    <w:p w:rsidR="00B65CF3" w:rsidRPr="00EA2158" w:rsidRDefault="00B65CF3" w:rsidP="00B65CF3">
      <w:pPr>
        <w:pStyle w:val="NormalWeb"/>
        <w:jc w:val="both"/>
      </w:pPr>
      <w:r w:rsidRPr="00EA2158">
        <w:t>Overall, the significance of this study lies in its potential to strengthen financial stability in Nigeria, enhance macroeconomic stability, enhances understanding of the benefits and risk associated with the eNaira, and guide policymakers in adopting strategies that effectively promote financial stability.</w:t>
      </w:r>
    </w:p>
    <w:p w:rsidR="00B65CF3" w:rsidRPr="00EA2158" w:rsidRDefault="00B65CF3" w:rsidP="00B65CF3">
      <w:pPr>
        <w:pBdr>
          <w:bottom w:val="single" w:sz="4" w:space="1"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65CF3" w:rsidRPr="00EA2158" w:rsidRDefault="00B65CF3" w:rsidP="00B65CF3">
      <w:pPr>
        <w:pStyle w:val="ListParagraph"/>
        <w:pBdr>
          <w:bottom w:val="single" w:sz="4" w:space="3" w:color="auto"/>
        </w:pBdr>
        <w:spacing w:before="100" w:beforeAutospacing="1" w:after="100" w:afterAutospacing="1" w:line="240" w:lineRule="auto"/>
        <w:ind w:left="0" w:firstLine="720"/>
        <w:jc w:val="both"/>
        <w:outlineLvl w:val="2"/>
        <w:rPr>
          <w:rFonts w:ascii="Times New Roman" w:eastAsia="Times New Roman" w:hAnsi="Times New Roman" w:cs="Times New Roman"/>
          <w:b/>
          <w:bCs/>
          <w:sz w:val="24"/>
          <w:szCs w:val="24"/>
        </w:rPr>
      </w:pPr>
    </w:p>
    <w:p w:rsidR="00B65CF3" w:rsidRPr="00EA2158" w:rsidRDefault="00B65CF3" w:rsidP="00B65CF3">
      <w:pPr>
        <w:pStyle w:val="ListParagraph"/>
        <w:pBdr>
          <w:bottom w:val="single" w:sz="4" w:space="3" w:color="auto"/>
        </w:pBdr>
        <w:spacing w:before="100" w:beforeAutospacing="1" w:after="100" w:afterAutospacing="1" w:line="240" w:lineRule="auto"/>
        <w:ind w:left="0" w:firstLine="720"/>
        <w:jc w:val="both"/>
        <w:outlineLvl w:val="2"/>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1.7 Scope of the Study</w:t>
      </w:r>
    </w:p>
    <w:p w:rsidR="00B65CF3" w:rsidRPr="00EA2158" w:rsidRDefault="00B65CF3" w:rsidP="00B65CF3">
      <w:pPr>
        <w:spacing w:before="100" w:beforeAutospacing="1" w:after="100" w:afterAutospacing="1" w:line="240" w:lineRule="auto"/>
        <w:jc w:val="both"/>
        <w:rPr>
          <w:rFonts w:ascii="Times New Roman" w:eastAsia="Times New Roman" w:hAnsi="Times New Roman" w:cs="Times New Roman"/>
          <w:b/>
          <w:bCs/>
          <w:sz w:val="24"/>
          <w:szCs w:val="24"/>
        </w:rPr>
      </w:pPr>
      <w:r w:rsidRPr="00EA2158">
        <w:rPr>
          <w:rFonts w:ascii="Times New Roman" w:hAnsi="Times New Roman" w:cs="Times New Roman"/>
          <w:sz w:val="24"/>
          <w:szCs w:val="24"/>
        </w:rPr>
        <w:t>This study examines the role of Central Bank Digital Currencies (CBDCs) on financial stability in Nigeria from 2021 to 2025</w:t>
      </w:r>
      <w:r w:rsidRPr="00EA2158">
        <w:rPr>
          <w:rFonts w:ascii="Times New Roman" w:eastAsia="Times New Roman" w:hAnsi="Times New Roman" w:cs="Times New Roman"/>
          <w:sz w:val="24"/>
          <w:szCs w:val="24"/>
        </w:rPr>
        <w:t xml:space="preserve"> corresponding to the years after the introduction of the eNaira, </w:t>
      </w:r>
      <w:r w:rsidRPr="00EA2158">
        <w:rPr>
          <w:rFonts w:ascii="Times New Roman" w:hAnsi="Times New Roman" w:cs="Times New Roman"/>
          <w:sz w:val="24"/>
          <w:szCs w:val="24"/>
        </w:rPr>
        <w:t xml:space="preserve"> with specific attention to </w:t>
      </w:r>
      <w:r w:rsidRPr="00EA2158">
        <w:rPr>
          <w:rFonts w:ascii="Times New Roman" w:eastAsia="Times New Roman" w:hAnsi="Times New Roman" w:cs="Times New Roman"/>
          <w:sz w:val="24"/>
          <w:szCs w:val="24"/>
        </w:rPr>
        <w:t>CBDCs transaction volume, CBDCs transaction value, CBDCs wallet adoption,</w:t>
      </w:r>
      <w:r w:rsidRPr="00EA2158">
        <w:rPr>
          <w:rFonts w:ascii="Times New Roman" w:hAnsi="Times New Roman" w:cs="Times New Roman"/>
          <w:sz w:val="24"/>
          <w:szCs w:val="24"/>
        </w:rPr>
        <w:t xml:space="preserve"> and Non-Performing Loan Ratio as one of the key indicator of financial stability. Data are sourced from the Central Bank of Nigeria (CBN) Statistical Bulletins, Annual Reports, and the National Bureau of Statistics (NBS) macroeconomic datasets. The study provides empirical insights into the role of  Central Bank Digital Currencies (CBDCs) on financial stability in Nigeria.</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r>
        <w:rPr>
          <w:rFonts w:ascii="Times New Roman" w:eastAsia="Times New Roman" w:hAnsi="Times New Roman" w:cs="Times New Roman"/>
          <w:sz w:val="24"/>
          <w:szCs w:val="24"/>
        </w:rPr>
        <w:pict>
          <v:rect id="_x0000_i1027" style="width:0;height:1.5pt" o:hralign="center" o:hrstd="t" o:hr="t" fillcolor="#a0a0a0" stroked="f"/>
        </w:pic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p>
    <w:p w:rsidR="00B65CF3" w:rsidRPr="00EA2158" w:rsidRDefault="00B65CF3" w:rsidP="00B65CF3">
      <w:pPr>
        <w:pBdr>
          <w:bottom w:val="single" w:sz="4" w:space="1" w:color="auto"/>
        </w:pBdr>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r w:rsidRPr="00EA2158">
        <w:rPr>
          <w:rFonts w:ascii="Times New Roman" w:eastAsia="Times New Roman" w:hAnsi="Times New Roman" w:cs="Times New Roman"/>
          <w:b/>
          <w:bCs/>
          <w:kern w:val="36"/>
          <w:sz w:val="24"/>
          <w:szCs w:val="24"/>
        </w:rPr>
        <w:t>SECTION TWO</w:t>
      </w:r>
    </w:p>
    <w:p w:rsidR="00B65CF3" w:rsidRPr="00EA2158" w:rsidRDefault="00B65CF3" w:rsidP="00B65CF3">
      <w:pPr>
        <w:pStyle w:val="ListParagraph"/>
        <w:pBdr>
          <w:bottom w:val="single" w:sz="4" w:space="0"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B65CF3" w:rsidRPr="00EA2158" w:rsidRDefault="00B65CF3" w:rsidP="00B65CF3">
      <w:pPr>
        <w:pStyle w:val="ListParagraph"/>
        <w:pBdr>
          <w:bottom w:val="single" w:sz="4" w:space="1" w:color="auto"/>
        </w:pBdr>
        <w:spacing w:before="100" w:beforeAutospacing="1" w:after="100" w:afterAutospacing="1" w:line="240" w:lineRule="auto"/>
        <w:ind w:left="1440"/>
        <w:jc w:val="both"/>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LITERATURE REVIEW</w:t>
      </w:r>
    </w:p>
    <w:p w:rsidR="00B65CF3" w:rsidRPr="00EA2158" w:rsidRDefault="00B65CF3" w:rsidP="00B65CF3">
      <w:pPr>
        <w:pStyle w:val="ListParagraph"/>
        <w:pBdr>
          <w:bottom w:val="single" w:sz="4" w:space="1" w:color="auto"/>
        </w:pBd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pict>
          <v:rect id="_x0000_i1029" style="width:0;height:1.5pt" o:hralign="center" o:hrstd="t" o:hr="t" fillcolor="#a0a0a0" stroked="f"/>
        </w:pict>
      </w:r>
    </w:p>
    <w:p w:rsidR="00B65CF3" w:rsidRPr="00EA2158" w:rsidRDefault="00B65CF3" w:rsidP="00B65CF3">
      <w:pPr>
        <w:pStyle w:val="ListParagraph"/>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EA2158">
        <w:rPr>
          <w:rFonts w:ascii="Times New Roman" w:eastAsia="Times New Roman" w:hAnsi="Times New Roman" w:cs="Times New Roman"/>
          <w:b/>
          <w:bCs/>
          <w:kern w:val="36"/>
          <w:sz w:val="24"/>
          <w:szCs w:val="24"/>
        </w:rPr>
        <w:t>2.1 Conceptual Literature Review</w:t>
      </w:r>
    </w:p>
    <w:p w:rsidR="00B65CF3" w:rsidRPr="00EA2158" w:rsidRDefault="00B65CF3" w:rsidP="00B65CF3">
      <w:pPr>
        <w:pStyle w:val="ListParagraph"/>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B65CF3" w:rsidRPr="00EA2158" w:rsidRDefault="00B65CF3" w:rsidP="00B65CF3">
      <w:pPr>
        <w:pStyle w:val="ListParagraph"/>
        <w:pBdr>
          <w:bottom w:val="single" w:sz="4" w:space="1"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2.1.1 Central Bank Digital Currencies (CBDCs)</w:t>
      </w:r>
    </w:p>
    <w:p w:rsidR="00B65CF3" w:rsidRPr="00EA2158" w:rsidRDefault="00B65CF3" w:rsidP="00B65CF3">
      <w:pPr>
        <w:pStyle w:val="ListParagraph"/>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A Central Bank Digital Currencies (CBDCs) is a fiat currency in electronic form issued by central bank (Esoimeme, 2021). Central Bank Digital Currencies (CBDCs) is a new form of central bank money i.e. it is a central bank liability, denominated in an existing unit of account, which serves both as a medium of exchange and a store of value (Chaum &amp; Moser, 2021; Ree; 2023;Ogunrinde 2023).</w:t>
      </w:r>
      <w:r w:rsidRPr="00EA2158">
        <w:rPr>
          <w:rFonts w:ascii="Times New Roman" w:eastAsia="Times New Roman" w:hAnsi="Times New Roman" w:cs="Times New Roman"/>
          <w:sz w:val="24"/>
          <w:szCs w:val="24"/>
        </w:rPr>
        <w:t xml:space="preserve"> </w:t>
      </w:r>
      <w:r w:rsidRPr="00EA2158">
        <w:rPr>
          <w:rFonts w:ascii="Times New Roman" w:hAnsi="Times New Roman" w:cs="Times New Roman"/>
          <w:sz w:val="24"/>
          <w:szCs w:val="24"/>
        </w:rPr>
        <w:t>Central Bank Digital Currencies (</w:t>
      </w:r>
      <w:r w:rsidRPr="00EA2158">
        <w:rPr>
          <w:rFonts w:ascii="Times New Roman" w:eastAsia="Times New Roman" w:hAnsi="Times New Roman" w:cs="Times New Roman"/>
          <w:sz w:val="24"/>
          <w:szCs w:val="24"/>
        </w:rPr>
        <w:t xml:space="preserve">CBDCs) are </w:t>
      </w:r>
      <w:r w:rsidRPr="00EA2158">
        <w:rPr>
          <w:rFonts w:ascii="Times New Roman" w:eastAsia="Times New Roman" w:hAnsi="Times New Roman" w:cs="Times New Roman"/>
          <w:b/>
          <w:bCs/>
          <w:sz w:val="24"/>
          <w:szCs w:val="24"/>
        </w:rPr>
        <w:t>legal tender</w:t>
      </w:r>
      <w:r w:rsidRPr="00EA2158">
        <w:rPr>
          <w:rFonts w:ascii="Times New Roman" w:eastAsia="Times New Roman" w:hAnsi="Times New Roman" w:cs="Times New Roman"/>
          <w:sz w:val="24"/>
          <w:szCs w:val="24"/>
        </w:rPr>
        <w:t xml:space="preserve">, backed by the state, and operate within a centralized monetary authority framework (Auer &amp; Böhme, 2020). </w:t>
      </w:r>
    </w:p>
    <w:p w:rsidR="00B65CF3" w:rsidRPr="00EA2158" w:rsidRDefault="00B65CF3" w:rsidP="00B65CF3">
      <w:pPr>
        <w:pStyle w:val="ListParagraph"/>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p>
    <w:p w:rsidR="00B65CF3" w:rsidRPr="00EA2158" w:rsidRDefault="00B65CF3" w:rsidP="00B65CF3">
      <w:pPr>
        <w:pStyle w:val="ListParagraph"/>
        <w:pBdr>
          <w:bottom w:val="single" w:sz="4" w:space="1"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2.1.2 Financial Stability</w:t>
      </w:r>
    </w:p>
    <w:p w:rsidR="00B65CF3" w:rsidRPr="00EA2158" w:rsidRDefault="00B65CF3" w:rsidP="00B65CF3">
      <w:pPr>
        <w:pStyle w:val="ListParagraph"/>
        <w:pBdr>
          <w:bottom w:val="single" w:sz="4" w:space="1" w:color="auto"/>
        </w:pBd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65CF3" w:rsidRPr="00EA2158" w:rsidRDefault="00B65CF3" w:rsidP="00B65CF3">
      <w:pPr>
        <w:pBdr>
          <w:bottom w:val="single" w:sz="4" w:space="1" w:color="auto"/>
        </w:pBdr>
        <w:spacing w:before="100" w:beforeAutospacing="1" w:after="100" w:afterAutospacing="1" w:line="240" w:lineRule="auto"/>
        <w:jc w:val="both"/>
        <w:rPr>
          <w:rFonts w:ascii="Times New Roman" w:hAnsi="Times New Roman" w:cs="Times New Roman"/>
          <w:sz w:val="24"/>
          <w:szCs w:val="24"/>
        </w:rPr>
      </w:pPr>
      <w:r w:rsidRPr="00EA2158">
        <w:rPr>
          <w:rFonts w:ascii="Times New Roman" w:hAnsi="Times New Roman" w:cs="Times New Roman"/>
          <w:sz w:val="24"/>
          <w:szCs w:val="24"/>
        </w:rPr>
        <w:t>Financial Stability is a panacea for economic growth in Nigeria and it is important to examine the possible impact of the Nigerian digital currency on financial stability. The main argument for the introduction of CBDC is that CBDCs offers an efficient and effective method for implementing helicopter-money responses from the government during economic downturn like the Covid 19 pandemic and in facilitating other socially orientated government-to-person monetary transfers (Amarta and Latifah 2023).</w:t>
      </w:r>
    </w:p>
    <w:p w:rsidR="00B65CF3" w:rsidRPr="00EA2158" w:rsidRDefault="00B65CF3" w:rsidP="00B65CF3">
      <w:pPr>
        <w:pStyle w:val="ListParagraph"/>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rPr>
      </w:pPr>
      <w:r w:rsidRPr="00EA2158">
        <w:rPr>
          <w:rFonts w:ascii="Times New Roman" w:hAnsi="Times New Roman" w:cs="Times New Roman"/>
          <w:sz w:val="24"/>
          <w:szCs w:val="24"/>
        </w:rPr>
        <w:lastRenderedPageBreak/>
        <w:t>Financial stability is a condition where a country can thwart external imbalances in the financial markets. It is a situation in which the financial system can withstand the internal and external shocks. Financial stability remains the core objective of central banking across the world (Nguyen &amp; Nasir 2023</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2.1.3 Financial Inclusion</w:t>
      </w:r>
    </w:p>
    <w:p w:rsidR="00B65CF3" w:rsidRPr="00EA2158" w:rsidRDefault="00B65CF3" w:rsidP="00B65CF3">
      <w:pPr>
        <w:pBdr>
          <w:bottom w:val="single" w:sz="4" w:space="1" w:color="auto"/>
        </w:pBdr>
        <w:shd w:val="clear" w:color="auto" w:fill="FFFFFF"/>
        <w:spacing w:line="240" w:lineRule="auto"/>
        <w:rPr>
          <w:rFonts w:ascii="Times New Roman" w:eastAsia="Times New Roman" w:hAnsi="Times New Roman" w:cs="Times New Roman"/>
          <w:color w:val="000000"/>
          <w:sz w:val="24"/>
          <w:szCs w:val="24"/>
        </w:rPr>
      </w:pPr>
      <w:r w:rsidRPr="00EA2158">
        <w:rPr>
          <w:rFonts w:ascii="Times New Roman" w:hAnsi="Times New Roman" w:cs="Times New Roman"/>
          <w:sz w:val="24"/>
          <w:szCs w:val="24"/>
        </w:rPr>
        <w:t xml:space="preserve">Ifeanyi (2021) described financial inclusion as the access and use of available financial services such as credit, savings and payments at a low-cost a by high number of people in a country. Financial inclusion means access to any form of formal financial services (Ozturk &amp;Ullah 2022). Financial inclusion can also be seen as the means of bringing the unbanked segment of society, particularly adults, to have access to basic financial services </w:t>
      </w:r>
      <w:r w:rsidRPr="00EA2158">
        <w:rPr>
          <w:rFonts w:ascii="Times New Roman" w:eastAsia="Times New Roman" w:hAnsi="Times New Roman" w:cs="Times New Roman"/>
          <w:sz w:val="24"/>
          <w:szCs w:val="24"/>
        </w:rPr>
        <w:t>Ozili, P. K., Ademiju, A., &amp; Rachid, S. (2023).</w:t>
      </w:r>
      <w:r w:rsidRPr="00EA2158">
        <w:rPr>
          <w:rFonts w:ascii="Times New Roman" w:hAnsi="Times New Roman" w:cs="Times New Roman"/>
          <w:sz w:val="24"/>
          <w:szCs w:val="24"/>
        </w:rPr>
        <w:t xml:space="preserve"> ).</w:t>
      </w:r>
      <w:r w:rsidRPr="00EA2158">
        <w:rPr>
          <w:rFonts w:ascii="Times New Roman" w:hAnsi="Times New Roman" w:cs="Times New Roman"/>
          <w:color w:val="000000"/>
          <w:sz w:val="24"/>
          <w:szCs w:val="24"/>
        </w:rPr>
        <w:t xml:space="preserve"> </w:t>
      </w:r>
      <w:r w:rsidRPr="00EA2158">
        <w:rPr>
          <w:rFonts w:ascii="Times New Roman" w:eastAsia="Times New Roman" w:hAnsi="Times New Roman" w:cs="Times New Roman"/>
          <w:color w:val="000000"/>
          <w:sz w:val="24"/>
          <w:szCs w:val="24"/>
        </w:rPr>
        <w:t xml:space="preserve">According Camara and Tuesta 2022, </w:t>
      </w:r>
      <w:r w:rsidRPr="00EA2158">
        <w:rPr>
          <w:rFonts w:ascii="Times New Roman" w:eastAsia="Times New Roman" w:hAnsi="Times New Roman" w:cs="Times New Roman"/>
          <w:sz w:val="24"/>
          <w:szCs w:val="24"/>
        </w:rPr>
        <w:t>financial inclusion is often a key policy objective for a retail CBDC, especially in emerging and lower-income countries.</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2.1.4 eNaira</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The </w:t>
      </w:r>
      <w:r w:rsidRPr="00EA2158">
        <w:rPr>
          <w:rFonts w:ascii="Times New Roman" w:eastAsia="Times New Roman" w:hAnsi="Times New Roman" w:cs="Times New Roman"/>
          <w:b/>
          <w:bCs/>
          <w:sz w:val="24"/>
          <w:szCs w:val="24"/>
        </w:rPr>
        <w:t>eNaira</w:t>
      </w:r>
      <w:r w:rsidRPr="00EA2158">
        <w:rPr>
          <w:rFonts w:ascii="Times New Roman" w:eastAsia="Times New Roman" w:hAnsi="Times New Roman" w:cs="Times New Roman"/>
          <w:sz w:val="24"/>
          <w:szCs w:val="24"/>
        </w:rPr>
        <w:t xml:space="preserve"> is Nigeria’s </w:t>
      </w:r>
      <w:r w:rsidRPr="00EA2158">
        <w:rPr>
          <w:rFonts w:ascii="Times New Roman" w:eastAsia="Times New Roman" w:hAnsi="Times New Roman" w:cs="Times New Roman"/>
          <w:b/>
          <w:bCs/>
          <w:sz w:val="24"/>
          <w:szCs w:val="24"/>
        </w:rPr>
        <w:t>Central Bank Digital Currency (CBDC)</w:t>
      </w:r>
      <w:r w:rsidRPr="00EA2158">
        <w:rPr>
          <w:rFonts w:ascii="Times New Roman" w:eastAsia="Times New Roman" w:hAnsi="Times New Roman" w:cs="Times New Roman"/>
          <w:sz w:val="24"/>
          <w:szCs w:val="24"/>
        </w:rPr>
        <w:t xml:space="preserve"> issued by the Central Bank of Nigeria (CBN) in October 2021. It represents a </w:t>
      </w:r>
      <w:r w:rsidRPr="00EA2158">
        <w:rPr>
          <w:rFonts w:ascii="Times New Roman" w:eastAsia="Times New Roman" w:hAnsi="Times New Roman" w:cs="Times New Roman"/>
          <w:b/>
          <w:bCs/>
          <w:sz w:val="24"/>
          <w:szCs w:val="24"/>
        </w:rPr>
        <w:t>digital form of the national currency</w:t>
      </w:r>
      <w:r w:rsidRPr="00EA2158">
        <w:rPr>
          <w:rFonts w:ascii="Times New Roman" w:eastAsia="Times New Roman" w:hAnsi="Times New Roman" w:cs="Times New Roman"/>
          <w:sz w:val="24"/>
          <w:szCs w:val="24"/>
        </w:rPr>
        <w:t>, denominated in naira and recognized as legal tender (Central Bank of Nigeria [CBN], 2021). Unlike private cryptocurrencies, the eNaira is centrally issued, regulated, and fully backed by the Nigerian government.</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The eNaira operates under a </w:t>
      </w:r>
      <w:r w:rsidRPr="00EA2158">
        <w:rPr>
          <w:rFonts w:ascii="Times New Roman" w:eastAsia="Times New Roman" w:hAnsi="Times New Roman" w:cs="Times New Roman"/>
          <w:b/>
          <w:bCs/>
          <w:sz w:val="24"/>
          <w:szCs w:val="24"/>
        </w:rPr>
        <w:t>two-tier operational model</w:t>
      </w:r>
      <w:r w:rsidRPr="00EA2158">
        <w:rPr>
          <w:rFonts w:ascii="Times New Roman" w:eastAsia="Times New Roman" w:hAnsi="Times New Roman" w:cs="Times New Roman"/>
          <w:sz w:val="24"/>
          <w:szCs w:val="24"/>
        </w:rPr>
        <w:t>, where the CBN issues the digital currency to deposit money banks and other licensed financial institutions, which then distribute it to end users through digital wallets (CBN, 2021). The introduction of the eNaira is aimed at improving payment efficiency, enhancing financial inclusion, reducing the cost of cash handling, and strengthening monetary policy transmission (Auer, Cornelli, &amp; Frost, 2020).</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Style w:val="Strong"/>
          <w:rFonts w:ascii="Times New Roman" w:hAnsi="Times New Roman" w:cs="Times New Roman"/>
          <w:sz w:val="24"/>
          <w:szCs w:val="24"/>
        </w:rPr>
        <w:t>2.1.5 Transaction volume</w:t>
      </w:r>
      <w:r w:rsidRPr="00EA2158">
        <w:rPr>
          <w:rFonts w:ascii="Times New Roman" w:hAnsi="Times New Roman" w:cs="Times New Roman"/>
          <w:sz w:val="24"/>
          <w:szCs w:val="24"/>
        </w:rPr>
        <w:t xml:space="preserve"> </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Style w:val="Strong"/>
          <w:rFonts w:ascii="Times New Roman" w:hAnsi="Times New Roman" w:cs="Times New Roman"/>
          <w:sz w:val="24"/>
          <w:szCs w:val="24"/>
        </w:rPr>
        <w:t>Transaction volume</w:t>
      </w:r>
      <w:r w:rsidRPr="00EA2158">
        <w:rPr>
          <w:rFonts w:ascii="Times New Roman" w:hAnsi="Times New Roman" w:cs="Times New Roman"/>
          <w:sz w:val="24"/>
          <w:szCs w:val="24"/>
        </w:rPr>
        <w:t xml:space="preserve"> refers to the </w:t>
      </w:r>
      <w:r w:rsidRPr="00EA2158">
        <w:rPr>
          <w:rStyle w:val="Strong"/>
          <w:rFonts w:ascii="Times New Roman" w:hAnsi="Times New Roman" w:cs="Times New Roman"/>
          <w:sz w:val="24"/>
          <w:szCs w:val="24"/>
        </w:rPr>
        <w:t>total number of CBDC transactions executed within a specified period</w:t>
      </w:r>
      <w:r w:rsidRPr="00EA2158">
        <w:rPr>
          <w:rFonts w:ascii="Times New Roman" w:hAnsi="Times New Roman" w:cs="Times New Roman"/>
          <w:sz w:val="24"/>
          <w:szCs w:val="24"/>
        </w:rPr>
        <w:t xml:space="preserve">, irrespective of the monetary size of each transaction. It is primarily an indicator of </w:t>
      </w:r>
      <w:r w:rsidRPr="00EA2158">
        <w:rPr>
          <w:rStyle w:val="Strong"/>
          <w:rFonts w:ascii="Times New Roman" w:hAnsi="Times New Roman" w:cs="Times New Roman"/>
          <w:sz w:val="24"/>
          <w:szCs w:val="24"/>
        </w:rPr>
        <w:t>usage frequency and adoption intensity</w:t>
      </w:r>
      <w:r w:rsidRPr="00EA2158">
        <w:rPr>
          <w:rFonts w:ascii="Times New Roman" w:hAnsi="Times New Roman" w:cs="Times New Roman"/>
          <w:sz w:val="24"/>
          <w:szCs w:val="24"/>
        </w:rPr>
        <w:t xml:space="preserve"> among users </w:t>
      </w:r>
      <w:r w:rsidRPr="00EA2158">
        <w:rPr>
          <w:rFonts w:ascii="Times New Roman" w:eastAsia="Times New Roman" w:hAnsi="Times New Roman" w:cs="Times New Roman"/>
          <w:sz w:val="24"/>
          <w:szCs w:val="24"/>
        </w:rPr>
        <w:t xml:space="preserve">(BIS, 2021). </w:t>
      </w:r>
      <w:r w:rsidRPr="00EA2158">
        <w:rPr>
          <w:rFonts w:ascii="Times New Roman" w:hAnsi="Times New Roman" w:cs="Times New Roman"/>
          <w:sz w:val="24"/>
          <w:szCs w:val="24"/>
        </w:rPr>
        <w:t>According to the Bank for International Settlements (2021), transaction volume is useful in evaluating the extent to which a CBDC is integrated into everyday payment activities, especially retail transactions. A high transaction volume suggests widespread acceptance and frequent use of the CBDC for small-value payments, peer-to-peer transfers, and routine commercial exchanges. In the context of Nigeria’s eNaira, transaction volume reflects public willingness to adopt the digital currency as an alternative to cash and conventional electronic payment channels (Central Bank of Nigeria, 2022).</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Style w:val="Strong"/>
          <w:rFonts w:ascii="Times New Roman" w:hAnsi="Times New Roman" w:cs="Times New Roman"/>
          <w:sz w:val="24"/>
          <w:szCs w:val="24"/>
        </w:rPr>
        <w:t>2.1.6 Transaction value</w:t>
      </w:r>
      <w:r w:rsidRPr="00EA2158">
        <w:rPr>
          <w:rFonts w:ascii="Times New Roman" w:hAnsi="Times New Roman" w:cs="Times New Roman"/>
          <w:sz w:val="24"/>
          <w:szCs w:val="24"/>
        </w:rPr>
        <w:t xml:space="preserve"> </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Style w:val="Strong"/>
          <w:rFonts w:ascii="Times New Roman" w:hAnsi="Times New Roman" w:cs="Times New Roman"/>
          <w:sz w:val="24"/>
          <w:szCs w:val="24"/>
        </w:rPr>
        <w:t>Transaction value</w:t>
      </w:r>
      <w:r w:rsidRPr="00EA2158">
        <w:rPr>
          <w:rFonts w:ascii="Times New Roman" w:hAnsi="Times New Roman" w:cs="Times New Roman"/>
          <w:sz w:val="24"/>
          <w:szCs w:val="24"/>
        </w:rPr>
        <w:t xml:space="preserve"> refers to the </w:t>
      </w:r>
      <w:r w:rsidRPr="00EA2158">
        <w:rPr>
          <w:rStyle w:val="Strong"/>
          <w:rFonts w:ascii="Times New Roman" w:hAnsi="Times New Roman" w:cs="Times New Roman"/>
          <w:sz w:val="24"/>
          <w:szCs w:val="24"/>
        </w:rPr>
        <w:t>aggregate monetary worth of all CBDC transactions conducted within a given time frame.</w:t>
      </w:r>
      <w:r w:rsidRPr="00EA2158">
        <w:rPr>
          <w:rFonts w:ascii="Times New Roman" w:hAnsi="Times New Roman" w:cs="Times New Roman"/>
          <w:sz w:val="24"/>
          <w:szCs w:val="24"/>
        </w:rPr>
        <w:t xml:space="preserve"> It emphasizes the </w:t>
      </w:r>
      <w:r w:rsidRPr="00EA2158">
        <w:rPr>
          <w:rStyle w:val="Strong"/>
          <w:rFonts w:ascii="Times New Roman" w:hAnsi="Times New Roman" w:cs="Times New Roman"/>
          <w:sz w:val="24"/>
          <w:szCs w:val="24"/>
        </w:rPr>
        <w:t>economic magnitude and liquidity significance</w:t>
      </w:r>
      <w:r w:rsidRPr="00EA2158">
        <w:rPr>
          <w:rFonts w:ascii="Times New Roman" w:hAnsi="Times New Roman" w:cs="Times New Roman"/>
          <w:sz w:val="24"/>
          <w:szCs w:val="24"/>
        </w:rPr>
        <w:t xml:space="preserve"> of CBDC usage (CBN, 2022). The International Monetary Fund (2023) notes that transaction value provides insight into the role of CBDCs in the broader financial system, particularly in relation to money supply dynamics, payment system efficiency, and financial stability. High transaction value indicates that the CBDC is being used for substantial financial transfers, which may include wholesale transactions, government payments, or large commercial settlements.</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lastRenderedPageBreak/>
        <w:t>2.1.7 Digital Wallet</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A </w:t>
      </w:r>
      <w:r w:rsidRPr="00EA2158">
        <w:rPr>
          <w:rFonts w:ascii="Times New Roman" w:eastAsia="Times New Roman" w:hAnsi="Times New Roman" w:cs="Times New Roman"/>
          <w:b/>
          <w:bCs/>
          <w:sz w:val="24"/>
          <w:szCs w:val="24"/>
        </w:rPr>
        <w:t>digital wallet</w:t>
      </w:r>
      <w:r w:rsidRPr="00EA2158">
        <w:rPr>
          <w:rFonts w:ascii="Times New Roman" w:eastAsia="Times New Roman" w:hAnsi="Times New Roman" w:cs="Times New Roman"/>
          <w:sz w:val="24"/>
          <w:szCs w:val="24"/>
        </w:rPr>
        <w:t xml:space="preserve"> is an electronic platform that allows users to store, send, receive, and manage digital money securely (BIS, 2021). Digital wallets serve as the primary interface through which users access CBDCs.</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In the eNaira system, digital wallets are categorized into consumer, merchant, and financial institution wallets, each with varying transaction limits and functionalities (CBN, 2021). Digital wallets facilitate peer-to-peer transfers, merchant payments, bill payments, and government disbursements. The level of digital wallet enrollment and active usage is a key indicator of CBDC adoption, financial inclusion, and payment system modernization </w:t>
      </w:r>
      <w:r w:rsidRPr="00EA2158">
        <w:rPr>
          <w:rFonts w:ascii="Times New Roman" w:hAnsi="Times New Roman" w:cs="Times New Roman"/>
          <w:sz w:val="24"/>
          <w:szCs w:val="24"/>
        </w:rPr>
        <w:t>(CBN, 2022)</w:t>
      </w:r>
      <w:r w:rsidRPr="00EA2158">
        <w:rPr>
          <w:rFonts w:ascii="Times New Roman" w:eastAsia="Times New Roman" w:hAnsi="Times New Roman" w:cs="Times New Roman"/>
          <w:sz w:val="24"/>
          <w:szCs w:val="24"/>
        </w:rPr>
        <w:t>.</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2.2 THEORETICAL LITERATURE REVIEW</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2.2.1. Monetary Theory and Sovereign Money</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In Nigeria, the eNaira reflects this theoretical position by ensuring continued access to central bank money amid declining cash usage and the rapid expansion of private digital payment platforms (CBN, 2021). From this perspective, the eNaira reinforces monetary sovereignty and public confidence in the national currency.</w:t>
      </w:r>
    </w:p>
    <w:p w:rsidR="00B65CF3" w:rsidRPr="00EA2158" w:rsidRDefault="00B65CF3" w:rsidP="00B65CF3">
      <w:pPr>
        <w:pBdr>
          <w:bottom w:val="single" w:sz="4"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1.85pt;height:.5pt" o:hrpct="4" o:hralign="center" o:hrstd="t" o:hr="t" fillcolor="#a0a0a0" stroked="f"/>
        </w:pic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2.2.2. Monetary Policy Transmission Theory</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Traditional monetary policy transmission operates indirectly through commercial banks. Barrdear and Kumhof (2021) theoretically demonstrate that CBDCs—particularly interest-bearing ones—can enhance policy effectiveness by creating a direct channel between central banks and economic agents.</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Although the eNaira is currently non-interest-bearing, Carapella and Flemming (2020) argue that even non-interest-bearing CBDCs can improve monetary policy transmission by increasing payment efficiency and reducing transaction frictions. In Nigeria, where monetary policy transmission has often been weak due to financial exclusion and informal cash usage, the eNaira theoretically improves policy reach by integrating more individuals into the formal financial system (CBN, 2022).</w: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2.2.3. Financial Intermediation and Disintermediation Theory</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Financial intermediation theory highlights banks’ role in mobilizing deposits and extending credit. A major theoretical concern is that CBDCs could lead to </w:t>
      </w:r>
      <w:r w:rsidRPr="00EA2158">
        <w:rPr>
          <w:rFonts w:ascii="Times New Roman" w:eastAsia="Times New Roman" w:hAnsi="Times New Roman" w:cs="Times New Roman"/>
          <w:b/>
          <w:bCs/>
          <w:sz w:val="24"/>
          <w:szCs w:val="24"/>
        </w:rPr>
        <w:t>bank disintermediation</w:t>
      </w:r>
      <w:r w:rsidRPr="00EA2158">
        <w:rPr>
          <w:rFonts w:ascii="Times New Roman" w:eastAsia="Times New Roman" w:hAnsi="Times New Roman" w:cs="Times New Roman"/>
          <w:sz w:val="24"/>
          <w:szCs w:val="24"/>
        </w:rPr>
        <w:t>, as users shift deposits from commercial banks to CBDC wallets (Brunnermeier &amp; Niepelt, 2020).</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 xml:space="preserve">In response, the Bank for International Settlements (2021) proposes a </w:t>
      </w:r>
      <w:r w:rsidRPr="00EA2158">
        <w:rPr>
          <w:rFonts w:ascii="Times New Roman" w:eastAsia="Times New Roman" w:hAnsi="Times New Roman" w:cs="Times New Roman"/>
          <w:b/>
          <w:bCs/>
          <w:sz w:val="24"/>
          <w:szCs w:val="24"/>
        </w:rPr>
        <w:t>two-tier CBDC model</w:t>
      </w:r>
      <w:r w:rsidRPr="00EA2158">
        <w:rPr>
          <w:rFonts w:ascii="Times New Roman" w:eastAsia="Times New Roman" w:hAnsi="Times New Roman" w:cs="Times New Roman"/>
          <w:sz w:val="24"/>
          <w:szCs w:val="24"/>
        </w:rPr>
        <w:t>, where banks and payment service providers distribute CBDCs while the central bank retains issuance authority. Nigeria’s eNaira follows this model, with commercial banks acting as intermediaries between the CBN and users. This design theoretically minimizes disruption to bank funding and credit creation, thereby safeguarding financial stability.</w:t>
      </w:r>
    </w:p>
    <w:p w:rsidR="00B65CF3" w:rsidRPr="00EA2158" w:rsidRDefault="00B65CF3" w:rsidP="00B65CF3">
      <w:pPr>
        <w:pBdr>
          <w:bottom w:val="single" w:sz="4"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B65CF3" w:rsidRPr="00EA2158" w:rsidRDefault="00B65CF3" w:rsidP="00B65CF3">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2.2.4. Innovation Diffusion Theory</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lastRenderedPageBreak/>
        <w:t>Rogers’ (2003) Innovation Diffusion Theory explains how new technologies spread based on relative advantage, compatibility, and complexity. Applied to CBDCs, the theory suggests that adoption depends on how well the digital currency integrates with existing payment systems and meets user needs.</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In Nigeria, the eNaira was introduced to complement not replace cash and existing electronic payment channels. Auer and Böhme (2020) argue that CBDCs are more likely to diffuse successfully in environments where digital payment usage is already widespread. The eNaira leverages Nigeria’s high mobile phone penetration and growing fintech ecosystem, making this theory particularly relevant.</w:t>
      </w:r>
    </w:p>
    <w:p w:rsidR="00B65CF3" w:rsidRPr="00EA2158" w:rsidRDefault="00B65CF3" w:rsidP="00B65CF3">
      <w:pPr>
        <w:pBdr>
          <w:bottom w:val="single" w:sz="4" w:space="1" w:color="auto"/>
        </w:pBdr>
        <w:spacing w:after="0" w:line="240" w:lineRule="auto"/>
        <w:rPr>
          <w:rFonts w:ascii="Times New Roman" w:eastAsia="Times New Roman" w:hAnsi="Times New Roman" w:cs="Times New Roman"/>
          <w:sz w:val="24"/>
          <w:szCs w:val="24"/>
        </w:rPr>
      </w:pPr>
    </w:p>
    <w:p w:rsidR="00B65CF3" w:rsidRPr="00EA2158" w:rsidRDefault="00B65CF3" w:rsidP="00B65CF3">
      <w:pPr>
        <w:pBdr>
          <w:bottom w:val="single" w:sz="4" w:space="3"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EA2158">
        <w:rPr>
          <w:rFonts w:ascii="Times New Roman" w:eastAsia="Times New Roman" w:hAnsi="Times New Roman" w:cs="Times New Roman"/>
          <w:b/>
          <w:bCs/>
          <w:sz w:val="24"/>
          <w:szCs w:val="24"/>
        </w:rPr>
        <w:t>Theoretical Framework Linkage to the Study</w:t>
      </w:r>
    </w:p>
    <w:p w:rsidR="00B65CF3" w:rsidRPr="00EA2158" w:rsidRDefault="00B65CF3" w:rsidP="00B65CF3">
      <w:pPr>
        <w:pBdr>
          <w:bottom w:val="single" w:sz="4" w:space="3"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Based on the reviewed theories, this study conceptualizes CBDCs (eNaira) as influencing financial stability through:</w:t>
      </w:r>
    </w:p>
    <w:p w:rsidR="00B65CF3" w:rsidRPr="00EA2158" w:rsidRDefault="00B65CF3" w:rsidP="00B65CF3">
      <w:pPr>
        <w:numPr>
          <w:ilvl w:val="0"/>
          <w:numId w:val="8"/>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b/>
          <w:bCs/>
          <w:sz w:val="24"/>
          <w:szCs w:val="24"/>
        </w:rPr>
        <w:t>Transaction volume</w:t>
      </w:r>
      <w:r w:rsidRPr="00EA2158">
        <w:rPr>
          <w:rFonts w:ascii="Times New Roman" w:eastAsia="Times New Roman" w:hAnsi="Times New Roman" w:cs="Times New Roman"/>
          <w:sz w:val="24"/>
          <w:szCs w:val="24"/>
        </w:rPr>
        <w:t xml:space="preserve"> (usage intensity),</w:t>
      </w:r>
    </w:p>
    <w:p w:rsidR="00B65CF3" w:rsidRPr="00EA2158" w:rsidRDefault="00B65CF3" w:rsidP="00B65CF3">
      <w:pPr>
        <w:numPr>
          <w:ilvl w:val="0"/>
          <w:numId w:val="8"/>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b/>
          <w:bCs/>
          <w:sz w:val="24"/>
          <w:szCs w:val="24"/>
        </w:rPr>
        <w:t>Wallet adoption</w:t>
      </w:r>
      <w:r w:rsidRPr="00EA2158">
        <w:rPr>
          <w:rFonts w:ascii="Times New Roman" w:eastAsia="Times New Roman" w:hAnsi="Times New Roman" w:cs="Times New Roman"/>
          <w:sz w:val="24"/>
          <w:szCs w:val="24"/>
        </w:rPr>
        <w:t xml:space="preserve"> (financial inclusion), and</w:t>
      </w:r>
    </w:p>
    <w:p w:rsidR="00B65CF3" w:rsidRPr="00EA2158" w:rsidRDefault="00B65CF3" w:rsidP="00B65CF3">
      <w:pPr>
        <w:numPr>
          <w:ilvl w:val="0"/>
          <w:numId w:val="8"/>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b/>
          <w:bCs/>
          <w:sz w:val="24"/>
          <w:szCs w:val="24"/>
        </w:rPr>
        <w:t>Transaction value</w:t>
      </w:r>
      <w:r w:rsidRPr="00EA2158">
        <w:rPr>
          <w:rFonts w:ascii="Times New Roman" w:eastAsia="Times New Roman" w:hAnsi="Times New Roman" w:cs="Times New Roman"/>
          <w:sz w:val="24"/>
          <w:szCs w:val="24"/>
        </w:rPr>
        <w:t xml:space="preserve"> (monetary relevance).</w:t>
      </w:r>
    </w:p>
    <w:p w:rsidR="00B65CF3" w:rsidRPr="00EA2158" w:rsidRDefault="00B65CF3" w:rsidP="00B65CF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EA2158">
        <w:rPr>
          <w:rFonts w:ascii="Times New Roman" w:eastAsia="Times New Roman" w:hAnsi="Times New Roman" w:cs="Times New Roman"/>
          <w:sz w:val="24"/>
          <w:szCs w:val="24"/>
        </w:rPr>
        <w:t>These variables are theoretically grounded in monetary theory, innovation diffusion, and financial stability theory.</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b/>
          <w:sz w:val="24"/>
          <w:szCs w:val="24"/>
        </w:rPr>
      </w:pPr>
      <w:r w:rsidRPr="00EA2158">
        <w:rPr>
          <w:rFonts w:ascii="Times New Roman" w:eastAsia="Times New Roman" w:hAnsi="Times New Roman" w:cs="Times New Roman"/>
          <w:sz w:val="24"/>
          <w:szCs w:val="24"/>
        </w:rPr>
        <w:t>2.</w:t>
      </w:r>
      <w:r w:rsidRPr="00EA2158">
        <w:rPr>
          <w:rFonts w:ascii="Times New Roman" w:eastAsia="Times New Roman" w:hAnsi="Times New Roman" w:cs="Times New Roman"/>
          <w:b/>
          <w:sz w:val="24"/>
          <w:szCs w:val="24"/>
        </w:rPr>
        <w:t xml:space="preserve">3 </w:t>
      </w:r>
      <w:r w:rsidRPr="00EA2158">
        <w:rPr>
          <w:rFonts w:ascii="Times New Roman" w:hAnsi="Times New Roman" w:cs="Times New Roman"/>
          <w:b/>
          <w:sz w:val="24"/>
          <w:szCs w:val="24"/>
        </w:rPr>
        <w:t xml:space="preserve">Empirical Literature Review </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Akpan and Umaru (2024) using survey method of data collection and adopting a structural equation model provide evidence that the e- Naira has a positive and significant influence on financial inclusion in Nigeria. Akindipe, O.E., Akhimie, D., &amp; Olonade,O. (2023) using survey method examined the evolution and understanding of the e-Naira and its impact on the Nigeria economy. The result of the study showed that the level of awareness, understanding, and receptiveness is low in Nigeria. The study concluded that e-Naira initiative has gained awareness and usage beyond the initial wave of early adopters regarding market receptivity.</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Banet and Lebeau (2022) empirically investigated the impact of CBDCs on financial inclusion and bank funding capacity. The inference drawn from this study was that CBDCs help to improve financial inclusion than traditional bank deposits with limited disintermediation effect.</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Akanbi (2023) adopted a qualitative methodology through literature review and content analysis to assess the economic implications of the introduction of the e-Naira in Nigeria. The study concluded that the e-Naira is expected to be a panacea for accelerated economic growth, accelerating financial inclusion and improving monetary policy effectiveness, as well as to ensure cheaper and faster remittance inflow and better tax collection.</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Ogunrinde (2023) using correlational quantitative method provided evidence that e-Naira has a positive impact on financial inclusion in Nigeria. The study concluded that the e-Naira can bring down transaction costs and improve the number of banked members of the population in Nigeria.</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Andolfatto (2021) investigated the impact of CBDC on financial inclusion and financial stability in the in the United States. The study concluded that the introduction of interest-bearing CBDC increases financial inclusion and reduces the need for cash. Also, interest-</w:t>
      </w:r>
      <w:r w:rsidRPr="00EA2158">
        <w:rPr>
          <w:rFonts w:ascii="Times New Roman" w:hAnsi="Times New Roman" w:cs="Times New Roman"/>
          <w:sz w:val="24"/>
          <w:szCs w:val="24"/>
        </w:rPr>
        <w:lastRenderedPageBreak/>
        <w:t>bearing CBDCs do have a negative impact on financial stability because of disintermediation. The study further provides evidence that CBDCs expands the deposit base of banks because of the competition effect which makes banks expand their depositor base by offering higher interest rate to attract more deposits.</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Amarta and Latifah (2023) analyzed the influence of public understanding of financial literacy and community readiness on the use of CBDC using the Millennial Generation born in 1986-1995 and the Generation Z from 1996-2005.The results of this study indicated that there is a positive association between understanding financial literacy and the readiness for the use CBDC.</w:t>
      </w:r>
    </w:p>
    <w:p w:rsidR="00B65CF3" w:rsidRPr="00EA2158" w:rsidRDefault="00B65CF3" w:rsidP="00B65CF3">
      <w:pPr>
        <w:pBdr>
          <w:bottom w:val="single" w:sz="4" w:space="1" w:color="auto"/>
        </w:pBdr>
        <w:spacing w:before="100" w:beforeAutospacing="1" w:after="100" w:afterAutospacing="1" w:line="240" w:lineRule="auto"/>
        <w:rPr>
          <w:rFonts w:ascii="Times New Roman" w:hAnsi="Times New Roman" w:cs="Times New Roman"/>
          <w:sz w:val="24"/>
          <w:szCs w:val="24"/>
        </w:rPr>
      </w:pPr>
      <w:r w:rsidRPr="00EA2158">
        <w:rPr>
          <w:rFonts w:ascii="Times New Roman" w:hAnsi="Times New Roman" w:cs="Times New Roman"/>
          <w:sz w:val="24"/>
          <w:szCs w:val="24"/>
        </w:rPr>
        <w:t>Overall, empirical studies show mixed results, highlighting the need for further investigation.</w:t>
      </w:r>
    </w:p>
    <w:p w:rsidR="00B65CF3" w:rsidRPr="00EA2158" w:rsidRDefault="00B65CF3" w:rsidP="00B65CF3">
      <w:pPr>
        <w:spacing w:line="240" w:lineRule="auto"/>
        <w:jc w:val="both"/>
        <w:rPr>
          <w:rFonts w:ascii="Times New Roman" w:hAnsi="Times New Roman" w:cs="Times New Roman"/>
          <w:b/>
          <w:bCs/>
          <w:sz w:val="24"/>
          <w:szCs w:val="24"/>
        </w:rPr>
      </w:pPr>
      <w:r w:rsidRPr="00EA2158">
        <w:rPr>
          <w:rFonts w:ascii="Times New Roman" w:hAnsi="Times New Roman" w:cs="Times New Roman"/>
          <w:b/>
          <w:bCs/>
          <w:sz w:val="24"/>
          <w:szCs w:val="24"/>
        </w:rPr>
        <w:t xml:space="preserve">2.4 Summary of Literature/Literature Gap </w:t>
      </w:r>
    </w:p>
    <w:p w:rsidR="00B65CF3" w:rsidRPr="00EA2158" w:rsidRDefault="00B65CF3" w:rsidP="00B65CF3">
      <w:pPr>
        <w:spacing w:line="240" w:lineRule="auto"/>
        <w:jc w:val="both"/>
        <w:rPr>
          <w:rFonts w:ascii="Times New Roman" w:hAnsi="Times New Roman" w:cs="Times New Roman"/>
          <w:sz w:val="24"/>
          <w:szCs w:val="24"/>
        </w:rPr>
      </w:pPr>
      <w:r w:rsidRPr="00EA2158">
        <w:rPr>
          <w:rFonts w:ascii="Times New Roman" w:hAnsi="Times New Roman" w:cs="Times New Roman"/>
          <w:sz w:val="24"/>
          <w:szCs w:val="24"/>
        </w:rPr>
        <w:t>It can be clearly observed in the empirical literature above that different studies have been conducted to examine the role of Central Bank Digital Currencies (CBDCs) in Nigeria. Most of the literature reveals that CBDCs can influence financial stability through payment efficiency, liquidity management, monetary policy transmission, and financial inclusion. However, findings across countries differ due to variations in adoption levels, financial structures, and regulatory environments</w:t>
      </w:r>
      <w:r>
        <w:rPr>
          <w:rFonts w:ascii="Times New Roman" w:hAnsi="Times New Roman" w:cs="Times New Roman"/>
          <w:sz w:val="24"/>
          <w:szCs w:val="24"/>
        </w:rPr>
        <w:t>. More</w:t>
      </w:r>
      <w:r w:rsidRPr="00EA2158">
        <w:rPr>
          <w:rFonts w:ascii="Times New Roman" w:hAnsi="Times New Roman" w:cs="Times New Roman"/>
          <w:sz w:val="24"/>
          <w:szCs w:val="24"/>
        </w:rPr>
        <w:t xml:space="preserve"> so, based on the literature most of the studies only focused on financial inclusion in examining CBDCs with a limited number of studies that have jointly examined the influence of CBDCs on financial inclusion and financial stability. </w:t>
      </w:r>
    </w:p>
    <w:p w:rsidR="00B65CF3" w:rsidRPr="00EA2158" w:rsidRDefault="00B65CF3" w:rsidP="00B65CF3">
      <w:pPr>
        <w:spacing w:line="240" w:lineRule="auto"/>
        <w:jc w:val="both"/>
        <w:rPr>
          <w:rFonts w:ascii="Times New Roman" w:hAnsi="Times New Roman" w:cs="Times New Roman"/>
          <w:sz w:val="24"/>
          <w:szCs w:val="24"/>
        </w:rPr>
      </w:pPr>
      <w:r w:rsidRPr="00EA2158">
        <w:rPr>
          <w:rFonts w:ascii="Times New Roman" w:hAnsi="Times New Roman" w:cs="Times New Roman"/>
          <w:sz w:val="24"/>
          <w:szCs w:val="24"/>
        </w:rPr>
        <w:t>In light of the above, this study attempts to assess the impact of CBDCs on financial stability using Non-Performing Loan Ratio has been one of the key indicator of financial stability as proxy. The study specifically focuses variables as transaction volume, transaction value and digital wallet adoption unlike most of the reviewed studies that only used transaction volume and transaction value. This present study combined both transaction volume and transaction value as well as the digital wallet adoption to examine the role of CBDCs on the financial stability in Nigeria; hence, the gap of the study.</w:t>
      </w:r>
    </w:p>
    <w:p w:rsidR="00B65CF3" w:rsidRPr="00EA2158" w:rsidRDefault="00B65CF3" w:rsidP="00B65CF3">
      <w:pPr>
        <w:spacing w:line="240" w:lineRule="auto"/>
        <w:rPr>
          <w:rFonts w:ascii="Times New Roman" w:hAnsi="Times New Roman" w:cs="Times New Roman"/>
          <w:b/>
          <w:sz w:val="24"/>
          <w:szCs w:val="24"/>
        </w:rPr>
      </w:pPr>
      <w:r w:rsidRPr="00EA2158">
        <w:rPr>
          <w:rFonts w:ascii="Times New Roman" w:hAnsi="Times New Roman" w:cs="Times New Roman"/>
          <w:b/>
          <w:sz w:val="24"/>
          <w:szCs w:val="24"/>
        </w:rPr>
        <w:br w:type="page"/>
      </w:r>
    </w:p>
    <w:p w:rsidR="00B65CF3" w:rsidRPr="00EA2158" w:rsidRDefault="00B65CF3" w:rsidP="00B65CF3">
      <w:pPr>
        <w:pBdr>
          <w:bottom w:val="single" w:sz="4" w:space="31" w:color="auto"/>
        </w:pBdr>
        <w:spacing w:before="100" w:beforeAutospacing="1" w:after="100" w:afterAutospacing="1" w:line="240" w:lineRule="auto"/>
        <w:jc w:val="both"/>
        <w:rPr>
          <w:rFonts w:ascii="Times New Roman" w:hAnsi="Times New Roman" w:cs="Times New Roman"/>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THREE</w:t>
      </w:r>
    </w:p>
    <w:p w:rsidR="00B65CF3" w:rsidRDefault="00B65CF3" w:rsidP="00B65CF3">
      <w:pPr>
        <w:spacing w:before="100" w:beforeAutospacing="1" w:after="100" w:afterAutospacing="1"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METHODOLOGY</w:t>
      </w:r>
    </w:p>
    <w:p w:rsidR="00B65CF3" w:rsidRDefault="00B65CF3" w:rsidP="00B65CF3">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B65CF3" w:rsidRDefault="00B65CF3" w:rsidP="00B65CF3">
      <w:pPr>
        <w:pStyle w:val="NormalWeb"/>
        <w:jc w:val="both"/>
        <w:rPr>
          <w:b/>
        </w:rPr>
      </w:pPr>
      <w:r>
        <w:t xml:space="preserve">This study adopts an </w:t>
      </w:r>
      <w:r>
        <w:rPr>
          <w:rStyle w:val="Strong"/>
        </w:rPr>
        <w:t>ex-post facto research design</w:t>
      </w:r>
      <w:r>
        <w:t>. The choice of this design is appropriate because the study relies entirely on secondary data without manipulating any of the variables. The research examines historical data to determine the impact of Central Bank Digital Currency (CBDC) indicators on financial stability in Nigeria.</w:t>
      </w:r>
    </w:p>
    <w:p w:rsidR="00B65CF3" w:rsidRDefault="00B65CF3" w:rsidP="00B65CF3">
      <w:pPr>
        <w:pStyle w:val="Heading2"/>
        <w:jc w:val="both"/>
        <w:rPr>
          <w:sz w:val="24"/>
          <w:szCs w:val="24"/>
        </w:rPr>
      </w:pPr>
      <w:r>
        <w:rPr>
          <w:sz w:val="24"/>
          <w:szCs w:val="24"/>
        </w:rPr>
        <w:t>3.2 Source of Data</w:t>
      </w:r>
    </w:p>
    <w:p w:rsidR="00B65CF3" w:rsidRDefault="00B65CF3" w:rsidP="00B65CF3">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exclusively relies on secondary data obtained from official and credible sources. The data for the variables are sourced from publications of the Central Bank of Nigeria (CBN) Statistical Bulletin Specifically:</w:t>
      </w:r>
    </w:p>
    <w:p w:rsidR="00B65CF3" w:rsidRDefault="00B65CF3" w:rsidP="00B65CF3">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CBDC Transaction Volume and Transaction Value</w:t>
      </w:r>
    </w:p>
    <w:p w:rsidR="00B65CF3" w:rsidRDefault="00B65CF3" w:rsidP="00B65CF3">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CBN Statistical Bulletin</w:t>
      </w:r>
    </w:p>
    <w:p w:rsidR="00B65CF3" w:rsidRDefault="00B65CF3" w:rsidP="00B65CF3">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CBN Annual Reports</w:t>
      </w:r>
    </w:p>
    <w:p w:rsidR="00B65CF3" w:rsidRDefault="00B65CF3" w:rsidP="00B65CF3">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Digital Wallet Adoption Data</w:t>
      </w:r>
    </w:p>
    <w:p w:rsidR="00B65CF3" w:rsidRDefault="00B65CF3" w:rsidP="00B65CF3">
      <w:pPr>
        <w:spacing w:line="240" w:lineRule="auto"/>
        <w:jc w:val="both"/>
        <w:rPr>
          <w:rFonts w:ascii="Times New Roman" w:hAnsi="Times New Roman" w:cs="Times New Roman"/>
          <w:b/>
          <w:sz w:val="24"/>
          <w:szCs w:val="24"/>
        </w:rPr>
      </w:pPr>
      <w:r>
        <w:rPr>
          <w:rFonts w:ascii="Times New Roman" w:hAnsi="Times New Roman" w:cs="Times New Roman"/>
          <w:b/>
          <w:sz w:val="24"/>
          <w:szCs w:val="24"/>
        </w:rPr>
        <w:t>3.3 Model Specification</w:t>
      </w:r>
    </w:p>
    <w:p w:rsidR="00B65CF3" w:rsidRDefault="00B65CF3" w:rsidP="00B65CF3">
      <w:pPr>
        <w:pStyle w:val="NormalWeb"/>
        <w:jc w:val="both"/>
      </w:pPr>
      <w:r>
        <w:t xml:space="preserve">This study adopted the model of Andolfatto (2021) which examined the impact of CBDCs on financial stability in the United State. The study used interest-bearing CBDCs, deposit base CBDCs, and competition effect as explanatory variables while financial stability is the dependent variable. </w:t>
      </w:r>
    </w:p>
    <w:p w:rsidR="00B65CF3" w:rsidRDefault="00B65CF3" w:rsidP="00B65CF3">
      <w:pPr>
        <w:pStyle w:val="NormalWeb"/>
        <w:jc w:val="both"/>
      </w:pPr>
      <w:r>
        <w:t>Thus, his model is stated as;</w:t>
      </w:r>
    </w:p>
    <w:p w:rsidR="00B65CF3" w:rsidRDefault="00B65CF3" w:rsidP="00B65CF3">
      <w:pPr>
        <w:pStyle w:val="NormalWeb"/>
        <w:jc w:val="both"/>
      </w:pPr>
      <w:r>
        <w:t>Financial Stability = F (interest-bearing CBDCs, deposit base CBDCs, competition effect).</w:t>
      </w:r>
    </w:p>
    <w:p w:rsidR="00B65CF3" w:rsidRDefault="00B65CF3" w:rsidP="00B65CF3">
      <w:pPr>
        <w:pStyle w:val="NormalWeb"/>
        <w:jc w:val="both"/>
      </w:pPr>
      <w:r>
        <w:t>We modified Andolfatto model with non-performing loan as a proxy for financial stability and CBDCs transaction volume, CBDCs transaction value and CBDCs wallet adoption as explanatory variables. Thus our model is functionally stated below.</w:t>
      </w:r>
    </w:p>
    <w:p w:rsidR="00B65CF3" w:rsidRDefault="00B65CF3" w:rsidP="00B65CF3">
      <w:pPr>
        <w:pStyle w:val="NormalWeb"/>
        <w:jc w:val="both"/>
      </w:pPr>
      <w:r>
        <w:t>Non-Performing Loan=f(CBDCs Transaction Volume, CBDCs Transaction Value, CBDCs Wallet Adoption).</w:t>
      </w:r>
    </w:p>
    <w:p w:rsidR="00B65CF3" w:rsidRDefault="00B65CF3" w:rsidP="00B65CF3">
      <w:pPr>
        <w:spacing w:line="240" w:lineRule="auto"/>
        <w:jc w:val="both"/>
        <w:rPr>
          <w:rFonts w:ascii="Times New Roman" w:hAnsi="Times New Roman" w:cs="Times New Roman"/>
          <w:sz w:val="24"/>
          <w:szCs w:val="24"/>
        </w:rPr>
      </w:pPr>
      <w:r>
        <w:rPr>
          <w:rStyle w:val="katex-mathml"/>
          <w:rFonts w:ascii="Times New Roman" w:hAnsi="Times New Roman" w:cs="Times New Roman"/>
          <w:sz w:val="24"/>
          <w:szCs w:val="24"/>
        </w:rPr>
        <w:t>NPLR=f (TVOL, TVAL, DWA)</w:t>
      </w:r>
      <w:r>
        <w:rPr>
          <w:rFonts w:ascii="Times New Roman" w:hAnsi="Times New Roman" w:cs="Times New Roman"/>
          <w:sz w:val="24"/>
          <w:szCs w:val="24"/>
        </w:rPr>
        <w:t xml:space="preserve">  </w:t>
      </w:r>
    </w:p>
    <w:p w:rsidR="00B65CF3" w:rsidRDefault="00B65CF3" w:rsidP="00B65CF3">
      <w:pPr>
        <w:pStyle w:val="NormalWeb"/>
        <w:jc w:val="both"/>
      </w:pPr>
      <w:r>
        <w:t>Where:</w:t>
      </w:r>
    </w:p>
    <w:p w:rsidR="00B65CF3" w:rsidRDefault="00B65CF3" w:rsidP="00B65CF3">
      <w:pPr>
        <w:pStyle w:val="NormalWeb"/>
        <w:numPr>
          <w:ilvl w:val="0"/>
          <w:numId w:val="1"/>
        </w:numPr>
        <w:jc w:val="both"/>
      </w:pPr>
      <w:r>
        <w:rPr>
          <w:rStyle w:val="Strong"/>
        </w:rPr>
        <w:t>NPLR</w:t>
      </w:r>
      <w:r>
        <w:t xml:space="preserve"> = Non-Performing Loan Ratio (Proxy for Financial Stability)</w:t>
      </w:r>
    </w:p>
    <w:p w:rsidR="00B65CF3" w:rsidRDefault="00B65CF3" w:rsidP="00B65CF3">
      <w:pPr>
        <w:pStyle w:val="NormalWeb"/>
        <w:numPr>
          <w:ilvl w:val="0"/>
          <w:numId w:val="1"/>
        </w:numPr>
        <w:jc w:val="both"/>
      </w:pPr>
      <w:r>
        <w:rPr>
          <w:rStyle w:val="Strong"/>
        </w:rPr>
        <w:t>TVOL</w:t>
      </w:r>
      <w:r>
        <w:t xml:space="preserve"> = CBDC Transaction Volume</w:t>
      </w:r>
    </w:p>
    <w:p w:rsidR="00B65CF3" w:rsidRDefault="00B65CF3" w:rsidP="00B65CF3">
      <w:pPr>
        <w:pStyle w:val="NormalWeb"/>
        <w:numPr>
          <w:ilvl w:val="0"/>
          <w:numId w:val="1"/>
        </w:numPr>
        <w:jc w:val="both"/>
      </w:pPr>
      <w:r>
        <w:rPr>
          <w:rStyle w:val="Strong"/>
        </w:rPr>
        <w:t>TVAL</w:t>
      </w:r>
      <w:r>
        <w:t xml:space="preserve"> = CBDC Transaction Value</w:t>
      </w:r>
    </w:p>
    <w:p w:rsidR="00B65CF3" w:rsidRDefault="00B65CF3" w:rsidP="00B65CF3">
      <w:pPr>
        <w:pStyle w:val="NormalWeb"/>
        <w:numPr>
          <w:ilvl w:val="0"/>
          <w:numId w:val="1"/>
        </w:numPr>
        <w:jc w:val="both"/>
      </w:pPr>
      <w:r>
        <w:rPr>
          <w:rStyle w:val="Strong"/>
        </w:rPr>
        <w:t>DWA</w:t>
      </w:r>
      <w:r>
        <w:t xml:space="preserve"> = Digital Wallet Adoption</w:t>
      </w:r>
    </w:p>
    <w:p w:rsidR="00B65CF3" w:rsidRDefault="00B65CF3" w:rsidP="00B65CF3">
      <w:pPr>
        <w:pStyle w:val="NormalWeb"/>
        <w:jc w:val="both"/>
      </w:pPr>
      <w:r>
        <w:lastRenderedPageBreak/>
        <w:t>The econometric model is specified as:</w:t>
      </w:r>
    </w:p>
    <w:p w:rsidR="00B65CF3" w:rsidRDefault="00B65CF3" w:rsidP="00B65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NPLRt​=β0​+β1​TVOLt​+β2​TVALt​+β3​DWAt​+μt​ </w:t>
      </w:r>
    </w:p>
    <w:p w:rsidR="00B65CF3" w:rsidRDefault="00B65CF3" w:rsidP="00B65CF3">
      <w:pPr>
        <w:pStyle w:val="NormalWeb"/>
        <w:jc w:val="both"/>
      </w:pPr>
      <w:r>
        <w:t>Where:</w:t>
      </w:r>
    </w:p>
    <w:p w:rsidR="00B65CF3" w:rsidRDefault="00B65CF3" w:rsidP="00B65CF3">
      <w:pPr>
        <w:pStyle w:val="NormalWeb"/>
        <w:numPr>
          <w:ilvl w:val="0"/>
          <w:numId w:val="2"/>
        </w:numPr>
        <w:jc w:val="both"/>
      </w:pPr>
      <w:r>
        <w:t>β₀ = Constant term</w:t>
      </w:r>
    </w:p>
    <w:p w:rsidR="00B65CF3" w:rsidRDefault="00B65CF3" w:rsidP="00B65CF3">
      <w:pPr>
        <w:pStyle w:val="NormalWeb"/>
        <w:numPr>
          <w:ilvl w:val="0"/>
          <w:numId w:val="2"/>
        </w:numPr>
        <w:jc w:val="both"/>
      </w:pPr>
      <w:r>
        <w:t>β₁ – β₃ = Parameters to be estimated</w:t>
      </w:r>
    </w:p>
    <w:p w:rsidR="00B65CF3" w:rsidRDefault="00B65CF3" w:rsidP="00B65CF3">
      <w:pPr>
        <w:pStyle w:val="NormalWeb"/>
        <w:numPr>
          <w:ilvl w:val="0"/>
          <w:numId w:val="2"/>
        </w:numPr>
        <w:jc w:val="both"/>
      </w:pPr>
      <w:r>
        <w:t>μ = Error term</w:t>
      </w:r>
    </w:p>
    <w:p w:rsidR="00B65CF3" w:rsidRDefault="00B65CF3" w:rsidP="00B65CF3">
      <w:pPr>
        <w:pStyle w:val="NormalWeb"/>
        <w:numPr>
          <w:ilvl w:val="0"/>
          <w:numId w:val="2"/>
        </w:numPr>
        <w:jc w:val="both"/>
      </w:pPr>
      <w:r>
        <w:t>t = Time period (Quarterly)</w:t>
      </w:r>
    </w:p>
    <w:p w:rsidR="00B65CF3" w:rsidRDefault="00B65CF3" w:rsidP="00B65CF3">
      <w:pPr>
        <w:pStyle w:val="Heading2"/>
        <w:jc w:val="both"/>
        <w:rPr>
          <w:sz w:val="24"/>
          <w:szCs w:val="24"/>
        </w:rPr>
      </w:pPr>
      <w:r>
        <w:rPr>
          <w:sz w:val="24"/>
          <w:szCs w:val="24"/>
        </w:rPr>
        <w:t>3.4 A Priori Expectation</w:t>
      </w:r>
    </w:p>
    <w:p w:rsidR="00B65CF3" w:rsidRDefault="00B65CF3" w:rsidP="00B65CF3">
      <w:pPr>
        <w:pStyle w:val="NormalWeb"/>
        <w:jc w:val="both"/>
      </w:pPr>
      <w:r>
        <w:t>Based on Monetary Theory, Financial Intermediation Theory, and Innovation Diffusion Theory, the following a priori expectations are established:</w:t>
      </w:r>
    </w:p>
    <w:p w:rsidR="00B65CF3" w:rsidRDefault="00B65CF3" w:rsidP="00B65CF3">
      <w:pPr>
        <w:pStyle w:val="NormalWeb"/>
        <w:jc w:val="both"/>
        <w:rPr>
          <w:rStyle w:val="mord"/>
          <w:rFonts w:eastAsiaTheme="majorEastAsia"/>
        </w:rPr>
      </w:pPr>
      <w:r>
        <w:rPr>
          <w:rStyle w:val="mord"/>
          <w:rFonts w:eastAsiaTheme="majorEastAsia"/>
        </w:rPr>
        <w:t xml:space="preserve">β1 </w:t>
      </w:r>
      <w:r>
        <w:rPr>
          <w:rStyle w:val="vlist-s"/>
        </w:rPr>
        <w:t>​</w:t>
      </w:r>
      <w:r>
        <w:rPr>
          <w:rStyle w:val="mrel"/>
        </w:rPr>
        <w:t xml:space="preserve">&lt; </w:t>
      </w:r>
      <w:r>
        <w:rPr>
          <w:rStyle w:val="mord"/>
          <w:rFonts w:eastAsiaTheme="majorEastAsia"/>
        </w:rPr>
        <w:t>0</w:t>
      </w:r>
      <w:r>
        <w:rPr>
          <w:rStyle w:val="mpunct"/>
        </w:rPr>
        <w:t xml:space="preserve">, </w:t>
      </w:r>
      <w:r>
        <w:rPr>
          <w:rStyle w:val="mord"/>
          <w:rFonts w:eastAsiaTheme="majorEastAsia"/>
        </w:rPr>
        <w:t xml:space="preserve">β2 </w:t>
      </w:r>
      <w:r>
        <w:rPr>
          <w:rStyle w:val="vlist-s"/>
        </w:rPr>
        <w:t>​</w:t>
      </w:r>
      <w:r>
        <w:rPr>
          <w:rStyle w:val="mrel"/>
        </w:rPr>
        <w:t xml:space="preserve">&lt; </w:t>
      </w:r>
      <w:r>
        <w:rPr>
          <w:rStyle w:val="mord"/>
          <w:rFonts w:eastAsiaTheme="majorEastAsia"/>
        </w:rPr>
        <w:t>0</w:t>
      </w:r>
      <w:r>
        <w:rPr>
          <w:rStyle w:val="mpunct"/>
        </w:rPr>
        <w:t xml:space="preserve">, </w:t>
      </w:r>
      <w:r>
        <w:rPr>
          <w:rStyle w:val="mord"/>
          <w:rFonts w:eastAsiaTheme="majorEastAsia"/>
        </w:rPr>
        <w:t xml:space="preserve">β3 </w:t>
      </w:r>
      <w:r>
        <w:rPr>
          <w:rStyle w:val="vlist-s"/>
        </w:rPr>
        <w:t>​</w:t>
      </w:r>
      <w:r>
        <w:rPr>
          <w:rStyle w:val="mrel"/>
        </w:rPr>
        <w:t xml:space="preserve">&lt; </w:t>
      </w:r>
      <w:r>
        <w:rPr>
          <w:rStyle w:val="mord"/>
          <w:rFonts w:eastAsiaTheme="majorEastAsia"/>
        </w:rPr>
        <w:t>0</w:t>
      </w:r>
    </w:p>
    <w:p w:rsidR="00B65CF3" w:rsidRDefault="00B65CF3" w:rsidP="00B65CF3">
      <w:pPr>
        <w:pStyle w:val="NormalWeb"/>
        <w:jc w:val="both"/>
      </w:pPr>
      <w:r>
        <w:t>This implies that increases in CBDCs transaction volume, transaction value, and wallet adoption are expected to reduce Non-Performing Loan Ratio (NPLR), thereby improving financial stability in Nigeria.</w:t>
      </w:r>
    </w:p>
    <w:p w:rsidR="00B65CF3" w:rsidRDefault="00B65CF3" w:rsidP="00B65CF3">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Method of Data Analysis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w:t>
      </w:r>
      <w:r>
        <w:rPr>
          <w:rFonts w:ascii="Times New Roman" w:eastAsia="Times New Roman" w:hAnsi="Times New Roman" w:cs="Times New Roman"/>
          <w:b/>
          <w:bCs/>
          <w:sz w:val="24"/>
          <w:szCs w:val="24"/>
        </w:rPr>
        <w:t>quantitative econometric techniques</w:t>
      </w:r>
      <w:r>
        <w:rPr>
          <w:rFonts w:ascii="Times New Roman" w:eastAsia="Times New Roman" w:hAnsi="Times New Roman" w:cs="Times New Roman"/>
          <w:sz w:val="24"/>
          <w:szCs w:val="24"/>
        </w:rPr>
        <w:t xml:space="preserve"> to analyze the relationship between CBDC indicators and financial stability in Nigeria.</w:t>
      </w:r>
    </w:p>
    <w:p w:rsidR="00B65CF3" w:rsidRDefault="00B65CF3" w:rsidP="00B65CF3">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Specifically, the following techniques were used;</w:t>
      </w:r>
    </w:p>
    <w:p w:rsidR="00B65CF3" w:rsidRDefault="00B65CF3" w:rsidP="00B65CF3">
      <w:pPr>
        <w:spacing w:before="100" w:beforeAutospacing="1" w:after="100" w:afterAutospacing="1" w:line="240" w:lineRule="auto"/>
        <w:outlineLvl w:val="2"/>
        <w:rPr>
          <w:rFonts w:ascii="Times New Roman" w:hAnsi="Times New Roman" w:cs="Times New Roman"/>
          <w:sz w:val="24"/>
          <w:szCs w:val="24"/>
        </w:rPr>
      </w:pPr>
      <w:r>
        <w:rPr>
          <w:rFonts w:ascii="Times New Roman" w:eastAsia="Times New Roman" w:hAnsi="Times New Roman" w:cs="Times New Roman"/>
          <w:b/>
          <w:bCs/>
          <w:sz w:val="24"/>
          <w:szCs w:val="24"/>
        </w:rPr>
        <w:t xml:space="preserve">3.5.1 </w:t>
      </w:r>
      <w:r>
        <w:rPr>
          <w:rStyle w:val="Strong"/>
          <w:rFonts w:ascii="Times New Roman" w:hAnsi="Times New Roman" w:cs="Times New Roman"/>
          <w:sz w:val="24"/>
          <w:szCs w:val="24"/>
        </w:rPr>
        <w:t>Augmented Dickey-Fuller (ADF) Unit Root Test</w:t>
      </w:r>
      <w:r>
        <w:rPr>
          <w:rFonts w:ascii="Times New Roman" w:hAnsi="Times New Roman" w:cs="Times New Roman"/>
          <w:sz w:val="24"/>
          <w:szCs w:val="24"/>
        </w:rPr>
        <w:br/>
        <w:t>This test was conducted to determine the stationarity properties of the variables and to avoid spurious regression results. The ADF test is appropriate because time series data must be stationary before meaningful regression analysis can be conducted.</w:t>
      </w:r>
    </w:p>
    <w:p w:rsidR="00B65CF3" w:rsidRDefault="00B65CF3" w:rsidP="00B65CF3">
      <w:pPr>
        <w:spacing w:before="100" w:beforeAutospacing="1" w:after="100" w:afterAutospacing="1" w:line="240" w:lineRule="auto"/>
        <w:outlineLvl w:val="2"/>
        <w:rPr>
          <w:rFonts w:ascii="Times New Roman" w:hAnsi="Times New Roman" w:cs="Times New Roman"/>
          <w:b/>
          <w:bCs/>
          <w:sz w:val="24"/>
          <w:szCs w:val="24"/>
        </w:rPr>
      </w:pPr>
      <w:r>
        <w:rPr>
          <w:rFonts w:ascii="Times New Roman" w:hAnsi="Times New Roman" w:cs="Times New Roman"/>
          <w:b/>
          <w:bCs/>
          <w:sz w:val="24"/>
          <w:szCs w:val="24"/>
        </w:rPr>
        <w:t>3.5.2 Tado-Yamamoto Casaulity Test</w:t>
      </w:r>
    </w:p>
    <w:p w:rsidR="00B65CF3" w:rsidRDefault="00B65CF3" w:rsidP="00B65CF3">
      <w:pPr>
        <w:spacing w:before="100" w:beforeAutospacing="1" w:after="100" w:afterAutospacing="1" w:line="240" w:lineRule="auto"/>
        <w:jc w:val="both"/>
        <w:outlineLvl w:val="2"/>
        <w:rPr>
          <w:rFonts w:ascii="Times New Roman" w:hAnsi="Times New Roman" w:cs="Times New Roman"/>
          <w:sz w:val="24"/>
          <w:szCs w:val="24"/>
        </w:rPr>
      </w:pPr>
      <w:r>
        <w:rPr>
          <w:rFonts w:ascii="Times New Roman" w:hAnsi="Times New Roman" w:cs="Times New Roman"/>
          <w:sz w:val="24"/>
          <w:szCs w:val="24"/>
        </w:rPr>
        <w:t>The Toda–Yamamoto causality test was adopted in this study because the variables used in the analysis exhibited mixed orders of integration. Specifically, the unit root test revealed that some variables were stationary at level, some at first difference, while Digital Wallet Adoption (DWA) was stationary at second difference.</w:t>
      </w:r>
    </w:p>
    <w:p w:rsidR="00B65CF3" w:rsidRDefault="00B65CF3" w:rsidP="00B65CF3">
      <w:pPr>
        <w:spacing w:before="100" w:beforeAutospacing="1" w:after="100" w:afterAutospacing="1" w:line="240" w:lineRule="auto"/>
        <w:jc w:val="both"/>
        <w:outlineLvl w:val="2"/>
        <w:rPr>
          <w:rFonts w:ascii="Times New Roman" w:hAnsi="Times New Roman" w:cs="Times New Roman"/>
          <w:sz w:val="24"/>
          <w:szCs w:val="24"/>
        </w:rPr>
      </w:pPr>
      <w:r>
        <w:rPr>
          <w:rFonts w:ascii="Times New Roman" w:hAnsi="Times New Roman" w:cs="Times New Roman"/>
          <w:sz w:val="24"/>
          <w:szCs w:val="24"/>
        </w:rPr>
        <w:t>The conventional Granger causality test requires all variables to be stationary at the same order of integration. Since the variables in this study were integrated at different orders and one variable was integrated at order two, the standard Granger causality approach became inappropriate and could produce biased or spurious results.</w:t>
      </w:r>
    </w:p>
    <w:p w:rsidR="00B65CF3" w:rsidRDefault="00B65CF3" w:rsidP="00B65CF3">
      <w:pPr>
        <w:spacing w:before="100" w:beforeAutospacing="1" w:after="100" w:afterAutospacing="1" w:line="240" w:lineRule="auto"/>
        <w:jc w:val="both"/>
        <w:outlineLvl w:val="2"/>
        <w:rPr>
          <w:rFonts w:ascii="Times New Roman" w:hAnsi="Times New Roman" w:cs="Times New Roman"/>
          <w:sz w:val="24"/>
          <w:szCs w:val="24"/>
        </w:rPr>
      </w:pPr>
      <w:r>
        <w:rPr>
          <w:rFonts w:ascii="Times New Roman" w:hAnsi="Times New Roman" w:cs="Times New Roman"/>
          <w:sz w:val="24"/>
          <w:szCs w:val="24"/>
        </w:rPr>
        <w:t>The Toda–Yamamoto causality technique overcomes this problem because it allows causality testing irrespective of whether the variables are integrated of order zero, one, or two. Furthermore, the Toda–Yamamoto approach is suitable for small sample studies such as this research, which used quarterly data from 2021Q1 to 2025Q4.</w:t>
      </w:r>
    </w:p>
    <w:p w:rsidR="00B65CF3" w:rsidRDefault="00B65CF3" w:rsidP="00B65CF3">
      <w:pPr>
        <w:spacing w:before="100" w:beforeAutospacing="1" w:after="100" w:afterAutospacing="1" w:line="240" w:lineRule="auto"/>
        <w:jc w:val="both"/>
        <w:outlineLvl w:val="2"/>
        <w:rPr>
          <w:rFonts w:ascii="Times New Roman" w:hAnsi="Times New Roman" w:cs="Times New Roman"/>
          <w:sz w:val="24"/>
          <w:szCs w:val="24"/>
        </w:rPr>
      </w:pPr>
      <w:r>
        <w:rPr>
          <w:rFonts w:ascii="Times New Roman" w:hAnsi="Times New Roman" w:cs="Times New Roman"/>
          <w:sz w:val="24"/>
          <w:szCs w:val="24"/>
        </w:rPr>
        <w:t>Therefore, the Toda–Yamamoto causality test was considered the most appropriate technique for examining the causal relationships among NPLR, TRVAL, TRVOL, and DWA in this study.</w:t>
      </w:r>
    </w:p>
    <w:p w:rsidR="00B65CF3" w:rsidRDefault="00B65CF3" w:rsidP="00B65CF3">
      <w:pPr>
        <w:spacing w:before="100" w:beforeAutospacing="1" w:after="100" w:afterAutospacing="1" w:line="240" w:lineRule="auto"/>
        <w:outlineLvl w:val="2"/>
        <w:rPr>
          <w:rFonts w:ascii="Times New Roman" w:hAnsi="Times New Roman" w:cs="Times New Roman"/>
          <w:sz w:val="24"/>
          <w:szCs w:val="24"/>
        </w:rPr>
      </w:pPr>
    </w:p>
    <w:p w:rsidR="00B65CF3" w:rsidRDefault="00B65CF3" w:rsidP="00B65CF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B65CF3" w:rsidRDefault="00B65CF3" w:rsidP="00B65CF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FOUR</w:t>
      </w:r>
    </w:p>
    <w:p w:rsidR="00B65CF3" w:rsidRDefault="00B65CF3" w:rsidP="00B65CF3">
      <w:pPr>
        <w:keepNext/>
        <w:keepLines/>
        <w:spacing w:before="360" w:after="8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INTERPRETATION, AND DISCUSSION</w:t>
      </w:r>
    </w:p>
    <w:p w:rsidR="00B65CF3" w:rsidRDefault="00B65CF3" w:rsidP="00B65CF3">
      <w:pPr>
        <w:keepNext/>
        <w:keepLines/>
        <w:spacing w:before="160" w:after="80" w:line="240" w:lineRule="auto"/>
        <w:jc w:val="both"/>
        <w:outlineLvl w:val="1"/>
        <w:rPr>
          <w:rFonts w:ascii="Times New Roman" w:eastAsia="Times New Roman" w:hAnsi="Times New Roman" w:cs="Times New Roman"/>
          <w:b/>
          <w:bCs/>
          <w:i/>
          <w:sz w:val="24"/>
          <w:szCs w:val="24"/>
        </w:rPr>
      </w:pPr>
      <w:bookmarkStart w:id="0" w:name="_Toc496529375"/>
      <w:r>
        <w:rPr>
          <w:rFonts w:ascii="Times New Roman" w:eastAsia="Times New Roman" w:hAnsi="Times New Roman" w:cs="Times New Roman"/>
          <w:b/>
          <w:bCs/>
          <w:i/>
          <w:sz w:val="24"/>
          <w:szCs w:val="24"/>
        </w:rPr>
        <w:t>4.1 Data Presentation</w:t>
      </w:r>
      <w:bookmarkEnd w:id="0"/>
    </w:p>
    <w:p w:rsidR="00B65CF3" w:rsidRDefault="00B65CF3" w:rsidP="00B65CF3">
      <w:pPr>
        <w:spacing w:line="240" w:lineRule="auto"/>
        <w:jc w:val="both"/>
        <w:rPr>
          <w:rFonts w:ascii="Times New Roman" w:hAnsi="Times New Roman" w:cs="Times New Roman"/>
          <w:sz w:val="24"/>
          <w:szCs w:val="24"/>
        </w:rPr>
      </w:pPr>
      <w:r>
        <w:rPr>
          <w:rFonts w:ascii="Times New Roman" w:eastAsia="Calibri" w:hAnsi="Times New Roman" w:cs="Times New Roman"/>
          <w:bCs/>
          <w:sz w:val="24"/>
          <w:szCs w:val="24"/>
        </w:rPr>
        <w:t>The data used in this study</w:t>
      </w:r>
      <w:r>
        <w:rPr>
          <w:rFonts w:ascii="Times New Roman" w:hAnsi="Times New Roman" w:cs="Times New Roman"/>
          <w:sz w:val="24"/>
          <w:szCs w:val="24"/>
        </w:rPr>
        <w:t xml:space="preserve"> include Non-performing Loan Ratio (NPLR), Transaction volume (TRVOL), Transaction value (TRVAL) and Digital wallet adoption (DWA).</w:t>
      </w:r>
    </w:p>
    <w:p w:rsidR="00B65CF3" w:rsidRDefault="00B65CF3" w:rsidP="00B65CF3">
      <w:pPr>
        <w:spacing w:line="240" w:lineRule="auto"/>
        <w:jc w:val="both"/>
        <w:rPr>
          <w:rFonts w:ascii="Times New Roman" w:eastAsia="Calibri" w:hAnsi="Times New Roman" w:cs="Times New Roman"/>
          <w:bCs/>
          <w:sz w:val="24"/>
          <w:szCs w:val="24"/>
        </w:rPr>
      </w:pPr>
    </w:p>
    <w:p w:rsidR="00B65CF3" w:rsidRDefault="00B65CF3" w:rsidP="00B65CF3">
      <w:pPr>
        <w:keepNext/>
        <w:keepLines/>
        <w:spacing w:before="160" w:after="80" w:line="240" w:lineRule="auto"/>
        <w:jc w:val="both"/>
        <w:outlineLvl w:val="2"/>
        <w:rPr>
          <w:rFonts w:ascii="Times New Roman" w:eastAsia="Times New Roman" w:hAnsi="Times New Roman" w:cs="Times New Roman"/>
          <w:b/>
          <w:bCs/>
          <w:sz w:val="24"/>
          <w:szCs w:val="24"/>
        </w:rPr>
      </w:pPr>
      <w:bookmarkStart w:id="1" w:name="_Toc496529377"/>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t>Unit Root Test</w:t>
      </w:r>
      <w:bookmarkEnd w:id="1"/>
    </w:p>
    <w:p w:rsidR="00B65CF3" w:rsidRDefault="00B65CF3" w:rsidP="00B65CF3">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The Augmented Dickey-Fuller (ADF) unit root test was conducted to determine whether the variables are stationary or non-stationary. Testing for stationarity is important because the use of non-stationary variables in time series analysis may produce spurious regression results. In addition, the Toda–Yamamoto causality technique requires knowledge of the maximum order of integration among the variables before estimation.</w:t>
      </w:r>
    </w:p>
    <w:p w:rsidR="00B65CF3" w:rsidRDefault="00B65CF3" w:rsidP="00B65CF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 Summary of ADF Unit Root Test Results</w:t>
      </w:r>
    </w:p>
    <w:tbl>
      <w:tblPr>
        <w:tblStyle w:val="TableGrid"/>
        <w:tblW w:w="0" w:type="auto"/>
        <w:tblLook w:val="04A0" w:firstRow="1" w:lastRow="0" w:firstColumn="1" w:lastColumn="0" w:noHBand="0" w:noVBand="1"/>
      </w:tblPr>
      <w:tblGrid>
        <w:gridCol w:w="1263"/>
        <w:gridCol w:w="1258"/>
        <w:gridCol w:w="1258"/>
        <w:gridCol w:w="1317"/>
        <w:gridCol w:w="1312"/>
        <w:gridCol w:w="1303"/>
        <w:gridCol w:w="1305"/>
      </w:tblGrid>
      <w:tr w:rsidR="00B65CF3" w:rsidTr="00A6094E">
        <w:tc>
          <w:tcPr>
            <w:tcW w:w="1311"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Variables</w:t>
            </w:r>
          </w:p>
        </w:tc>
        <w:tc>
          <w:tcPr>
            <w:tcW w:w="1310"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ADF Statistic</w:t>
            </w:r>
          </w:p>
        </w:tc>
        <w:tc>
          <w:tcPr>
            <w:tcW w:w="1310"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5% Critical Value</w:t>
            </w:r>
          </w:p>
        </w:tc>
        <w:tc>
          <w:tcPr>
            <w:tcW w:w="1330"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Probability</w:t>
            </w:r>
          </w:p>
        </w:tc>
        <w:tc>
          <w:tcPr>
            <w:tcW w:w="1328"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Order of Integration</w:t>
            </w:r>
          </w:p>
        </w:tc>
        <w:tc>
          <w:tcPr>
            <w:tcW w:w="1325" w:type="dxa"/>
          </w:tcPr>
          <w:p w:rsidR="00B65CF3" w:rsidRDefault="00B65CF3" w:rsidP="00A6094E">
            <w:pPr>
              <w:ind w:left="240" w:hangingChars="100" w:hanging="240"/>
              <w:jc w:val="both"/>
              <w:rPr>
                <w:rFonts w:ascii="Times New Roman" w:hAnsi="Times New Roman" w:cs="Times New Roman"/>
                <w:sz w:val="24"/>
                <w:szCs w:val="24"/>
              </w:rPr>
            </w:pPr>
            <w:r>
              <w:rPr>
                <w:rFonts w:ascii="Times New Roman" w:hAnsi="Times New Roman" w:cs="Times New Roman"/>
                <w:sz w:val="24"/>
                <w:szCs w:val="24"/>
              </w:rPr>
              <w:t>Stationary Level</w:t>
            </w:r>
          </w:p>
        </w:tc>
        <w:tc>
          <w:tcPr>
            <w:tcW w:w="1325"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Decision</w:t>
            </w:r>
          </w:p>
        </w:tc>
      </w:tr>
      <w:tr w:rsidR="00B65CF3" w:rsidTr="00A6094E">
        <w:tc>
          <w:tcPr>
            <w:tcW w:w="1311"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NPLR</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-3.406196</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-3.081002</w:t>
            </w:r>
          </w:p>
        </w:tc>
        <w:tc>
          <w:tcPr>
            <w:tcW w:w="133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0.0278</w:t>
            </w:r>
          </w:p>
        </w:tc>
        <w:tc>
          <w:tcPr>
            <w:tcW w:w="1328"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I (0)</w:t>
            </w:r>
          </w:p>
        </w:tc>
        <w:tc>
          <w:tcPr>
            <w:tcW w:w="1325"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Stationary at Level</w:t>
            </w:r>
          </w:p>
        </w:tc>
        <w:tc>
          <w:tcPr>
            <w:tcW w:w="1325"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Reject Ho</w:t>
            </w:r>
          </w:p>
        </w:tc>
      </w:tr>
      <w:tr w:rsidR="00B65CF3" w:rsidTr="00A6094E">
        <w:tc>
          <w:tcPr>
            <w:tcW w:w="1311"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TRVAL</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-4.907482</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-3.040391</w:t>
            </w:r>
          </w:p>
        </w:tc>
        <w:tc>
          <w:tcPr>
            <w:tcW w:w="133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0.0012</w:t>
            </w:r>
          </w:p>
        </w:tc>
        <w:tc>
          <w:tcPr>
            <w:tcW w:w="1328"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I (1)</w:t>
            </w:r>
          </w:p>
        </w:tc>
        <w:tc>
          <w:tcPr>
            <w:tcW w:w="1325"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Stationary at First Difference</w:t>
            </w:r>
          </w:p>
        </w:tc>
        <w:tc>
          <w:tcPr>
            <w:tcW w:w="1325"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Ho at Level, Reject Ho at level, first difference</w:t>
            </w:r>
          </w:p>
        </w:tc>
      </w:tr>
      <w:tr w:rsidR="00B65CF3" w:rsidTr="00A6094E">
        <w:tc>
          <w:tcPr>
            <w:tcW w:w="1311"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TRVOL</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-4.010570</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-3.040391</w:t>
            </w:r>
          </w:p>
        </w:tc>
        <w:tc>
          <w:tcPr>
            <w:tcW w:w="133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0.0073</w:t>
            </w:r>
          </w:p>
        </w:tc>
        <w:tc>
          <w:tcPr>
            <w:tcW w:w="1328"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I (1)</w:t>
            </w:r>
          </w:p>
        </w:tc>
        <w:tc>
          <w:tcPr>
            <w:tcW w:w="1325" w:type="dxa"/>
            <w:shd w:val="clear" w:color="auto" w:fill="auto"/>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Stationary at First Difference</w:t>
            </w:r>
          </w:p>
        </w:tc>
        <w:tc>
          <w:tcPr>
            <w:tcW w:w="1325"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Ho at level, Reject Ho at first difference</w:t>
            </w:r>
          </w:p>
        </w:tc>
      </w:tr>
      <w:tr w:rsidR="00B65CF3" w:rsidTr="00A6094E">
        <w:tc>
          <w:tcPr>
            <w:tcW w:w="1311"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DWA</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-5.113038</w:t>
            </w:r>
          </w:p>
        </w:tc>
        <w:tc>
          <w:tcPr>
            <w:tcW w:w="131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-3.098896</w:t>
            </w:r>
          </w:p>
        </w:tc>
        <w:tc>
          <w:tcPr>
            <w:tcW w:w="1330"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0.0014</w:t>
            </w:r>
          </w:p>
        </w:tc>
        <w:tc>
          <w:tcPr>
            <w:tcW w:w="1328"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I (2)</w:t>
            </w:r>
          </w:p>
        </w:tc>
        <w:tc>
          <w:tcPr>
            <w:tcW w:w="1325" w:type="dxa"/>
            <w:shd w:val="clear" w:color="auto" w:fill="auto"/>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Stationary at Second Difference</w:t>
            </w:r>
          </w:p>
        </w:tc>
        <w:tc>
          <w:tcPr>
            <w:tcW w:w="1325"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Ho at level and first difference, Reject Ho at second difference.</w:t>
            </w:r>
          </w:p>
        </w:tc>
      </w:tr>
    </w:tbl>
    <w:p w:rsidR="00B65CF3" w:rsidRDefault="00B65CF3" w:rsidP="00B65CF3">
      <w:pPr>
        <w:spacing w:line="240" w:lineRule="auto"/>
        <w:jc w:val="both"/>
        <w:rPr>
          <w:rFonts w:ascii="Times New Roman" w:hAnsi="Times New Roman" w:cs="Times New Roman"/>
          <w:sz w:val="24"/>
          <w:szCs w:val="24"/>
        </w:rPr>
      </w:pPr>
      <w:r>
        <w:rPr>
          <w:rFonts w:ascii="Times New Roman" w:hAnsi="Times New Roman" w:cs="Times New Roman"/>
          <w:sz w:val="24"/>
          <w:szCs w:val="24"/>
        </w:rPr>
        <w:t>Source: Researcher’s Computation using EViews 9 (2026)</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presented in Table 4.1 reveals that the variables are integrated at mixed orders. The Non-Performing Loan Ratio (NPLR) was found to be stationary at level, implying that the series does not contain a unit root and fluctuates around a constant mean over time.</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Transaction Value (TRVAL) and Transaction Volume (TRVOL) were found to be non-stationary at level but became stationary after first differencing, indicating that both variables are integrated of order one, I (1). This suggests that shocks affecting transaction value and transaction volume may have temporary effects which disappear after differencing.</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Wallet Adoption (DWA) became stationary only after second differencing, indicating that it is integrated of order two, I (2). This implies that DWA exhibited stronger trending behaviour during the study period compared to the other variables.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mixed order of integration among the variables invalidates the use of the conventional Granger causality test because the technique requires variables to be integrated at the same order. Consequently, the Toda–Yamamoto causality approach was adopted because it accommodates variables integrated at different orders without requiring pre-testing for cointegration.</w:t>
      </w:r>
    </w:p>
    <w:p w:rsidR="00B65CF3" w:rsidRDefault="00B65CF3" w:rsidP="00B65CF3">
      <w:pPr>
        <w:spacing w:line="240" w:lineRule="auto"/>
        <w:jc w:val="both"/>
        <w:rPr>
          <w:rFonts w:ascii="Times New Roman" w:hAnsi="Times New Roman" w:cs="Times New Roman"/>
          <w:b/>
          <w:sz w:val="24"/>
          <w:szCs w:val="24"/>
        </w:rPr>
      </w:pPr>
    </w:p>
    <w:p w:rsidR="00B65CF3" w:rsidRDefault="00B65CF3" w:rsidP="00B65CF3">
      <w:pPr>
        <w:spacing w:line="240" w:lineRule="auto"/>
        <w:jc w:val="both"/>
        <w:rPr>
          <w:rFonts w:ascii="Times New Roman" w:hAnsi="Times New Roman" w:cs="Times New Roman"/>
          <w:b/>
          <w:sz w:val="24"/>
          <w:szCs w:val="24"/>
        </w:rPr>
      </w:pPr>
      <w:r>
        <w:rPr>
          <w:rFonts w:ascii="Times New Roman" w:hAnsi="Times New Roman" w:cs="Times New Roman"/>
          <w:b/>
          <w:sz w:val="24"/>
          <w:szCs w:val="24"/>
        </w:rPr>
        <w:t>4.1.4 Toda–Yamamoto Causality Test Result</w:t>
      </w:r>
    </w:p>
    <w:p w:rsidR="00B65CF3" w:rsidRDefault="00B65CF3" w:rsidP="00B65CF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4.3: Toda–Yamamoto Causality Test Result</w:t>
      </w:r>
    </w:p>
    <w:tbl>
      <w:tblPr>
        <w:tblStyle w:val="TableGrid"/>
        <w:tblW w:w="0" w:type="auto"/>
        <w:tblLook w:val="04A0" w:firstRow="1" w:lastRow="0" w:firstColumn="1" w:lastColumn="0" w:noHBand="0" w:noVBand="1"/>
      </w:tblPr>
      <w:tblGrid>
        <w:gridCol w:w="2264"/>
        <w:gridCol w:w="2250"/>
        <w:gridCol w:w="2250"/>
        <w:gridCol w:w="2252"/>
      </w:tblGrid>
      <w:tr w:rsidR="00B65CF3" w:rsidTr="00A6094E">
        <w:tc>
          <w:tcPr>
            <w:tcW w:w="2394"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TRVAL does not cause NPLR</w:t>
            </w:r>
          </w:p>
        </w:tc>
        <w:tc>
          <w:tcPr>
            <w:tcW w:w="2394"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3.2830</w:t>
            </w:r>
          </w:p>
        </w:tc>
        <w:tc>
          <w:tcPr>
            <w:tcW w:w="2394"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0.3500</w:t>
            </w:r>
          </w:p>
        </w:tc>
        <w:tc>
          <w:tcPr>
            <w:tcW w:w="2394" w:type="dxa"/>
          </w:tcPr>
          <w:p w:rsidR="00B65CF3" w:rsidRDefault="00B65CF3" w:rsidP="00A6094E">
            <w:pPr>
              <w:jc w:val="both"/>
              <w:rPr>
                <w:rFonts w:ascii="Times New Roman" w:hAnsi="Times New Roman" w:cs="Times New Roman"/>
                <w:b/>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TRVOL does not cause NPLR</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2.5018</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0.4750</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DWA does not cause NPLR</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1.8631</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0.6013</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NPLR does not cause TRVAL</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1.7093</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0.6349</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TRVOL does not cause TRVAL</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0.8353</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0.8410</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DWA does not cause TRVAL</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0.9427</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0.8151</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NPLR does not cause TRVOL</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1.2454</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0.7421</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TRVAL does not cause TRVOL</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0.5616</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0.9052</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DWA does not cause TRVOL</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2.6368</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0.4511</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NPLR does not cause DWA</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4.4698</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0.2150</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TRVAL does not cause DWA</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0.4246</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0.9351</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Accept H₀</w:t>
            </w:r>
          </w:p>
        </w:tc>
      </w:tr>
      <w:tr w:rsidR="00B65CF3" w:rsidTr="00A6094E">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TRVOL does not cause DWA</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7.5548</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0.0562</w:t>
            </w:r>
          </w:p>
        </w:tc>
        <w:tc>
          <w:tcPr>
            <w:tcW w:w="2394" w:type="dxa"/>
          </w:tcPr>
          <w:p w:rsidR="00B65CF3" w:rsidRDefault="00B65CF3" w:rsidP="00A6094E">
            <w:pPr>
              <w:jc w:val="both"/>
              <w:rPr>
                <w:rFonts w:ascii="Times New Roman" w:hAnsi="Times New Roman" w:cs="Times New Roman"/>
                <w:sz w:val="24"/>
                <w:szCs w:val="24"/>
              </w:rPr>
            </w:pPr>
            <w:r>
              <w:rPr>
                <w:rFonts w:ascii="Times New Roman" w:hAnsi="Times New Roman" w:cs="Times New Roman"/>
                <w:sz w:val="24"/>
                <w:szCs w:val="24"/>
              </w:rPr>
              <w:t>Reject H₀ at 10%</w:t>
            </w:r>
          </w:p>
        </w:tc>
      </w:tr>
    </w:tbl>
    <w:p w:rsidR="00B65CF3" w:rsidRDefault="00B65CF3" w:rsidP="00B65CF3">
      <w:pPr>
        <w:tabs>
          <w:tab w:val="left" w:pos="859"/>
        </w:tabs>
        <w:spacing w:line="240" w:lineRule="auto"/>
        <w:jc w:val="both"/>
        <w:rPr>
          <w:rFonts w:ascii="Times New Roman" w:hAnsi="Times New Roman" w:cs="Times New Roman"/>
          <w:sz w:val="24"/>
          <w:szCs w:val="24"/>
        </w:rPr>
      </w:pPr>
      <w:r>
        <w:rPr>
          <w:rFonts w:ascii="Times New Roman" w:hAnsi="Times New Roman" w:cs="Times New Roman"/>
          <w:sz w:val="24"/>
          <w:szCs w:val="24"/>
        </w:rPr>
        <w:t>Sources: Researcher’s Computation using Eviews9</w:t>
      </w:r>
    </w:p>
    <w:p w:rsidR="00B65CF3" w:rsidRDefault="00B65CF3" w:rsidP="00B65CF3">
      <w:pPr>
        <w:spacing w:line="240" w:lineRule="auto"/>
        <w:jc w:val="both"/>
        <w:rPr>
          <w:rFonts w:ascii="Times New Roman" w:hAnsi="Times New Roman" w:cs="Times New Roman"/>
          <w:b/>
          <w:sz w:val="24"/>
          <w:szCs w:val="24"/>
        </w:rPr>
      </w:pPr>
      <w:r>
        <w:rPr>
          <w:rFonts w:ascii="Times New Roman" w:hAnsi="Times New Roman" w:cs="Times New Roman"/>
          <w:b/>
          <w:sz w:val="24"/>
          <w:szCs w:val="24"/>
        </w:rPr>
        <w:t>4.2 Interpretation of Results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Toda–Yamamoto causality test was conducted to determine whether the selected CBDCs indicators significantly cause changes in financial stability in Nigeria as measured by Non-Performing Loan Ratio (NPLR). The interpretation of the results is based on the probability values obtained from the Wald test statistics.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revealed that transaction value (TRVAL) does not significantly cause non-performing loan ratio (NPLR) because the probability value of 0.3500 is greater than the 0.05 </w:t>
      </w:r>
      <w:r>
        <w:rPr>
          <w:rFonts w:ascii="Times New Roman" w:eastAsia="Times New Roman" w:hAnsi="Times New Roman" w:cs="Times New Roman"/>
          <w:sz w:val="24"/>
          <w:szCs w:val="24"/>
        </w:rPr>
        <w:lastRenderedPageBreak/>
        <w:t>percent significance level. Therefore, the null hypothesis that TRVAL does not cause NPLR was accepted. This implies that changes in the value of CBDCs transactions during the study period did not significantly influence the level of bad loans within the Nigerian banking sector.</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transaction volume (TRVOL) was found not to significantly cause NPLR since the probability value of 0.4750 exceeds the 0.05 level of significance. Consequently, the null hypothesis was accepted. This indicates that increases or decreases in the number of CBDCs-related transactions did not significantly affect financial stability proxied by non-performing loans during the study period.</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further showed that digital wallet adoption (DWA) does not significantly cause NPLR because the probability value of 0.6013 is greater than 0.05. Therefore, the null hypothesis was accepted. This suggests that the level of adoption of digital wallets in Nigeria did not significantly influence the non-performing loan ratio within the period covered by the study.</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reverse causality relationships, the findings also revealed that NPLR does not significantly cause transaction value, transaction volume, or digital wallet adoption because all the probability values are greater than the 5 percent significance level. This implies the absence of feedback effects between financial stability and the selected CBDCs indicators.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result showed a weak causal relationship between transaction volume (TRVOL) and digital wallet adoption (DWA) at the 10 percent significance level. Since the probability value of 0.0562 is slightly below 0.10, the null hypothesis was rejected at the 10 percent level. This implies that increases in transaction volume may contribute to growth in digital wallet adoption in Nigeria. The finding is logical because greater participation in digital financial transactions may encourage more individuals and businesses to adopt digital wallets for convenience and efficiency.</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findings indicate that CBDCs indicators have not yet exerted substantial influence on financial stability in Nigeria within the period under investigation. This may be attributed to the relatively recent introduction and low penetration of the eNaira system in Nigeria.</w:t>
      </w:r>
    </w:p>
    <w:p w:rsidR="00B65CF3" w:rsidRDefault="00B65CF3" w:rsidP="00B65CF3">
      <w:pPr>
        <w:spacing w:line="240" w:lineRule="auto"/>
        <w:jc w:val="both"/>
        <w:rPr>
          <w:rFonts w:ascii="Times New Roman" w:hAnsi="Times New Roman" w:cs="Times New Roman"/>
          <w:b/>
          <w:sz w:val="24"/>
          <w:szCs w:val="24"/>
        </w:rPr>
      </w:pPr>
      <w:r>
        <w:rPr>
          <w:rFonts w:ascii="Times New Roman" w:hAnsi="Times New Roman" w:cs="Times New Roman"/>
          <w:b/>
          <w:sz w:val="24"/>
          <w:szCs w:val="24"/>
        </w:rPr>
        <w:t>4.3 Discussion of Findings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discusses the findings of the study in relation to the specific objectives, hypotheses, stated in chapter one, the theoretical framework in chapter two, and the model adopted for the study in Chapter Three.</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objective of the study was to examine whether transaction value affects financial stability in Nigeria. The Toda–Yamamoto causality result revealed that transaction value does not significantly cause non-performing loan ratio in Nigeria. This finding implies that the increase in the value of CBDCs transactions has not translated into significant improvements or deterioration in financial stability during the study period.</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led to the acceptance of the null hypothesis which stated that transaction value has no significant causal relationship with financial stability in Nigeria. The implication of this result is that the volume of monetary value transferred through CBDCs platforms remains too small to significantly influence the banking sector’s loan performance and stability indicators.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is consistent with the Financial Innovation Theory discussed in Chapter Two, which argues that financial innovations require time, acceptance, institutional support, and adequate market penetration before generating significant macroeconomic effects. Although CBDCs represents a major financial innovation, the Nigerian financial system may still be in </w:t>
      </w:r>
      <w:r>
        <w:rPr>
          <w:rFonts w:ascii="Times New Roman" w:eastAsia="Times New Roman" w:hAnsi="Times New Roman" w:cs="Times New Roman"/>
          <w:sz w:val="24"/>
          <w:szCs w:val="24"/>
        </w:rPr>
        <w:lastRenderedPageBreak/>
        <w:t>the early adoption stage where the scale of transactions is insufficient to produce measurable effects on financial stability.</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also aligns with the Technology Acceptance Theory (TAT), which emphasizes that user acceptance and actual utilization determine the effectiveness of technological innovations. Since eNaira adoption in Nigeria remains relatively low, transaction value may not yet be large enough to significantly influence banking sector performance.</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objective of the study was to determine whether transaction volume influences financial stability in Nigeria. The result showed that transaction volume does not significantly cause non-performing loan ratio. Consequently, the null hypothesis that transaction volume has no significant causal effect on financial stability was accepted.</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suggests that although digital transactions may be increasing in frequency, such transactions have not substantially affected the quality of bank assets or loan repayment performance in Nigeria. One possible explanation is that CBDCs transactions are still relatively limited compared to conventional banking transactions within the Nigerian financial system.</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supports the Payment System Modernization Theory which posits that digital payment systems improve efficiency and convenience in financial transactions. However, the theory also suggests that such benefits may not immediately translate into broader financial system stability unless the digital payment ecosystem achieves widespread adoption and integration into mainstream banking activities.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is also consistent with the modified model adopted from Andolfatto (2021) in Chapter Three. The model emphasized that CBDCs indicators such as transaction volume and transaction value can influence financial sector outcomes through competition effects and payment system efficiency. However, the current result indicates that the magnitude of CBDCs activities in Nigeria remains insufficient to significantly affect financial stability indicators.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objective of the study was to examine whether digital wallet adoption affects financial stability in Nigeria. The causality result revealed that digital wallet adoption does not significantly cause changes in non-performing loan ratio. Therefore, the null hypothesis was accepted.</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implies that the adoption of digital wallets by consumers and businesses has not significantly influenced the level of non-performing loans within the Nigerian banking sector. This may be attributed to inadequate public awareness, low trust in digital currency systems, poor internet infrastructure, cybersecurity concerns, and limited accessibility in rural areas.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agrees with the Innovation Diffusion Theory which states that innovations spread gradually across society and may take considerable time before achieving widespread acceptance capable of influencing economic outcomes. Since the eNaira and digital wallet system are still relatively new in Nigeria, their impact on financial stability may still be minimal.</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result suggests that the Nigerian financial sector is still largely dependent on traditional banking systems and cash-based transactions despite ongoing digitalization efforts by the Central Bank of Nigeria. Hence, the impact of CBDCs-related innovations on financial stability remains weak.</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the study found evidence of weak causality running from transaction volume to digital wallet adoption at the 10 percent significance level. This suggests that increased participation in digital transactions may encourage greater adoption of digital wallets over time. </w:t>
      </w:r>
      <w:r>
        <w:rPr>
          <w:rFonts w:ascii="Times New Roman" w:eastAsia="Times New Roman" w:hAnsi="Times New Roman" w:cs="Times New Roman"/>
          <w:sz w:val="24"/>
          <w:szCs w:val="24"/>
        </w:rPr>
        <w:lastRenderedPageBreak/>
        <w:t>The finding supports the argument of Technology Acceptance Theory that increased usage and familiarity with technology enhance adoption behaviour.</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overall findings of the study indicate that CBDC indicators have not significantly influenced financial stability in Nigeria within the period under study. The findings suggest that the Nigerian CBDCs ecosystem is still at a developmental stage and may require more time, improved infrastructure, supportive regulatory frameworks, enhanced public awareness, and greater financial inclusion before significant impacts on financial stability can be realized.</w:t>
      </w:r>
    </w:p>
    <w:p w:rsidR="00B65CF3" w:rsidRDefault="00B65CF3" w:rsidP="00B65CF3">
      <w:pPr>
        <w:spacing w:line="240" w:lineRule="auto"/>
        <w:jc w:val="both"/>
        <w:rPr>
          <w:rFonts w:ascii="Times New Roman" w:hAnsi="Times New Roman" w:cs="Times New Roman"/>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p>
    <w:p w:rsidR="00B65CF3" w:rsidRDefault="00B65CF3" w:rsidP="00B65CF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br/>
        <w:t>SUMMARY OF FINDINGS, CONCLUSION AND RECOMMENDATIONS</w:t>
      </w:r>
    </w:p>
    <w:p w:rsidR="00B65CF3" w:rsidRDefault="00B65CF3" w:rsidP="00B65CF3">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 Summary of Findings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examined the effect of Central Bank Digital Currencies (CBDCs) indicators on financial stability in Nigeria using quarterly data spanning from 2021Q1 to 2025Q4. The study was motivated by the increasing global transition toward digital financial systems and the introduction of the eNaira by the Central Bank of Nigeria as part of efforts to modernize the payment system, promote financial inclusion, and enhance financial system efficiency.</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study examined whether CBDCs-related indicators such as transaction value (TRVAL), transaction volume (TRVOL), and digital wallet adoption (DWA) significantly influence financial stability in Nigeria. Financial stability was proxied by Non-Performing Loan Ratio (NPLR). The study adopted the modified model of Andolfatto (2021), while the Toda–Yamamoto causality technique was employed as the analytical framework because the variables were integrated at mixed orders.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Augmented Dickey-Fuller (ADF) unit root test result revealed mixed orders of integration among the variables. Non-Performing Loan Ratio (NPLR) was stationary at level I(0), transaction value (TRVAL) and transaction volume (TRVOL) were stationary at first difference I(1), while digital wallet adoption (DWA) became stationary at second difference I(2). Based on the mixed integration order of the variables, the Toda–Yamamoto causality test was considered appropriate for the analysis.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are summarized as follows:</w:t>
      </w:r>
    </w:p>
    <w:p w:rsidR="00B65CF3" w:rsidRDefault="00B65CF3" w:rsidP="00B65CF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revealed that transaction value (TRVAL) does not significantly cause non-performing loan ratio (NPLR) in Nigeria because the probability value exceeded the 0.05 percent level of significance. This implies that increases in the value of CBDCs transactions have not significantly affected financial stability during the study period. </w:t>
      </w:r>
    </w:p>
    <w:p w:rsidR="00B65CF3" w:rsidRDefault="00B65CF3" w:rsidP="00B65CF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also found that transaction volume (TRVOL) does not significantly cause non-performing loan ratio (NPLR). This indicates that the frequency of CBDCs-related transactions has not exerted meaningful influence on the stability of the Nigerian financial sector. </w:t>
      </w:r>
    </w:p>
    <w:p w:rsidR="00B65CF3" w:rsidRDefault="00B65CF3" w:rsidP="00B65CF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result showed that digital wallet adoption (DWA) does not significantly cause non-performing loan ratio (NPLR). This suggests that the level of adoption of digital wallets and eNaira platforms remains insufficient to significantly influence financial stability indicators in Nigeria. </w:t>
      </w:r>
    </w:p>
    <w:p w:rsidR="00B65CF3" w:rsidRDefault="00B65CF3" w:rsidP="00B65CF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equally revealed the absence of reverse causality between financial stability and the selected CBDCs indicators, implying that non-performing loan ratio does not significantly influence transaction value, transaction volume, or digital wallet adoption. </w:t>
      </w:r>
    </w:p>
    <w:p w:rsidR="00B65CF3" w:rsidRDefault="00B65CF3" w:rsidP="00B65CF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study found weak evidence of causality running from transaction volume (TRVOL) to digital wallet adoption (DWA) at the 10 percent significance level. This suggests that increased digital transaction activities may encourage greater adoption of digital wallet platforms in Nigeria. </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findings indicate that CBDCs-related activities are still at a developmental stage in Nigeria and have not yet generated significant influence on financial stability within the study period.</w:t>
      </w:r>
    </w:p>
    <w:p w:rsidR="00B65CF3" w:rsidRDefault="00B65CF3" w:rsidP="00B65CF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B65CF3" w:rsidRDefault="00B65CF3" w:rsidP="00B65CF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B65CF3" w:rsidRDefault="00B65CF3" w:rsidP="00B65CF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5.2 Conclusion</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Central Bank Digital Currencies (CBDCs) indicators on financial stability in Nigeria using quarterly data from 2021Q1 to 2025Q4. The study focused on transaction value, transaction volume, and digital wallet adoption as indicators of CBDCs activities, while non-performing loan ratio was used as a proxy for financial stability.</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empirical findings obtained from the Toda–Yamamoto causality analysis, the study concludes that CBDCs-related variables have not significantly influenced financial stability in Nigeria during the period under review. Specifically, transaction value, transaction volume, and digital wallet adoption did not exhibit statistically significant causal effects on non-performing loan ratio.</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suggest that the Nigerian CBDCs ecosystem, particularly the eNaira initiative, is still in its infancy and has not yet achieved the level of adoption and operational integration required to significantly influence the broader financial system. Despite the potential benefits associated with CBDCs, such as improved payment efficiency, financial inclusion, reduced transaction costs, and enhanced monetary policy transmission, these benefits may take time to materialize in measurable macro-financial outcomes.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therefore concludes that although CBDCs initiatives represent important financial innovations capable of transforming the Nigerian payment system in the long run, their current impact on financial stability remains limited due to factors such as low public awareness, inadequate technological infrastructure, limited digital literacy, cybersecurity concerns, weak institutional support, and low adoption rates among individuals and businesses.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study concludes that the transition toward a fully digital financial ecosystem in Nigeria requires sustained policy commitment, improved regulatory frameworks, enhanced technological development, and stronger collaboration among financial institutions, fintech operators, and regulatory authorities.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essence, CBDC-related activities in Nigeria have not yet matured sufficiently to significantly influence the performance and stability of the banking sector within the period covered by this study.</w:t>
      </w:r>
    </w:p>
    <w:p w:rsidR="00B65CF3" w:rsidRDefault="00B65CF3" w:rsidP="00B65CF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5.3 Recommendations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and conclusion of the study, the following recommendations were made:</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Strengthening Public Awareness and Financial Literacy</w:t>
      </w:r>
    </w:p>
    <w:p w:rsidR="00B65CF3" w:rsidRDefault="00B65CF3" w:rsidP="00B65CF3">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Central Bank of Nigeria (CBN) should intensify public enlightenment campaigns and financial literacy programs aimed at increasing awareness, understanding, and acceptance of the eNaira and other digital financial platforms. Many Nigerians still lack adequate knowledge regarding the benefits, usage, and security features of CBDCs systems. Improved public education will enhance trust and encourage wider adoption of digital financial services.</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Improvement in Technological and Institutional Infrastructure</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Regulatory authorities and financial institutions should improve the technological infrastructure supporting CBDCs operations in Nigeria. This includes improving internet accessibility, strengthening cybersecurity systems, enhancing digital payment networks, and </w:t>
      </w:r>
      <w:r>
        <w:rPr>
          <w:rFonts w:ascii="Times New Roman" w:eastAsia="Times New Roman" w:hAnsi="Times New Roman" w:cs="Times New Roman"/>
          <w:sz w:val="24"/>
          <w:szCs w:val="24"/>
        </w:rPr>
        <w:lastRenderedPageBreak/>
        <w:t>ensuring uninterrupted platform efficiency. A reliable digital infrastructure will increase user confidence and encourage broader participation in digital financial transactions.</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Strengthening Regulatory and Policy Frameworks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and monetary authorities should establish stronger regulatory frameworks capable of addressing operational risks associated with CBDCs implementation. Clear regulations relating to consumer protection, data privacy, cybersecurity, fraud prevention, and digital transaction monitoring should be developed to support safe and efficient CBDCs operations.</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Integration of Credit and Financial Services into Digital Wallet Platforms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banks and fintech companies should integrate additional financial services such as digital credit facilities, savings products, investment options, and microfinance services into digital wallet platforms. This will enhance the usefulness of digital wallets and increase public participation in CBDCs-related transactions.</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Promotion of Financial Inclusion</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Central Bank of Nigeria should design policies that promote financial inclusion, particularly in rural and underserved areas where access to banking services remains limited. Expanding digital financial access to unbanked populations will improve CBDCs adoption and strengthen the overall effectiveness of the digital financial system.</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Encouragement of Collaboration between Banks and Fintech Firms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institutions should collaborate more effectively with fintech companies to improve innovation, payment efficiency, and digital transaction services. Such partnerships will support the expansion of CBDCs operations and facilitate smoother integration into the Nigerian financial system.</w:t>
      </w:r>
    </w:p>
    <w:p w:rsidR="00B65CF3" w:rsidRDefault="00B65CF3" w:rsidP="00B65CF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Continuous Monitoring and Evaluation of CBDCs Operations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Central Bank of Nigeria should continuously monitor and evaluate the performance of the eNaira and other digital financial initiatives to identify operational weaknesses and policy gaps. Periodic assessments will help policymakers implement timely reforms capable of improving the effectiveness of CBDCs systems in Nigeria.</w:t>
      </w:r>
    </w:p>
    <w:p w:rsidR="00B65CF3" w:rsidRDefault="00B65CF3" w:rsidP="00B65CF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5.4 Suggestions for Further Studies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focused on the effect of CBDCs indicators on financial stability in Nigeria using transaction value, transaction volume, and digital wallet adoption as proxies for CBDCs activities, while non-performing loan ratio served as the proxy for financial stability.</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researchers may improve on this study in the following ways:</w:t>
      </w:r>
    </w:p>
    <w:p w:rsidR="00B65CF3" w:rsidRDefault="00B65CF3" w:rsidP="00B65CF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studies should extend the study period beyond 2025 in order to capture long-run effects of CBDC adoption on financial stability in Nigeria. </w:t>
      </w:r>
    </w:p>
    <w:p w:rsidR="00B65CF3" w:rsidRDefault="00B65CF3" w:rsidP="00B65CF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may employ alternative measures of financial stability such as bank liquidity ratio, capital adequacy ratio, financial inclusion index, bank profitability, or credit risk indicators. </w:t>
      </w:r>
    </w:p>
    <w:p w:rsidR="00B65CF3" w:rsidRDefault="00B65CF3" w:rsidP="00B65CF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studies may apply alternative econometric techniques such as Vector Error Correction Model (VECM), Autoregressive Distributed Lag (ARDL), Structural VAR </w:t>
      </w:r>
      <w:r>
        <w:rPr>
          <w:rFonts w:ascii="Times New Roman" w:eastAsia="Times New Roman" w:hAnsi="Times New Roman" w:cs="Times New Roman"/>
          <w:sz w:val="24"/>
          <w:szCs w:val="24"/>
        </w:rPr>
        <w:lastRenderedPageBreak/>
        <w:t xml:space="preserve">(SVAR), or Dynamic Ordinary Least Squares (DOLS) for robustness and comparative analysis. </w:t>
      </w:r>
    </w:p>
    <w:p w:rsidR="00B65CF3" w:rsidRDefault="00B65CF3" w:rsidP="00B65CF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studies may investigate the impact of CBDCs on other macroeconomic variables such as inflation, monetary policy effectiveness, economic growth, exchange rate stability, and financial inclusion. </w:t>
      </w:r>
    </w:p>
    <w:p w:rsidR="00B65CF3" w:rsidRDefault="00B65CF3" w:rsidP="00B65CF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Future studies may incorporate primary data through surveys and interviews to examine public perception, acceptance, and challenges associated with CBDCs adoption in Nigeria. </w:t>
      </w:r>
    </w:p>
    <w:p w:rsidR="00B65CF3" w:rsidRDefault="00B65CF3" w:rsidP="00B65CF3">
      <w:pPr>
        <w:numPr>
          <w:ilvl w:val="0"/>
          <w:numId w:val="4"/>
        </w:numPr>
        <w:spacing w:before="100" w:beforeAutospacing="1" w:after="100" w:afterAutospacing="1"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sz w:val="24"/>
          <w:szCs w:val="24"/>
        </w:rPr>
        <w:t xml:space="preserve">Additional studies may examine the role of cybersecurity, trust, digital literacy, and internet accessibility in influencing CBDCs adoption and effectiveness. </w:t>
      </w:r>
    </w:p>
    <w:p w:rsidR="00B65CF3" w:rsidRDefault="00B65CF3" w:rsidP="00B65CF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5.5 Contribution to Knowledge</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the existing body of literature on Central Bank Digital Currencies (CBDCs) and financial stability in several important ways.</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the study provides empirical evidence on the relationship between CBDCs indicators and financial stability in Nigeria using recent quarterly data covering the period from 2021Q1 to 2025Q4. This contributes to the growing literature on digital finance within developing economies, particularly Nigeria where empirical studies on CBDCs remain limited.</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the study contributes methodologically by employing the Toda–Yamamoto causality approach in analyzing the relationship between CBDCs indicators and financial stability. The use of the Toda–Yamamoto technique was particularly important because the variables were integrated at mixed orders. This demonstrates the suitability of the technique in handling time series data with different orders of integration without requiring cointegration testing.</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the study modified the model of David Andolfatto (2021) by replacing interest-bearing CBDC, deposit-based CBDsC, and competition effect variables with transaction value, transaction volume, and digital wallet adoption as indicators of CBDCs activities within the Nigerian context. This modification enhanced the applicability of the model to the realities of Nigeria’s digital financial environment.</w:t>
      </w:r>
    </w:p>
    <w:p w:rsidR="00B65CF3" w:rsidRDefault="00B65CF3" w:rsidP="00B65C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Fourth, the study enriches theoretical discussions relating to Financial Innovation Theory, Technology Acceptance Theory, Innovation Diffusion Theory, and Payment System Modernization Theory by demonstrating that financial innovations such as CBDCs may require substantial time, infrastructural support, and widespread adoption before generating significant effects on financial stability.</w:t>
      </w:r>
    </w:p>
    <w:p w:rsidR="00B65CF3" w:rsidRDefault="00B65CF3" w:rsidP="00B65CF3">
      <w:pPr>
        <w:spacing w:after="20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Finally, the study contributes to policy discussions by revealing that CBDC-related activities have not yet significantly influenced financial stability in Nigeria. The findings therefore provide useful insights for policymakers, regulatory authorities, financial institutions, and researchers regarding the current state and future prospects of CBDC operations in Nigeria.</w:t>
      </w:r>
    </w:p>
    <w:p w:rsidR="007B3536" w:rsidRDefault="007B3536">
      <w:bookmarkStart w:id="2" w:name="_GoBack"/>
      <w:bookmarkEnd w:id="2"/>
    </w:p>
    <w:sectPr w:rsidR="007B3536">
      <w:footerReference w:type="default" r:id="rId5"/>
      <w:pgSz w:w="11906" w:h="16838"/>
      <w:pgMar w:top="560" w:right="1440" w:bottom="141" w:left="1440" w:header="720" w:footer="720" w:gutter="0"/>
      <w:pgNumType w:start="1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AD" w:rsidRDefault="00B65CF3">
    <w:pPr>
      <w:pStyle w:val="Footer"/>
    </w:pPr>
    <w:r>
      <w:rPr>
        <w:noProof/>
      </w:rPr>
      <mc:AlternateContent>
        <mc:Choice Requires="wps">
          <w:drawing>
            <wp:anchor distT="0" distB="0" distL="114300" distR="114300" simplePos="0" relativeHeight="251659264" behindDoc="0" locked="0" layoutInCell="1" allowOverlap="1" wp14:anchorId="5CB7FE65" wp14:editId="19A740F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4EAD" w:rsidRDefault="00B65CF3">
                          <w:pPr>
                            <w:pStyle w:val="Footer"/>
                          </w:pPr>
                          <w:r>
                            <w:fldChar w:fldCharType="begin"/>
                          </w:r>
                          <w:r>
                            <w:instrText xml:space="preserve"> PAGE  \* MERGEFORMAT </w:instrText>
                          </w:r>
                          <w:r>
                            <w:fldChar w:fldCharType="separate"/>
                          </w:r>
                          <w:r>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7FE65"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944EAD" w:rsidRDefault="00B65CF3">
                    <w:pPr>
                      <w:pStyle w:val="Footer"/>
                    </w:pPr>
                    <w:r>
                      <w:fldChar w:fldCharType="begin"/>
                    </w:r>
                    <w:r>
                      <w:instrText xml:space="preserve"> PAGE  \* MERGEFORMAT </w:instrText>
                    </w:r>
                    <w:r>
                      <w:fldChar w:fldCharType="separate"/>
                    </w:r>
                    <w:r>
                      <w:rPr>
                        <w:noProof/>
                      </w:rPr>
                      <w:t>29</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7DC"/>
    <w:multiLevelType w:val="multilevel"/>
    <w:tmpl w:val="74CA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E2415"/>
    <w:multiLevelType w:val="multilevel"/>
    <w:tmpl w:val="104E24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1D435FB"/>
    <w:multiLevelType w:val="multilevel"/>
    <w:tmpl w:val="1F42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3A0F04"/>
    <w:multiLevelType w:val="multilevel"/>
    <w:tmpl w:val="453A0F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90A36BD"/>
    <w:multiLevelType w:val="multilevel"/>
    <w:tmpl w:val="490A36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64DD4CB7"/>
    <w:multiLevelType w:val="multilevel"/>
    <w:tmpl w:val="64DD4CB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6CA41BF2"/>
    <w:multiLevelType w:val="multilevel"/>
    <w:tmpl w:val="81BA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7E770F"/>
    <w:multiLevelType w:val="multilevel"/>
    <w:tmpl w:val="7A3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F3"/>
    <w:rsid w:val="007B3536"/>
    <w:rsid w:val="00B6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5CAFE-66E9-4241-95E2-F10C44AC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CF3"/>
  </w:style>
  <w:style w:type="paragraph" w:styleId="Heading2">
    <w:name w:val="heading 2"/>
    <w:basedOn w:val="Normal"/>
    <w:link w:val="Heading2Char"/>
    <w:uiPriority w:val="9"/>
    <w:qFormat/>
    <w:rsid w:val="00B65C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CF3"/>
    <w:rPr>
      <w:rFonts w:ascii="Times New Roman" w:eastAsia="Times New Roman" w:hAnsi="Times New Roman" w:cs="Times New Roman"/>
      <w:b/>
      <w:bCs/>
      <w:sz w:val="36"/>
      <w:szCs w:val="36"/>
    </w:rPr>
  </w:style>
  <w:style w:type="paragraph" w:styleId="Footer">
    <w:name w:val="footer"/>
    <w:basedOn w:val="Normal"/>
    <w:link w:val="FooterChar"/>
    <w:uiPriority w:val="99"/>
    <w:unhideWhenUsed/>
    <w:qFormat/>
    <w:rsid w:val="00B6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CF3"/>
  </w:style>
  <w:style w:type="paragraph" w:styleId="NormalWeb">
    <w:name w:val="Normal (Web)"/>
    <w:basedOn w:val="Normal"/>
    <w:uiPriority w:val="99"/>
    <w:unhideWhenUsed/>
    <w:rsid w:val="00B65C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CF3"/>
    <w:rPr>
      <w:b/>
      <w:bCs/>
    </w:rPr>
  </w:style>
  <w:style w:type="table" w:styleId="TableGrid">
    <w:name w:val="Table Grid"/>
    <w:basedOn w:val="TableNormal"/>
    <w:uiPriority w:val="39"/>
    <w:rsid w:val="00B65CF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CF3"/>
    <w:pPr>
      <w:ind w:left="720"/>
      <w:contextualSpacing/>
    </w:pPr>
  </w:style>
  <w:style w:type="character" w:customStyle="1" w:styleId="katex-mathml">
    <w:name w:val="katex-mathml"/>
    <w:basedOn w:val="DefaultParagraphFont"/>
    <w:rsid w:val="00B65CF3"/>
  </w:style>
  <w:style w:type="character" w:customStyle="1" w:styleId="mord">
    <w:name w:val="mord"/>
    <w:basedOn w:val="DefaultParagraphFont"/>
    <w:rsid w:val="00B65CF3"/>
  </w:style>
  <w:style w:type="character" w:customStyle="1" w:styleId="mrel">
    <w:name w:val="mrel"/>
    <w:basedOn w:val="DefaultParagraphFont"/>
    <w:rsid w:val="00B65CF3"/>
  </w:style>
  <w:style w:type="character" w:customStyle="1" w:styleId="mpunct">
    <w:name w:val="mpunct"/>
    <w:basedOn w:val="DefaultParagraphFont"/>
    <w:rsid w:val="00B65CF3"/>
  </w:style>
  <w:style w:type="character" w:customStyle="1" w:styleId="vlist-s">
    <w:name w:val="vlist-s"/>
    <w:basedOn w:val="DefaultParagraphFont"/>
    <w:rsid w:val="00B6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7550</Words>
  <Characters>43039</Characters>
  <Application>Microsoft Office Word</Application>
  <DocSecurity>0</DocSecurity>
  <Lines>358</Lines>
  <Paragraphs>100</Paragraphs>
  <ScaleCrop>false</ScaleCrop>
  <Company/>
  <LinksUpToDate>false</LinksUpToDate>
  <CharactersWithSpaces>50489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2026-06-21T22:37:00Z</dcterms:created>
  <dcterms:modified xsi:type="dcterms:W3CDTF">2026-06-21T22:38:00Z</dcterms:modified>
</cp:coreProperties>
</file>