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jc w:val="left"/>
        <w:rPr/>
      </w:pPr>
      <w:r w:rsidDel="00000000" w:rsidR="00000000" w:rsidRPr="00000000">
        <w:rPr>
          <w:rtl w:val="0"/>
        </w:rPr>
      </w:r>
    </w:p>
    <w:p w:rsidR="00000000" w:rsidDel="00000000" w:rsidP="00000000" w:rsidRDefault="00000000" w:rsidRPr="00000000" w14:paraId="00000002">
      <w:pPr>
        <w:spacing w:line="360" w:lineRule="auto"/>
        <w:ind w:left="720" w:right="720" w:firstLine="0"/>
        <w:jc w:val="center"/>
        <w:rPr/>
        <w:sectPr>
          <w:headerReference r:id="rId6" w:type="default"/>
          <w:headerReference r:id="rId7" w:type="even"/>
          <w:footerReference r:id="rId8" w:type="default"/>
          <w:footerReference r:id="rId9" w:type="even"/>
          <w:pgSz w:h="15840" w:w="12240" w:orient="portrait"/>
          <w:pgMar w:bottom="1600" w:top="1500" w:left="1080" w:right="1080" w:header="1080" w:footer="1080"/>
          <w:pgNumType w:start="1"/>
          <w:titlePg w:val="1"/>
        </w:sectPr>
      </w:pPr>
      <w:r w:rsidDel="00000000" w:rsidR="00000000" w:rsidRPr="00000000">
        <w:rPr>
          <w:rFonts w:ascii="Arial" w:cs="Arial" w:eastAsia="Arial" w:hAnsi="Arial"/>
          <w:b w:val="1"/>
          <w:bCs w:val="1"/>
          <w:sz w:val="24"/>
          <w:szCs w:val="24"/>
          <w:rtl w:val="0"/>
        </w:rPr>
        <w:t xml:space="preserve">GIS-BASED MULTI-CRITERIA ENVIRONMENTAL RISK ASSESSMENT FOR ENVIRONMENTAL DUE DILIGENCE IN REAL ESTATE PROPERTIES IN DAVAO CITY, PHILIPPINES</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160" w:before="170" w:line="240" w:lineRule="auto"/>
        <w:jc w:val="center"/>
        <w:rPr>
          <w:color w:val="000000"/>
          <w:sz w:val="22"/>
          <w:szCs w:val="22"/>
        </w:rPr>
      </w:pPr>
      <w:r w:rsidDel="00000000" w:rsidR="00000000" w:rsidRPr="00000000">
        <w:rPr>
          <w:sz w:val="24"/>
          <w:szCs w:val="24"/>
          <w:rtl w:val="0"/>
        </w:rPr>
        <w:t xml:space="preserve">Reigina Mascariñas</w:t>
      </w:r>
      <w:r w:rsidDel="00000000" w:rsidR="00000000" w:rsidRPr="00000000">
        <w:rPr>
          <w:color w:val="000000"/>
          <w:sz w:val="24"/>
          <w:szCs w:val="24"/>
          <w:rtl w:val="0"/>
        </w:rPr>
        <w:br w:type="textWrapping"/>
      </w:r>
      <w:r w:rsidDel="00000000" w:rsidR="00000000" w:rsidRPr="00000000">
        <w:rPr>
          <w:color w:val="000000"/>
          <w:sz w:val="20"/>
          <w:szCs w:val="20"/>
          <w:rtl w:val="0"/>
        </w:rPr>
        <w:t xml:space="preserve"> </w:t>
      </w:r>
      <w:r w:rsidDel="00000000" w:rsidR="00000000" w:rsidRPr="00000000">
        <w:rPr>
          <w:sz w:val="20"/>
          <w:szCs w:val="20"/>
          <w:rtl w:val="0"/>
        </w:rPr>
        <w:t xml:space="preserve">University of San Carlos </w:t>
      </w:r>
      <w:r w:rsidDel="00000000" w:rsidR="00000000" w:rsidRPr="00000000">
        <w:rPr>
          <w:color w:val="000000"/>
          <w:sz w:val="20"/>
          <w:szCs w:val="20"/>
          <w:rtl w:val="0"/>
        </w:rPr>
        <w:t xml:space="preserve"> </w:t>
      </w:r>
      <w:r w:rsidDel="00000000" w:rsidR="00000000" w:rsidRPr="00000000">
        <w:rPr>
          <w:rtl w:val="0"/>
        </w:rPr>
        <w:t xml:space="preserve">reigina_mascarinas@yahoo.com</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160" w:before="280" w:line="240" w:lineRule="auto"/>
        <w:jc w:val="center"/>
        <w:rPr>
          <w:color w:val="000000"/>
          <w:sz w:val="24"/>
          <w:szCs w:val="24"/>
        </w:rPr>
      </w:pPr>
      <w:r w:rsidDel="00000000" w:rsidR="00000000" w:rsidRPr="00000000">
        <w:rPr>
          <w:sz w:val="24"/>
          <w:szCs w:val="24"/>
          <w:rtl w:val="0"/>
        </w:rPr>
        <w:t xml:space="preserve">Maria Tangcay</w:t>
      </w:r>
      <w:r w:rsidDel="00000000" w:rsidR="00000000" w:rsidRPr="00000000">
        <w:rPr>
          <w:color w:val="000000"/>
          <w:sz w:val="24"/>
          <w:szCs w:val="24"/>
          <w:rtl w:val="0"/>
        </w:rPr>
        <w:br w:type="textWrapping"/>
      </w:r>
      <w:r w:rsidDel="00000000" w:rsidR="00000000" w:rsidRPr="00000000">
        <w:rPr>
          <w:color w:val="000000"/>
          <w:sz w:val="20"/>
          <w:szCs w:val="20"/>
          <w:rtl w:val="0"/>
        </w:rPr>
        <w:t xml:space="preserve"> </w:t>
      </w:r>
      <w:r w:rsidDel="00000000" w:rsidR="00000000" w:rsidRPr="00000000">
        <w:rPr>
          <w:sz w:val="20"/>
          <w:szCs w:val="20"/>
          <w:rtl w:val="0"/>
        </w:rPr>
        <w:t xml:space="preserve">University of San Carlos</w:t>
      </w:r>
      <w:r w:rsidDel="00000000" w:rsidR="00000000" w:rsidRPr="00000000">
        <w:rPr>
          <w:color w:val="000000"/>
          <w:sz w:val="20"/>
          <w:szCs w:val="20"/>
          <w:rtl w:val="0"/>
        </w:rPr>
        <w:br w:type="textWrapping"/>
        <w:t xml:space="preserve"> </w:t>
      </w:r>
      <w:r w:rsidDel="00000000" w:rsidR="00000000" w:rsidRPr="00000000">
        <w:rPr>
          <w:sz w:val="20"/>
          <w:szCs w:val="20"/>
          <w:rtl w:val="0"/>
        </w:rPr>
        <w:t xml:space="preserve">mariatangcay7@gmail.com</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160" w:before="280" w:line="240" w:lineRule="auto"/>
        <w:jc w:val="center"/>
        <w:rPr>
          <w:color w:val="000000"/>
          <w:sz w:val="24"/>
          <w:szCs w:val="24"/>
        </w:rPr>
        <w:sectPr>
          <w:type w:val="continuous"/>
          <w:pgSz w:h="15840" w:w="12240" w:orient="portrait"/>
          <w:pgMar w:bottom="1600" w:top="1500" w:left="1080" w:right="1080" w:header="1080" w:footer="1080"/>
          <w:pgNumType w:start="1"/>
          <w:cols w:equalWidth="0" w:num="3">
            <w:col w:space="720" w:w="2880"/>
            <w:col w:space="720" w:w="2880"/>
            <w:col w:space="0" w:w="2880"/>
          </w:cols>
          <w:titlePg w:val="1"/>
        </w:sectPr>
      </w:pPr>
      <w:r w:rsidDel="00000000" w:rsidR="00000000" w:rsidRPr="00000000">
        <w:rPr>
          <w:sz w:val="24"/>
          <w:szCs w:val="24"/>
          <w:rtl w:val="0"/>
        </w:rPr>
        <w:t xml:space="preserve">Glenn Pepito</w:t>
      </w:r>
      <w:r w:rsidDel="00000000" w:rsidR="00000000" w:rsidRPr="00000000">
        <w:rPr>
          <w:color w:val="000000"/>
          <w:sz w:val="24"/>
          <w:szCs w:val="24"/>
          <w:rtl w:val="0"/>
        </w:rPr>
        <w:br w:type="textWrapping"/>
      </w:r>
      <w:r w:rsidDel="00000000" w:rsidR="00000000" w:rsidRPr="00000000">
        <w:rPr>
          <w:color w:val="000000"/>
          <w:sz w:val="20"/>
          <w:szCs w:val="20"/>
          <w:rtl w:val="0"/>
        </w:rPr>
        <w:t xml:space="preserve"> </w:t>
      </w:r>
      <w:r w:rsidDel="00000000" w:rsidR="00000000" w:rsidRPr="00000000">
        <w:rPr>
          <w:sz w:val="20"/>
          <w:szCs w:val="20"/>
          <w:rtl w:val="0"/>
        </w:rPr>
        <w:t xml:space="preserve">University of San Carlos</w:t>
      </w:r>
      <w:r w:rsidDel="00000000" w:rsidR="00000000" w:rsidRPr="00000000">
        <w:rPr>
          <w:color w:val="000000"/>
          <w:sz w:val="20"/>
          <w:szCs w:val="20"/>
          <w:rtl w:val="0"/>
        </w:rPr>
        <w:br w:type="textWrapping"/>
        <w:t xml:space="preserve"> </w:t>
      </w:r>
      <w:r w:rsidDel="00000000" w:rsidR="00000000" w:rsidRPr="00000000">
        <w:rPr>
          <w:sz w:val="20"/>
          <w:szCs w:val="20"/>
          <w:rtl w:val="0"/>
        </w:rPr>
        <w:t xml:space="preserve">gbpepito@usc.edu.ph </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200" w:line="276" w:lineRule="auto"/>
        <w:jc w:val="left"/>
        <w:rPr>
          <w:rFonts w:ascii="Calibri" w:cs="Calibri" w:eastAsia="Calibri" w:hAnsi="Calibri"/>
          <w:color w:val="000000"/>
          <w:sz w:val="22"/>
          <w:szCs w:val="22"/>
        </w:rPr>
        <w:sectPr>
          <w:type w:val="continuous"/>
          <w:pgSz w:h="15840" w:w="12240" w:orient="portrait"/>
          <w:pgMar w:bottom="1600" w:top="1500" w:left="1080" w:right="1080" w:header="1080" w:footer="1080"/>
          <w:pgNumType w:start="1"/>
          <w:titlePg w:val="1"/>
        </w:sect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80" w:before="120" w:line="240" w:lineRule="auto"/>
        <w:jc w:val="left"/>
        <w:rPr>
          <w:b w:val="1"/>
          <w:bCs w:val="1"/>
          <w:color w:val="000000"/>
          <w:sz w:val="22"/>
          <w:szCs w:val="22"/>
        </w:rPr>
      </w:pPr>
      <w:r w:rsidDel="00000000" w:rsidR="00000000" w:rsidRPr="00000000">
        <w:rPr>
          <w:b w:val="1"/>
          <w:bCs w:val="1"/>
          <w:color w:val="000000"/>
          <w:sz w:val="22"/>
          <w:szCs w:val="22"/>
          <w:rtl w:val="0"/>
        </w:rPr>
        <w:t xml:space="preserve">ABSTRACT</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120" w:before="20" w:lineRule="auto"/>
        <w:rPr/>
      </w:pPr>
      <w:r w:rsidDel="00000000" w:rsidR="00000000" w:rsidRPr="00000000">
        <w:rPr>
          <w:rtl w:val="0"/>
        </w:rPr>
        <w:t xml:space="preserve">This study presents a GIS-based multi-hazard risk assessment framework for evaluating environmental risks in residential properties in Davao City, Philippines. Hazard datasets from official sources, including UP NOAH, PHIVOLCS, PAGASA, and DENR-MGB, were processed and standardized within a Geographic Information System (GIS) environment. Eight hazard factors were considered: volcanic proximity, active fault distance, flooding, landslide susceptibility, liquefaction, ground shaking, tsunami exposure, and earthquake-induced landslide (EIL).</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120" w:before="20" w:lineRule="auto"/>
        <w:rPr/>
      </w:pPr>
      <w:r w:rsidDel="00000000" w:rsidR="00000000" w:rsidRPr="00000000">
        <w:rPr>
          <w:rtl w:val="0"/>
        </w:rPr>
        <w:t xml:space="preserve">Spatial analysis techniques were applied to extract hazard values for each property, including raster sampling, spatial intersection, and proximity analysis. Distance-based thresholds for fault lines and volcanoes were established based on hazard attenuation principles and zonation practices. All hazard values were reclassified into standardized scores and integrated using the Analytic Hierarchy Process (AHP), with equal weighting applied across all criteria.</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120" w:before="20" w:lineRule="auto"/>
        <w:rPr/>
      </w:pPr>
      <w:r w:rsidDel="00000000" w:rsidR="00000000" w:rsidRPr="00000000">
        <w:rPr>
          <w:rtl w:val="0"/>
        </w:rPr>
        <w:t xml:space="preserve">A composite risk score was computed for each property and classified into low, moderate, and high-risk categories. Results indicate that most properties fall under moderate risk due to consistent ground shaking exposure, while high-risk classifications were associated with multiple overlapping hazards and proximity to fault lines. An automated workflow using QGIS ModelBuilder and a prototype web-based interface was developed to facilitate efficient hazard assessment.</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120" w:before="20" w:lineRule="auto"/>
        <w:rPr>
          <w:b w:val="1"/>
          <w:bCs w:val="1"/>
          <w:sz w:val="22"/>
          <w:szCs w:val="22"/>
        </w:rPr>
      </w:pPr>
      <w:r w:rsidDel="00000000" w:rsidR="00000000" w:rsidRPr="00000000">
        <w:rPr>
          <w:rtl w:val="0"/>
        </w:rPr>
        <w:t xml:space="preserve">The study demonstrates that integrating GIS and AHP provides a practical and reproducible decision-support tool for environmental due diligence and real estate risk evaluation.</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20" w:before="200" w:line="240" w:lineRule="auto"/>
        <w:jc w:val="left"/>
        <w:rPr>
          <w:b w:val="1"/>
          <w:bCs w:val="1"/>
          <w:color w:val="000000"/>
          <w:sz w:val="22"/>
          <w:szCs w:val="22"/>
        </w:rPr>
      </w:pPr>
      <w:r w:rsidDel="00000000" w:rsidR="00000000" w:rsidRPr="00000000">
        <w:rPr>
          <w:b w:val="1"/>
          <w:bCs w:val="1"/>
          <w:color w:val="000000"/>
          <w:sz w:val="22"/>
          <w:szCs w:val="22"/>
          <w:rtl w:val="0"/>
        </w:rPr>
        <w:t xml:space="preserve">KEYWORDS</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60" w:before="60" w:lineRule="auto"/>
        <w:rPr>
          <w:color w:val="000000"/>
        </w:rPr>
      </w:pPr>
      <w:r w:rsidDel="00000000" w:rsidR="00000000" w:rsidRPr="00000000">
        <w:rPr>
          <w:rtl w:val="0"/>
        </w:rPr>
        <w:t xml:space="preserve">Geographic Information Systems, Multi-Hazard Assessment, AHP, Environmental Risk, QGIS </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80" w:before="380" w:line="240" w:lineRule="auto"/>
        <w:ind w:left="280" w:hanging="280"/>
        <w:jc w:val="left"/>
        <w:rPr>
          <w:sz w:val="22"/>
          <w:szCs w:val="22"/>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80" w:before="380" w:line="240" w:lineRule="auto"/>
        <w:ind w:left="280" w:hanging="280"/>
        <w:jc w:val="left"/>
        <w:rPr>
          <w:b w:val="1"/>
          <w:bCs w:val="1"/>
          <w:color w:val="000000"/>
          <w:sz w:val="22"/>
          <w:szCs w:val="22"/>
        </w:rPr>
      </w:pPr>
      <w:r w:rsidDel="00000000" w:rsidR="00000000" w:rsidRPr="00000000">
        <w:rPr>
          <w:color w:val="000000"/>
          <w:sz w:val="22"/>
          <w:szCs w:val="22"/>
          <w:rtl w:val="0"/>
        </w:rPr>
        <w:t xml:space="preserve">1</w:t>
      </w:r>
      <w:r w:rsidDel="00000000" w:rsidR="00000000" w:rsidRPr="00000000">
        <w:rPr>
          <w:b w:val="1"/>
          <w:bCs w:val="1"/>
          <w:color w:val="000000"/>
          <w:sz w:val="22"/>
          <w:szCs w:val="22"/>
          <w:rtl w:val="0"/>
        </w:rPr>
        <w:t xml:space="preserve"> </w:t>
      </w:r>
      <w:r w:rsidDel="00000000" w:rsidR="00000000" w:rsidRPr="00000000">
        <w:rPr>
          <w:b w:val="1"/>
          <w:bCs w:val="1"/>
          <w:sz w:val="22"/>
          <w:szCs w:val="22"/>
          <w:rtl w:val="0"/>
        </w:rPr>
        <w:t xml:space="preserve">Introduction</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rPr/>
      </w:pPr>
      <w:r w:rsidDel="00000000" w:rsidR="00000000" w:rsidRPr="00000000">
        <w:rPr>
          <w:rtl w:val="0"/>
        </w:rPr>
        <w:t xml:space="preserve">Davao City's rapid urban development has raised demand for residential real estate, frequently without taking environmental risks into account. Hazard maps are provided by government organizations like PHIVOLCS, PAGASA, and UP NOAH, however these datasets are usually shown separately and are difficult to understand for property-level decision-making. </w:t>
      </w:r>
    </w:p>
    <w:p w:rsidR="00000000" w:rsidDel="00000000" w:rsidP="00000000" w:rsidRDefault="00000000" w:rsidRPr="00000000" w14:paraId="00000011">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A thorough evaluation of the various risks affecting a property is necessary for environmental due diligence. Nevertheless, current methods lack automation, integration, and user-friendliness for non-experts. By creating a GIS-based multi-hazard assessment system that integrates spatial data processing with the Analytic Hierarchy Process (AHP) to assess property-level risk, this study fills this gap.</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rPr/>
      </w:pPr>
      <w:r w:rsidDel="00000000" w:rsidR="00000000" w:rsidRPr="00000000">
        <w:rPr>
          <w:rtl w:val="0"/>
        </w:rPr>
        <w:t xml:space="preserve">Developing a decision-support framework that incorporates several danger layers, calculates composite risk scores, and displays findings via an automated and user-friendly method is the aim of this study. </w:t>
      </w:r>
    </w:p>
    <w:p w:rsidR="00000000" w:rsidDel="00000000" w:rsidP="00000000" w:rsidRDefault="00000000" w:rsidRPr="00000000" w14:paraId="00000015">
      <w:pPr>
        <w:spacing w:after="80" w:before="380" w:line="240" w:lineRule="auto"/>
        <w:ind w:left="280"/>
        <w:jc w:val="left"/>
        <w:rPr>
          <w:b w:val="1"/>
          <w:bCs w:val="1"/>
          <w:sz w:val="22"/>
          <w:szCs w:val="22"/>
        </w:rPr>
      </w:pPr>
      <w:r w:rsidDel="00000000" w:rsidR="00000000" w:rsidRPr="00000000">
        <w:rPr>
          <w:sz w:val="22"/>
          <w:szCs w:val="22"/>
          <w:rtl w:val="0"/>
        </w:rPr>
        <w:t xml:space="preserve">2</w:t>
      </w:r>
      <w:r w:rsidDel="00000000" w:rsidR="00000000" w:rsidRPr="00000000">
        <w:rPr>
          <w:b w:val="1"/>
          <w:bCs w:val="1"/>
          <w:sz w:val="22"/>
          <w:szCs w:val="22"/>
          <w:rtl w:val="0"/>
        </w:rPr>
        <w:t xml:space="preserve"> Methodology</w:t>
      </w:r>
    </w:p>
    <w:p w:rsidR="00000000" w:rsidDel="00000000" w:rsidP="00000000" w:rsidRDefault="00000000" w:rsidRPr="00000000" w14:paraId="00000016">
      <w:pPr>
        <w:spacing w:after="80" w:before="380" w:line="240" w:lineRule="auto"/>
        <w:ind w:left="280"/>
        <w:jc w:val="left"/>
        <w:rPr>
          <w:b w:val="1"/>
          <w:bCs w:val="1"/>
          <w:sz w:val="22"/>
          <w:szCs w:val="22"/>
        </w:rPr>
      </w:pPr>
      <w:r w:rsidDel="00000000" w:rsidR="00000000" w:rsidRPr="00000000">
        <w:rPr>
          <w:sz w:val="22"/>
          <w:szCs w:val="22"/>
          <w:rtl w:val="0"/>
        </w:rPr>
        <w:t xml:space="preserve">2.1 </w:t>
      </w:r>
      <w:r w:rsidDel="00000000" w:rsidR="00000000" w:rsidRPr="00000000">
        <w:rPr>
          <w:b w:val="1"/>
          <w:bCs w:val="1"/>
          <w:sz w:val="22"/>
          <w:szCs w:val="22"/>
          <w:rtl w:val="0"/>
        </w:rPr>
        <w:t xml:space="preserve">Data Sources</w:t>
      </w:r>
    </w:p>
    <w:p w:rsidR="00000000" w:rsidDel="00000000" w:rsidP="00000000" w:rsidRDefault="00000000" w:rsidRPr="00000000" w14:paraId="00000017">
      <w:pPr>
        <w:rPr/>
      </w:pPr>
      <w:r w:rsidDel="00000000" w:rsidR="00000000" w:rsidRPr="00000000">
        <w:rPr>
          <w:rtl w:val="0"/>
        </w:rPr>
        <w:t xml:space="preserve">Official government sources, such as UP NOAH for hazard maps, PHIVOLCS for seismic and volcanic data, PAGASA for meteorological information, and DENR-MGB for land-related datasets, provided the hazard and spatial datasets. Google Maps' high-resolution satellite imagery was used for additional validation. </w:t>
      </w:r>
    </w:p>
    <w:p w:rsidR="00000000" w:rsidDel="00000000" w:rsidP="00000000" w:rsidRDefault="00000000" w:rsidRPr="00000000" w14:paraId="00000018">
      <w:pPr>
        <w:spacing w:after="80" w:before="380" w:line="240" w:lineRule="auto"/>
        <w:ind w:left="280"/>
        <w:jc w:val="left"/>
        <w:rPr>
          <w:b w:val="1"/>
          <w:bCs w:val="1"/>
          <w:sz w:val="22"/>
          <w:szCs w:val="22"/>
        </w:rPr>
      </w:pPr>
      <w:r w:rsidDel="00000000" w:rsidR="00000000" w:rsidRPr="00000000">
        <w:rPr>
          <w:rtl w:val="0"/>
        </w:rPr>
      </w:r>
    </w:p>
    <w:p w:rsidR="00000000" w:rsidDel="00000000" w:rsidP="00000000" w:rsidRDefault="00000000" w:rsidRPr="00000000" w14:paraId="00000019">
      <w:pPr>
        <w:spacing w:after="80" w:before="380" w:line="240" w:lineRule="auto"/>
        <w:ind w:left="280"/>
        <w:jc w:val="left"/>
        <w:rPr>
          <w:b w:val="1"/>
          <w:bCs w:val="1"/>
          <w:sz w:val="22"/>
          <w:szCs w:val="22"/>
        </w:rPr>
      </w:pPr>
      <w:r w:rsidDel="00000000" w:rsidR="00000000" w:rsidRPr="00000000">
        <w:rPr>
          <w:rtl w:val="0"/>
        </w:rPr>
      </w:r>
    </w:p>
    <w:p w:rsidR="00000000" w:rsidDel="00000000" w:rsidP="00000000" w:rsidRDefault="00000000" w:rsidRPr="00000000" w14:paraId="0000001A">
      <w:pPr>
        <w:spacing w:after="80" w:before="380" w:line="240" w:lineRule="auto"/>
        <w:ind w:left="280"/>
        <w:jc w:val="left"/>
        <w:rPr>
          <w:b w:val="1"/>
          <w:bCs w:val="1"/>
          <w:sz w:val="22"/>
          <w:szCs w:val="22"/>
        </w:rPr>
      </w:pPr>
      <w:r w:rsidDel="00000000" w:rsidR="00000000" w:rsidRPr="00000000">
        <w:rPr>
          <w:sz w:val="22"/>
          <w:szCs w:val="22"/>
          <w:rtl w:val="0"/>
        </w:rPr>
        <w:t xml:space="preserve">2.2</w:t>
      </w:r>
      <w:r w:rsidDel="00000000" w:rsidR="00000000" w:rsidRPr="00000000">
        <w:rPr>
          <w:b w:val="1"/>
          <w:bCs w:val="1"/>
          <w:sz w:val="22"/>
          <w:szCs w:val="22"/>
          <w:rtl w:val="0"/>
        </w:rPr>
        <w:t xml:space="preserve"> Data Processing and Treatment</w:t>
      </w:r>
    </w:p>
    <w:p w:rsidR="00000000" w:rsidDel="00000000" w:rsidP="00000000" w:rsidRDefault="00000000" w:rsidRPr="00000000" w14:paraId="0000001B">
      <w:pPr>
        <w:spacing w:after="240" w:before="240" w:lineRule="auto"/>
        <w:rPr/>
      </w:pPr>
      <w:r w:rsidDel="00000000" w:rsidR="00000000" w:rsidRPr="00000000">
        <w:rPr>
          <w:rtl w:val="0"/>
        </w:rPr>
        <w:t xml:space="preserve">The treatment of data in this study follows a structured workflow to ensure consistency and accuracy in GIS-based multi-hazard assessment. Spatial datasets from UP NOAH, PHIVOLCS, PAGASA, DENR-MGB, and Google Maps were collected, standardized to a common coordinate system, and cleaned to resolve inconsistencies. All layers were clipped to the study area and aligned for spatial analysis.</w:t>
      </w:r>
    </w:p>
    <w:p w:rsidR="00000000" w:rsidDel="00000000" w:rsidP="00000000" w:rsidRDefault="00000000" w:rsidRPr="00000000" w14:paraId="0000001C">
      <w:pPr>
        <w:spacing w:after="240" w:before="240" w:lineRule="auto"/>
        <w:rPr/>
      </w:pPr>
      <w:r w:rsidDel="00000000" w:rsidR="00000000" w:rsidRPr="00000000">
        <w:rPr>
          <w:rtl w:val="0"/>
        </w:rPr>
        <w:t xml:space="preserve">Hazard data were processed according to their type. Polygon-based hazards (flood and landslide) were assigned to properties using spatial intersection, while raster-based hazards (liquefaction, ground shaking, tsunami, and EIL) were extracted through raster sampling. Distance-based hazards (fault lines and volcanoes) were analyzed using proximity calculations and classified into risk levels based on predefined thresholds.</w:t>
      </w:r>
    </w:p>
    <w:p w:rsidR="00000000" w:rsidDel="00000000" w:rsidP="00000000" w:rsidRDefault="00000000" w:rsidRPr="00000000" w14:paraId="0000001D">
      <w:pPr>
        <w:spacing w:after="240" w:before="240" w:lineRule="auto"/>
        <w:rPr/>
      </w:pPr>
      <w:r w:rsidDel="00000000" w:rsidR="00000000" w:rsidRPr="00000000">
        <w:rPr>
          <w:rtl w:val="0"/>
        </w:rPr>
        <w:t xml:space="preserve">All hazard values were reclassified into standardized scores and integrated using AHP weighting. The processed data were validated using satellite imagery to ensure spatial accuracy. These steps enabled reliable overlay analysis, risk computation, and visualization for property-level hazard assessment.</w:t>
      </w:r>
    </w:p>
    <w:p w:rsidR="00000000" w:rsidDel="00000000" w:rsidP="00000000" w:rsidRDefault="00000000" w:rsidRPr="00000000" w14:paraId="0000001E">
      <w:pPr>
        <w:spacing w:after="80" w:before="380" w:line="240" w:lineRule="auto"/>
        <w:ind w:left="280"/>
        <w:jc w:val="left"/>
        <w:rPr>
          <w:b w:val="1"/>
          <w:bCs w:val="1"/>
          <w:sz w:val="22"/>
          <w:szCs w:val="22"/>
        </w:rPr>
      </w:pPr>
      <w:r w:rsidDel="00000000" w:rsidR="00000000" w:rsidRPr="00000000">
        <w:rPr>
          <w:sz w:val="22"/>
          <w:szCs w:val="22"/>
          <w:rtl w:val="0"/>
        </w:rPr>
        <w:t xml:space="preserve">2.3</w:t>
      </w:r>
      <w:r w:rsidDel="00000000" w:rsidR="00000000" w:rsidRPr="00000000">
        <w:rPr>
          <w:b w:val="1"/>
          <w:bCs w:val="1"/>
          <w:sz w:val="22"/>
          <w:szCs w:val="22"/>
          <w:rtl w:val="0"/>
        </w:rPr>
        <w:t xml:space="preserve"> Hazard Scoring</w:t>
      </w:r>
    </w:p>
    <w:p w:rsidR="00000000" w:rsidDel="00000000" w:rsidP="00000000" w:rsidRDefault="00000000" w:rsidRPr="00000000" w14:paraId="0000001F">
      <w:pPr>
        <w:spacing w:after="240" w:before="240" w:lineRule="auto"/>
        <w:rPr/>
      </w:pPr>
      <w:r w:rsidDel="00000000" w:rsidR="00000000" w:rsidRPr="00000000">
        <w:rPr>
          <w:rtl w:val="0"/>
        </w:rPr>
        <w:t xml:space="preserve">All hazard factors were standardized into a scoring system:</w:t>
      </w:r>
    </w:p>
    <w:p w:rsidR="00000000" w:rsidDel="00000000" w:rsidP="00000000" w:rsidRDefault="00000000" w:rsidRPr="00000000" w14:paraId="00000020">
      <w:pPr>
        <w:numPr>
          <w:ilvl w:val="0"/>
          <w:numId w:val="1"/>
        </w:numPr>
        <w:spacing w:after="0" w:afterAutospacing="0" w:before="240" w:lineRule="auto"/>
        <w:ind w:left="720" w:hanging="360"/>
        <w:jc w:val="left"/>
      </w:pPr>
      <w:r w:rsidDel="00000000" w:rsidR="00000000" w:rsidRPr="00000000">
        <w:rPr>
          <w:rtl w:val="0"/>
        </w:rPr>
        <w:t xml:space="preserve">1 = Low</w:t>
      </w:r>
    </w:p>
    <w:p w:rsidR="00000000" w:rsidDel="00000000" w:rsidP="00000000" w:rsidRDefault="00000000" w:rsidRPr="00000000" w14:paraId="00000021">
      <w:pPr>
        <w:numPr>
          <w:ilvl w:val="0"/>
          <w:numId w:val="1"/>
        </w:numPr>
        <w:spacing w:after="0" w:afterAutospacing="0" w:before="0" w:beforeAutospacing="0" w:lineRule="auto"/>
        <w:ind w:left="720" w:hanging="360"/>
        <w:jc w:val="left"/>
      </w:pPr>
      <w:r w:rsidDel="00000000" w:rsidR="00000000" w:rsidRPr="00000000">
        <w:rPr>
          <w:rtl w:val="0"/>
        </w:rPr>
        <w:t xml:space="preserve">2 = Moderate</w:t>
      </w:r>
    </w:p>
    <w:p w:rsidR="00000000" w:rsidDel="00000000" w:rsidP="00000000" w:rsidRDefault="00000000" w:rsidRPr="00000000" w14:paraId="00000022">
      <w:pPr>
        <w:numPr>
          <w:ilvl w:val="0"/>
          <w:numId w:val="1"/>
        </w:numPr>
        <w:spacing w:after="240" w:before="0" w:beforeAutospacing="0" w:lineRule="auto"/>
        <w:ind w:left="720" w:hanging="360"/>
        <w:jc w:val="left"/>
      </w:pPr>
      <w:r w:rsidDel="00000000" w:rsidR="00000000" w:rsidRPr="00000000">
        <w:rPr>
          <w:rtl w:val="0"/>
        </w:rPr>
        <w:t xml:space="preserve">3 = High</w:t>
      </w:r>
    </w:p>
    <w:p w:rsidR="00000000" w:rsidDel="00000000" w:rsidP="00000000" w:rsidRDefault="00000000" w:rsidRPr="00000000" w14:paraId="00000023">
      <w:pPr>
        <w:spacing w:after="240" w:before="240" w:lineRule="auto"/>
        <w:rPr/>
      </w:pPr>
      <w:r w:rsidDel="00000000" w:rsidR="00000000" w:rsidRPr="00000000">
        <w:rPr>
          <w:rtl w:val="0"/>
        </w:rPr>
        <w:t xml:space="preserve">Polygon-based hazards (flood and landslide) were assigned using spatial intersection, while raster-based hazards were extracted through raster sampling. Distance-based hazards (fault and volcano) were computed using proximity analysis and classified using predefined thresholds.</w:t>
      </w:r>
    </w:p>
    <w:p w:rsidR="00000000" w:rsidDel="00000000" w:rsidP="00000000" w:rsidRDefault="00000000" w:rsidRPr="00000000" w14:paraId="00000024">
      <w:pPr>
        <w:spacing w:after="80" w:before="380" w:line="240" w:lineRule="auto"/>
        <w:ind w:left="280"/>
        <w:jc w:val="left"/>
        <w:rPr/>
      </w:pPr>
      <w:r w:rsidDel="00000000" w:rsidR="00000000" w:rsidRPr="00000000">
        <w:rPr>
          <w:sz w:val="22"/>
          <w:szCs w:val="22"/>
          <w:rtl w:val="0"/>
        </w:rPr>
        <w:t xml:space="preserve">2.4 </w:t>
      </w:r>
      <w:r w:rsidDel="00000000" w:rsidR="00000000" w:rsidRPr="00000000">
        <w:rPr>
          <w:b w:val="1"/>
          <w:bCs w:val="1"/>
          <w:sz w:val="22"/>
          <w:szCs w:val="22"/>
          <w:rtl w:val="0"/>
        </w:rPr>
        <w:t xml:space="preserve">AHP Weighting </w:t>
      </w:r>
      <w:r w:rsidDel="00000000" w:rsidR="00000000" w:rsidRPr="00000000">
        <w:rPr>
          <w:rtl w:val="0"/>
        </w:rPr>
      </w:r>
    </w:p>
    <w:p w:rsidR="00000000" w:rsidDel="00000000" w:rsidP="00000000" w:rsidRDefault="00000000" w:rsidRPr="00000000" w14:paraId="00000025">
      <w:pPr>
        <w:spacing w:after="240" w:before="240" w:lineRule="auto"/>
        <w:rPr/>
      </w:pPr>
      <w:r w:rsidDel="00000000" w:rsidR="00000000" w:rsidRPr="00000000">
        <w:rPr>
          <w:rtl w:val="0"/>
        </w:rPr>
        <w:t xml:space="preserve">Hazard criteria were integrated using the Analytic Hierarchy Process (AHP). All dangers were given the same weight based on expert opinion, yielding uniform weights of 0.125. As a result, the consistency ratio (CR) was 0, meaning that the pairwise comparison matrix was fully consistent. </w:t>
      </w:r>
    </w:p>
    <w:p w:rsidR="00000000" w:rsidDel="00000000" w:rsidP="00000000" w:rsidRDefault="00000000" w:rsidRPr="00000000" w14:paraId="00000026">
      <w:pPr>
        <w:spacing w:after="240" w:before="240" w:lineRule="auto"/>
        <w:rPr/>
      </w:pPr>
      <w:r w:rsidDel="00000000" w:rsidR="00000000" w:rsidRPr="00000000">
        <w:rPr>
          <w:rtl w:val="0"/>
        </w:rPr>
      </w:r>
    </w:p>
    <w:p w:rsidR="00000000" w:rsidDel="00000000" w:rsidP="00000000" w:rsidRDefault="00000000" w:rsidRPr="00000000" w14:paraId="00000027">
      <w:pPr>
        <w:spacing w:after="240" w:before="240" w:lineRule="auto"/>
        <w:rPr/>
      </w:pPr>
      <w:r w:rsidDel="00000000" w:rsidR="00000000" w:rsidRPr="00000000">
        <w:rPr>
          <w:rtl w:val="0"/>
        </w:rPr>
      </w:r>
    </w:p>
    <w:p w:rsidR="00000000" w:rsidDel="00000000" w:rsidP="00000000" w:rsidRDefault="00000000" w:rsidRPr="00000000" w14:paraId="00000028">
      <w:pPr>
        <w:spacing w:after="80" w:before="380" w:line="240" w:lineRule="auto"/>
        <w:ind w:left="280"/>
        <w:jc w:val="left"/>
        <w:rPr/>
      </w:pPr>
      <w:r w:rsidDel="00000000" w:rsidR="00000000" w:rsidRPr="00000000">
        <w:rPr>
          <w:sz w:val="22"/>
          <w:szCs w:val="22"/>
          <w:rtl w:val="0"/>
        </w:rPr>
        <w:t xml:space="preserve">2.5</w:t>
      </w:r>
      <w:r w:rsidDel="00000000" w:rsidR="00000000" w:rsidRPr="00000000">
        <w:rPr>
          <w:b w:val="1"/>
          <w:bCs w:val="1"/>
          <w:sz w:val="22"/>
          <w:szCs w:val="22"/>
          <w:rtl w:val="0"/>
        </w:rPr>
        <w:t xml:space="preserve"> Risk Computation</w:t>
      </w:r>
      <w:r w:rsidDel="00000000" w:rsidR="00000000" w:rsidRPr="00000000">
        <w:rPr>
          <w:rtl w:val="0"/>
        </w:rPr>
      </w:r>
    </w:p>
    <w:p w:rsidR="00000000" w:rsidDel="00000000" w:rsidP="00000000" w:rsidRDefault="00000000" w:rsidRPr="00000000" w14:paraId="00000029">
      <w:pPr>
        <w:spacing w:after="240" w:before="240" w:lineRule="auto"/>
        <w:rPr/>
      </w:pPr>
      <w:r w:rsidDel="00000000" w:rsidR="00000000" w:rsidRPr="00000000">
        <w:rPr>
          <w:rtl w:val="0"/>
        </w:rPr>
        <w:t xml:space="preserve">The overall risk score for each property was calculated using: </w:t>
      </w:r>
    </w:p>
    <w:p w:rsidR="00000000" w:rsidDel="00000000" w:rsidP="00000000" w:rsidRDefault="00000000" w:rsidRPr="00000000" w14:paraId="0000002A">
      <w:pPr>
        <w:spacing w:after="240" w:before="240" w:lineRule="auto"/>
        <w:rPr>
          <w:sz w:val="26"/>
          <w:szCs w:val="26"/>
        </w:rPr>
      </w:pPr>
      <w:r w:rsidDel="00000000" w:rsidR="00000000" w:rsidRPr="00000000">
        <w:rPr>
          <w:rtl w:val="0"/>
        </w:rPr>
        <w:tab/>
      </w:r>
      <m:oMath>
        <m:r>
          <w:rPr>
            <w:sz w:val="34"/>
            <w:szCs w:val="34"/>
          </w:rPr>
          <m:t xml:space="preserve">R = </m:t>
        </m:r>
        <m:f>
          <m:fPr>
            <m:ctrlPr>
              <w:rPr>
                <w:sz w:val="38"/>
                <w:szCs w:val="38"/>
              </w:rPr>
            </m:ctrlPr>
          </m:fPr>
          <m:num>
            <m:r>
              <w:rPr>
                <w:sz w:val="38"/>
                <w:szCs w:val="38"/>
              </w:rPr>
              <m:t xml:space="preserve">V+F+FL+LS+LIQ+GS+Tsu+EIL​ </m:t>
            </m:r>
          </m:num>
          <m:den>
            <m:r>
              <w:rPr>
                <w:sz w:val="38"/>
                <w:szCs w:val="38"/>
              </w:rPr>
              <m:t xml:space="preserve">8</m:t>
            </m:r>
          </m:den>
        </m:f>
      </m:oMath>
      <w:r w:rsidDel="00000000" w:rsidR="00000000" w:rsidRPr="00000000">
        <w:rPr>
          <w:sz w:val="26"/>
          <w:szCs w:val="26"/>
          <w:rtl w:val="0"/>
        </w:rPr>
        <w:tab/>
      </w:r>
    </w:p>
    <w:p w:rsidR="00000000" w:rsidDel="00000000" w:rsidP="00000000" w:rsidRDefault="00000000" w:rsidRPr="00000000" w14:paraId="0000002B">
      <w:pPr>
        <w:spacing w:after="240" w:before="240" w:lineRule="auto"/>
        <w:rPr/>
      </w:pPr>
      <w:r w:rsidDel="00000000" w:rsidR="00000000" w:rsidRPr="00000000">
        <w:rPr>
          <w:rtl w:val="0"/>
        </w:rPr>
        <w:t xml:space="preserve">where each variable represents a hazard score.</w:t>
      </w:r>
    </w:p>
    <w:p w:rsidR="00000000" w:rsidDel="00000000" w:rsidP="00000000" w:rsidRDefault="00000000" w:rsidRPr="00000000" w14:paraId="0000002C">
      <w:pPr>
        <w:spacing w:after="240" w:before="240" w:lineRule="auto"/>
        <w:rPr/>
      </w:pPr>
      <w:r w:rsidDel="00000000" w:rsidR="00000000" w:rsidRPr="00000000">
        <w:rPr>
          <w:rtl w:val="0"/>
        </w:rPr>
        <w:t xml:space="preserve">Risk levels were classified as:</w:t>
      </w:r>
    </w:p>
    <w:p w:rsidR="00000000" w:rsidDel="00000000" w:rsidP="00000000" w:rsidRDefault="00000000" w:rsidRPr="00000000" w14:paraId="0000002D">
      <w:pPr>
        <w:numPr>
          <w:ilvl w:val="0"/>
          <w:numId w:val="2"/>
        </w:numPr>
        <w:spacing w:after="0" w:afterAutospacing="0" w:before="240" w:lineRule="auto"/>
        <w:ind w:left="720" w:hanging="360"/>
        <w:jc w:val="left"/>
      </w:pPr>
      <w:r w:rsidDel="00000000" w:rsidR="00000000" w:rsidRPr="00000000">
        <w:rPr>
          <w:rtl w:val="0"/>
        </w:rPr>
        <w:t xml:space="preserve">Low: 1.00–1.67</w:t>
      </w:r>
    </w:p>
    <w:p w:rsidR="00000000" w:rsidDel="00000000" w:rsidP="00000000" w:rsidRDefault="00000000" w:rsidRPr="00000000" w14:paraId="0000002E">
      <w:pPr>
        <w:numPr>
          <w:ilvl w:val="0"/>
          <w:numId w:val="2"/>
        </w:numPr>
        <w:spacing w:after="0" w:afterAutospacing="0" w:before="0" w:beforeAutospacing="0" w:lineRule="auto"/>
        <w:ind w:left="720" w:hanging="360"/>
        <w:jc w:val="left"/>
      </w:pPr>
      <w:r w:rsidDel="00000000" w:rsidR="00000000" w:rsidRPr="00000000">
        <w:rPr>
          <w:rtl w:val="0"/>
        </w:rPr>
        <w:t xml:space="preserve">Moderate: 1.68–2.33</w:t>
      </w:r>
    </w:p>
    <w:p w:rsidR="00000000" w:rsidDel="00000000" w:rsidP="00000000" w:rsidRDefault="00000000" w:rsidRPr="00000000" w14:paraId="0000002F">
      <w:pPr>
        <w:numPr>
          <w:ilvl w:val="0"/>
          <w:numId w:val="2"/>
        </w:numPr>
        <w:spacing w:after="240" w:before="0" w:beforeAutospacing="0" w:lineRule="auto"/>
        <w:ind w:left="720" w:hanging="360"/>
        <w:jc w:val="left"/>
      </w:pPr>
      <w:r w:rsidDel="00000000" w:rsidR="00000000" w:rsidRPr="00000000">
        <w:rPr>
          <w:rtl w:val="0"/>
        </w:rPr>
        <w:t xml:space="preserve">High: 2.34–3.00</w:t>
      </w:r>
    </w:p>
    <w:p w:rsidR="00000000" w:rsidDel="00000000" w:rsidP="00000000" w:rsidRDefault="00000000" w:rsidRPr="00000000" w14:paraId="00000030">
      <w:pPr>
        <w:spacing w:after="80" w:before="380" w:line="240" w:lineRule="auto"/>
        <w:ind w:left="280"/>
        <w:jc w:val="left"/>
        <w:rPr>
          <w:b w:val="1"/>
          <w:bCs w:val="1"/>
          <w:sz w:val="22"/>
          <w:szCs w:val="22"/>
        </w:rPr>
      </w:pPr>
      <w:r w:rsidDel="00000000" w:rsidR="00000000" w:rsidRPr="00000000">
        <w:rPr>
          <w:sz w:val="22"/>
          <w:szCs w:val="22"/>
          <w:rtl w:val="0"/>
        </w:rPr>
        <w:t xml:space="preserve">2.6 </w:t>
      </w:r>
      <w:r w:rsidDel="00000000" w:rsidR="00000000" w:rsidRPr="00000000">
        <w:rPr>
          <w:b w:val="1"/>
          <w:bCs w:val="1"/>
          <w:sz w:val="22"/>
          <w:szCs w:val="22"/>
          <w:rtl w:val="0"/>
        </w:rPr>
        <w:t xml:space="preserve">System Implementation</w:t>
      </w:r>
    </w:p>
    <w:p w:rsidR="00000000" w:rsidDel="00000000" w:rsidP="00000000" w:rsidRDefault="00000000" w:rsidRPr="00000000" w14:paraId="00000031">
      <w:pPr>
        <w:spacing w:after="240" w:before="240" w:lineRule="auto"/>
        <w:rPr/>
      </w:pPr>
      <w:r w:rsidDel="00000000" w:rsidR="00000000" w:rsidRPr="00000000">
        <w:rPr>
          <w:rtl w:val="0"/>
        </w:rPr>
        <w:t xml:space="preserve">A QGIS ModelBuilder workflow was developed to automate hazard extraction and scoring. A prototype web-based application using Python (Flask) and Leaflet was also implemented to allow users to input property locations and visualize hazard risk interactively.</w:t>
      </w:r>
    </w:p>
    <w:p w:rsidR="00000000" w:rsidDel="00000000" w:rsidP="00000000" w:rsidRDefault="00000000" w:rsidRPr="00000000" w14:paraId="00000032">
      <w:pPr>
        <w:spacing w:after="80" w:before="380" w:line="240" w:lineRule="auto"/>
        <w:ind w:left="280"/>
        <w:jc w:val="left"/>
        <w:rPr>
          <w:b w:val="1"/>
          <w:bCs w:val="1"/>
          <w:sz w:val="22"/>
          <w:szCs w:val="22"/>
        </w:rPr>
      </w:pPr>
      <w:r w:rsidDel="00000000" w:rsidR="00000000" w:rsidRPr="00000000">
        <w:rPr>
          <w:sz w:val="22"/>
          <w:szCs w:val="22"/>
          <w:rtl w:val="0"/>
        </w:rPr>
        <w:t xml:space="preserve">3</w:t>
      </w:r>
      <w:r w:rsidDel="00000000" w:rsidR="00000000" w:rsidRPr="00000000">
        <w:rPr>
          <w:b w:val="1"/>
          <w:bCs w:val="1"/>
          <w:sz w:val="22"/>
          <w:szCs w:val="22"/>
          <w:rtl w:val="0"/>
        </w:rPr>
        <w:t xml:space="preserve"> Results and Analysis</w:t>
      </w:r>
    </w:p>
    <w:p w:rsidR="00000000" w:rsidDel="00000000" w:rsidP="00000000" w:rsidRDefault="00000000" w:rsidRPr="00000000" w14:paraId="00000033">
      <w:pPr>
        <w:spacing w:after="80" w:before="380" w:line="240" w:lineRule="auto"/>
        <w:ind w:left="280"/>
        <w:jc w:val="left"/>
        <w:rPr>
          <w:b w:val="1"/>
          <w:bCs w:val="1"/>
          <w:sz w:val="22"/>
          <w:szCs w:val="22"/>
        </w:rPr>
      </w:pPr>
      <w:r w:rsidDel="00000000" w:rsidR="00000000" w:rsidRPr="00000000">
        <w:rPr>
          <w:sz w:val="22"/>
          <w:szCs w:val="22"/>
          <w:rtl w:val="0"/>
        </w:rPr>
        <w:t xml:space="preserve">3.1</w:t>
      </w:r>
      <w:r w:rsidDel="00000000" w:rsidR="00000000" w:rsidRPr="00000000">
        <w:rPr>
          <w:b w:val="1"/>
          <w:bCs w:val="1"/>
          <w:sz w:val="22"/>
          <w:szCs w:val="22"/>
          <w:rtl w:val="0"/>
        </w:rPr>
        <w:t xml:space="preserve"> Hazard Extraction Results </w:t>
      </w:r>
    </w:p>
    <w:p w:rsidR="00000000" w:rsidDel="00000000" w:rsidP="00000000" w:rsidRDefault="00000000" w:rsidRPr="00000000" w14:paraId="00000034">
      <w:pPr>
        <w:spacing w:after="240" w:before="240" w:lineRule="auto"/>
        <w:rPr/>
      </w:pPr>
      <w:r w:rsidDel="00000000" w:rsidR="00000000" w:rsidRPr="00000000">
        <w:rPr>
          <w:rtl w:val="0"/>
        </w:rPr>
        <w:t xml:space="preserve">Hazard values were successfully extracted for all properties using the integrated GIS workflow. Each property was assigned scores across all eight hazard criteria. </w:t>
      </w:r>
    </w:p>
    <w:p w:rsidR="00000000" w:rsidDel="00000000" w:rsidP="00000000" w:rsidRDefault="00000000" w:rsidRPr="00000000" w14:paraId="00000035">
      <w:pPr>
        <w:spacing w:after="240" w:before="240" w:lineRule="auto"/>
        <w:rPr/>
      </w:pPr>
      <w:r w:rsidDel="00000000" w:rsidR="00000000" w:rsidRPr="00000000">
        <w:rPr>
          <w:rtl w:val="0"/>
        </w:rPr>
      </w:r>
    </w:p>
    <w:tbl>
      <w:tblPr>
        <w:tblStyle w:val="Table1"/>
        <w:tblW w:w="50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0"/>
        <w:gridCol w:w="420"/>
        <w:gridCol w:w="420"/>
        <w:gridCol w:w="420"/>
        <w:gridCol w:w="420"/>
        <w:gridCol w:w="420"/>
        <w:gridCol w:w="420"/>
        <w:gridCol w:w="510"/>
        <w:gridCol w:w="285"/>
        <w:gridCol w:w="525"/>
        <w:gridCol w:w="765"/>
        <w:tblGridChange w:id="0">
          <w:tblGrid>
            <w:gridCol w:w="420"/>
            <w:gridCol w:w="420"/>
            <w:gridCol w:w="420"/>
            <w:gridCol w:w="420"/>
            <w:gridCol w:w="420"/>
            <w:gridCol w:w="420"/>
            <w:gridCol w:w="420"/>
            <w:gridCol w:w="510"/>
            <w:gridCol w:w="285"/>
            <w:gridCol w:w="525"/>
            <w:gridCol w:w="765"/>
          </w:tblGrid>
        </w:tblGridChange>
      </w:tblGrid>
      <w:tr>
        <w:trPr>
          <w:cantSplit w:val="0"/>
          <w:tblHeader w:val="0"/>
        </w:trPr>
        <w:tc>
          <w:tcPr>
            <w:tcBorders>
              <w:top w:color="c6c6c6" w:space="0" w:sz="6" w:val="single"/>
              <w:left w:color="c6c6c6" w:space="0" w:sz="6" w:val="single"/>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jc w:val="left"/>
              <w:rPr>
                <w:sz w:val="12"/>
                <w:szCs w:val="12"/>
              </w:rPr>
            </w:pPr>
            <w:r w:rsidDel="00000000" w:rsidR="00000000" w:rsidRPr="00000000">
              <w:rPr>
                <w:sz w:val="12"/>
                <w:szCs w:val="12"/>
                <w:rtl w:val="0"/>
              </w:rPr>
              <w:t xml:space="preserve">Property</w:t>
            </w:r>
          </w:p>
        </w:tc>
        <w:tc>
          <w:tcPr>
            <w:tcBorders>
              <w:top w:color="c6c6c6" w:space="0" w:sz="6" w:val="single"/>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jc w:val="left"/>
              <w:rPr>
                <w:sz w:val="12"/>
                <w:szCs w:val="12"/>
              </w:rPr>
            </w:pPr>
            <w:r w:rsidDel="00000000" w:rsidR="00000000" w:rsidRPr="00000000">
              <w:rPr>
                <w:sz w:val="12"/>
                <w:szCs w:val="12"/>
                <w:rtl w:val="0"/>
              </w:rPr>
              <w:t xml:space="preserve">Volc</w:t>
            </w:r>
          </w:p>
        </w:tc>
        <w:tc>
          <w:tcPr>
            <w:tcBorders>
              <w:top w:color="c6c6c6" w:space="0" w:sz="6" w:val="single"/>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jc w:val="left"/>
              <w:rPr>
                <w:sz w:val="12"/>
                <w:szCs w:val="12"/>
              </w:rPr>
            </w:pPr>
            <w:r w:rsidDel="00000000" w:rsidR="00000000" w:rsidRPr="00000000">
              <w:rPr>
                <w:sz w:val="12"/>
                <w:szCs w:val="12"/>
                <w:rtl w:val="0"/>
              </w:rPr>
              <w:t xml:space="preserve">Fault</w:t>
            </w:r>
          </w:p>
        </w:tc>
        <w:tc>
          <w:tcPr>
            <w:tcBorders>
              <w:top w:color="c6c6c6" w:space="0" w:sz="6" w:val="single"/>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jc w:val="left"/>
              <w:rPr>
                <w:sz w:val="12"/>
                <w:szCs w:val="12"/>
              </w:rPr>
            </w:pPr>
            <w:r w:rsidDel="00000000" w:rsidR="00000000" w:rsidRPr="00000000">
              <w:rPr>
                <w:sz w:val="12"/>
                <w:szCs w:val="12"/>
                <w:rtl w:val="0"/>
              </w:rPr>
              <w:t xml:space="preserve">Flood</w:t>
            </w:r>
          </w:p>
        </w:tc>
        <w:tc>
          <w:tcPr>
            <w:tcBorders>
              <w:top w:color="c6c6c6" w:space="0" w:sz="6" w:val="single"/>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jc w:val="left"/>
              <w:rPr>
                <w:sz w:val="12"/>
                <w:szCs w:val="12"/>
              </w:rPr>
            </w:pPr>
            <w:r w:rsidDel="00000000" w:rsidR="00000000" w:rsidRPr="00000000">
              <w:rPr>
                <w:sz w:val="12"/>
                <w:szCs w:val="12"/>
                <w:rtl w:val="0"/>
              </w:rPr>
              <w:t xml:space="preserve">LS</w:t>
            </w:r>
          </w:p>
        </w:tc>
        <w:tc>
          <w:tcPr>
            <w:tcBorders>
              <w:top w:color="c6c6c6" w:space="0" w:sz="6" w:val="single"/>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jc w:val="left"/>
              <w:rPr>
                <w:sz w:val="12"/>
                <w:szCs w:val="12"/>
              </w:rPr>
            </w:pPr>
            <w:r w:rsidDel="00000000" w:rsidR="00000000" w:rsidRPr="00000000">
              <w:rPr>
                <w:sz w:val="12"/>
                <w:szCs w:val="12"/>
                <w:rtl w:val="0"/>
              </w:rPr>
              <w:t xml:space="preserve">Liq</w:t>
            </w:r>
          </w:p>
        </w:tc>
        <w:tc>
          <w:tcPr>
            <w:tcBorders>
              <w:top w:color="c6c6c6" w:space="0" w:sz="6" w:val="single"/>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jc w:val="left"/>
              <w:rPr>
                <w:sz w:val="12"/>
                <w:szCs w:val="12"/>
              </w:rPr>
            </w:pPr>
            <w:r w:rsidDel="00000000" w:rsidR="00000000" w:rsidRPr="00000000">
              <w:rPr>
                <w:sz w:val="12"/>
                <w:szCs w:val="12"/>
                <w:rtl w:val="0"/>
              </w:rPr>
              <w:t xml:space="preserve">GS</w:t>
            </w:r>
          </w:p>
        </w:tc>
        <w:tc>
          <w:tcPr>
            <w:tcBorders>
              <w:top w:color="c6c6c6" w:space="0" w:sz="6" w:val="single"/>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jc w:val="left"/>
              <w:rPr>
                <w:sz w:val="12"/>
                <w:szCs w:val="12"/>
              </w:rPr>
            </w:pPr>
            <w:r w:rsidDel="00000000" w:rsidR="00000000" w:rsidRPr="00000000">
              <w:rPr>
                <w:sz w:val="12"/>
                <w:szCs w:val="12"/>
                <w:rtl w:val="0"/>
              </w:rPr>
              <w:t xml:space="preserve">Tsunami</w:t>
            </w:r>
          </w:p>
        </w:tc>
        <w:tc>
          <w:tcPr>
            <w:tcBorders>
              <w:top w:color="c6c6c6" w:space="0" w:sz="6" w:val="single"/>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jc w:val="left"/>
              <w:rPr>
                <w:sz w:val="12"/>
                <w:szCs w:val="12"/>
              </w:rPr>
            </w:pPr>
            <w:r w:rsidDel="00000000" w:rsidR="00000000" w:rsidRPr="00000000">
              <w:rPr>
                <w:sz w:val="12"/>
                <w:szCs w:val="12"/>
                <w:rtl w:val="0"/>
              </w:rPr>
              <w:t xml:space="preserve">EIL</w:t>
            </w:r>
          </w:p>
        </w:tc>
        <w:tc>
          <w:tcPr>
            <w:tcBorders>
              <w:top w:color="c6c6c6" w:space="0" w:sz="6" w:val="single"/>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jc w:val="left"/>
              <w:rPr>
                <w:sz w:val="12"/>
                <w:szCs w:val="12"/>
              </w:rPr>
            </w:pPr>
            <w:r w:rsidDel="00000000" w:rsidR="00000000" w:rsidRPr="00000000">
              <w:rPr>
                <w:sz w:val="12"/>
                <w:szCs w:val="12"/>
                <w:rtl w:val="0"/>
              </w:rPr>
              <w:t xml:space="preserve">AHP Score</w:t>
            </w:r>
          </w:p>
        </w:tc>
        <w:tc>
          <w:tcPr>
            <w:tcBorders>
              <w:top w:color="c6c6c6" w:space="0" w:sz="6" w:val="single"/>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jc w:val="left"/>
              <w:rPr>
                <w:sz w:val="12"/>
                <w:szCs w:val="12"/>
              </w:rPr>
            </w:pPr>
            <w:r w:rsidDel="00000000" w:rsidR="00000000" w:rsidRPr="00000000">
              <w:rPr>
                <w:sz w:val="12"/>
                <w:szCs w:val="12"/>
                <w:rtl w:val="0"/>
              </w:rPr>
              <w:t xml:space="preserve">Final Category</w:t>
            </w:r>
          </w:p>
        </w:tc>
      </w:tr>
      <w:tr>
        <w:trPr>
          <w:cantSplit w:val="0"/>
          <w:tblHeader w:val="0"/>
        </w:trPr>
        <w:tc>
          <w:tcPr>
            <w:tcBorders>
              <w:top w:color="000000" w:space="0" w:sz="0" w:val="nil"/>
              <w:left w:color="c6c6c6" w:space="0" w:sz="6" w:val="single"/>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jc w:val="left"/>
              <w:rPr>
                <w:sz w:val="12"/>
                <w:szCs w:val="12"/>
              </w:rPr>
            </w:pPr>
            <w:r w:rsidDel="00000000" w:rsidR="00000000" w:rsidRPr="00000000">
              <w:rPr>
                <w:sz w:val="12"/>
                <w:szCs w:val="12"/>
                <w:rtl w:val="0"/>
              </w:rPr>
              <w:t xml:space="preserve">1</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jc w:val="left"/>
              <w:rPr>
                <w:sz w:val="12"/>
                <w:szCs w:val="12"/>
              </w:rPr>
            </w:pPr>
            <w:r w:rsidDel="00000000" w:rsidR="00000000" w:rsidRPr="00000000">
              <w:rPr>
                <w:sz w:val="12"/>
                <w:szCs w:val="12"/>
                <w:rtl w:val="0"/>
              </w:rPr>
              <w:t xml:space="preserve">2</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jc w:val="left"/>
              <w:rPr>
                <w:sz w:val="12"/>
                <w:szCs w:val="12"/>
              </w:rPr>
            </w:pPr>
            <w:r w:rsidDel="00000000" w:rsidR="00000000" w:rsidRPr="00000000">
              <w:rPr>
                <w:sz w:val="12"/>
                <w:szCs w:val="12"/>
                <w:rtl w:val="0"/>
              </w:rPr>
              <w:t xml:space="preserve">2</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jc w:val="left"/>
              <w:rPr>
                <w:sz w:val="12"/>
                <w:szCs w:val="12"/>
              </w:rPr>
            </w:pPr>
            <w:r w:rsidDel="00000000" w:rsidR="00000000" w:rsidRPr="00000000">
              <w:rPr>
                <w:sz w:val="12"/>
                <w:szCs w:val="12"/>
                <w:rtl w:val="0"/>
              </w:rPr>
              <w:t xml:space="preserve">1</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jc w:val="left"/>
              <w:rPr>
                <w:sz w:val="12"/>
                <w:szCs w:val="12"/>
              </w:rPr>
            </w:pPr>
            <w:r w:rsidDel="00000000" w:rsidR="00000000" w:rsidRPr="00000000">
              <w:rPr>
                <w:sz w:val="12"/>
                <w:szCs w:val="12"/>
                <w:rtl w:val="0"/>
              </w:rPr>
              <w:t xml:space="preserve">1</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jc w:val="left"/>
              <w:rPr>
                <w:sz w:val="12"/>
                <w:szCs w:val="12"/>
              </w:rPr>
            </w:pPr>
            <w:r w:rsidDel="00000000" w:rsidR="00000000" w:rsidRPr="00000000">
              <w:rPr>
                <w:sz w:val="12"/>
                <w:szCs w:val="12"/>
                <w:rtl w:val="0"/>
              </w:rPr>
              <w:t xml:space="preserve">1</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jc w:val="left"/>
              <w:rPr>
                <w:sz w:val="12"/>
                <w:szCs w:val="12"/>
              </w:rPr>
            </w:pPr>
            <w:r w:rsidDel="00000000" w:rsidR="00000000" w:rsidRPr="00000000">
              <w:rPr>
                <w:sz w:val="12"/>
                <w:szCs w:val="12"/>
                <w:rtl w:val="0"/>
              </w:rPr>
              <w:t xml:space="preserve">3</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jc w:val="left"/>
              <w:rPr>
                <w:sz w:val="12"/>
                <w:szCs w:val="12"/>
              </w:rPr>
            </w:pPr>
            <w:r w:rsidDel="00000000" w:rsidR="00000000" w:rsidRPr="00000000">
              <w:rPr>
                <w:sz w:val="12"/>
                <w:szCs w:val="12"/>
                <w:rtl w:val="0"/>
              </w:rPr>
              <w:t xml:space="preserve">1</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jc w:val="left"/>
              <w:rPr>
                <w:sz w:val="12"/>
                <w:szCs w:val="12"/>
              </w:rPr>
            </w:pPr>
            <w:r w:rsidDel="00000000" w:rsidR="00000000" w:rsidRPr="00000000">
              <w:rPr>
                <w:sz w:val="12"/>
                <w:szCs w:val="12"/>
                <w:rtl w:val="0"/>
              </w:rPr>
              <w:t xml:space="preserve">1</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jc w:val="left"/>
              <w:rPr>
                <w:sz w:val="12"/>
                <w:szCs w:val="12"/>
              </w:rPr>
            </w:pPr>
            <w:r w:rsidDel="00000000" w:rsidR="00000000" w:rsidRPr="00000000">
              <w:rPr>
                <w:sz w:val="12"/>
                <w:szCs w:val="12"/>
                <w:rtl w:val="0"/>
              </w:rPr>
              <w:t xml:space="preserve">1.5</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jc w:val="left"/>
              <w:rPr>
                <w:sz w:val="12"/>
                <w:szCs w:val="12"/>
              </w:rPr>
            </w:pPr>
            <w:r w:rsidDel="00000000" w:rsidR="00000000" w:rsidRPr="00000000">
              <w:rPr>
                <w:sz w:val="12"/>
                <w:szCs w:val="12"/>
                <w:rtl w:val="0"/>
              </w:rPr>
              <w:t xml:space="preserve">Moderate</w:t>
            </w:r>
          </w:p>
        </w:tc>
      </w:tr>
      <w:tr>
        <w:trPr>
          <w:cantSplit w:val="0"/>
          <w:tblHeader w:val="0"/>
        </w:trPr>
        <w:tc>
          <w:tcPr>
            <w:tcBorders>
              <w:top w:color="000000" w:space="0" w:sz="0" w:val="nil"/>
              <w:left w:color="c6c6c6" w:space="0" w:sz="6" w:val="single"/>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jc w:val="left"/>
              <w:rPr>
                <w:sz w:val="12"/>
                <w:szCs w:val="12"/>
              </w:rPr>
            </w:pPr>
            <w:r w:rsidDel="00000000" w:rsidR="00000000" w:rsidRPr="00000000">
              <w:rPr>
                <w:sz w:val="12"/>
                <w:szCs w:val="12"/>
                <w:rtl w:val="0"/>
              </w:rPr>
              <w:t xml:space="preserve">2</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jc w:val="left"/>
              <w:rPr>
                <w:sz w:val="12"/>
                <w:szCs w:val="12"/>
              </w:rPr>
            </w:pPr>
            <w:r w:rsidDel="00000000" w:rsidR="00000000" w:rsidRPr="00000000">
              <w:rPr>
                <w:sz w:val="12"/>
                <w:szCs w:val="12"/>
                <w:rtl w:val="0"/>
              </w:rPr>
              <w:t xml:space="preserve">2</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jc w:val="left"/>
              <w:rPr>
                <w:sz w:val="12"/>
                <w:szCs w:val="12"/>
              </w:rPr>
            </w:pPr>
            <w:r w:rsidDel="00000000" w:rsidR="00000000" w:rsidRPr="00000000">
              <w:rPr>
                <w:sz w:val="12"/>
                <w:szCs w:val="12"/>
                <w:rtl w:val="0"/>
              </w:rPr>
              <w:t xml:space="preserve">3</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jc w:val="left"/>
              <w:rPr>
                <w:sz w:val="12"/>
                <w:szCs w:val="12"/>
              </w:rPr>
            </w:pPr>
            <w:r w:rsidDel="00000000" w:rsidR="00000000" w:rsidRPr="00000000">
              <w:rPr>
                <w:sz w:val="12"/>
                <w:szCs w:val="12"/>
                <w:rtl w:val="0"/>
              </w:rPr>
              <w:t xml:space="preserve">1</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jc w:val="left"/>
              <w:rPr>
                <w:sz w:val="12"/>
                <w:szCs w:val="12"/>
              </w:rPr>
            </w:pPr>
            <w:r w:rsidDel="00000000" w:rsidR="00000000" w:rsidRPr="00000000">
              <w:rPr>
                <w:sz w:val="12"/>
                <w:szCs w:val="12"/>
                <w:rtl w:val="0"/>
              </w:rPr>
              <w:t xml:space="preserve">1</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jc w:val="left"/>
              <w:rPr>
                <w:sz w:val="12"/>
                <w:szCs w:val="12"/>
              </w:rPr>
            </w:pPr>
            <w:r w:rsidDel="00000000" w:rsidR="00000000" w:rsidRPr="00000000">
              <w:rPr>
                <w:sz w:val="12"/>
                <w:szCs w:val="12"/>
                <w:rtl w:val="0"/>
              </w:rPr>
              <w:t xml:space="preserve">1</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jc w:val="left"/>
              <w:rPr>
                <w:sz w:val="12"/>
                <w:szCs w:val="12"/>
              </w:rPr>
            </w:pPr>
            <w:r w:rsidDel="00000000" w:rsidR="00000000" w:rsidRPr="00000000">
              <w:rPr>
                <w:sz w:val="12"/>
                <w:szCs w:val="12"/>
                <w:rtl w:val="0"/>
              </w:rPr>
              <w:t xml:space="preserve">3</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jc w:val="left"/>
              <w:rPr>
                <w:sz w:val="12"/>
                <w:szCs w:val="12"/>
              </w:rPr>
            </w:pPr>
            <w:r w:rsidDel="00000000" w:rsidR="00000000" w:rsidRPr="00000000">
              <w:rPr>
                <w:sz w:val="12"/>
                <w:szCs w:val="12"/>
                <w:rtl w:val="0"/>
              </w:rPr>
              <w:t xml:space="preserve">1</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jc w:val="left"/>
              <w:rPr>
                <w:sz w:val="12"/>
                <w:szCs w:val="12"/>
              </w:rPr>
            </w:pPr>
            <w:r w:rsidDel="00000000" w:rsidR="00000000" w:rsidRPr="00000000">
              <w:rPr>
                <w:sz w:val="12"/>
                <w:szCs w:val="12"/>
                <w:rtl w:val="0"/>
              </w:rPr>
              <w:t xml:space="preserve">2</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jc w:val="left"/>
              <w:rPr>
                <w:sz w:val="12"/>
                <w:szCs w:val="12"/>
              </w:rPr>
            </w:pPr>
            <w:r w:rsidDel="00000000" w:rsidR="00000000" w:rsidRPr="00000000">
              <w:rPr>
                <w:sz w:val="12"/>
                <w:szCs w:val="12"/>
                <w:rtl w:val="0"/>
              </w:rPr>
              <w:t xml:space="preserve">1.75</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jc w:val="left"/>
              <w:rPr>
                <w:sz w:val="12"/>
                <w:szCs w:val="12"/>
              </w:rPr>
            </w:pPr>
            <w:r w:rsidDel="00000000" w:rsidR="00000000" w:rsidRPr="00000000">
              <w:rPr>
                <w:sz w:val="12"/>
                <w:szCs w:val="12"/>
                <w:rtl w:val="0"/>
              </w:rPr>
              <w:t xml:space="preserve">Moderate</w:t>
            </w:r>
          </w:p>
        </w:tc>
      </w:tr>
      <w:tr>
        <w:trPr>
          <w:cantSplit w:val="0"/>
          <w:tblHeader w:val="0"/>
        </w:trPr>
        <w:tc>
          <w:tcPr>
            <w:tcBorders>
              <w:top w:color="000000" w:space="0" w:sz="0" w:val="nil"/>
              <w:left w:color="c6c6c6" w:space="0" w:sz="6" w:val="single"/>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jc w:val="left"/>
              <w:rPr>
                <w:sz w:val="12"/>
                <w:szCs w:val="12"/>
              </w:rPr>
            </w:pPr>
            <w:r w:rsidDel="00000000" w:rsidR="00000000" w:rsidRPr="00000000">
              <w:rPr>
                <w:sz w:val="12"/>
                <w:szCs w:val="12"/>
                <w:rtl w:val="0"/>
              </w:rPr>
              <w:t xml:space="preserve">3</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jc w:val="left"/>
              <w:rPr>
                <w:sz w:val="12"/>
                <w:szCs w:val="12"/>
              </w:rPr>
            </w:pPr>
            <w:r w:rsidDel="00000000" w:rsidR="00000000" w:rsidRPr="00000000">
              <w:rPr>
                <w:sz w:val="12"/>
                <w:szCs w:val="12"/>
                <w:rtl w:val="0"/>
              </w:rPr>
              <w:t xml:space="preserve">2</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jc w:val="left"/>
              <w:rPr>
                <w:sz w:val="12"/>
                <w:szCs w:val="12"/>
              </w:rPr>
            </w:pPr>
            <w:r w:rsidDel="00000000" w:rsidR="00000000" w:rsidRPr="00000000">
              <w:rPr>
                <w:sz w:val="12"/>
                <w:szCs w:val="12"/>
                <w:rtl w:val="0"/>
              </w:rPr>
              <w:t xml:space="preserve">2</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jc w:val="left"/>
              <w:rPr>
                <w:sz w:val="12"/>
                <w:szCs w:val="12"/>
              </w:rPr>
            </w:pPr>
            <w:r w:rsidDel="00000000" w:rsidR="00000000" w:rsidRPr="00000000">
              <w:rPr>
                <w:sz w:val="12"/>
                <w:szCs w:val="12"/>
                <w:rtl w:val="0"/>
              </w:rPr>
              <w:t xml:space="preserve">1</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jc w:val="left"/>
              <w:rPr>
                <w:sz w:val="12"/>
                <w:szCs w:val="12"/>
              </w:rPr>
            </w:pPr>
            <w:r w:rsidDel="00000000" w:rsidR="00000000" w:rsidRPr="00000000">
              <w:rPr>
                <w:sz w:val="12"/>
                <w:szCs w:val="12"/>
                <w:rtl w:val="0"/>
              </w:rPr>
              <w:t xml:space="preserve">1</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jc w:val="left"/>
              <w:rPr>
                <w:sz w:val="12"/>
                <w:szCs w:val="12"/>
              </w:rPr>
            </w:pPr>
            <w:r w:rsidDel="00000000" w:rsidR="00000000" w:rsidRPr="00000000">
              <w:rPr>
                <w:sz w:val="12"/>
                <w:szCs w:val="12"/>
                <w:rtl w:val="0"/>
              </w:rPr>
              <w:t xml:space="preserve">2</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jc w:val="left"/>
              <w:rPr>
                <w:sz w:val="12"/>
                <w:szCs w:val="12"/>
              </w:rPr>
            </w:pPr>
            <w:r w:rsidDel="00000000" w:rsidR="00000000" w:rsidRPr="00000000">
              <w:rPr>
                <w:sz w:val="12"/>
                <w:szCs w:val="12"/>
                <w:rtl w:val="0"/>
              </w:rPr>
              <w:t xml:space="preserve">3</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jc w:val="left"/>
              <w:rPr>
                <w:sz w:val="12"/>
                <w:szCs w:val="12"/>
              </w:rPr>
            </w:pPr>
            <w:r w:rsidDel="00000000" w:rsidR="00000000" w:rsidRPr="00000000">
              <w:rPr>
                <w:sz w:val="12"/>
                <w:szCs w:val="12"/>
                <w:rtl w:val="0"/>
              </w:rPr>
              <w:t xml:space="preserve">1</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jc w:val="left"/>
              <w:rPr>
                <w:sz w:val="12"/>
                <w:szCs w:val="12"/>
              </w:rPr>
            </w:pPr>
            <w:r w:rsidDel="00000000" w:rsidR="00000000" w:rsidRPr="00000000">
              <w:rPr>
                <w:sz w:val="12"/>
                <w:szCs w:val="12"/>
                <w:rtl w:val="0"/>
              </w:rPr>
              <w:t xml:space="preserve">1</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jc w:val="left"/>
              <w:rPr>
                <w:sz w:val="12"/>
                <w:szCs w:val="12"/>
              </w:rPr>
            </w:pPr>
            <w:r w:rsidDel="00000000" w:rsidR="00000000" w:rsidRPr="00000000">
              <w:rPr>
                <w:sz w:val="12"/>
                <w:szCs w:val="12"/>
                <w:rtl w:val="0"/>
              </w:rPr>
              <w:t xml:space="preserve">1.625</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jc w:val="left"/>
              <w:rPr>
                <w:sz w:val="12"/>
                <w:szCs w:val="12"/>
              </w:rPr>
            </w:pPr>
            <w:r w:rsidDel="00000000" w:rsidR="00000000" w:rsidRPr="00000000">
              <w:rPr>
                <w:sz w:val="12"/>
                <w:szCs w:val="12"/>
                <w:rtl w:val="0"/>
              </w:rPr>
              <w:t xml:space="preserve">Moderate</w:t>
            </w:r>
          </w:p>
        </w:tc>
      </w:tr>
      <w:tr>
        <w:trPr>
          <w:cantSplit w:val="0"/>
          <w:tblHeader w:val="0"/>
        </w:trPr>
        <w:tc>
          <w:tcPr>
            <w:tcBorders>
              <w:top w:color="000000" w:space="0" w:sz="0" w:val="nil"/>
              <w:left w:color="c6c6c6" w:space="0" w:sz="6" w:val="single"/>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jc w:val="left"/>
              <w:rPr>
                <w:sz w:val="12"/>
                <w:szCs w:val="12"/>
              </w:rPr>
            </w:pPr>
            <w:r w:rsidDel="00000000" w:rsidR="00000000" w:rsidRPr="00000000">
              <w:rPr>
                <w:sz w:val="12"/>
                <w:szCs w:val="12"/>
                <w:rtl w:val="0"/>
              </w:rPr>
              <w:t xml:space="preserve">4</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jc w:val="left"/>
              <w:rPr>
                <w:sz w:val="12"/>
                <w:szCs w:val="12"/>
              </w:rPr>
            </w:pPr>
            <w:r w:rsidDel="00000000" w:rsidR="00000000" w:rsidRPr="00000000">
              <w:rPr>
                <w:sz w:val="12"/>
                <w:szCs w:val="12"/>
                <w:rtl w:val="0"/>
              </w:rPr>
              <w:t xml:space="preserve">2</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jc w:val="left"/>
              <w:rPr>
                <w:sz w:val="12"/>
                <w:szCs w:val="12"/>
              </w:rPr>
            </w:pPr>
            <w:r w:rsidDel="00000000" w:rsidR="00000000" w:rsidRPr="00000000">
              <w:rPr>
                <w:sz w:val="12"/>
                <w:szCs w:val="12"/>
                <w:rtl w:val="0"/>
              </w:rPr>
              <w:t xml:space="preserve">3</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jc w:val="left"/>
              <w:rPr>
                <w:sz w:val="12"/>
                <w:szCs w:val="12"/>
              </w:rPr>
            </w:pPr>
            <w:r w:rsidDel="00000000" w:rsidR="00000000" w:rsidRPr="00000000">
              <w:rPr>
                <w:sz w:val="12"/>
                <w:szCs w:val="12"/>
                <w:rtl w:val="0"/>
              </w:rPr>
              <w:t xml:space="preserve">1</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jc w:val="left"/>
              <w:rPr>
                <w:sz w:val="12"/>
                <w:szCs w:val="12"/>
              </w:rPr>
            </w:pPr>
            <w:r w:rsidDel="00000000" w:rsidR="00000000" w:rsidRPr="00000000">
              <w:rPr>
                <w:sz w:val="12"/>
                <w:szCs w:val="12"/>
                <w:rtl w:val="0"/>
              </w:rPr>
              <w:t xml:space="preserve">1</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jc w:val="left"/>
              <w:rPr>
                <w:sz w:val="12"/>
                <w:szCs w:val="12"/>
              </w:rPr>
            </w:pPr>
            <w:r w:rsidDel="00000000" w:rsidR="00000000" w:rsidRPr="00000000">
              <w:rPr>
                <w:sz w:val="12"/>
                <w:szCs w:val="12"/>
                <w:rtl w:val="0"/>
              </w:rPr>
              <w:t xml:space="preserve">1</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jc w:val="left"/>
              <w:rPr>
                <w:sz w:val="12"/>
                <w:szCs w:val="12"/>
              </w:rPr>
            </w:pPr>
            <w:r w:rsidDel="00000000" w:rsidR="00000000" w:rsidRPr="00000000">
              <w:rPr>
                <w:sz w:val="12"/>
                <w:szCs w:val="12"/>
                <w:rtl w:val="0"/>
              </w:rPr>
              <w:t xml:space="preserve">3</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jc w:val="left"/>
              <w:rPr>
                <w:sz w:val="12"/>
                <w:szCs w:val="12"/>
              </w:rPr>
            </w:pPr>
            <w:r w:rsidDel="00000000" w:rsidR="00000000" w:rsidRPr="00000000">
              <w:rPr>
                <w:sz w:val="12"/>
                <w:szCs w:val="12"/>
                <w:rtl w:val="0"/>
              </w:rPr>
              <w:t xml:space="preserve">1</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jc w:val="left"/>
              <w:rPr>
                <w:sz w:val="12"/>
                <w:szCs w:val="12"/>
              </w:rPr>
            </w:pPr>
            <w:r w:rsidDel="00000000" w:rsidR="00000000" w:rsidRPr="00000000">
              <w:rPr>
                <w:sz w:val="12"/>
                <w:szCs w:val="12"/>
                <w:rtl w:val="0"/>
              </w:rPr>
              <w:t xml:space="preserve">1</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jc w:val="left"/>
              <w:rPr>
                <w:sz w:val="12"/>
                <w:szCs w:val="12"/>
              </w:rPr>
            </w:pPr>
            <w:r w:rsidDel="00000000" w:rsidR="00000000" w:rsidRPr="00000000">
              <w:rPr>
                <w:sz w:val="12"/>
                <w:szCs w:val="12"/>
                <w:rtl w:val="0"/>
              </w:rPr>
              <w:t xml:space="preserve">1.625</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jc w:val="left"/>
              <w:rPr>
                <w:sz w:val="12"/>
                <w:szCs w:val="12"/>
              </w:rPr>
            </w:pPr>
            <w:r w:rsidDel="00000000" w:rsidR="00000000" w:rsidRPr="00000000">
              <w:rPr>
                <w:sz w:val="12"/>
                <w:szCs w:val="12"/>
                <w:rtl w:val="0"/>
              </w:rPr>
              <w:t xml:space="preserve">Moderate</w:t>
            </w:r>
          </w:p>
        </w:tc>
      </w:tr>
      <w:tr>
        <w:trPr>
          <w:cantSplit w:val="0"/>
          <w:tblHeader w:val="0"/>
        </w:trPr>
        <w:tc>
          <w:tcPr>
            <w:tcBorders>
              <w:top w:color="000000" w:space="0" w:sz="0" w:val="nil"/>
              <w:left w:color="c6c6c6" w:space="0" w:sz="6" w:val="single"/>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jc w:val="left"/>
              <w:rPr>
                <w:sz w:val="12"/>
                <w:szCs w:val="12"/>
              </w:rPr>
            </w:pPr>
            <w:r w:rsidDel="00000000" w:rsidR="00000000" w:rsidRPr="00000000">
              <w:rPr>
                <w:sz w:val="12"/>
                <w:szCs w:val="12"/>
                <w:rtl w:val="0"/>
              </w:rPr>
              <w:t xml:space="preserve">5</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jc w:val="left"/>
              <w:rPr>
                <w:sz w:val="12"/>
                <w:szCs w:val="12"/>
              </w:rPr>
            </w:pPr>
            <w:r w:rsidDel="00000000" w:rsidR="00000000" w:rsidRPr="00000000">
              <w:rPr>
                <w:sz w:val="12"/>
                <w:szCs w:val="12"/>
                <w:rtl w:val="0"/>
              </w:rPr>
              <w:t xml:space="preserve">2</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jc w:val="left"/>
              <w:rPr>
                <w:sz w:val="12"/>
                <w:szCs w:val="12"/>
              </w:rPr>
            </w:pPr>
            <w:r w:rsidDel="00000000" w:rsidR="00000000" w:rsidRPr="00000000">
              <w:rPr>
                <w:sz w:val="12"/>
                <w:szCs w:val="12"/>
                <w:rtl w:val="0"/>
              </w:rPr>
              <w:t xml:space="preserve">2</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jc w:val="left"/>
              <w:rPr>
                <w:sz w:val="12"/>
                <w:szCs w:val="12"/>
              </w:rPr>
            </w:pPr>
            <w:r w:rsidDel="00000000" w:rsidR="00000000" w:rsidRPr="00000000">
              <w:rPr>
                <w:sz w:val="12"/>
                <w:szCs w:val="12"/>
                <w:rtl w:val="0"/>
              </w:rPr>
              <w:t xml:space="preserve">1</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jc w:val="left"/>
              <w:rPr>
                <w:sz w:val="12"/>
                <w:szCs w:val="12"/>
              </w:rPr>
            </w:pPr>
            <w:r w:rsidDel="00000000" w:rsidR="00000000" w:rsidRPr="00000000">
              <w:rPr>
                <w:sz w:val="12"/>
                <w:szCs w:val="12"/>
                <w:rtl w:val="0"/>
              </w:rPr>
              <w:t xml:space="preserve">1</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jc w:val="left"/>
              <w:rPr>
                <w:sz w:val="12"/>
                <w:szCs w:val="12"/>
              </w:rPr>
            </w:pPr>
            <w:r w:rsidDel="00000000" w:rsidR="00000000" w:rsidRPr="00000000">
              <w:rPr>
                <w:sz w:val="12"/>
                <w:szCs w:val="12"/>
                <w:rtl w:val="0"/>
              </w:rPr>
              <w:t xml:space="preserve">1</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jc w:val="left"/>
              <w:rPr>
                <w:sz w:val="12"/>
                <w:szCs w:val="12"/>
              </w:rPr>
            </w:pPr>
            <w:r w:rsidDel="00000000" w:rsidR="00000000" w:rsidRPr="00000000">
              <w:rPr>
                <w:sz w:val="12"/>
                <w:szCs w:val="12"/>
                <w:rtl w:val="0"/>
              </w:rPr>
              <w:t xml:space="preserve">3</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jc w:val="left"/>
              <w:rPr>
                <w:sz w:val="12"/>
                <w:szCs w:val="12"/>
              </w:rPr>
            </w:pPr>
            <w:r w:rsidDel="00000000" w:rsidR="00000000" w:rsidRPr="00000000">
              <w:rPr>
                <w:sz w:val="12"/>
                <w:szCs w:val="12"/>
                <w:rtl w:val="0"/>
              </w:rPr>
              <w:t xml:space="preserve">1</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jc w:val="left"/>
              <w:rPr>
                <w:sz w:val="12"/>
                <w:szCs w:val="12"/>
              </w:rPr>
            </w:pPr>
            <w:r w:rsidDel="00000000" w:rsidR="00000000" w:rsidRPr="00000000">
              <w:rPr>
                <w:sz w:val="12"/>
                <w:szCs w:val="12"/>
                <w:rtl w:val="0"/>
              </w:rPr>
              <w:t xml:space="preserve">1</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jc w:val="left"/>
              <w:rPr>
                <w:sz w:val="12"/>
                <w:szCs w:val="12"/>
              </w:rPr>
            </w:pPr>
            <w:r w:rsidDel="00000000" w:rsidR="00000000" w:rsidRPr="00000000">
              <w:rPr>
                <w:sz w:val="12"/>
                <w:szCs w:val="12"/>
                <w:rtl w:val="0"/>
              </w:rPr>
              <w:t xml:space="preserve">1.5</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jc w:val="left"/>
              <w:rPr>
                <w:sz w:val="12"/>
                <w:szCs w:val="12"/>
              </w:rPr>
            </w:pPr>
            <w:r w:rsidDel="00000000" w:rsidR="00000000" w:rsidRPr="00000000">
              <w:rPr>
                <w:sz w:val="12"/>
                <w:szCs w:val="12"/>
                <w:rtl w:val="0"/>
              </w:rPr>
              <w:t xml:space="preserve">Moderate</w:t>
            </w:r>
          </w:p>
        </w:tc>
      </w:tr>
      <w:tr>
        <w:trPr>
          <w:cantSplit w:val="0"/>
          <w:tblHeader w:val="0"/>
        </w:trPr>
        <w:tc>
          <w:tcPr>
            <w:tcBorders>
              <w:top w:color="000000" w:space="0" w:sz="0" w:val="nil"/>
              <w:left w:color="c6c6c6" w:space="0" w:sz="6" w:val="single"/>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jc w:val="left"/>
              <w:rPr>
                <w:sz w:val="12"/>
                <w:szCs w:val="12"/>
              </w:rPr>
            </w:pPr>
            <w:r w:rsidDel="00000000" w:rsidR="00000000" w:rsidRPr="00000000">
              <w:rPr>
                <w:sz w:val="12"/>
                <w:szCs w:val="12"/>
                <w:rtl w:val="0"/>
              </w:rPr>
              <w:t xml:space="preserve">6</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jc w:val="left"/>
              <w:rPr>
                <w:sz w:val="12"/>
                <w:szCs w:val="12"/>
              </w:rPr>
            </w:pPr>
            <w:r w:rsidDel="00000000" w:rsidR="00000000" w:rsidRPr="00000000">
              <w:rPr>
                <w:sz w:val="12"/>
                <w:szCs w:val="12"/>
                <w:rtl w:val="0"/>
              </w:rPr>
              <w:t xml:space="preserve">2</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jc w:val="left"/>
              <w:rPr>
                <w:sz w:val="12"/>
                <w:szCs w:val="12"/>
              </w:rPr>
            </w:pPr>
            <w:r w:rsidDel="00000000" w:rsidR="00000000" w:rsidRPr="00000000">
              <w:rPr>
                <w:sz w:val="12"/>
                <w:szCs w:val="12"/>
                <w:rtl w:val="0"/>
              </w:rPr>
              <w:t xml:space="preserve">3</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jc w:val="left"/>
              <w:rPr>
                <w:sz w:val="12"/>
                <w:szCs w:val="12"/>
              </w:rPr>
            </w:pPr>
            <w:r w:rsidDel="00000000" w:rsidR="00000000" w:rsidRPr="00000000">
              <w:rPr>
                <w:sz w:val="12"/>
                <w:szCs w:val="12"/>
                <w:rtl w:val="0"/>
              </w:rPr>
              <w:t xml:space="preserve">3</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jc w:val="left"/>
              <w:rPr>
                <w:sz w:val="12"/>
                <w:szCs w:val="12"/>
              </w:rPr>
            </w:pPr>
            <w:r w:rsidDel="00000000" w:rsidR="00000000" w:rsidRPr="00000000">
              <w:rPr>
                <w:sz w:val="12"/>
                <w:szCs w:val="12"/>
                <w:rtl w:val="0"/>
              </w:rPr>
              <w:t xml:space="preserve">1</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jc w:val="left"/>
              <w:rPr>
                <w:sz w:val="12"/>
                <w:szCs w:val="12"/>
              </w:rPr>
            </w:pPr>
            <w:r w:rsidDel="00000000" w:rsidR="00000000" w:rsidRPr="00000000">
              <w:rPr>
                <w:sz w:val="12"/>
                <w:szCs w:val="12"/>
                <w:rtl w:val="0"/>
              </w:rPr>
              <w:t xml:space="preserve">1</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jc w:val="left"/>
              <w:rPr>
                <w:sz w:val="12"/>
                <w:szCs w:val="12"/>
              </w:rPr>
            </w:pPr>
            <w:r w:rsidDel="00000000" w:rsidR="00000000" w:rsidRPr="00000000">
              <w:rPr>
                <w:sz w:val="12"/>
                <w:szCs w:val="12"/>
                <w:rtl w:val="0"/>
              </w:rPr>
              <w:t xml:space="preserve">3</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jc w:val="left"/>
              <w:rPr>
                <w:sz w:val="12"/>
                <w:szCs w:val="12"/>
              </w:rPr>
            </w:pPr>
            <w:r w:rsidDel="00000000" w:rsidR="00000000" w:rsidRPr="00000000">
              <w:rPr>
                <w:sz w:val="12"/>
                <w:szCs w:val="12"/>
                <w:rtl w:val="0"/>
              </w:rPr>
              <w:t xml:space="preserve">1</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jc w:val="left"/>
              <w:rPr>
                <w:sz w:val="12"/>
                <w:szCs w:val="12"/>
              </w:rPr>
            </w:pPr>
            <w:r w:rsidDel="00000000" w:rsidR="00000000" w:rsidRPr="00000000">
              <w:rPr>
                <w:sz w:val="12"/>
                <w:szCs w:val="12"/>
                <w:rtl w:val="0"/>
              </w:rPr>
              <w:t xml:space="preserve">1</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jc w:val="left"/>
              <w:rPr>
                <w:sz w:val="12"/>
                <w:szCs w:val="12"/>
              </w:rPr>
            </w:pPr>
            <w:r w:rsidDel="00000000" w:rsidR="00000000" w:rsidRPr="00000000">
              <w:rPr>
                <w:sz w:val="12"/>
                <w:szCs w:val="12"/>
                <w:rtl w:val="0"/>
              </w:rPr>
              <w:t xml:space="preserve">1.875</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jc w:val="left"/>
              <w:rPr>
                <w:sz w:val="12"/>
                <w:szCs w:val="12"/>
              </w:rPr>
            </w:pPr>
            <w:r w:rsidDel="00000000" w:rsidR="00000000" w:rsidRPr="00000000">
              <w:rPr>
                <w:sz w:val="12"/>
                <w:szCs w:val="12"/>
                <w:rtl w:val="0"/>
              </w:rPr>
              <w:t xml:space="preserve">Moderate</w:t>
            </w:r>
          </w:p>
        </w:tc>
      </w:tr>
      <w:tr>
        <w:trPr>
          <w:cantSplit w:val="0"/>
          <w:tblHeader w:val="0"/>
        </w:trPr>
        <w:tc>
          <w:tcPr>
            <w:tcBorders>
              <w:top w:color="000000" w:space="0" w:sz="0" w:val="nil"/>
              <w:left w:color="c6c6c6" w:space="0" w:sz="6" w:val="single"/>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jc w:val="left"/>
              <w:rPr>
                <w:sz w:val="12"/>
                <w:szCs w:val="12"/>
              </w:rPr>
            </w:pPr>
            <w:r w:rsidDel="00000000" w:rsidR="00000000" w:rsidRPr="00000000">
              <w:rPr>
                <w:sz w:val="12"/>
                <w:szCs w:val="12"/>
                <w:rtl w:val="0"/>
              </w:rPr>
              <w:t xml:space="preserve">7</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jc w:val="left"/>
              <w:rPr>
                <w:sz w:val="12"/>
                <w:szCs w:val="12"/>
              </w:rPr>
            </w:pPr>
            <w:r w:rsidDel="00000000" w:rsidR="00000000" w:rsidRPr="00000000">
              <w:rPr>
                <w:sz w:val="12"/>
                <w:szCs w:val="12"/>
                <w:rtl w:val="0"/>
              </w:rPr>
              <w:t xml:space="preserve">2</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jc w:val="left"/>
              <w:rPr>
                <w:sz w:val="12"/>
                <w:szCs w:val="12"/>
              </w:rPr>
            </w:pPr>
            <w:r w:rsidDel="00000000" w:rsidR="00000000" w:rsidRPr="00000000">
              <w:rPr>
                <w:sz w:val="12"/>
                <w:szCs w:val="12"/>
                <w:rtl w:val="0"/>
              </w:rPr>
              <w:t xml:space="preserve">2</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jc w:val="left"/>
              <w:rPr>
                <w:sz w:val="12"/>
                <w:szCs w:val="12"/>
              </w:rPr>
            </w:pPr>
            <w:r w:rsidDel="00000000" w:rsidR="00000000" w:rsidRPr="00000000">
              <w:rPr>
                <w:sz w:val="12"/>
                <w:szCs w:val="12"/>
                <w:rtl w:val="0"/>
              </w:rPr>
              <w:t xml:space="preserve">1</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jc w:val="left"/>
              <w:rPr>
                <w:sz w:val="12"/>
                <w:szCs w:val="12"/>
              </w:rPr>
            </w:pPr>
            <w:r w:rsidDel="00000000" w:rsidR="00000000" w:rsidRPr="00000000">
              <w:rPr>
                <w:sz w:val="12"/>
                <w:szCs w:val="12"/>
                <w:rtl w:val="0"/>
              </w:rPr>
              <w:t xml:space="preserve">1</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jc w:val="left"/>
              <w:rPr>
                <w:sz w:val="12"/>
                <w:szCs w:val="12"/>
              </w:rPr>
            </w:pPr>
            <w:r w:rsidDel="00000000" w:rsidR="00000000" w:rsidRPr="00000000">
              <w:rPr>
                <w:sz w:val="12"/>
                <w:szCs w:val="12"/>
                <w:rtl w:val="0"/>
              </w:rPr>
              <w:t xml:space="preserve">3</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jc w:val="left"/>
              <w:rPr>
                <w:sz w:val="12"/>
                <w:szCs w:val="12"/>
              </w:rPr>
            </w:pPr>
            <w:r w:rsidDel="00000000" w:rsidR="00000000" w:rsidRPr="00000000">
              <w:rPr>
                <w:sz w:val="12"/>
                <w:szCs w:val="12"/>
                <w:rtl w:val="0"/>
              </w:rPr>
              <w:t xml:space="preserve">3</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jc w:val="left"/>
              <w:rPr>
                <w:sz w:val="12"/>
                <w:szCs w:val="12"/>
              </w:rPr>
            </w:pPr>
            <w:r w:rsidDel="00000000" w:rsidR="00000000" w:rsidRPr="00000000">
              <w:rPr>
                <w:sz w:val="12"/>
                <w:szCs w:val="12"/>
                <w:rtl w:val="0"/>
              </w:rPr>
              <w:t xml:space="preserve">2</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jc w:val="left"/>
              <w:rPr>
                <w:sz w:val="12"/>
                <w:szCs w:val="12"/>
              </w:rPr>
            </w:pPr>
            <w:r w:rsidDel="00000000" w:rsidR="00000000" w:rsidRPr="00000000">
              <w:rPr>
                <w:sz w:val="12"/>
                <w:szCs w:val="12"/>
                <w:rtl w:val="0"/>
              </w:rPr>
              <w:t xml:space="preserve">1</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jc w:val="left"/>
              <w:rPr>
                <w:sz w:val="12"/>
                <w:szCs w:val="12"/>
              </w:rPr>
            </w:pPr>
            <w:r w:rsidDel="00000000" w:rsidR="00000000" w:rsidRPr="00000000">
              <w:rPr>
                <w:sz w:val="12"/>
                <w:szCs w:val="12"/>
                <w:rtl w:val="0"/>
              </w:rPr>
              <w:t xml:space="preserve">1.875</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jc w:val="left"/>
              <w:rPr>
                <w:sz w:val="12"/>
                <w:szCs w:val="12"/>
              </w:rPr>
            </w:pPr>
            <w:r w:rsidDel="00000000" w:rsidR="00000000" w:rsidRPr="00000000">
              <w:rPr>
                <w:sz w:val="12"/>
                <w:szCs w:val="12"/>
                <w:rtl w:val="0"/>
              </w:rPr>
              <w:t xml:space="preserve">Moderate</w:t>
            </w:r>
          </w:p>
        </w:tc>
      </w:tr>
      <w:tr>
        <w:trPr>
          <w:cantSplit w:val="0"/>
          <w:tblHeader w:val="0"/>
        </w:trPr>
        <w:tc>
          <w:tcPr>
            <w:tcBorders>
              <w:top w:color="000000" w:space="0" w:sz="0" w:val="nil"/>
              <w:left w:color="c6c6c6" w:space="0" w:sz="6" w:val="single"/>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jc w:val="left"/>
              <w:rPr>
                <w:sz w:val="12"/>
                <w:szCs w:val="12"/>
              </w:rPr>
            </w:pPr>
            <w:r w:rsidDel="00000000" w:rsidR="00000000" w:rsidRPr="00000000">
              <w:rPr>
                <w:sz w:val="12"/>
                <w:szCs w:val="12"/>
                <w:rtl w:val="0"/>
              </w:rPr>
              <w:t xml:space="preserve">8</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jc w:val="left"/>
              <w:rPr>
                <w:sz w:val="12"/>
                <w:szCs w:val="12"/>
              </w:rPr>
            </w:pPr>
            <w:r w:rsidDel="00000000" w:rsidR="00000000" w:rsidRPr="00000000">
              <w:rPr>
                <w:sz w:val="12"/>
                <w:szCs w:val="12"/>
                <w:rtl w:val="0"/>
              </w:rPr>
              <w:t xml:space="preserve">1</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jc w:val="left"/>
              <w:rPr>
                <w:sz w:val="12"/>
                <w:szCs w:val="12"/>
              </w:rPr>
            </w:pPr>
            <w:r w:rsidDel="00000000" w:rsidR="00000000" w:rsidRPr="00000000">
              <w:rPr>
                <w:sz w:val="12"/>
                <w:szCs w:val="12"/>
                <w:rtl w:val="0"/>
              </w:rPr>
              <w:t xml:space="preserve">1</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jc w:val="left"/>
              <w:rPr>
                <w:sz w:val="12"/>
                <w:szCs w:val="12"/>
              </w:rPr>
            </w:pPr>
            <w:r w:rsidDel="00000000" w:rsidR="00000000" w:rsidRPr="00000000">
              <w:rPr>
                <w:sz w:val="12"/>
                <w:szCs w:val="12"/>
                <w:rtl w:val="0"/>
              </w:rPr>
              <w:t xml:space="preserve">1</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jc w:val="left"/>
              <w:rPr>
                <w:sz w:val="12"/>
                <w:szCs w:val="12"/>
              </w:rPr>
            </w:pPr>
            <w:r w:rsidDel="00000000" w:rsidR="00000000" w:rsidRPr="00000000">
              <w:rPr>
                <w:sz w:val="12"/>
                <w:szCs w:val="12"/>
                <w:rtl w:val="0"/>
              </w:rPr>
              <w:t xml:space="preserve">1</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jc w:val="left"/>
              <w:rPr>
                <w:sz w:val="12"/>
                <w:szCs w:val="12"/>
              </w:rPr>
            </w:pPr>
            <w:r w:rsidDel="00000000" w:rsidR="00000000" w:rsidRPr="00000000">
              <w:rPr>
                <w:sz w:val="12"/>
                <w:szCs w:val="12"/>
                <w:rtl w:val="0"/>
              </w:rPr>
              <w:t xml:space="preserve">2</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jc w:val="left"/>
              <w:rPr>
                <w:sz w:val="12"/>
                <w:szCs w:val="12"/>
              </w:rPr>
            </w:pPr>
            <w:r w:rsidDel="00000000" w:rsidR="00000000" w:rsidRPr="00000000">
              <w:rPr>
                <w:sz w:val="12"/>
                <w:szCs w:val="12"/>
                <w:rtl w:val="0"/>
              </w:rPr>
              <w:t xml:space="preserve">3</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jc w:val="left"/>
              <w:rPr>
                <w:sz w:val="12"/>
                <w:szCs w:val="12"/>
              </w:rPr>
            </w:pPr>
            <w:r w:rsidDel="00000000" w:rsidR="00000000" w:rsidRPr="00000000">
              <w:rPr>
                <w:sz w:val="12"/>
                <w:szCs w:val="12"/>
                <w:rtl w:val="0"/>
              </w:rPr>
              <w:t xml:space="preserve">1</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jc w:val="left"/>
              <w:rPr>
                <w:sz w:val="12"/>
                <w:szCs w:val="12"/>
              </w:rPr>
            </w:pPr>
            <w:r w:rsidDel="00000000" w:rsidR="00000000" w:rsidRPr="00000000">
              <w:rPr>
                <w:sz w:val="12"/>
                <w:szCs w:val="12"/>
                <w:rtl w:val="0"/>
              </w:rPr>
              <w:t xml:space="preserve">1</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97">
            <w:pPr>
              <w:widowControl w:val="0"/>
              <w:spacing w:line="240" w:lineRule="auto"/>
              <w:jc w:val="left"/>
              <w:rPr>
                <w:sz w:val="12"/>
                <w:szCs w:val="12"/>
              </w:rPr>
            </w:pPr>
            <w:r w:rsidDel="00000000" w:rsidR="00000000" w:rsidRPr="00000000">
              <w:rPr>
                <w:sz w:val="12"/>
                <w:szCs w:val="12"/>
                <w:rtl w:val="0"/>
              </w:rPr>
              <w:t xml:space="preserve">1.375</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jc w:val="left"/>
              <w:rPr>
                <w:sz w:val="12"/>
                <w:szCs w:val="12"/>
              </w:rPr>
            </w:pPr>
            <w:r w:rsidDel="00000000" w:rsidR="00000000" w:rsidRPr="00000000">
              <w:rPr>
                <w:sz w:val="12"/>
                <w:szCs w:val="12"/>
                <w:rtl w:val="0"/>
              </w:rPr>
              <w:t xml:space="preserve">Low</w:t>
            </w:r>
          </w:p>
        </w:tc>
      </w:tr>
      <w:tr>
        <w:trPr>
          <w:cantSplit w:val="0"/>
          <w:tblHeader w:val="0"/>
        </w:trPr>
        <w:tc>
          <w:tcPr>
            <w:tcBorders>
              <w:top w:color="000000" w:space="0" w:sz="0" w:val="nil"/>
              <w:left w:color="c6c6c6" w:space="0" w:sz="6" w:val="single"/>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jc w:val="left"/>
              <w:rPr>
                <w:sz w:val="12"/>
                <w:szCs w:val="12"/>
              </w:rPr>
            </w:pPr>
            <w:r w:rsidDel="00000000" w:rsidR="00000000" w:rsidRPr="00000000">
              <w:rPr>
                <w:sz w:val="12"/>
                <w:szCs w:val="12"/>
                <w:rtl w:val="0"/>
              </w:rPr>
              <w:t xml:space="preserve">9</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9A">
            <w:pPr>
              <w:widowControl w:val="0"/>
              <w:spacing w:line="240" w:lineRule="auto"/>
              <w:jc w:val="left"/>
              <w:rPr>
                <w:sz w:val="12"/>
                <w:szCs w:val="12"/>
              </w:rPr>
            </w:pPr>
            <w:r w:rsidDel="00000000" w:rsidR="00000000" w:rsidRPr="00000000">
              <w:rPr>
                <w:sz w:val="12"/>
                <w:szCs w:val="12"/>
                <w:rtl w:val="0"/>
              </w:rPr>
              <w:t xml:space="preserve">2</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9B">
            <w:pPr>
              <w:widowControl w:val="0"/>
              <w:spacing w:line="240" w:lineRule="auto"/>
              <w:jc w:val="left"/>
              <w:rPr>
                <w:sz w:val="12"/>
                <w:szCs w:val="12"/>
              </w:rPr>
            </w:pPr>
            <w:r w:rsidDel="00000000" w:rsidR="00000000" w:rsidRPr="00000000">
              <w:rPr>
                <w:sz w:val="12"/>
                <w:szCs w:val="12"/>
                <w:rtl w:val="0"/>
              </w:rPr>
              <w:t xml:space="preserve">2</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9C">
            <w:pPr>
              <w:widowControl w:val="0"/>
              <w:spacing w:line="240" w:lineRule="auto"/>
              <w:jc w:val="left"/>
              <w:rPr>
                <w:sz w:val="12"/>
                <w:szCs w:val="12"/>
              </w:rPr>
            </w:pPr>
            <w:r w:rsidDel="00000000" w:rsidR="00000000" w:rsidRPr="00000000">
              <w:rPr>
                <w:sz w:val="12"/>
                <w:szCs w:val="12"/>
                <w:rtl w:val="0"/>
              </w:rPr>
              <w:t xml:space="preserve">1</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9D">
            <w:pPr>
              <w:widowControl w:val="0"/>
              <w:spacing w:line="240" w:lineRule="auto"/>
              <w:jc w:val="left"/>
              <w:rPr>
                <w:sz w:val="12"/>
                <w:szCs w:val="12"/>
              </w:rPr>
            </w:pPr>
            <w:r w:rsidDel="00000000" w:rsidR="00000000" w:rsidRPr="00000000">
              <w:rPr>
                <w:sz w:val="12"/>
                <w:szCs w:val="12"/>
                <w:rtl w:val="0"/>
              </w:rPr>
              <w:t xml:space="preserve">1</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9E">
            <w:pPr>
              <w:widowControl w:val="0"/>
              <w:spacing w:line="240" w:lineRule="auto"/>
              <w:jc w:val="left"/>
              <w:rPr>
                <w:sz w:val="12"/>
                <w:szCs w:val="12"/>
              </w:rPr>
            </w:pPr>
            <w:r w:rsidDel="00000000" w:rsidR="00000000" w:rsidRPr="00000000">
              <w:rPr>
                <w:sz w:val="12"/>
                <w:szCs w:val="12"/>
                <w:rtl w:val="0"/>
              </w:rPr>
              <w:t xml:space="preserve">1</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9F">
            <w:pPr>
              <w:widowControl w:val="0"/>
              <w:spacing w:line="240" w:lineRule="auto"/>
              <w:jc w:val="left"/>
              <w:rPr>
                <w:sz w:val="12"/>
                <w:szCs w:val="12"/>
              </w:rPr>
            </w:pPr>
            <w:r w:rsidDel="00000000" w:rsidR="00000000" w:rsidRPr="00000000">
              <w:rPr>
                <w:sz w:val="12"/>
                <w:szCs w:val="12"/>
                <w:rtl w:val="0"/>
              </w:rPr>
              <w:t xml:space="preserve">3</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A0">
            <w:pPr>
              <w:widowControl w:val="0"/>
              <w:spacing w:line="240" w:lineRule="auto"/>
              <w:jc w:val="left"/>
              <w:rPr>
                <w:sz w:val="12"/>
                <w:szCs w:val="12"/>
              </w:rPr>
            </w:pPr>
            <w:r w:rsidDel="00000000" w:rsidR="00000000" w:rsidRPr="00000000">
              <w:rPr>
                <w:sz w:val="12"/>
                <w:szCs w:val="12"/>
                <w:rtl w:val="0"/>
              </w:rPr>
              <w:t xml:space="preserve">1</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A1">
            <w:pPr>
              <w:widowControl w:val="0"/>
              <w:spacing w:line="240" w:lineRule="auto"/>
              <w:jc w:val="left"/>
              <w:rPr>
                <w:sz w:val="12"/>
                <w:szCs w:val="12"/>
              </w:rPr>
            </w:pPr>
            <w:r w:rsidDel="00000000" w:rsidR="00000000" w:rsidRPr="00000000">
              <w:rPr>
                <w:sz w:val="12"/>
                <w:szCs w:val="12"/>
                <w:rtl w:val="0"/>
              </w:rPr>
              <w:t xml:space="preserve">1</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A2">
            <w:pPr>
              <w:widowControl w:val="0"/>
              <w:spacing w:line="240" w:lineRule="auto"/>
              <w:jc w:val="left"/>
              <w:rPr>
                <w:sz w:val="12"/>
                <w:szCs w:val="12"/>
              </w:rPr>
            </w:pPr>
            <w:r w:rsidDel="00000000" w:rsidR="00000000" w:rsidRPr="00000000">
              <w:rPr>
                <w:sz w:val="12"/>
                <w:szCs w:val="12"/>
                <w:rtl w:val="0"/>
              </w:rPr>
              <w:t xml:space="preserve">1.5</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A3">
            <w:pPr>
              <w:widowControl w:val="0"/>
              <w:spacing w:line="240" w:lineRule="auto"/>
              <w:jc w:val="left"/>
              <w:rPr>
                <w:sz w:val="12"/>
                <w:szCs w:val="12"/>
              </w:rPr>
            </w:pPr>
            <w:r w:rsidDel="00000000" w:rsidR="00000000" w:rsidRPr="00000000">
              <w:rPr>
                <w:sz w:val="12"/>
                <w:szCs w:val="12"/>
                <w:rtl w:val="0"/>
              </w:rPr>
              <w:t xml:space="preserve">Moderate</w:t>
            </w:r>
          </w:p>
        </w:tc>
      </w:tr>
      <w:tr>
        <w:trPr>
          <w:cantSplit w:val="0"/>
          <w:tblHeader w:val="0"/>
        </w:trPr>
        <w:tc>
          <w:tcPr>
            <w:tcBorders>
              <w:top w:color="000000" w:space="0" w:sz="0" w:val="nil"/>
              <w:left w:color="c6c6c6" w:space="0" w:sz="6" w:val="single"/>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jc w:val="left"/>
              <w:rPr>
                <w:sz w:val="12"/>
                <w:szCs w:val="12"/>
              </w:rPr>
            </w:pPr>
            <w:r w:rsidDel="00000000" w:rsidR="00000000" w:rsidRPr="00000000">
              <w:rPr>
                <w:sz w:val="12"/>
                <w:szCs w:val="12"/>
                <w:rtl w:val="0"/>
              </w:rPr>
              <w:t xml:space="preserve">10</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A5">
            <w:pPr>
              <w:widowControl w:val="0"/>
              <w:spacing w:line="240" w:lineRule="auto"/>
              <w:jc w:val="left"/>
              <w:rPr>
                <w:sz w:val="12"/>
                <w:szCs w:val="12"/>
              </w:rPr>
            </w:pPr>
            <w:r w:rsidDel="00000000" w:rsidR="00000000" w:rsidRPr="00000000">
              <w:rPr>
                <w:sz w:val="12"/>
                <w:szCs w:val="12"/>
                <w:rtl w:val="0"/>
              </w:rPr>
              <w:t xml:space="preserve">1</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A6">
            <w:pPr>
              <w:widowControl w:val="0"/>
              <w:spacing w:line="240" w:lineRule="auto"/>
              <w:jc w:val="left"/>
              <w:rPr>
                <w:sz w:val="12"/>
                <w:szCs w:val="12"/>
              </w:rPr>
            </w:pPr>
            <w:r w:rsidDel="00000000" w:rsidR="00000000" w:rsidRPr="00000000">
              <w:rPr>
                <w:sz w:val="12"/>
                <w:szCs w:val="12"/>
                <w:rtl w:val="0"/>
              </w:rPr>
              <w:t xml:space="preserve">1</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jc w:val="left"/>
              <w:rPr>
                <w:sz w:val="12"/>
                <w:szCs w:val="12"/>
              </w:rPr>
            </w:pPr>
            <w:r w:rsidDel="00000000" w:rsidR="00000000" w:rsidRPr="00000000">
              <w:rPr>
                <w:sz w:val="12"/>
                <w:szCs w:val="12"/>
                <w:rtl w:val="0"/>
              </w:rPr>
              <w:t xml:space="preserve">1</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jc w:val="left"/>
              <w:rPr>
                <w:sz w:val="12"/>
                <w:szCs w:val="12"/>
              </w:rPr>
            </w:pPr>
            <w:r w:rsidDel="00000000" w:rsidR="00000000" w:rsidRPr="00000000">
              <w:rPr>
                <w:sz w:val="12"/>
                <w:szCs w:val="12"/>
                <w:rtl w:val="0"/>
              </w:rPr>
              <w:t xml:space="preserve">1</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A9">
            <w:pPr>
              <w:widowControl w:val="0"/>
              <w:spacing w:line="240" w:lineRule="auto"/>
              <w:jc w:val="left"/>
              <w:rPr>
                <w:sz w:val="12"/>
                <w:szCs w:val="12"/>
              </w:rPr>
            </w:pPr>
            <w:r w:rsidDel="00000000" w:rsidR="00000000" w:rsidRPr="00000000">
              <w:rPr>
                <w:sz w:val="12"/>
                <w:szCs w:val="12"/>
                <w:rtl w:val="0"/>
              </w:rPr>
              <w:t xml:space="preserve">2</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AA">
            <w:pPr>
              <w:widowControl w:val="0"/>
              <w:spacing w:line="240" w:lineRule="auto"/>
              <w:jc w:val="left"/>
              <w:rPr>
                <w:sz w:val="12"/>
                <w:szCs w:val="12"/>
              </w:rPr>
            </w:pPr>
            <w:r w:rsidDel="00000000" w:rsidR="00000000" w:rsidRPr="00000000">
              <w:rPr>
                <w:sz w:val="12"/>
                <w:szCs w:val="12"/>
                <w:rtl w:val="0"/>
              </w:rPr>
              <w:t xml:space="preserve">3</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AB">
            <w:pPr>
              <w:widowControl w:val="0"/>
              <w:spacing w:line="240" w:lineRule="auto"/>
              <w:jc w:val="left"/>
              <w:rPr>
                <w:sz w:val="12"/>
                <w:szCs w:val="12"/>
              </w:rPr>
            </w:pPr>
            <w:r w:rsidDel="00000000" w:rsidR="00000000" w:rsidRPr="00000000">
              <w:rPr>
                <w:sz w:val="12"/>
                <w:szCs w:val="12"/>
                <w:rtl w:val="0"/>
              </w:rPr>
              <w:t xml:space="preserve">1</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AC">
            <w:pPr>
              <w:widowControl w:val="0"/>
              <w:spacing w:line="240" w:lineRule="auto"/>
              <w:jc w:val="left"/>
              <w:rPr>
                <w:sz w:val="12"/>
                <w:szCs w:val="12"/>
              </w:rPr>
            </w:pPr>
            <w:r w:rsidDel="00000000" w:rsidR="00000000" w:rsidRPr="00000000">
              <w:rPr>
                <w:sz w:val="12"/>
                <w:szCs w:val="12"/>
                <w:rtl w:val="0"/>
              </w:rPr>
              <w:t xml:space="preserve">1</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AD">
            <w:pPr>
              <w:widowControl w:val="0"/>
              <w:spacing w:line="240" w:lineRule="auto"/>
              <w:jc w:val="left"/>
              <w:rPr>
                <w:sz w:val="12"/>
                <w:szCs w:val="12"/>
              </w:rPr>
            </w:pPr>
            <w:r w:rsidDel="00000000" w:rsidR="00000000" w:rsidRPr="00000000">
              <w:rPr>
                <w:sz w:val="12"/>
                <w:szCs w:val="12"/>
                <w:rtl w:val="0"/>
              </w:rPr>
              <w:t xml:space="preserve">1.375</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AE">
            <w:pPr>
              <w:widowControl w:val="0"/>
              <w:spacing w:line="240" w:lineRule="auto"/>
              <w:jc w:val="left"/>
              <w:rPr>
                <w:sz w:val="12"/>
                <w:szCs w:val="12"/>
              </w:rPr>
            </w:pPr>
            <w:r w:rsidDel="00000000" w:rsidR="00000000" w:rsidRPr="00000000">
              <w:rPr>
                <w:sz w:val="12"/>
                <w:szCs w:val="12"/>
                <w:rtl w:val="0"/>
              </w:rPr>
              <w:t xml:space="preserve">Low</w:t>
            </w:r>
          </w:p>
        </w:tc>
      </w:tr>
      <w:tr>
        <w:trPr>
          <w:cantSplit w:val="0"/>
          <w:tblHeader w:val="0"/>
        </w:trPr>
        <w:tc>
          <w:tcPr>
            <w:tcBorders>
              <w:top w:color="000000" w:space="0" w:sz="0" w:val="nil"/>
              <w:left w:color="c6c6c6" w:space="0" w:sz="6" w:val="single"/>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jc w:val="left"/>
              <w:rPr>
                <w:sz w:val="12"/>
                <w:szCs w:val="12"/>
              </w:rPr>
            </w:pPr>
            <w:r w:rsidDel="00000000" w:rsidR="00000000" w:rsidRPr="00000000">
              <w:rPr>
                <w:sz w:val="12"/>
                <w:szCs w:val="12"/>
                <w:rtl w:val="0"/>
              </w:rPr>
              <w:t xml:space="preserve">11</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B0">
            <w:pPr>
              <w:widowControl w:val="0"/>
              <w:spacing w:line="240" w:lineRule="auto"/>
              <w:jc w:val="left"/>
              <w:rPr>
                <w:sz w:val="12"/>
                <w:szCs w:val="12"/>
              </w:rPr>
            </w:pPr>
            <w:r w:rsidDel="00000000" w:rsidR="00000000" w:rsidRPr="00000000">
              <w:rPr>
                <w:sz w:val="12"/>
                <w:szCs w:val="12"/>
                <w:rtl w:val="0"/>
              </w:rPr>
              <w:t xml:space="preserve">2</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B1">
            <w:pPr>
              <w:widowControl w:val="0"/>
              <w:spacing w:line="240" w:lineRule="auto"/>
              <w:jc w:val="left"/>
              <w:rPr>
                <w:sz w:val="12"/>
                <w:szCs w:val="12"/>
              </w:rPr>
            </w:pPr>
            <w:r w:rsidDel="00000000" w:rsidR="00000000" w:rsidRPr="00000000">
              <w:rPr>
                <w:sz w:val="12"/>
                <w:szCs w:val="12"/>
                <w:rtl w:val="0"/>
              </w:rPr>
              <w:t xml:space="preserve">2</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jc w:val="left"/>
              <w:rPr>
                <w:sz w:val="12"/>
                <w:szCs w:val="12"/>
              </w:rPr>
            </w:pPr>
            <w:r w:rsidDel="00000000" w:rsidR="00000000" w:rsidRPr="00000000">
              <w:rPr>
                <w:sz w:val="12"/>
                <w:szCs w:val="12"/>
                <w:rtl w:val="0"/>
              </w:rPr>
              <w:t xml:space="preserve">3</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B3">
            <w:pPr>
              <w:widowControl w:val="0"/>
              <w:spacing w:line="240" w:lineRule="auto"/>
              <w:jc w:val="left"/>
              <w:rPr>
                <w:sz w:val="12"/>
                <w:szCs w:val="12"/>
              </w:rPr>
            </w:pPr>
            <w:r w:rsidDel="00000000" w:rsidR="00000000" w:rsidRPr="00000000">
              <w:rPr>
                <w:sz w:val="12"/>
                <w:szCs w:val="12"/>
                <w:rtl w:val="0"/>
              </w:rPr>
              <w:t xml:space="preserve">1</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B4">
            <w:pPr>
              <w:widowControl w:val="0"/>
              <w:spacing w:line="240" w:lineRule="auto"/>
              <w:jc w:val="left"/>
              <w:rPr>
                <w:sz w:val="12"/>
                <w:szCs w:val="12"/>
              </w:rPr>
            </w:pPr>
            <w:r w:rsidDel="00000000" w:rsidR="00000000" w:rsidRPr="00000000">
              <w:rPr>
                <w:sz w:val="12"/>
                <w:szCs w:val="12"/>
                <w:rtl w:val="0"/>
              </w:rPr>
              <w:t xml:space="preserve">2</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B5">
            <w:pPr>
              <w:widowControl w:val="0"/>
              <w:spacing w:line="240" w:lineRule="auto"/>
              <w:jc w:val="left"/>
              <w:rPr>
                <w:sz w:val="12"/>
                <w:szCs w:val="12"/>
              </w:rPr>
            </w:pPr>
            <w:r w:rsidDel="00000000" w:rsidR="00000000" w:rsidRPr="00000000">
              <w:rPr>
                <w:sz w:val="12"/>
                <w:szCs w:val="12"/>
                <w:rtl w:val="0"/>
              </w:rPr>
              <w:t xml:space="preserve">3</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B6">
            <w:pPr>
              <w:widowControl w:val="0"/>
              <w:spacing w:line="240" w:lineRule="auto"/>
              <w:jc w:val="left"/>
              <w:rPr>
                <w:sz w:val="12"/>
                <w:szCs w:val="12"/>
              </w:rPr>
            </w:pPr>
            <w:r w:rsidDel="00000000" w:rsidR="00000000" w:rsidRPr="00000000">
              <w:rPr>
                <w:sz w:val="12"/>
                <w:szCs w:val="12"/>
                <w:rtl w:val="0"/>
              </w:rPr>
              <w:t xml:space="preserve">1</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B7">
            <w:pPr>
              <w:widowControl w:val="0"/>
              <w:spacing w:line="240" w:lineRule="auto"/>
              <w:jc w:val="left"/>
              <w:rPr>
                <w:sz w:val="12"/>
                <w:szCs w:val="12"/>
              </w:rPr>
            </w:pPr>
            <w:r w:rsidDel="00000000" w:rsidR="00000000" w:rsidRPr="00000000">
              <w:rPr>
                <w:sz w:val="12"/>
                <w:szCs w:val="12"/>
                <w:rtl w:val="0"/>
              </w:rPr>
              <w:t xml:space="preserve">2</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B8">
            <w:pPr>
              <w:widowControl w:val="0"/>
              <w:spacing w:line="240" w:lineRule="auto"/>
              <w:jc w:val="left"/>
              <w:rPr>
                <w:sz w:val="12"/>
                <w:szCs w:val="12"/>
              </w:rPr>
            </w:pPr>
            <w:r w:rsidDel="00000000" w:rsidR="00000000" w:rsidRPr="00000000">
              <w:rPr>
                <w:sz w:val="12"/>
                <w:szCs w:val="12"/>
                <w:rtl w:val="0"/>
              </w:rPr>
              <w:t xml:space="preserve">2</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B9">
            <w:pPr>
              <w:widowControl w:val="0"/>
              <w:spacing w:line="240" w:lineRule="auto"/>
              <w:jc w:val="left"/>
              <w:rPr>
                <w:sz w:val="12"/>
                <w:szCs w:val="12"/>
              </w:rPr>
            </w:pPr>
            <w:r w:rsidDel="00000000" w:rsidR="00000000" w:rsidRPr="00000000">
              <w:rPr>
                <w:sz w:val="12"/>
                <w:szCs w:val="12"/>
                <w:rtl w:val="0"/>
              </w:rPr>
              <w:t xml:space="preserve">High</w:t>
            </w:r>
          </w:p>
        </w:tc>
      </w:tr>
      <w:tr>
        <w:trPr>
          <w:cantSplit w:val="0"/>
          <w:tblHeader w:val="0"/>
        </w:trPr>
        <w:tc>
          <w:tcPr>
            <w:tcBorders>
              <w:top w:color="000000" w:space="0" w:sz="0" w:val="nil"/>
              <w:left w:color="c6c6c6" w:space="0" w:sz="6" w:val="single"/>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BA">
            <w:pPr>
              <w:widowControl w:val="0"/>
              <w:spacing w:line="240" w:lineRule="auto"/>
              <w:jc w:val="left"/>
              <w:rPr>
                <w:sz w:val="12"/>
                <w:szCs w:val="12"/>
              </w:rPr>
            </w:pPr>
            <w:r w:rsidDel="00000000" w:rsidR="00000000" w:rsidRPr="00000000">
              <w:rPr>
                <w:sz w:val="12"/>
                <w:szCs w:val="12"/>
                <w:rtl w:val="0"/>
              </w:rPr>
              <w:t xml:space="preserve">12</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BB">
            <w:pPr>
              <w:widowControl w:val="0"/>
              <w:spacing w:line="240" w:lineRule="auto"/>
              <w:jc w:val="left"/>
              <w:rPr>
                <w:sz w:val="12"/>
                <w:szCs w:val="12"/>
              </w:rPr>
            </w:pPr>
            <w:r w:rsidDel="00000000" w:rsidR="00000000" w:rsidRPr="00000000">
              <w:rPr>
                <w:sz w:val="12"/>
                <w:szCs w:val="12"/>
                <w:rtl w:val="0"/>
              </w:rPr>
              <w:t xml:space="preserve">3</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BC">
            <w:pPr>
              <w:widowControl w:val="0"/>
              <w:spacing w:line="240" w:lineRule="auto"/>
              <w:jc w:val="left"/>
              <w:rPr>
                <w:sz w:val="12"/>
                <w:szCs w:val="12"/>
              </w:rPr>
            </w:pPr>
            <w:r w:rsidDel="00000000" w:rsidR="00000000" w:rsidRPr="00000000">
              <w:rPr>
                <w:sz w:val="12"/>
                <w:szCs w:val="12"/>
                <w:rtl w:val="0"/>
              </w:rPr>
              <w:t xml:space="preserve">1</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BD">
            <w:pPr>
              <w:widowControl w:val="0"/>
              <w:spacing w:line="240" w:lineRule="auto"/>
              <w:jc w:val="left"/>
              <w:rPr>
                <w:sz w:val="12"/>
                <w:szCs w:val="12"/>
              </w:rPr>
            </w:pPr>
            <w:r w:rsidDel="00000000" w:rsidR="00000000" w:rsidRPr="00000000">
              <w:rPr>
                <w:sz w:val="12"/>
                <w:szCs w:val="12"/>
                <w:rtl w:val="0"/>
              </w:rPr>
              <w:t xml:space="preserve">1</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BE">
            <w:pPr>
              <w:widowControl w:val="0"/>
              <w:spacing w:line="240" w:lineRule="auto"/>
              <w:jc w:val="left"/>
              <w:rPr>
                <w:sz w:val="12"/>
                <w:szCs w:val="12"/>
              </w:rPr>
            </w:pPr>
            <w:r w:rsidDel="00000000" w:rsidR="00000000" w:rsidRPr="00000000">
              <w:rPr>
                <w:sz w:val="12"/>
                <w:szCs w:val="12"/>
                <w:rtl w:val="0"/>
              </w:rPr>
              <w:t xml:space="preserve">1</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BF">
            <w:pPr>
              <w:widowControl w:val="0"/>
              <w:spacing w:line="240" w:lineRule="auto"/>
              <w:jc w:val="left"/>
              <w:rPr>
                <w:sz w:val="12"/>
                <w:szCs w:val="12"/>
              </w:rPr>
            </w:pPr>
            <w:r w:rsidDel="00000000" w:rsidR="00000000" w:rsidRPr="00000000">
              <w:rPr>
                <w:sz w:val="12"/>
                <w:szCs w:val="12"/>
                <w:rtl w:val="0"/>
              </w:rPr>
              <w:t xml:space="preserve">1</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C0">
            <w:pPr>
              <w:widowControl w:val="0"/>
              <w:spacing w:line="240" w:lineRule="auto"/>
              <w:jc w:val="left"/>
              <w:rPr>
                <w:sz w:val="12"/>
                <w:szCs w:val="12"/>
              </w:rPr>
            </w:pPr>
            <w:r w:rsidDel="00000000" w:rsidR="00000000" w:rsidRPr="00000000">
              <w:rPr>
                <w:sz w:val="12"/>
                <w:szCs w:val="12"/>
                <w:rtl w:val="0"/>
              </w:rPr>
              <w:t xml:space="preserve">3</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C1">
            <w:pPr>
              <w:widowControl w:val="0"/>
              <w:spacing w:line="240" w:lineRule="auto"/>
              <w:jc w:val="left"/>
              <w:rPr>
                <w:sz w:val="12"/>
                <w:szCs w:val="12"/>
              </w:rPr>
            </w:pPr>
            <w:r w:rsidDel="00000000" w:rsidR="00000000" w:rsidRPr="00000000">
              <w:rPr>
                <w:sz w:val="12"/>
                <w:szCs w:val="12"/>
                <w:rtl w:val="0"/>
              </w:rPr>
              <w:t xml:space="preserve">1</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C2">
            <w:pPr>
              <w:widowControl w:val="0"/>
              <w:spacing w:line="240" w:lineRule="auto"/>
              <w:jc w:val="left"/>
              <w:rPr>
                <w:sz w:val="12"/>
                <w:szCs w:val="12"/>
              </w:rPr>
            </w:pPr>
            <w:r w:rsidDel="00000000" w:rsidR="00000000" w:rsidRPr="00000000">
              <w:rPr>
                <w:sz w:val="12"/>
                <w:szCs w:val="12"/>
                <w:rtl w:val="0"/>
              </w:rPr>
              <w:t xml:space="preserve">1</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C3">
            <w:pPr>
              <w:widowControl w:val="0"/>
              <w:spacing w:line="240" w:lineRule="auto"/>
              <w:jc w:val="left"/>
              <w:rPr>
                <w:sz w:val="12"/>
                <w:szCs w:val="12"/>
              </w:rPr>
            </w:pPr>
            <w:r w:rsidDel="00000000" w:rsidR="00000000" w:rsidRPr="00000000">
              <w:rPr>
                <w:sz w:val="12"/>
                <w:szCs w:val="12"/>
                <w:rtl w:val="0"/>
              </w:rPr>
              <w:t xml:space="preserve">1.5</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C4">
            <w:pPr>
              <w:widowControl w:val="0"/>
              <w:spacing w:line="240" w:lineRule="auto"/>
              <w:jc w:val="left"/>
              <w:rPr>
                <w:sz w:val="12"/>
                <w:szCs w:val="12"/>
              </w:rPr>
            </w:pPr>
            <w:r w:rsidDel="00000000" w:rsidR="00000000" w:rsidRPr="00000000">
              <w:rPr>
                <w:sz w:val="12"/>
                <w:szCs w:val="12"/>
                <w:rtl w:val="0"/>
              </w:rPr>
              <w:t xml:space="preserve">Moderate</w:t>
            </w:r>
          </w:p>
        </w:tc>
      </w:tr>
      <w:tr>
        <w:trPr>
          <w:cantSplit w:val="0"/>
          <w:tblHeader w:val="0"/>
        </w:trPr>
        <w:tc>
          <w:tcPr>
            <w:tcBorders>
              <w:top w:color="000000" w:space="0" w:sz="0" w:val="nil"/>
              <w:left w:color="c6c6c6" w:space="0" w:sz="6" w:val="single"/>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C5">
            <w:pPr>
              <w:widowControl w:val="0"/>
              <w:spacing w:line="240" w:lineRule="auto"/>
              <w:jc w:val="left"/>
              <w:rPr>
                <w:sz w:val="12"/>
                <w:szCs w:val="12"/>
              </w:rPr>
            </w:pPr>
            <w:r w:rsidDel="00000000" w:rsidR="00000000" w:rsidRPr="00000000">
              <w:rPr>
                <w:sz w:val="12"/>
                <w:szCs w:val="12"/>
                <w:rtl w:val="0"/>
              </w:rPr>
              <w:t xml:space="preserve">13</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C6">
            <w:pPr>
              <w:widowControl w:val="0"/>
              <w:spacing w:line="240" w:lineRule="auto"/>
              <w:jc w:val="left"/>
              <w:rPr>
                <w:sz w:val="12"/>
                <w:szCs w:val="12"/>
              </w:rPr>
            </w:pPr>
            <w:r w:rsidDel="00000000" w:rsidR="00000000" w:rsidRPr="00000000">
              <w:rPr>
                <w:sz w:val="12"/>
                <w:szCs w:val="12"/>
                <w:rtl w:val="0"/>
              </w:rPr>
              <w:t xml:space="preserve">2</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C7">
            <w:pPr>
              <w:widowControl w:val="0"/>
              <w:spacing w:line="240" w:lineRule="auto"/>
              <w:jc w:val="left"/>
              <w:rPr>
                <w:sz w:val="12"/>
                <w:szCs w:val="12"/>
              </w:rPr>
            </w:pPr>
            <w:r w:rsidDel="00000000" w:rsidR="00000000" w:rsidRPr="00000000">
              <w:rPr>
                <w:sz w:val="12"/>
                <w:szCs w:val="12"/>
                <w:rtl w:val="0"/>
              </w:rPr>
              <w:t xml:space="preserve">3</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C8">
            <w:pPr>
              <w:widowControl w:val="0"/>
              <w:spacing w:line="240" w:lineRule="auto"/>
              <w:jc w:val="left"/>
              <w:rPr>
                <w:sz w:val="12"/>
                <w:szCs w:val="12"/>
              </w:rPr>
            </w:pPr>
            <w:r w:rsidDel="00000000" w:rsidR="00000000" w:rsidRPr="00000000">
              <w:rPr>
                <w:sz w:val="12"/>
                <w:szCs w:val="12"/>
                <w:rtl w:val="0"/>
              </w:rPr>
              <w:t xml:space="preserve">2</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C9">
            <w:pPr>
              <w:widowControl w:val="0"/>
              <w:spacing w:line="240" w:lineRule="auto"/>
              <w:jc w:val="left"/>
              <w:rPr>
                <w:sz w:val="12"/>
                <w:szCs w:val="12"/>
              </w:rPr>
            </w:pPr>
            <w:r w:rsidDel="00000000" w:rsidR="00000000" w:rsidRPr="00000000">
              <w:rPr>
                <w:sz w:val="12"/>
                <w:szCs w:val="12"/>
                <w:rtl w:val="0"/>
              </w:rPr>
              <w:t xml:space="preserve">1</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CA">
            <w:pPr>
              <w:widowControl w:val="0"/>
              <w:spacing w:line="240" w:lineRule="auto"/>
              <w:jc w:val="left"/>
              <w:rPr>
                <w:sz w:val="12"/>
                <w:szCs w:val="12"/>
              </w:rPr>
            </w:pPr>
            <w:r w:rsidDel="00000000" w:rsidR="00000000" w:rsidRPr="00000000">
              <w:rPr>
                <w:sz w:val="12"/>
                <w:szCs w:val="12"/>
                <w:rtl w:val="0"/>
              </w:rPr>
              <w:t xml:space="preserve">1</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CB">
            <w:pPr>
              <w:widowControl w:val="0"/>
              <w:spacing w:line="240" w:lineRule="auto"/>
              <w:jc w:val="left"/>
              <w:rPr>
                <w:sz w:val="12"/>
                <w:szCs w:val="12"/>
              </w:rPr>
            </w:pPr>
            <w:r w:rsidDel="00000000" w:rsidR="00000000" w:rsidRPr="00000000">
              <w:rPr>
                <w:sz w:val="12"/>
                <w:szCs w:val="12"/>
                <w:rtl w:val="0"/>
              </w:rPr>
              <w:t xml:space="preserve">3</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CC">
            <w:pPr>
              <w:widowControl w:val="0"/>
              <w:spacing w:line="240" w:lineRule="auto"/>
              <w:jc w:val="left"/>
              <w:rPr>
                <w:sz w:val="12"/>
                <w:szCs w:val="12"/>
              </w:rPr>
            </w:pPr>
            <w:r w:rsidDel="00000000" w:rsidR="00000000" w:rsidRPr="00000000">
              <w:rPr>
                <w:sz w:val="12"/>
                <w:szCs w:val="12"/>
                <w:rtl w:val="0"/>
              </w:rPr>
              <w:t xml:space="preserve">1</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CD">
            <w:pPr>
              <w:widowControl w:val="0"/>
              <w:spacing w:line="240" w:lineRule="auto"/>
              <w:jc w:val="left"/>
              <w:rPr>
                <w:sz w:val="12"/>
                <w:szCs w:val="12"/>
              </w:rPr>
            </w:pPr>
            <w:r w:rsidDel="00000000" w:rsidR="00000000" w:rsidRPr="00000000">
              <w:rPr>
                <w:sz w:val="12"/>
                <w:szCs w:val="12"/>
                <w:rtl w:val="0"/>
              </w:rPr>
              <w:t xml:space="preserve">1</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CE">
            <w:pPr>
              <w:widowControl w:val="0"/>
              <w:spacing w:line="240" w:lineRule="auto"/>
              <w:jc w:val="left"/>
              <w:rPr>
                <w:sz w:val="12"/>
                <w:szCs w:val="12"/>
              </w:rPr>
            </w:pPr>
            <w:r w:rsidDel="00000000" w:rsidR="00000000" w:rsidRPr="00000000">
              <w:rPr>
                <w:sz w:val="12"/>
                <w:szCs w:val="12"/>
                <w:rtl w:val="0"/>
              </w:rPr>
              <w:t xml:space="preserve">1.75</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CF">
            <w:pPr>
              <w:widowControl w:val="0"/>
              <w:spacing w:line="240" w:lineRule="auto"/>
              <w:jc w:val="left"/>
              <w:rPr>
                <w:sz w:val="12"/>
                <w:szCs w:val="12"/>
              </w:rPr>
            </w:pPr>
            <w:r w:rsidDel="00000000" w:rsidR="00000000" w:rsidRPr="00000000">
              <w:rPr>
                <w:sz w:val="12"/>
                <w:szCs w:val="12"/>
                <w:rtl w:val="0"/>
              </w:rPr>
              <w:t xml:space="preserve">Moderate</w:t>
            </w:r>
          </w:p>
        </w:tc>
      </w:tr>
      <w:tr>
        <w:trPr>
          <w:cantSplit w:val="0"/>
          <w:tblHeader w:val="0"/>
        </w:trPr>
        <w:tc>
          <w:tcPr>
            <w:tcBorders>
              <w:top w:color="000000" w:space="0" w:sz="0" w:val="nil"/>
              <w:left w:color="c6c6c6" w:space="0" w:sz="6" w:val="single"/>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D0">
            <w:pPr>
              <w:widowControl w:val="0"/>
              <w:spacing w:line="240" w:lineRule="auto"/>
              <w:jc w:val="left"/>
              <w:rPr>
                <w:sz w:val="12"/>
                <w:szCs w:val="12"/>
              </w:rPr>
            </w:pPr>
            <w:r w:rsidDel="00000000" w:rsidR="00000000" w:rsidRPr="00000000">
              <w:rPr>
                <w:sz w:val="12"/>
                <w:szCs w:val="12"/>
                <w:rtl w:val="0"/>
              </w:rPr>
              <w:t xml:space="preserve">14</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D1">
            <w:pPr>
              <w:widowControl w:val="0"/>
              <w:spacing w:line="240" w:lineRule="auto"/>
              <w:jc w:val="left"/>
              <w:rPr>
                <w:sz w:val="12"/>
                <w:szCs w:val="12"/>
              </w:rPr>
            </w:pPr>
            <w:r w:rsidDel="00000000" w:rsidR="00000000" w:rsidRPr="00000000">
              <w:rPr>
                <w:sz w:val="12"/>
                <w:szCs w:val="12"/>
                <w:rtl w:val="0"/>
              </w:rPr>
              <w:t xml:space="preserve">2</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D2">
            <w:pPr>
              <w:widowControl w:val="0"/>
              <w:spacing w:line="240" w:lineRule="auto"/>
              <w:jc w:val="left"/>
              <w:rPr>
                <w:sz w:val="12"/>
                <w:szCs w:val="12"/>
              </w:rPr>
            </w:pPr>
            <w:r w:rsidDel="00000000" w:rsidR="00000000" w:rsidRPr="00000000">
              <w:rPr>
                <w:sz w:val="12"/>
                <w:szCs w:val="12"/>
                <w:rtl w:val="0"/>
              </w:rPr>
              <w:t xml:space="preserve">2</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D3">
            <w:pPr>
              <w:widowControl w:val="0"/>
              <w:spacing w:line="240" w:lineRule="auto"/>
              <w:jc w:val="left"/>
              <w:rPr>
                <w:sz w:val="12"/>
                <w:szCs w:val="12"/>
              </w:rPr>
            </w:pPr>
            <w:r w:rsidDel="00000000" w:rsidR="00000000" w:rsidRPr="00000000">
              <w:rPr>
                <w:sz w:val="12"/>
                <w:szCs w:val="12"/>
                <w:rtl w:val="0"/>
              </w:rPr>
              <w:t xml:space="preserve">2</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D4">
            <w:pPr>
              <w:widowControl w:val="0"/>
              <w:spacing w:line="240" w:lineRule="auto"/>
              <w:jc w:val="left"/>
              <w:rPr>
                <w:sz w:val="12"/>
                <w:szCs w:val="12"/>
              </w:rPr>
            </w:pPr>
            <w:r w:rsidDel="00000000" w:rsidR="00000000" w:rsidRPr="00000000">
              <w:rPr>
                <w:sz w:val="12"/>
                <w:szCs w:val="12"/>
                <w:rtl w:val="0"/>
              </w:rPr>
              <w:t xml:space="preserve">1</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jc w:val="left"/>
              <w:rPr>
                <w:sz w:val="12"/>
                <w:szCs w:val="12"/>
              </w:rPr>
            </w:pPr>
            <w:r w:rsidDel="00000000" w:rsidR="00000000" w:rsidRPr="00000000">
              <w:rPr>
                <w:sz w:val="12"/>
                <w:szCs w:val="12"/>
                <w:rtl w:val="0"/>
              </w:rPr>
              <w:t xml:space="preserve">3</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D6">
            <w:pPr>
              <w:widowControl w:val="0"/>
              <w:spacing w:line="240" w:lineRule="auto"/>
              <w:jc w:val="left"/>
              <w:rPr>
                <w:sz w:val="12"/>
                <w:szCs w:val="12"/>
              </w:rPr>
            </w:pPr>
            <w:r w:rsidDel="00000000" w:rsidR="00000000" w:rsidRPr="00000000">
              <w:rPr>
                <w:sz w:val="12"/>
                <w:szCs w:val="12"/>
                <w:rtl w:val="0"/>
              </w:rPr>
              <w:t xml:space="preserve">3</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jc w:val="left"/>
              <w:rPr>
                <w:sz w:val="12"/>
                <w:szCs w:val="12"/>
              </w:rPr>
            </w:pPr>
            <w:r w:rsidDel="00000000" w:rsidR="00000000" w:rsidRPr="00000000">
              <w:rPr>
                <w:sz w:val="12"/>
                <w:szCs w:val="12"/>
                <w:rtl w:val="0"/>
              </w:rPr>
              <w:t xml:space="preserve">3</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jc w:val="left"/>
              <w:rPr>
                <w:sz w:val="12"/>
                <w:szCs w:val="12"/>
              </w:rPr>
            </w:pPr>
            <w:r w:rsidDel="00000000" w:rsidR="00000000" w:rsidRPr="00000000">
              <w:rPr>
                <w:sz w:val="12"/>
                <w:szCs w:val="12"/>
                <w:rtl w:val="0"/>
              </w:rPr>
              <w:t xml:space="preserve">1</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D9">
            <w:pPr>
              <w:widowControl w:val="0"/>
              <w:spacing w:line="240" w:lineRule="auto"/>
              <w:jc w:val="left"/>
              <w:rPr>
                <w:sz w:val="12"/>
                <w:szCs w:val="12"/>
              </w:rPr>
            </w:pPr>
            <w:r w:rsidDel="00000000" w:rsidR="00000000" w:rsidRPr="00000000">
              <w:rPr>
                <w:sz w:val="12"/>
                <w:szCs w:val="12"/>
                <w:rtl w:val="0"/>
              </w:rPr>
              <w:t xml:space="preserve">2.125</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jc w:val="left"/>
              <w:rPr>
                <w:sz w:val="12"/>
                <w:szCs w:val="12"/>
              </w:rPr>
            </w:pPr>
            <w:r w:rsidDel="00000000" w:rsidR="00000000" w:rsidRPr="00000000">
              <w:rPr>
                <w:sz w:val="12"/>
                <w:szCs w:val="12"/>
                <w:rtl w:val="0"/>
              </w:rPr>
              <w:t xml:space="preserve">High</w:t>
            </w:r>
          </w:p>
        </w:tc>
      </w:tr>
      <w:tr>
        <w:trPr>
          <w:cantSplit w:val="0"/>
          <w:tblHeader w:val="0"/>
        </w:trPr>
        <w:tc>
          <w:tcPr>
            <w:tcBorders>
              <w:top w:color="000000" w:space="0" w:sz="0" w:val="nil"/>
              <w:left w:color="c6c6c6" w:space="0" w:sz="6" w:val="single"/>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jc w:val="left"/>
              <w:rPr>
                <w:sz w:val="12"/>
                <w:szCs w:val="12"/>
              </w:rPr>
            </w:pPr>
            <w:r w:rsidDel="00000000" w:rsidR="00000000" w:rsidRPr="00000000">
              <w:rPr>
                <w:sz w:val="12"/>
                <w:szCs w:val="12"/>
                <w:rtl w:val="0"/>
              </w:rPr>
              <w:t xml:space="preserve">15</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jc w:val="left"/>
              <w:rPr>
                <w:sz w:val="12"/>
                <w:szCs w:val="12"/>
              </w:rPr>
            </w:pPr>
            <w:r w:rsidDel="00000000" w:rsidR="00000000" w:rsidRPr="00000000">
              <w:rPr>
                <w:sz w:val="12"/>
                <w:szCs w:val="12"/>
                <w:rtl w:val="0"/>
              </w:rPr>
              <w:t xml:space="preserve">2</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jc w:val="left"/>
              <w:rPr>
                <w:sz w:val="12"/>
                <w:szCs w:val="12"/>
              </w:rPr>
            </w:pPr>
            <w:r w:rsidDel="00000000" w:rsidR="00000000" w:rsidRPr="00000000">
              <w:rPr>
                <w:sz w:val="12"/>
                <w:szCs w:val="12"/>
                <w:rtl w:val="0"/>
              </w:rPr>
              <w:t xml:space="preserve">3</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jc w:val="left"/>
              <w:rPr>
                <w:sz w:val="12"/>
                <w:szCs w:val="12"/>
              </w:rPr>
            </w:pPr>
            <w:r w:rsidDel="00000000" w:rsidR="00000000" w:rsidRPr="00000000">
              <w:rPr>
                <w:sz w:val="12"/>
                <w:szCs w:val="12"/>
                <w:rtl w:val="0"/>
              </w:rPr>
              <w:t xml:space="preserve">1</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jc w:val="left"/>
              <w:rPr>
                <w:sz w:val="12"/>
                <w:szCs w:val="12"/>
              </w:rPr>
            </w:pPr>
            <w:r w:rsidDel="00000000" w:rsidR="00000000" w:rsidRPr="00000000">
              <w:rPr>
                <w:sz w:val="12"/>
                <w:szCs w:val="12"/>
                <w:rtl w:val="0"/>
              </w:rPr>
              <w:t xml:space="preserve">1</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jc w:val="left"/>
              <w:rPr>
                <w:sz w:val="12"/>
                <w:szCs w:val="12"/>
              </w:rPr>
            </w:pPr>
            <w:r w:rsidDel="00000000" w:rsidR="00000000" w:rsidRPr="00000000">
              <w:rPr>
                <w:sz w:val="12"/>
                <w:szCs w:val="12"/>
                <w:rtl w:val="0"/>
              </w:rPr>
              <w:t xml:space="preserve">1</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jc w:val="left"/>
              <w:rPr>
                <w:sz w:val="12"/>
                <w:szCs w:val="12"/>
              </w:rPr>
            </w:pPr>
            <w:r w:rsidDel="00000000" w:rsidR="00000000" w:rsidRPr="00000000">
              <w:rPr>
                <w:sz w:val="12"/>
                <w:szCs w:val="12"/>
                <w:rtl w:val="0"/>
              </w:rPr>
              <w:t xml:space="preserve">3</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jc w:val="left"/>
              <w:rPr>
                <w:sz w:val="12"/>
                <w:szCs w:val="12"/>
              </w:rPr>
            </w:pPr>
            <w:r w:rsidDel="00000000" w:rsidR="00000000" w:rsidRPr="00000000">
              <w:rPr>
                <w:sz w:val="12"/>
                <w:szCs w:val="12"/>
                <w:rtl w:val="0"/>
              </w:rPr>
              <w:t xml:space="preserve">1</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E3">
            <w:pPr>
              <w:widowControl w:val="0"/>
              <w:spacing w:line="240" w:lineRule="auto"/>
              <w:jc w:val="left"/>
              <w:rPr>
                <w:sz w:val="12"/>
                <w:szCs w:val="12"/>
              </w:rPr>
            </w:pPr>
            <w:r w:rsidDel="00000000" w:rsidR="00000000" w:rsidRPr="00000000">
              <w:rPr>
                <w:sz w:val="12"/>
                <w:szCs w:val="12"/>
                <w:rtl w:val="0"/>
              </w:rPr>
              <w:t xml:space="preserve">1</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E4">
            <w:pPr>
              <w:widowControl w:val="0"/>
              <w:spacing w:line="240" w:lineRule="auto"/>
              <w:jc w:val="left"/>
              <w:rPr>
                <w:sz w:val="12"/>
                <w:szCs w:val="12"/>
              </w:rPr>
            </w:pPr>
            <w:r w:rsidDel="00000000" w:rsidR="00000000" w:rsidRPr="00000000">
              <w:rPr>
                <w:sz w:val="12"/>
                <w:szCs w:val="12"/>
                <w:rtl w:val="0"/>
              </w:rPr>
              <w:t xml:space="preserve">1.625</w:t>
            </w:r>
          </w:p>
        </w:tc>
        <w:tc>
          <w:tcPr>
            <w:tcBorders>
              <w:top w:color="000000" w:space="0" w:sz="0" w:val="nil"/>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E5">
            <w:pPr>
              <w:widowControl w:val="0"/>
              <w:spacing w:line="240" w:lineRule="auto"/>
              <w:jc w:val="left"/>
              <w:rPr>
                <w:sz w:val="12"/>
                <w:szCs w:val="12"/>
              </w:rPr>
            </w:pPr>
            <w:r w:rsidDel="00000000" w:rsidR="00000000" w:rsidRPr="00000000">
              <w:rPr>
                <w:sz w:val="12"/>
                <w:szCs w:val="12"/>
                <w:rtl w:val="0"/>
              </w:rPr>
              <w:t xml:space="preserve">Moderate</w:t>
            </w:r>
          </w:p>
        </w:tc>
      </w:tr>
      <w:tr>
        <w:trPr>
          <w:cantSplit w:val="0"/>
          <w:tblHeader w:val="0"/>
        </w:trPr>
        <w:tc>
          <w:tcPr>
            <w:tcBorders>
              <w:top w:color="c6c6c6" w:space="0" w:sz="6" w:val="single"/>
              <w:left w:color="c6c6c6" w:space="0" w:sz="6" w:val="single"/>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E6">
            <w:pPr>
              <w:widowControl w:val="0"/>
              <w:spacing w:line="240" w:lineRule="auto"/>
              <w:jc w:val="left"/>
              <w:rPr>
                <w:sz w:val="12"/>
                <w:szCs w:val="12"/>
              </w:rPr>
            </w:pPr>
            <w:r w:rsidDel="00000000" w:rsidR="00000000" w:rsidRPr="00000000">
              <w:rPr>
                <w:sz w:val="12"/>
                <w:szCs w:val="12"/>
                <w:rtl w:val="0"/>
              </w:rPr>
              <w:t xml:space="preserve">Property</w:t>
            </w:r>
          </w:p>
        </w:tc>
        <w:tc>
          <w:tcPr>
            <w:tcBorders>
              <w:top w:color="c6c6c6" w:space="0" w:sz="6" w:val="single"/>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E7">
            <w:pPr>
              <w:widowControl w:val="0"/>
              <w:spacing w:line="240" w:lineRule="auto"/>
              <w:jc w:val="left"/>
              <w:rPr>
                <w:sz w:val="12"/>
                <w:szCs w:val="12"/>
              </w:rPr>
            </w:pPr>
            <w:r w:rsidDel="00000000" w:rsidR="00000000" w:rsidRPr="00000000">
              <w:rPr>
                <w:sz w:val="12"/>
                <w:szCs w:val="12"/>
                <w:rtl w:val="0"/>
              </w:rPr>
              <w:t xml:space="preserve">Volc</w:t>
            </w:r>
          </w:p>
        </w:tc>
        <w:tc>
          <w:tcPr>
            <w:tcBorders>
              <w:top w:color="c6c6c6" w:space="0" w:sz="6" w:val="single"/>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E8">
            <w:pPr>
              <w:widowControl w:val="0"/>
              <w:spacing w:line="240" w:lineRule="auto"/>
              <w:jc w:val="left"/>
              <w:rPr>
                <w:sz w:val="12"/>
                <w:szCs w:val="12"/>
              </w:rPr>
            </w:pPr>
            <w:r w:rsidDel="00000000" w:rsidR="00000000" w:rsidRPr="00000000">
              <w:rPr>
                <w:sz w:val="12"/>
                <w:szCs w:val="12"/>
                <w:rtl w:val="0"/>
              </w:rPr>
              <w:t xml:space="preserve">Fault</w:t>
            </w:r>
          </w:p>
        </w:tc>
        <w:tc>
          <w:tcPr>
            <w:tcBorders>
              <w:top w:color="c6c6c6" w:space="0" w:sz="6" w:val="single"/>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E9">
            <w:pPr>
              <w:widowControl w:val="0"/>
              <w:spacing w:line="240" w:lineRule="auto"/>
              <w:jc w:val="left"/>
              <w:rPr>
                <w:sz w:val="12"/>
                <w:szCs w:val="12"/>
              </w:rPr>
            </w:pPr>
            <w:r w:rsidDel="00000000" w:rsidR="00000000" w:rsidRPr="00000000">
              <w:rPr>
                <w:sz w:val="12"/>
                <w:szCs w:val="12"/>
                <w:rtl w:val="0"/>
              </w:rPr>
              <w:t xml:space="preserve">Flood</w:t>
            </w:r>
          </w:p>
        </w:tc>
        <w:tc>
          <w:tcPr>
            <w:tcBorders>
              <w:top w:color="c6c6c6" w:space="0" w:sz="6" w:val="single"/>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EA">
            <w:pPr>
              <w:widowControl w:val="0"/>
              <w:spacing w:line="240" w:lineRule="auto"/>
              <w:jc w:val="left"/>
              <w:rPr>
                <w:sz w:val="12"/>
                <w:szCs w:val="12"/>
              </w:rPr>
            </w:pPr>
            <w:r w:rsidDel="00000000" w:rsidR="00000000" w:rsidRPr="00000000">
              <w:rPr>
                <w:sz w:val="12"/>
                <w:szCs w:val="12"/>
                <w:rtl w:val="0"/>
              </w:rPr>
              <w:t xml:space="preserve">LS</w:t>
            </w:r>
          </w:p>
        </w:tc>
        <w:tc>
          <w:tcPr>
            <w:tcBorders>
              <w:top w:color="c6c6c6" w:space="0" w:sz="6" w:val="single"/>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EB">
            <w:pPr>
              <w:widowControl w:val="0"/>
              <w:spacing w:line="240" w:lineRule="auto"/>
              <w:jc w:val="left"/>
              <w:rPr>
                <w:sz w:val="12"/>
                <w:szCs w:val="12"/>
              </w:rPr>
            </w:pPr>
            <w:r w:rsidDel="00000000" w:rsidR="00000000" w:rsidRPr="00000000">
              <w:rPr>
                <w:sz w:val="12"/>
                <w:szCs w:val="12"/>
                <w:rtl w:val="0"/>
              </w:rPr>
              <w:t xml:space="preserve">Liq</w:t>
            </w:r>
          </w:p>
        </w:tc>
        <w:tc>
          <w:tcPr>
            <w:tcBorders>
              <w:top w:color="c6c6c6" w:space="0" w:sz="6" w:val="single"/>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EC">
            <w:pPr>
              <w:widowControl w:val="0"/>
              <w:spacing w:line="240" w:lineRule="auto"/>
              <w:jc w:val="left"/>
              <w:rPr>
                <w:sz w:val="12"/>
                <w:szCs w:val="12"/>
              </w:rPr>
            </w:pPr>
            <w:r w:rsidDel="00000000" w:rsidR="00000000" w:rsidRPr="00000000">
              <w:rPr>
                <w:sz w:val="12"/>
                <w:szCs w:val="12"/>
                <w:rtl w:val="0"/>
              </w:rPr>
              <w:t xml:space="preserve">GS</w:t>
            </w:r>
          </w:p>
        </w:tc>
        <w:tc>
          <w:tcPr>
            <w:tcBorders>
              <w:top w:color="c6c6c6" w:space="0" w:sz="6" w:val="single"/>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ED">
            <w:pPr>
              <w:widowControl w:val="0"/>
              <w:spacing w:line="240" w:lineRule="auto"/>
              <w:jc w:val="left"/>
              <w:rPr>
                <w:sz w:val="12"/>
                <w:szCs w:val="12"/>
              </w:rPr>
            </w:pPr>
            <w:r w:rsidDel="00000000" w:rsidR="00000000" w:rsidRPr="00000000">
              <w:rPr>
                <w:sz w:val="12"/>
                <w:szCs w:val="12"/>
                <w:rtl w:val="0"/>
              </w:rPr>
              <w:t xml:space="preserve">Tsunami</w:t>
            </w:r>
          </w:p>
        </w:tc>
        <w:tc>
          <w:tcPr>
            <w:tcBorders>
              <w:top w:color="c6c6c6" w:space="0" w:sz="6" w:val="single"/>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EE">
            <w:pPr>
              <w:widowControl w:val="0"/>
              <w:spacing w:line="240" w:lineRule="auto"/>
              <w:jc w:val="left"/>
              <w:rPr>
                <w:sz w:val="12"/>
                <w:szCs w:val="12"/>
              </w:rPr>
            </w:pPr>
            <w:r w:rsidDel="00000000" w:rsidR="00000000" w:rsidRPr="00000000">
              <w:rPr>
                <w:sz w:val="12"/>
                <w:szCs w:val="12"/>
                <w:rtl w:val="0"/>
              </w:rPr>
              <w:t xml:space="preserve">EIL</w:t>
            </w:r>
          </w:p>
        </w:tc>
        <w:tc>
          <w:tcPr>
            <w:tcBorders>
              <w:top w:color="c6c6c6" w:space="0" w:sz="6" w:val="single"/>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EF">
            <w:pPr>
              <w:widowControl w:val="0"/>
              <w:spacing w:line="240" w:lineRule="auto"/>
              <w:jc w:val="left"/>
              <w:rPr>
                <w:sz w:val="12"/>
                <w:szCs w:val="12"/>
              </w:rPr>
            </w:pPr>
            <w:r w:rsidDel="00000000" w:rsidR="00000000" w:rsidRPr="00000000">
              <w:rPr>
                <w:sz w:val="12"/>
                <w:szCs w:val="12"/>
                <w:rtl w:val="0"/>
              </w:rPr>
              <w:t xml:space="preserve">AHP Score</w:t>
            </w:r>
          </w:p>
        </w:tc>
        <w:tc>
          <w:tcPr>
            <w:tcBorders>
              <w:top w:color="c6c6c6" w:space="0" w:sz="6" w:val="single"/>
              <w:left w:color="000000" w:space="0" w:sz="0" w:val="nil"/>
              <w:bottom w:color="c6c6c6" w:space="0" w:sz="6" w:val="single"/>
              <w:right w:color="c6c6c6" w:space="0" w:sz="6" w:val="single"/>
            </w:tcBorders>
            <w:tcMar>
              <w:top w:w="100.0" w:type="dxa"/>
              <w:left w:w="100.0" w:type="dxa"/>
              <w:bottom w:w="100.0" w:type="dxa"/>
              <w:right w:w="100.0" w:type="dxa"/>
            </w:tcMar>
            <w:vAlign w:val="top"/>
          </w:tcPr>
          <w:p w:rsidR="00000000" w:rsidDel="00000000" w:rsidP="00000000" w:rsidRDefault="00000000" w:rsidRPr="00000000" w14:paraId="000000F0">
            <w:pPr>
              <w:widowControl w:val="0"/>
              <w:spacing w:line="240" w:lineRule="auto"/>
              <w:jc w:val="left"/>
              <w:rPr>
                <w:sz w:val="12"/>
                <w:szCs w:val="12"/>
              </w:rPr>
            </w:pPr>
            <w:r w:rsidDel="00000000" w:rsidR="00000000" w:rsidRPr="00000000">
              <w:rPr>
                <w:sz w:val="12"/>
                <w:szCs w:val="12"/>
                <w:rtl w:val="0"/>
              </w:rPr>
              <w:t xml:space="preserve">Final Category</w:t>
            </w:r>
          </w:p>
        </w:tc>
      </w:tr>
    </w:tbl>
    <w:p w:rsidR="00000000" w:rsidDel="00000000" w:rsidP="00000000" w:rsidRDefault="00000000" w:rsidRPr="00000000" w14:paraId="000000F1">
      <w:pPr>
        <w:spacing w:after="240" w:before="240" w:lineRule="auto"/>
        <w:rPr/>
      </w:pPr>
      <w:r w:rsidDel="00000000" w:rsidR="00000000" w:rsidRPr="00000000">
        <w:rPr>
          <w:rtl w:val="0"/>
        </w:rPr>
      </w:r>
    </w:p>
    <w:p w:rsidR="00000000" w:rsidDel="00000000" w:rsidP="00000000" w:rsidRDefault="00000000" w:rsidRPr="00000000" w14:paraId="000000F2">
      <w:pPr>
        <w:spacing w:after="80" w:before="380" w:line="240" w:lineRule="auto"/>
        <w:ind w:left="280"/>
        <w:jc w:val="left"/>
        <w:rPr>
          <w:b w:val="1"/>
          <w:bCs w:val="1"/>
          <w:sz w:val="22"/>
          <w:szCs w:val="22"/>
        </w:rPr>
      </w:pPr>
      <w:r w:rsidDel="00000000" w:rsidR="00000000" w:rsidRPr="00000000">
        <w:rPr>
          <w:sz w:val="22"/>
          <w:szCs w:val="22"/>
          <w:rtl w:val="0"/>
        </w:rPr>
        <w:t xml:space="preserve">3.2</w:t>
      </w:r>
      <w:r w:rsidDel="00000000" w:rsidR="00000000" w:rsidRPr="00000000">
        <w:rPr>
          <w:b w:val="1"/>
          <w:bCs w:val="1"/>
          <w:sz w:val="22"/>
          <w:szCs w:val="22"/>
          <w:rtl w:val="0"/>
        </w:rPr>
        <w:t xml:space="preserve"> Risk Scores</w:t>
      </w:r>
    </w:p>
    <w:p w:rsidR="00000000" w:rsidDel="00000000" w:rsidP="00000000" w:rsidRDefault="00000000" w:rsidRPr="00000000" w14:paraId="000000F3">
      <w:pPr>
        <w:spacing w:after="240" w:before="240" w:lineRule="auto"/>
        <w:rPr/>
      </w:pPr>
      <w:r w:rsidDel="00000000" w:rsidR="00000000" w:rsidRPr="00000000">
        <w:rPr>
          <w:rtl w:val="0"/>
        </w:rPr>
        <w:t xml:space="preserve">The computed results indicate that the majority of properties fall under the moderate-risk category, primarily due to consistently high ground shaking values. Only a few properties were classified as high risk, typically influenced by proximity to fault lines and the presence of multiple hazard factors. </w:t>
      </w:r>
    </w:p>
    <w:p w:rsidR="00000000" w:rsidDel="00000000" w:rsidP="00000000" w:rsidRDefault="00000000" w:rsidRPr="00000000" w14:paraId="000000F4">
      <w:pPr>
        <w:spacing w:after="80" w:before="380" w:line="240" w:lineRule="auto"/>
        <w:ind w:left="280"/>
        <w:jc w:val="left"/>
        <w:rPr>
          <w:b w:val="1"/>
          <w:bCs w:val="1"/>
          <w:sz w:val="22"/>
          <w:szCs w:val="22"/>
        </w:rPr>
      </w:pPr>
      <w:r w:rsidDel="00000000" w:rsidR="00000000" w:rsidRPr="00000000">
        <w:rPr>
          <w:sz w:val="22"/>
          <w:szCs w:val="22"/>
          <w:rtl w:val="0"/>
        </w:rPr>
        <w:t xml:space="preserve">3.3</w:t>
      </w:r>
      <w:r w:rsidDel="00000000" w:rsidR="00000000" w:rsidRPr="00000000">
        <w:rPr>
          <w:b w:val="1"/>
          <w:bCs w:val="1"/>
          <w:sz w:val="22"/>
          <w:szCs w:val="22"/>
          <w:rtl w:val="0"/>
        </w:rPr>
        <w:t xml:space="preserve"> Visualization </w:t>
      </w:r>
    </w:p>
    <w:p w:rsidR="00000000" w:rsidDel="00000000" w:rsidP="00000000" w:rsidRDefault="00000000" w:rsidRPr="00000000" w14:paraId="000000F5">
      <w:pPr>
        <w:spacing w:after="240" w:before="240" w:lineRule="auto"/>
        <w:rPr/>
      </w:pPr>
      <w:r w:rsidDel="00000000" w:rsidR="00000000" w:rsidRPr="00000000">
        <w:rPr>
          <w:rtl w:val="0"/>
        </w:rPr>
        <w:t xml:space="preserve">Hazard maps and composite risk maps were generated in QGIS. Additionally, the web application provided an interactive interface where users can input a location and receive hazard assessments in real time.</w:t>
      </w:r>
    </w:p>
    <w:p w:rsidR="00000000" w:rsidDel="00000000" w:rsidP="00000000" w:rsidRDefault="00000000" w:rsidRPr="00000000" w14:paraId="000000F6">
      <w:pPr>
        <w:spacing w:after="240" w:before="240" w:lineRule="auto"/>
        <w:rPr/>
      </w:pPr>
      <w:r w:rsidDel="00000000" w:rsidR="00000000" w:rsidRPr="00000000">
        <w:rPr/>
        <w:drawing>
          <wp:inline distB="114300" distT="114300" distL="114300" distR="114300">
            <wp:extent cx="2233613" cy="3007716"/>
            <wp:effectExtent b="0" l="0" r="0" t="0"/>
            <wp:docPr id="1"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2233613" cy="3007716"/>
                    </a:xfrm>
                    <a:prstGeom prst="rect"/>
                    <a:ln/>
                  </pic:spPr>
                </pic:pic>
              </a:graphicData>
            </a:graphic>
          </wp:inline>
        </w:drawing>
      </w:r>
      <w:r w:rsidDel="00000000" w:rsidR="00000000" w:rsidRPr="00000000">
        <w:rPr>
          <w:rtl w:val="0"/>
        </w:rPr>
      </w:r>
    </w:p>
    <w:p w:rsidR="00000000" w:rsidDel="00000000" w:rsidP="00000000" w:rsidRDefault="00000000" w:rsidRPr="00000000" w14:paraId="000000F7">
      <w:pPr>
        <w:pBdr>
          <w:top w:space="0" w:sz="0" w:val="nil"/>
          <w:left w:space="0" w:sz="0" w:val="nil"/>
          <w:bottom w:space="0" w:sz="0" w:val="nil"/>
          <w:right w:space="0" w:sz="0" w:val="nil"/>
          <w:between w:space="0" w:sz="0" w:val="nil"/>
        </w:pBdr>
        <w:spacing w:after="40" w:before="220" w:line="240" w:lineRule="auto"/>
        <w:jc w:val="left"/>
        <w:rPr>
          <w:b w:val="1"/>
          <w:bCs w:val="1"/>
          <w:sz w:val="22"/>
          <w:szCs w:val="22"/>
        </w:rPr>
      </w:pPr>
      <w:r w:rsidDel="00000000" w:rsidR="00000000" w:rsidRPr="00000000">
        <w:rPr>
          <w:sz w:val="22"/>
          <w:szCs w:val="22"/>
          <w:rtl w:val="0"/>
        </w:rPr>
        <w:t xml:space="preserve">4 </w:t>
      </w:r>
      <w:r w:rsidDel="00000000" w:rsidR="00000000" w:rsidRPr="00000000">
        <w:rPr>
          <w:b w:val="1"/>
          <w:bCs w:val="1"/>
          <w:sz w:val="22"/>
          <w:szCs w:val="22"/>
          <w:rtl w:val="0"/>
        </w:rPr>
        <w:t xml:space="preserve">Conclusion</w:t>
      </w:r>
    </w:p>
    <w:p w:rsidR="00000000" w:rsidDel="00000000" w:rsidP="00000000" w:rsidRDefault="00000000" w:rsidRPr="00000000" w14:paraId="000000F8">
      <w:pPr>
        <w:spacing w:after="240" w:before="240" w:lineRule="auto"/>
        <w:rPr/>
      </w:pPr>
      <w:r w:rsidDel="00000000" w:rsidR="00000000" w:rsidRPr="00000000">
        <w:rPr>
          <w:rtl w:val="0"/>
        </w:rPr>
        <w:t xml:space="preserve">The usefulness of combining GIS and AHP for multi-hazard risk assessment in real estate applications is demonstrated by this study. The created method offers a useful decision-support tool for property assessment and permits the systematic evaluation of environmental concerns.</w:t>
      </w:r>
    </w:p>
    <w:p w:rsidR="00000000" w:rsidDel="00000000" w:rsidP="00000000" w:rsidRDefault="00000000" w:rsidRPr="00000000" w14:paraId="000000F9">
      <w:pPr>
        <w:spacing w:after="240" w:before="240" w:lineRule="auto"/>
        <w:rPr/>
      </w:pPr>
      <w:r w:rsidDel="00000000" w:rsidR="00000000" w:rsidRPr="00000000">
        <w:rPr>
          <w:rtl w:val="0"/>
        </w:rPr>
        <w:t xml:space="preserve">Automation with web-based visualization and QGIS ModelBuilder improves scalability, reproducibility, and usability. Based on hazard exposure, the framework can help developers, planners, and real estate purchasers make well-informed judgments. </w:t>
      </w:r>
    </w:p>
    <w:p w:rsidR="00000000" w:rsidDel="00000000" w:rsidP="00000000" w:rsidRDefault="00000000" w:rsidRPr="00000000" w14:paraId="000000FA">
      <w:pPr>
        <w:pBdr>
          <w:top w:space="0" w:sz="0" w:val="nil"/>
          <w:left w:space="0" w:sz="0" w:val="nil"/>
          <w:bottom w:space="0" w:sz="0" w:val="nil"/>
          <w:right w:space="0" w:sz="0" w:val="nil"/>
          <w:between w:space="0" w:sz="0" w:val="nil"/>
        </w:pBdr>
        <w:spacing w:after="40" w:before="220" w:line="240" w:lineRule="auto"/>
        <w:jc w:val="left"/>
        <w:rPr>
          <w:b w:val="1"/>
          <w:bCs w:val="1"/>
          <w:color w:val="000000"/>
          <w:sz w:val="22"/>
          <w:szCs w:val="22"/>
        </w:rPr>
      </w:pPr>
      <w:r w:rsidDel="00000000" w:rsidR="00000000" w:rsidRPr="00000000">
        <w:rPr>
          <w:b w:val="1"/>
          <w:bCs w:val="1"/>
          <w:color w:val="000000"/>
          <w:sz w:val="22"/>
          <w:szCs w:val="22"/>
          <w:rtl w:val="0"/>
        </w:rPr>
        <w:t xml:space="preserve">ACKNOWLEDGMENTS</w:t>
      </w:r>
    </w:p>
    <w:p w:rsidR="00000000" w:rsidDel="00000000" w:rsidP="00000000" w:rsidRDefault="00000000" w:rsidRPr="00000000" w14:paraId="000000FB">
      <w:pPr>
        <w:spacing w:after="240" w:before="240" w:lineRule="auto"/>
        <w:rPr/>
      </w:pPr>
      <w:r w:rsidDel="00000000" w:rsidR="00000000" w:rsidRPr="00000000">
        <w:rPr>
          <w:rtl w:val="0"/>
        </w:rPr>
        <w:t xml:space="preserve">The researchers would like to thank the University of San Carlos, their research adviser, and government agencies such as PHIVOLCS, PAGASA, UP NOAH, and DENR-MGB for providing essential datasets.</w:t>
      </w:r>
    </w:p>
    <w:p w:rsidR="00000000" w:rsidDel="00000000" w:rsidP="00000000" w:rsidRDefault="00000000" w:rsidRPr="00000000" w14:paraId="000000FC">
      <w:pPr>
        <w:pBdr>
          <w:top w:space="0" w:sz="0" w:val="nil"/>
          <w:left w:space="0" w:sz="0" w:val="nil"/>
          <w:bottom w:space="0" w:sz="0" w:val="nil"/>
          <w:right w:space="0" w:sz="0" w:val="nil"/>
          <w:between w:space="0" w:sz="0" w:val="nil"/>
        </w:pBdr>
        <w:spacing w:after="40" w:before="200" w:line="240" w:lineRule="auto"/>
        <w:jc w:val="left"/>
        <w:rPr>
          <w:b w:val="1"/>
          <w:bCs w:val="1"/>
          <w:color w:val="000000"/>
          <w:sz w:val="22"/>
          <w:szCs w:val="22"/>
        </w:rPr>
      </w:pPr>
      <w:r w:rsidDel="00000000" w:rsidR="00000000" w:rsidRPr="00000000">
        <w:rPr>
          <w:b w:val="1"/>
          <w:bCs w:val="1"/>
          <w:color w:val="000000"/>
          <w:sz w:val="22"/>
          <w:szCs w:val="22"/>
          <w:rtl w:val="0"/>
        </w:rPr>
        <w:t xml:space="preserve">REFERENCES</w:t>
      </w:r>
    </w:p>
    <w:p w:rsidR="00000000" w:rsidDel="00000000" w:rsidP="00000000" w:rsidRDefault="00000000" w:rsidRPr="00000000" w14:paraId="000000FD">
      <w:pPr>
        <w:spacing w:after="0" w:before="240" w:line="240" w:lineRule="auto"/>
        <w:jc w:val="left"/>
        <w:rPr>
          <w:sz w:val="14"/>
          <w:szCs w:val="14"/>
        </w:rPr>
      </w:pPr>
      <w:r w:rsidDel="00000000" w:rsidR="00000000" w:rsidRPr="00000000">
        <w:rPr>
          <w:sz w:val="14"/>
          <w:szCs w:val="14"/>
          <w:rtl w:val="0"/>
        </w:rPr>
        <w:t xml:space="preserve">Burrough, P. A., &amp; McDonnell, R. A. (1998). </w:t>
      </w:r>
      <w:r w:rsidDel="00000000" w:rsidR="00000000" w:rsidRPr="00000000">
        <w:rPr>
          <w:i w:val="1"/>
          <w:iCs w:val="1"/>
          <w:sz w:val="14"/>
          <w:szCs w:val="14"/>
          <w:rtl w:val="0"/>
        </w:rPr>
        <w:t xml:space="preserve">Principles of geographical information systems</w:t>
      </w:r>
      <w:r w:rsidDel="00000000" w:rsidR="00000000" w:rsidRPr="00000000">
        <w:rPr>
          <w:sz w:val="14"/>
          <w:szCs w:val="14"/>
          <w:rtl w:val="0"/>
        </w:rPr>
        <w:t xml:space="preserve">. Oxford University Press.</w:t>
      </w:r>
    </w:p>
    <w:p w:rsidR="00000000" w:rsidDel="00000000" w:rsidP="00000000" w:rsidRDefault="00000000" w:rsidRPr="00000000" w14:paraId="000000FE">
      <w:pPr>
        <w:spacing w:after="0" w:before="0" w:line="240" w:lineRule="auto"/>
        <w:jc w:val="left"/>
        <w:rPr>
          <w:color w:val="1155cc"/>
          <w:sz w:val="14"/>
          <w:szCs w:val="14"/>
          <w:u w:val="single"/>
        </w:rPr>
      </w:pPr>
      <w:r w:rsidDel="00000000" w:rsidR="00000000" w:rsidRPr="00000000">
        <w:rPr>
          <w:sz w:val="14"/>
          <w:szCs w:val="14"/>
          <w:rtl w:val="0"/>
        </w:rPr>
        <w:t xml:space="preserve">Cutter, S. L., Boruff, B. J., &amp; Shirley, W. L. (2003). Social vulnerability to environmental hazards. </w:t>
      </w:r>
      <w:r w:rsidDel="00000000" w:rsidR="00000000" w:rsidRPr="00000000">
        <w:rPr>
          <w:i w:val="1"/>
          <w:iCs w:val="1"/>
          <w:sz w:val="14"/>
          <w:szCs w:val="14"/>
          <w:rtl w:val="0"/>
        </w:rPr>
        <w:t xml:space="preserve">Social Science Quarterly, 84</w:t>
      </w:r>
      <w:r w:rsidDel="00000000" w:rsidR="00000000" w:rsidRPr="00000000">
        <w:rPr>
          <w:sz w:val="14"/>
          <w:szCs w:val="14"/>
          <w:rtl w:val="0"/>
        </w:rPr>
        <w:t xml:space="preserve">(2), 242–261.</w:t>
      </w:r>
      <w:hyperlink r:id="rId11">
        <w:r w:rsidDel="00000000" w:rsidR="00000000" w:rsidRPr="00000000">
          <w:rPr>
            <w:sz w:val="14"/>
            <w:szCs w:val="14"/>
            <w:rtl w:val="0"/>
          </w:rPr>
          <w:t xml:space="preserve"> </w:t>
        </w:r>
      </w:hyperlink>
      <w:hyperlink r:id="rId12">
        <w:r w:rsidDel="00000000" w:rsidR="00000000" w:rsidRPr="00000000">
          <w:rPr>
            <w:color w:val="1155cc"/>
            <w:sz w:val="14"/>
            <w:szCs w:val="14"/>
            <w:u w:val="single"/>
            <w:rtl w:val="0"/>
          </w:rPr>
          <w:t xml:space="preserve">https://doi.org/10.1111/1540-6237.8402002</w:t>
        </w:r>
      </w:hyperlink>
      <w:r w:rsidDel="00000000" w:rsidR="00000000" w:rsidRPr="00000000">
        <w:rPr>
          <w:rtl w:val="0"/>
        </w:rPr>
      </w:r>
    </w:p>
    <w:p w:rsidR="00000000" w:rsidDel="00000000" w:rsidP="00000000" w:rsidRDefault="00000000" w:rsidRPr="00000000" w14:paraId="000000FF">
      <w:pPr>
        <w:spacing w:after="0" w:before="0" w:line="240" w:lineRule="auto"/>
        <w:jc w:val="left"/>
        <w:rPr>
          <w:color w:val="1155cc"/>
          <w:sz w:val="14"/>
          <w:szCs w:val="14"/>
          <w:u w:val="single"/>
        </w:rPr>
      </w:pPr>
      <w:r w:rsidDel="00000000" w:rsidR="00000000" w:rsidRPr="00000000">
        <w:rPr>
          <w:sz w:val="14"/>
          <w:szCs w:val="14"/>
          <w:rtl w:val="0"/>
        </w:rPr>
        <w:t xml:space="preserve">DENR-MGB. (2023). </w:t>
      </w:r>
      <w:r w:rsidDel="00000000" w:rsidR="00000000" w:rsidRPr="00000000">
        <w:rPr>
          <w:i w:val="1"/>
          <w:iCs w:val="1"/>
          <w:sz w:val="14"/>
          <w:szCs w:val="14"/>
          <w:rtl w:val="0"/>
        </w:rPr>
        <w:t xml:space="preserve">Geohazard maps and land classification data</w:t>
      </w:r>
      <w:r w:rsidDel="00000000" w:rsidR="00000000" w:rsidRPr="00000000">
        <w:rPr>
          <w:sz w:val="14"/>
          <w:szCs w:val="14"/>
          <w:rtl w:val="0"/>
        </w:rPr>
        <w:t xml:space="preserve">. Department of Environment and Natural Resources – Mines and Geosciences Bureau.</w:t>
      </w:r>
      <w:hyperlink r:id="rId13">
        <w:r w:rsidDel="00000000" w:rsidR="00000000" w:rsidRPr="00000000">
          <w:rPr>
            <w:sz w:val="14"/>
            <w:szCs w:val="14"/>
            <w:rtl w:val="0"/>
          </w:rPr>
          <w:t xml:space="preserve"> </w:t>
        </w:r>
      </w:hyperlink>
      <w:hyperlink r:id="rId14">
        <w:r w:rsidDel="00000000" w:rsidR="00000000" w:rsidRPr="00000000">
          <w:rPr>
            <w:color w:val="1155cc"/>
            <w:sz w:val="14"/>
            <w:szCs w:val="14"/>
            <w:u w:val="single"/>
            <w:rtl w:val="0"/>
          </w:rPr>
          <w:t xml:space="preserve">https://mgb.gov.ph</w:t>
        </w:r>
      </w:hyperlink>
      <w:r w:rsidDel="00000000" w:rsidR="00000000" w:rsidRPr="00000000">
        <w:rPr>
          <w:rtl w:val="0"/>
        </w:rPr>
      </w:r>
    </w:p>
    <w:p w:rsidR="00000000" w:rsidDel="00000000" w:rsidP="00000000" w:rsidRDefault="00000000" w:rsidRPr="00000000" w14:paraId="00000100">
      <w:pPr>
        <w:spacing w:after="0" w:before="0" w:line="240" w:lineRule="auto"/>
        <w:jc w:val="left"/>
        <w:rPr>
          <w:sz w:val="14"/>
          <w:szCs w:val="14"/>
        </w:rPr>
      </w:pPr>
      <w:r w:rsidDel="00000000" w:rsidR="00000000" w:rsidRPr="00000000">
        <w:rPr>
          <w:sz w:val="14"/>
          <w:szCs w:val="14"/>
          <w:rtl w:val="0"/>
        </w:rPr>
        <w:t xml:space="preserve">Eastman, J. R. (2012). </w:t>
      </w:r>
      <w:r w:rsidDel="00000000" w:rsidR="00000000" w:rsidRPr="00000000">
        <w:rPr>
          <w:i w:val="1"/>
          <w:iCs w:val="1"/>
          <w:sz w:val="14"/>
          <w:szCs w:val="14"/>
          <w:rtl w:val="0"/>
        </w:rPr>
        <w:t xml:space="preserve">IDRISI Selva tutorial: GIS and image processing</w:t>
      </w:r>
      <w:r w:rsidDel="00000000" w:rsidR="00000000" w:rsidRPr="00000000">
        <w:rPr>
          <w:sz w:val="14"/>
          <w:szCs w:val="14"/>
          <w:rtl w:val="0"/>
        </w:rPr>
        <w:t xml:space="preserve">. Clark Labs.</w:t>
      </w:r>
    </w:p>
    <w:p w:rsidR="00000000" w:rsidDel="00000000" w:rsidP="00000000" w:rsidRDefault="00000000" w:rsidRPr="00000000" w14:paraId="00000101">
      <w:pPr>
        <w:spacing w:after="0" w:before="0" w:line="240" w:lineRule="auto"/>
        <w:jc w:val="left"/>
        <w:rPr>
          <w:color w:val="1155cc"/>
          <w:sz w:val="14"/>
          <w:szCs w:val="14"/>
          <w:u w:val="single"/>
        </w:rPr>
      </w:pPr>
      <w:r w:rsidDel="00000000" w:rsidR="00000000" w:rsidRPr="00000000">
        <w:rPr>
          <w:sz w:val="14"/>
          <w:szCs w:val="14"/>
          <w:rtl w:val="0"/>
        </w:rPr>
        <w:t xml:space="preserve">Goodchild, M. F. (2007). Citizens as sensors: The world of volunteered geography. </w:t>
      </w:r>
      <w:r w:rsidDel="00000000" w:rsidR="00000000" w:rsidRPr="00000000">
        <w:rPr>
          <w:i w:val="1"/>
          <w:iCs w:val="1"/>
          <w:sz w:val="14"/>
          <w:szCs w:val="14"/>
          <w:rtl w:val="0"/>
        </w:rPr>
        <w:t xml:space="preserve">GeoJournal, 69</w:t>
      </w:r>
      <w:r w:rsidDel="00000000" w:rsidR="00000000" w:rsidRPr="00000000">
        <w:rPr>
          <w:sz w:val="14"/>
          <w:szCs w:val="14"/>
          <w:rtl w:val="0"/>
        </w:rPr>
        <w:t xml:space="preserve">(4), 211–221.</w:t>
      </w:r>
      <w:hyperlink r:id="rId15">
        <w:r w:rsidDel="00000000" w:rsidR="00000000" w:rsidRPr="00000000">
          <w:rPr>
            <w:sz w:val="14"/>
            <w:szCs w:val="14"/>
            <w:rtl w:val="0"/>
          </w:rPr>
          <w:t xml:space="preserve"> </w:t>
        </w:r>
      </w:hyperlink>
      <w:hyperlink r:id="rId16">
        <w:r w:rsidDel="00000000" w:rsidR="00000000" w:rsidRPr="00000000">
          <w:rPr>
            <w:color w:val="1155cc"/>
            <w:sz w:val="14"/>
            <w:szCs w:val="14"/>
            <w:u w:val="single"/>
            <w:rtl w:val="0"/>
          </w:rPr>
          <w:t xml:space="preserve">https://doi.org/10.1007/s10708-007-9111-y</w:t>
        </w:r>
      </w:hyperlink>
      <w:r w:rsidDel="00000000" w:rsidR="00000000" w:rsidRPr="00000000">
        <w:rPr>
          <w:rtl w:val="0"/>
        </w:rPr>
      </w:r>
    </w:p>
    <w:p w:rsidR="00000000" w:rsidDel="00000000" w:rsidP="00000000" w:rsidRDefault="00000000" w:rsidRPr="00000000" w14:paraId="00000102">
      <w:pPr>
        <w:spacing w:after="0" w:before="0" w:line="240" w:lineRule="auto"/>
        <w:jc w:val="left"/>
        <w:rPr>
          <w:sz w:val="14"/>
          <w:szCs w:val="14"/>
        </w:rPr>
      </w:pPr>
      <w:r w:rsidDel="00000000" w:rsidR="00000000" w:rsidRPr="00000000">
        <w:rPr>
          <w:sz w:val="14"/>
          <w:szCs w:val="14"/>
          <w:rtl w:val="0"/>
        </w:rPr>
        <w:t xml:space="preserve">Jensen, J. R. (2015). </w:t>
      </w:r>
      <w:r w:rsidDel="00000000" w:rsidR="00000000" w:rsidRPr="00000000">
        <w:rPr>
          <w:i w:val="1"/>
          <w:iCs w:val="1"/>
          <w:sz w:val="14"/>
          <w:szCs w:val="14"/>
          <w:rtl w:val="0"/>
        </w:rPr>
        <w:t xml:space="preserve">Introductory digital image processing: A remote sensing perspective</w:t>
      </w:r>
      <w:r w:rsidDel="00000000" w:rsidR="00000000" w:rsidRPr="00000000">
        <w:rPr>
          <w:sz w:val="14"/>
          <w:szCs w:val="14"/>
          <w:rtl w:val="0"/>
        </w:rPr>
        <w:t xml:space="preserve"> (4th ed.). Pearson.</w:t>
      </w:r>
    </w:p>
    <w:p w:rsidR="00000000" w:rsidDel="00000000" w:rsidP="00000000" w:rsidRDefault="00000000" w:rsidRPr="00000000" w14:paraId="00000103">
      <w:pPr>
        <w:spacing w:after="0" w:before="0" w:line="240" w:lineRule="auto"/>
        <w:jc w:val="left"/>
        <w:rPr>
          <w:sz w:val="14"/>
          <w:szCs w:val="14"/>
        </w:rPr>
      </w:pPr>
      <w:r w:rsidDel="00000000" w:rsidR="00000000" w:rsidRPr="00000000">
        <w:rPr>
          <w:sz w:val="14"/>
          <w:szCs w:val="14"/>
          <w:rtl w:val="0"/>
        </w:rPr>
        <w:t xml:space="preserve">Kappes, M. S., Keiler, M., von Elverfeldt, K., &amp; Glade, T. (2012). Challenges of analyzing multi-hazard risk: A review. </w:t>
      </w:r>
      <w:r w:rsidDel="00000000" w:rsidR="00000000" w:rsidRPr="00000000">
        <w:rPr>
          <w:i w:val="1"/>
          <w:iCs w:val="1"/>
          <w:sz w:val="14"/>
          <w:szCs w:val="14"/>
          <w:rtl w:val="0"/>
        </w:rPr>
        <w:t xml:space="preserve">Natural Hazards, 64</w:t>
      </w:r>
      <w:r w:rsidDel="00000000" w:rsidR="00000000" w:rsidRPr="00000000">
        <w:rPr>
          <w:sz w:val="14"/>
          <w:szCs w:val="14"/>
          <w:rtl w:val="0"/>
        </w:rPr>
        <w:t xml:space="preserve">(2), 1925–1958. https://doi.org/10.1007/s11069-012-0294-2</w:t>
      </w:r>
    </w:p>
    <w:p w:rsidR="00000000" w:rsidDel="00000000" w:rsidP="00000000" w:rsidRDefault="00000000" w:rsidRPr="00000000" w14:paraId="00000104">
      <w:pPr>
        <w:spacing w:after="0" w:before="0" w:line="240" w:lineRule="auto"/>
        <w:jc w:val="left"/>
        <w:rPr>
          <w:sz w:val="14"/>
          <w:szCs w:val="14"/>
        </w:rPr>
      </w:pPr>
      <w:r w:rsidDel="00000000" w:rsidR="00000000" w:rsidRPr="00000000">
        <w:rPr>
          <w:sz w:val="14"/>
          <w:szCs w:val="14"/>
          <w:rtl w:val="0"/>
        </w:rPr>
        <w:t xml:space="preserve">Lillesand, T., Kiefer, R. W., &amp; Chipman, J. W. (2015). </w:t>
      </w:r>
      <w:r w:rsidDel="00000000" w:rsidR="00000000" w:rsidRPr="00000000">
        <w:rPr>
          <w:i w:val="1"/>
          <w:iCs w:val="1"/>
          <w:sz w:val="14"/>
          <w:szCs w:val="14"/>
          <w:rtl w:val="0"/>
        </w:rPr>
        <w:t xml:space="preserve">Remote sensing and image interpretation</w:t>
      </w:r>
      <w:r w:rsidDel="00000000" w:rsidR="00000000" w:rsidRPr="00000000">
        <w:rPr>
          <w:sz w:val="14"/>
          <w:szCs w:val="14"/>
          <w:rtl w:val="0"/>
        </w:rPr>
        <w:t xml:space="preserve"> (7th ed.). Wiley.</w:t>
      </w:r>
    </w:p>
    <w:p w:rsidR="00000000" w:rsidDel="00000000" w:rsidP="00000000" w:rsidRDefault="00000000" w:rsidRPr="00000000" w14:paraId="00000105">
      <w:pPr>
        <w:spacing w:after="0" w:before="0" w:line="240" w:lineRule="auto"/>
        <w:jc w:val="left"/>
        <w:rPr>
          <w:sz w:val="14"/>
          <w:szCs w:val="14"/>
        </w:rPr>
      </w:pPr>
      <w:r w:rsidDel="00000000" w:rsidR="00000000" w:rsidRPr="00000000">
        <w:rPr>
          <w:sz w:val="14"/>
          <w:szCs w:val="14"/>
          <w:rtl w:val="0"/>
        </w:rPr>
        <w:t xml:space="preserve">Malczewski, J. (1999). </w:t>
      </w:r>
      <w:r w:rsidDel="00000000" w:rsidR="00000000" w:rsidRPr="00000000">
        <w:rPr>
          <w:i w:val="1"/>
          <w:iCs w:val="1"/>
          <w:sz w:val="14"/>
          <w:szCs w:val="14"/>
          <w:rtl w:val="0"/>
        </w:rPr>
        <w:t xml:space="preserve">GIS and multicriteria decision analysis</w:t>
      </w:r>
      <w:r w:rsidDel="00000000" w:rsidR="00000000" w:rsidRPr="00000000">
        <w:rPr>
          <w:sz w:val="14"/>
          <w:szCs w:val="14"/>
          <w:rtl w:val="0"/>
        </w:rPr>
        <w:t xml:space="preserve">. John Wiley &amp; Sons.</w:t>
      </w:r>
    </w:p>
    <w:p w:rsidR="00000000" w:rsidDel="00000000" w:rsidP="00000000" w:rsidRDefault="00000000" w:rsidRPr="00000000" w14:paraId="00000106">
      <w:pPr>
        <w:spacing w:after="0" w:before="0" w:line="240" w:lineRule="auto"/>
        <w:jc w:val="left"/>
        <w:rPr>
          <w:color w:val="1155cc"/>
          <w:sz w:val="14"/>
          <w:szCs w:val="14"/>
          <w:u w:val="single"/>
        </w:rPr>
      </w:pPr>
      <w:r w:rsidDel="00000000" w:rsidR="00000000" w:rsidRPr="00000000">
        <w:rPr>
          <w:sz w:val="14"/>
          <w:szCs w:val="14"/>
          <w:rtl w:val="0"/>
        </w:rPr>
        <w:t xml:space="preserve">Malczewski, J. (2006). GIS-based multicriteria decision analysis: A survey of the literature. </w:t>
      </w:r>
      <w:r w:rsidDel="00000000" w:rsidR="00000000" w:rsidRPr="00000000">
        <w:rPr>
          <w:i w:val="1"/>
          <w:iCs w:val="1"/>
          <w:sz w:val="14"/>
          <w:szCs w:val="14"/>
          <w:rtl w:val="0"/>
        </w:rPr>
        <w:t xml:space="preserve">International Journal of Geographical Information Science, 20</w:t>
      </w:r>
      <w:r w:rsidDel="00000000" w:rsidR="00000000" w:rsidRPr="00000000">
        <w:rPr>
          <w:sz w:val="14"/>
          <w:szCs w:val="14"/>
          <w:rtl w:val="0"/>
        </w:rPr>
        <w:t xml:space="preserve">(7), 703–726.</w:t>
      </w:r>
      <w:hyperlink r:id="rId17">
        <w:r w:rsidDel="00000000" w:rsidR="00000000" w:rsidRPr="00000000">
          <w:rPr>
            <w:sz w:val="14"/>
            <w:szCs w:val="14"/>
            <w:rtl w:val="0"/>
          </w:rPr>
          <w:t xml:space="preserve"> </w:t>
        </w:r>
      </w:hyperlink>
      <w:hyperlink r:id="rId18">
        <w:r w:rsidDel="00000000" w:rsidR="00000000" w:rsidRPr="00000000">
          <w:rPr>
            <w:color w:val="1155cc"/>
            <w:sz w:val="14"/>
            <w:szCs w:val="14"/>
            <w:u w:val="single"/>
            <w:rtl w:val="0"/>
          </w:rPr>
          <w:t xml:space="preserve">https://doi.org/10.1080/13658810600661508</w:t>
        </w:r>
      </w:hyperlink>
      <w:r w:rsidDel="00000000" w:rsidR="00000000" w:rsidRPr="00000000">
        <w:rPr>
          <w:rtl w:val="0"/>
        </w:rPr>
      </w:r>
    </w:p>
    <w:p w:rsidR="00000000" w:rsidDel="00000000" w:rsidP="00000000" w:rsidRDefault="00000000" w:rsidRPr="00000000" w14:paraId="00000107">
      <w:pPr>
        <w:spacing w:after="0" w:before="0" w:line="240" w:lineRule="auto"/>
        <w:jc w:val="left"/>
        <w:rPr>
          <w:color w:val="1155cc"/>
          <w:sz w:val="14"/>
          <w:szCs w:val="14"/>
          <w:u w:val="single"/>
        </w:rPr>
      </w:pPr>
      <w:r w:rsidDel="00000000" w:rsidR="00000000" w:rsidRPr="00000000">
        <w:rPr>
          <w:sz w:val="14"/>
          <w:szCs w:val="14"/>
          <w:rtl w:val="0"/>
        </w:rPr>
        <w:t xml:space="preserve">PAGASA. (2023). </w:t>
      </w:r>
      <w:r w:rsidDel="00000000" w:rsidR="00000000" w:rsidRPr="00000000">
        <w:rPr>
          <w:i w:val="1"/>
          <w:iCs w:val="1"/>
          <w:sz w:val="14"/>
          <w:szCs w:val="14"/>
          <w:rtl w:val="0"/>
        </w:rPr>
        <w:t xml:space="preserve">Meteorological and hydrological data services</w:t>
      </w:r>
      <w:r w:rsidDel="00000000" w:rsidR="00000000" w:rsidRPr="00000000">
        <w:rPr>
          <w:sz w:val="14"/>
          <w:szCs w:val="14"/>
          <w:rtl w:val="0"/>
        </w:rPr>
        <w:t xml:space="preserve">. Department of Science and Technology.</w:t>
      </w:r>
      <w:hyperlink r:id="rId19">
        <w:r w:rsidDel="00000000" w:rsidR="00000000" w:rsidRPr="00000000">
          <w:rPr>
            <w:sz w:val="14"/>
            <w:szCs w:val="14"/>
            <w:rtl w:val="0"/>
          </w:rPr>
          <w:t xml:space="preserve"> </w:t>
        </w:r>
      </w:hyperlink>
      <w:hyperlink r:id="rId20">
        <w:r w:rsidDel="00000000" w:rsidR="00000000" w:rsidRPr="00000000">
          <w:rPr>
            <w:color w:val="1155cc"/>
            <w:sz w:val="14"/>
            <w:szCs w:val="14"/>
            <w:u w:val="single"/>
            <w:rtl w:val="0"/>
          </w:rPr>
          <w:t xml:space="preserve">https://bagong.pagasa.dost.gov.ph</w:t>
        </w:r>
      </w:hyperlink>
      <w:r w:rsidDel="00000000" w:rsidR="00000000" w:rsidRPr="00000000">
        <w:rPr>
          <w:rtl w:val="0"/>
        </w:rPr>
      </w:r>
    </w:p>
    <w:p w:rsidR="00000000" w:rsidDel="00000000" w:rsidP="00000000" w:rsidRDefault="00000000" w:rsidRPr="00000000" w14:paraId="00000108">
      <w:pPr>
        <w:spacing w:after="0" w:before="0" w:line="240" w:lineRule="auto"/>
        <w:jc w:val="left"/>
        <w:rPr>
          <w:color w:val="1155cc"/>
          <w:sz w:val="14"/>
          <w:szCs w:val="14"/>
          <w:u w:val="single"/>
        </w:rPr>
      </w:pPr>
      <w:r w:rsidDel="00000000" w:rsidR="00000000" w:rsidRPr="00000000">
        <w:rPr>
          <w:sz w:val="14"/>
          <w:szCs w:val="14"/>
          <w:rtl w:val="0"/>
        </w:rPr>
        <w:t xml:space="preserve">PHIVOLCS. (2023). </w:t>
      </w:r>
      <w:r w:rsidDel="00000000" w:rsidR="00000000" w:rsidRPr="00000000">
        <w:rPr>
          <w:i w:val="1"/>
          <w:iCs w:val="1"/>
          <w:sz w:val="14"/>
          <w:szCs w:val="14"/>
          <w:rtl w:val="0"/>
        </w:rPr>
        <w:t xml:space="preserve">Hazard maps and active fault systems in the Philippines</w:t>
      </w:r>
      <w:r w:rsidDel="00000000" w:rsidR="00000000" w:rsidRPr="00000000">
        <w:rPr>
          <w:sz w:val="14"/>
          <w:szCs w:val="14"/>
          <w:rtl w:val="0"/>
        </w:rPr>
        <w:t xml:space="preserve">. Department of Science and Technology.</w:t>
      </w:r>
      <w:hyperlink r:id="rId21">
        <w:r w:rsidDel="00000000" w:rsidR="00000000" w:rsidRPr="00000000">
          <w:rPr>
            <w:sz w:val="14"/>
            <w:szCs w:val="14"/>
            <w:rtl w:val="0"/>
          </w:rPr>
          <w:t xml:space="preserve"> </w:t>
        </w:r>
      </w:hyperlink>
      <w:hyperlink r:id="rId22">
        <w:r w:rsidDel="00000000" w:rsidR="00000000" w:rsidRPr="00000000">
          <w:rPr>
            <w:color w:val="1155cc"/>
            <w:sz w:val="14"/>
            <w:szCs w:val="14"/>
            <w:u w:val="single"/>
            <w:rtl w:val="0"/>
          </w:rPr>
          <w:t xml:space="preserve">https://phivolcs.dost.gov.ph</w:t>
        </w:r>
      </w:hyperlink>
      <w:r w:rsidDel="00000000" w:rsidR="00000000" w:rsidRPr="00000000">
        <w:rPr>
          <w:rtl w:val="0"/>
        </w:rPr>
      </w:r>
    </w:p>
    <w:p w:rsidR="00000000" w:rsidDel="00000000" w:rsidP="00000000" w:rsidRDefault="00000000" w:rsidRPr="00000000" w14:paraId="00000109">
      <w:pPr>
        <w:spacing w:after="0" w:before="0" w:line="240" w:lineRule="auto"/>
        <w:jc w:val="left"/>
        <w:rPr>
          <w:sz w:val="14"/>
          <w:szCs w:val="14"/>
        </w:rPr>
      </w:pPr>
      <w:r w:rsidDel="00000000" w:rsidR="00000000" w:rsidRPr="00000000">
        <w:rPr>
          <w:sz w:val="14"/>
          <w:szCs w:val="14"/>
          <w:rtl w:val="0"/>
        </w:rPr>
        <w:t xml:space="preserve">Saaty, T. L. (1980). </w:t>
      </w:r>
      <w:r w:rsidDel="00000000" w:rsidR="00000000" w:rsidRPr="00000000">
        <w:rPr>
          <w:i w:val="1"/>
          <w:iCs w:val="1"/>
          <w:sz w:val="14"/>
          <w:szCs w:val="14"/>
          <w:rtl w:val="0"/>
        </w:rPr>
        <w:t xml:space="preserve">The analytic hierarchy process</w:t>
      </w:r>
      <w:r w:rsidDel="00000000" w:rsidR="00000000" w:rsidRPr="00000000">
        <w:rPr>
          <w:sz w:val="14"/>
          <w:szCs w:val="14"/>
          <w:rtl w:val="0"/>
        </w:rPr>
        <w:t xml:space="preserve">. McGraw-Hill.</w:t>
      </w:r>
    </w:p>
    <w:p w:rsidR="00000000" w:rsidDel="00000000" w:rsidP="00000000" w:rsidRDefault="00000000" w:rsidRPr="00000000" w14:paraId="0000010A">
      <w:pPr>
        <w:spacing w:after="0" w:before="0" w:line="240" w:lineRule="auto"/>
        <w:jc w:val="left"/>
        <w:rPr>
          <w:color w:val="1155cc"/>
          <w:sz w:val="14"/>
          <w:szCs w:val="14"/>
          <w:u w:val="single"/>
        </w:rPr>
      </w:pPr>
      <w:r w:rsidDel="00000000" w:rsidR="00000000" w:rsidRPr="00000000">
        <w:rPr>
          <w:sz w:val="14"/>
          <w:szCs w:val="14"/>
          <w:rtl w:val="0"/>
        </w:rPr>
        <w:t xml:space="preserve">Saaty, T. L. (2008). Decision making with the analytic hierarchy process. </w:t>
      </w:r>
      <w:r w:rsidDel="00000000" w:rsidR="00000000" w:rsidRPr="00000000">
        <w:rPr>
          <w:i w:val="1"/>
          <w:iCs w:val="1"/>
          <w:sz w:val="14"/>
          <w:szCs w:val="14"/>
          <w:rtl w:val="0"/>
        </w:rPr>
        <w:t xml:space="preserve">International Journal of Services Sciences, 1</w:t>
      </w:r>
      <w:r w:rsidDel="00000000" w:rsidR="00000000" w:rsidRPr="00000000">
        <w:rPr>
          <w:sz w:val="14"/>
          <w:szCs w:val="14"/>
          <w:rtl w:val="0"/>
        </w:rPr>
        <w:t xml:space="preserve">(1), 83–98.</w:t>
      </w:r>
      <w:hyperlink r:id="rId23">
        <w:r w:rsidDel="00000000" w:rsidR="00000000" w:rsidRPr="00000000">
          <w:rPr>
            <w:sz w:val="14"/>
            <w:szCs w:val="14"/>
            <w:rtl w:val="0"/>
          </w:rPr>
          <w:t xml:space="preserve"> </w:t>
        </w:r>
      </w:hyperlink>
      <w:hyperlink r:id="rId24">
        <w:r w:rsidDel="00000000" w:rsidR="00000000" w:rsidRPr="00000000">
          <w:rPr>
            <w:color w:val="1155cc"/>
            <w:sz w:val="14"/>
            <w:szCs w:val="14"/>
            <w:u w:val="single"/>
            <w:rtl w:val="0"/>
          </w:rPr>
          <w:t xml:space="preserve">https://doi.org/10.1504/IJSSCI.2008.017590</w:t>
        </w:r>
      </w:hyperlink>
      <w:r w:rsidDel="00000000" w:rsidR="00000000" w:rsidRPr="00000000">
        <w:rPr>
          <w:rtl w:val="0"/>
        </w:rPr>
      </w:r>
    </w:p>
    <w:p w:rsidR="00000000" w:rsidDel="00000000" w:rsidP="00000000" w:rsidRDefault="00000000" w:rsidRPr="00000000" w14:paraId="0000010B">
      <w:pPr>
        <w:spacing w:after="0" w:before="0" w:line="240" w:lineRule="auto"/>
        <w:jc w:val="left"/>
        <w:rPr>
          <w:color w:val="1155cc"/>
          <w:sz w:val="14"/>
          <w:szCs w:val="14"/>
          <w:u w:val="single"/>
        </w:rPr>
      </w:pPr>
      <w:r w:rsidDel="00000000" w:rsidR="00000000" w:rsidRPr="00000000">
        <w:rPr>
          <w:sz w:val="14"/>
          <w:szCs w:val="14"/>
          <w:rtl w:val="0"/>
        </w:rPr>
        <w:t xml:space="preserve">UNDRR. (2015). </w:t>
      </w:r>
      <w:r w:rsidDel="00000000" w:rsidR="00000000" w:rsidRPr="00000000">
        <w:rPr>
          <w:i w:val="1"/>
          <w:iCs w:val="1"/>
          <w:sz w:val="14"/>
          <w:szCs w:val="14"/>
          <w:rtl w:val="0"/>
        </w:rPr>
        <w:t xml:space="preserve">Sendai framework for disaster risk reduction 2015–2030</w:t>
      </w:r>
      <w:r w:rsidDel="00000000" w:rsidR="00000000" w:rsidRPr="00000000">
        <w:rPr>
          <w:sz w:val="14"/>
          <w:szCs w:val="14"/>
          <w:rtl w:val="0"/>
        </w:rPr>
        <w:t xml:space="preserve">. United Nations Office for Disaster Risk Reduction.</w:t>
      </w:r>
      <w:hyperlink r:id="rId25">
        <w:r w:rsidDel="00000000" w:rsidR="00000000" w:rsidRPr="00000000">
          <w:rPr>
            <w:sz w:val="14"/>
            <w:szCs w:val="14"/>
            <w:rtl w:val="0"/>
          </w:rPr>
          <w:t xml:space="preserve"> </w:t>
        </w:r>
      </w:hyperlink>
      <w:hyperlink r:id="rId26">
        <w:r w:rsidDel="00000000" w:rsidR="00000000" w:rsidRPr="00000000">
          <w:rPr>
            <w:color w:val="1155cc"/>
            <w:sz w:val="14"/>
            <w:szCs w:val="14"/>
            <w:u w:val="single"/>
            <w:rtl w:val="0"/>
          </w:rPr>
          <w:t xml:space="preserve">https://www.undrr.org/publication/sendai-framework-disaster-risk-reduction-2015-2030</w:t>
        </w:r>
      </w:hyperlink>
      <w:r w:rsidDel="00000000" w:rsidR="00000000" w:rsidRPr="00000000">
        <w:rPr>
          <w:rtl w:val="0"/>
        </w:rPr>
      </w:r>
    </w:p>
    <w:p w:rsidR="00000000" w:rsidDel="00000000" w:rsidP="00000000" w:rsidRDefault="00000000" w:rsidRPr="00000000" w14:paraId="0000010C">
      <w:pPr>
        <w:spacing w:after="0" w:before="0" w:line="240" w:lineRule="auto"/>
        <w:jc w:val="left"/>
        <w:rPr>
          <w:color w:val="1155cc"/>
          <w:sz w:val="14"/>
          <w:szCs w:val="14"/>
          <w:u w:val="single"/>
        </w:rPr>
      </w:pPr>
      <w:r w:rsidDel="00000000" w:rsidR="00000000" w:rsidRPr="00000000">
        <w:rPr>
          <w:sz w:val="14"/>
          <w:szCs w:val="14"/>
          <w:rtl w:val="0"/>
        </w:rPr>
        <w:t xml:space="preserve">UP NOAH. (2022). </w:t>
      </w:r>
      <w:r w:rsidDel="00000000" w:rsidR="00000000" w:rsidRPr="00000000">
        <w:rPr>
          <w:i w:val="1"/>
          <w:iCs w:val="1"/>
          <w:sz w:val="14"/>
          <w:szCs w:val="14"/>
          <w:rtl w:val="0"/>
        </w:rPr>
        <w:t xml:space="preserve">Nationwide operational assessment of hazards (NOAH)</w:t>
      </w:r>
      <w:r w:rsidDel="00000000" w:rsidR="00000000" w:rsidRPr="00000000">
        <w:rPr>
          <w:sz w:val="14"/>
          <w:szCs w:val="14"/>
          <w:rtl w:val="0"/>
        </w:rPr>
        <w:t xml:space="preserve">. University of the Philippines.</w:t>
      </w:r>
      <w:hyperlink r:id="rId27">
        <w:r w:rsidDel="00000000" w:rsidR="00000000" w:rsidRPr="00000000">
          <w:rPr>
            <w:sz w:val="14"/>
            <w:szCs w:val="14"/>
            <w:rtl w:val="0"/>
          </w:rPr>
          <w:t xml:space="preserve"> </w:t>
        </w:r>
      </w:hyperlink>
      <w:hyperlink r:id="rId28">
        <w:r w:rsidDel="00000000" w:rsidR="00000000" w:rsidRPr="00000000">
          <w:rPr>
            <w:color w:val="1155cc"/>
            <w:sz w:val="14"/>
            <w:szCs w:val="14"/>
            <w:u w:val="single"/>
            <w:rtl w:val="0"/>
          </w:rPr>
          <w:t xml:space="preserve">https://noah.up.edu.ph</w:t>
        </w:r>
      </w:hyperlink>
      <w:r w:rsidDel="00000000" w:rsidR="00000000" w:rsidRPr="00000000">
        <w:rPr>
          <w:rtl w:val="0"/>
        </w:rPr>
      </w:r>
    </w:p>
    <w:p w:rsidR="00000000" w:rsidDel="00000000" w:rsidP="00000000" w:rsidRDefault="00000000" w:rsidRPr="00000000" w14:paraId="0000010D">
      <w:pPr>
        <w:spacing w:after="240" w:before="240" w:line="240" w:lineRule="auto"/>
        <w:ind w:left="0" w:firstLine="0"/>
        <w:jc w:val="left"/>
        <w:rPr>
          <w:sz w:val="14"/>
          <w:szCs w:val="14"/>
        </w:rPr>
      </w:pPr>
      <w:r w:rsidDel="00000000" w:rsidR="00000000" w:rsidRPr="00000000">
        <w:rPr>
          <w:rtl w:val="0"/>
        </w:rPr>
      </w:r>
    </w:p>
    <w:p w:rsidR="00000000" w:rsidDel="00000000" w:rsidP="00000000" w:rsidRDefault="00000000" w:rsidRPr="00000000" w14:paraId="0000010E">
      <w:pPr>
        <w:spacing w:line="240" w:lineRule="auto"/>
        <w:jc w:val="left"/>
        <w:rPr>
          <w:sz w:val="14"/>
          <w:szCs w:val="14"/>
        </w:rPr>
      </w:pPr>
      <w:r w:rsidDel="00000000" w:rsidR="00000000" w:rsidRPr="00000000">
        <w:rPr>
          <w:rtl w:val="0"/>
        </w:rPr>
      </w:r>
    </w:p>
    <w:p w:rsidR="00000000" w:rsidDel="00000000" w:rsidP="00000000" w:rsidRDefault="00000000" w:rsidRPr="00000000" w14:paraId="0000010F">
      <w:pPr>
        <w:pBdr>
          <w:top w:space="0" w:sz="0" w:val="nil"/>
          <w:left w:space="0" w:sz="0" w:val="nil"/>
          <w:bottom w:space="0" w:sz="0" w:val="nil"/>
          <w:right w:space="0" w:sz="0" w:val="nil"/>
          <w:between w:space="0" w:sz="0" w:val="nil"/>
        </w:pBdr>
        <w:rPr>
          <w:color w:val="000000"/>
          <w:sz w:val="14"/>
          <w:szCs w:val="14"/>
        </w:rPr>
      </w:pPr>
      <w:r w:rsidDel="00000000" w:rsidR="00000000" w:rsidRPr="00000000">
        <w:rPr>
          <w:rtl w:val="0"/>
        </w:rPr>
      </w:r>
    </w:p>
    <w:sectPr>
      <w:type w:val="continuous"/>
      <w:pgSz w:h="15840" w:w="12240" w:orient="portrait"/>
      <w:pgMar w:bottom="1600" w:top="1500" w:left="1080" w:right="1080" w:header="1080" w:footer="1080"/>
      <w:pgNumType w:start="1"/>
      <w:cols w:equalWidth="0" w:num="2">
        <w:col w:space="480" w:w="4800"/>
        <w:col w:space="0" w:w="480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Times New Roman"/>
  <w:font w:name="Arial"/>
  <w:font w:name="Calibri"/>
  <w:font w:name="Linux Biolinum"/>
  <w:font w:name="Linux Libertin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5">
    <w:pPr>
      <w:pBdr>
        <w:top w:space="0" w:sz="0" w:val="nil"/>
        <w:left w:space="0" w:sz="0" w:val="nil"/>
        <w:bottom w:space="0" w:sz="0" w:val="nil"/>
        <w:right w:space="0" w:sz="0" w:val="nil"/>
        <w:between w:space="0" w:sz="0" w:val="nil"/>
      </w:pBdr>
      <w:tabs>
        <w:tab w:val="center" w:leader="none" w:pos="4320"/>
        <w:tab w:val="right" w:leader="none" w:pos="8640"/>
      </w:tabs>
      <w:rPr>
        <w:rFonts w:ascii="Linux Biolinum" w:cs="Linux Biolinum" w:eastAsia="Linux Biolinum" w:hAnsi="Linux Biolinum"/>
        <w:color w:val="000000"/>
        <w:sz w:val="14"/>
        <w:szCs w:val="14"/>
      </w:rPr>
    </w:pPr>
    <w:r w:rsidDel="00000000" w:rsidR="00000000" w:rsidRPr="00000000">
      <w:rPr>
        <w:rtl w:val="0"/>
      </w:rPr>
    </w:r>
  </w:p>
  <w:p w:rsidR="00000000" w:rsidDel="00000000" w:rsidP="00000000" w:rsidRDefault="00000000" w:rsidRPr="00000000" w14:paraId="00000116">
    <w:pPr>
      <w:pBdr>
        <w:top w:space="0" w:sz="0" w:val="nil"/>
        <w:left w:space="0" w:sz="0" w:val="nil"/>
        <w:bottom w:space="0" w:sz="0" w:val="nil"/>
        <w:right w:space="0" w:sz="0" w:val="nil"/>
        <w:between w:space="0" w:sz="0" w:val="nil"/>
      </w:pBdr>
      <w:tabs>
        <w:tab w:val="center" w:leader="none" w:pos="4320"/>
        <w:tab w:val="right" w:leader="none" w:pos="8640"/>
      </w:tabs>
      <w:ind w:right="360"/>
      <w:rPr>
        <w:rFonts w:ascii="Linux Biolinum" w:cs="Linux Biolinum" w:eastAsia="Linux Biolinum" w:hAnsi="Linux Biolinum"/>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7">
    <w:pPr>
      <w:pBdr>
        <w:top w:space="0" w:sz="0" w:val="nil"/>
        <w:left w:space="0" w:sz="0" w:val="nil"/>
        <w:bottom w:space="0" w:sz="0" w:val="nil"/>
        <w:right w:space="0" w:sz="0" w:val="nil"/>
        <w:between w:space="0" w:sz="0" w:val="nil"/>
      </w:pBdr>
      <w:tabs>
        <w:tab w:val="center" w:leader="none" w:pos="4320"/>
        <w:tab w:val="right" w:leader="none" w:pos="8640"/>
      </w:tabs>
      <w:ind w:right="360"/>
      <w:rPr>
        <w:rFonts w:ascii="Linux Biolinum" w:cs="Linux Biolinum" w:eastAsia="Linux Biolinum" w:hAnsi="Linux Biolinum"/>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0">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1">
    <w:pPr>
      <w:widowControl w:val="0"/>
      <w:pBdr>
        <w:top w:space="0" w:sz="0" w:val="nil"/>
        <w:left w:space="0" w:sz="0" w:val="nil"/>
        <w:bottom w:space="0" w:sz="0" w:val="nil"/>
        <w:right w:space="0" w:sz="0" w:val="nil"/>
        <w:between w:space="0" w:sz="0" w:val="nil"/>
      </w:pBdr>
      <w:spacing w:line="276" w:lineRule="auto"/>
      <w:jc w:val="left"/>
      <w:rPr>
        <w:color w:val="000000"/>
        <w:sz w:val="14"/>
        <w:szCs w:val="14"/>
      </w:rPr>
    </w:pPr>
    <w:r w:rsidDel="00000000" w:rsidR="00000000" w:rsidRPr="00000000">
      <w:rPr>
        <w:rtl w:val="0"/>
      </w:rPr>
    </w:r>
  </w:p>
  <w:tbl>
    <w:tblPr>
      <w:tblStyle w:val="Table2"/>
      <w:tblW w:w="10080.0" w:type="dxa"/>
      <w:jc w:val="left"/>
      <w:tblLayout w:type="fixed"/>
      <w:tblLook w:val="0000"/>
    </w:tblPr>
    <w:tblGrid>
      <w:gridCol w:w="5040"/>
      <w:gridCol w:w="5040"/>
      <w:tblGridChange w:id="0">
        <w:tblGrid>
          <w:gridCol w:w="5040"/>
          <w:gridCol w:w="5040"/>
        </w:tblGrid>
      </w:tblGridChange>
    </w:tblGrid>
    <w:tr>
      <w:trPr>
        <w:cantSplit w:val="0"/>
        <w:trHeight w:val="193" w:hRule="atLeast"/>
        <w:tblHeader w:val="0"/>
      </w:trPr>
      <w:tc>
        <w:tcPr>
          <w:vAlign w:val="center"/>
        </w:tcPr>
        <w:p w:rsidR="00000000" w:rsidDel="00000000" w:rsidP="00000000" w:rsidRDefault="00000000" w:rsidRPr="00000000" w14:paraId="00000112">
          <w:pPr>
            <w:pBdr>
              <w:top w:space="0" w:sz="0" w:val="nil"/>
              <w:left w:space="0" w:sz="0" w:val="nil"/>
              <w:bottom w:space="0" w:sz="0" w:val="nil"/>
              <w:right w:space="0" w:sz="0" w:val="nil"/>
              <w:between w:space="0" w:sz="0" w:val="nil"/>
            </w:pBdr>
            <w:tabs>
              <w:tab w:val="center" w:leader="none" w:pos="4320"/>
              <w:tab w:val="right" w:leader="none" w:pos="8640"/>
            </w:tabs>
            <w:jc w:val="left"/>
            <w:rPr>
              <w:rFonts w:ascii="Calibri" w:cs="Calibri" w:eastAsia="Calibri" w:hAnsi="Calibri"/>
            </w:rPr>
          </w:pPr>
          <w:r w:rsidDel="00000000" w:rsidR="00000000" w:rsidRPr="00000000">
            <w:rPr>
              <w:rFonts w:ascii="Calibri" w:cs="Calibri" w:eastAsia="Calibri" w:hAnsi="Calibri"/>
              <w:rtl w:val="0"/>
            </w:rPr>
            <w:t xml:space="preserve">GIS-BASED MULTI-CRITERIA ENVIRONMENTAL RISK ASSESSMENT FOR ENVIRONMENTAL DUE DILIGENCE IN REAL ESTATE PROPERTIES IN DAVAO CITY, PHILIPPINES</w:t>
          </w:r>
        </w:p>
      </w:tc>
      <w:tc>
        <w:tcPr>
          <w:vAlign w:val="center"/>
        </w:tcPr>
        <w:p w:rsidR="00000000" w:rsidDel="00000000" w:rsidP="00000000" w:rsidRDefault="00000000" w:rsidRPr="00000000" w14:paraId="00000113">
          <w:pPr>
            <w:pBdr>
              <w:top w:space="0" w:sz="0" w:val="nil"/>
              <w:left w:space="0" w:sz="0" w:val="nil"/>
              <w:bottom w:space="0" w:sz="0" w:val="nil"/>
              <w:right w:space="0" w:sz="0" w:val="nil"/>
              <w:between w:space="0" w:sz="0" w:val="nil"/>
            </w:pBdr>
            <w:tabs>
              <w:tab w:val="center" w:leader="none" w:pos="4320"/>
              <w:tab w:val="right" w:leader="none" w:pos="8640"/>
            </w:tabs>
            <w:jc w:val="right"/>
            <w:rPr>
              <w:rFonts w:ascii="Calibri" w:cs="Calibri" w:eastAsia="Calibri" w:hAnsi="Calibri"/>
              <w:color w:val="000000"/>
            </w:rPr>
          </w:pPr>
          <w:r w:rsidDel="00000000" w:rsidR="00000000" w:rsidRPr="00000000">
            <w:rPr>
              <w:rtl w:val="0"/>
            </w:rPr>
          </w:r>
        </w:p>
      </w:tc>
    </w:tr>
  </w:tbl>
  <w:p w:rsidR="00000000" w:rsidDel="00000000" w:rsidP="00000000" w:rsidRDefault="00000000" w:rsidRPr="00000000" w14:paraId="00000114">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nux Libertine" w:cs="Linux Libertine" w:eastAsia="Linux Libertine" w:hAnsi="Linux Libertine"/>
        <w:sz w:val="18"/>
        <w:szCs w:val="18"/>
        <w:lang w:val="en"/>
      </w:rPr>
    </w:rPrDefault>
    <w:pPrDefault>
      <w:pPr>
        <w:spacing w:line="264"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480" w:lineRule="auto"/>
    </w:pPr>
    <w:rPr>
      <w:rFonts w:ascii="Cambria" w:cs="Cambria" w:eastAsia="Cambria" w:hAnsi="Cambria"/>
      <w:b w:val="1"/>
      <w:bCs w:val="1"/>
      <w:color w:val="366091"/>
      <w:sz w:val="28"/>
      <w:szCs w:val="28"/>
    </w:rPr>
  </w:style>
  <w:style w:type="paragraph" w:styleId="Heading2">
    <w:name w:val="heading 2"/>
    <w:basedOn w:val="Normal"/>
    <w:next w:val="Normal"/>
    <w:pPr>
      <w:keepNext w:val="1"/>
      <w:keepLines w:val="1"/>
      <w:spacing w:before="200" w:lineRule="auto"/>
    </w:pPr>
    <w:rPr>
      <w:rFonts w:ascii="Cambria" w:cs="Cambria" w:eastAsia="Cambria" w:hAnsi="Cambria"/>
      <w:b w:val="1"/>
      <w:bCs w:val="1"/>
      <w:color w:val="0070c0"/>
      <w:sz w:val="26"/>
      <w:szCs w:val="26"/>
    </w:rPr>
  </w:style>
  <w:style w:type="paragraph" w:styleId="Heading3">
    <w:name w:val="heading 3"/>
    <w:basedOn w:val="Normal"/>
    <w:next w:val="Normal"/>
    <w:pPr>
      <w:keepNext w:val="1"/>
      <w:keepLines w:val="1"/>
      <w:spacing w:before="200" w:lineRule="auto"/>
    </w:pPr>
    <w:rPr>
      <w:rFonts w:ascii="Cambria" w:cs="Cambria" w:eastAsia="Cambria" w:hAnsi="Cambria"/>
      <w:b w:val="1"/>
      <w:bCs w:val="1"/>
      <w:color w:val="943734"/>
    </w:rPr>
  </w:style>
  <w:style w:type="paragraph" w:styleId="Heading4">
    <w:name w:val="heading 4"/>
    <w:basedOn w:val="Normal"/>
    <w:next w:val="Normal"/>
    <w:pPr>
      <w:keepNext w:val="1"/>
      <w:keepLines w:val="1"/>
      <w:spacing w:before="200" w:lineRule="auto"/>
    </w:pPr>
    <w:rPr>
      <w:rFonts w:ascii="Cambria" w:cs="Cambria" w:eastAsia="Cambria" w:hAnsi="Cambria"/>
      <w:i w:val="1"/>
      <w:iCs w:val="1"/>
      <w:color w:val="943734"/>
    </w:rPr>
  </w:style>
  <w:style w:type="paragraph" w:styleId="Heading5">
    <w:name w:val="heading 5"/>
    <w:basedOn w:val="Normal"/>
    <w:next w:val="Normal"/>
    <w:pPr>
      <w:keepNext w:val="1"/>
      <w:keepLines w:val="1"/>
      <w:spacing w:before="200" w:lineRule="auto"/>
    </w:pPr>
    <w:rPr>
      <w:rFonts w:ascii="Cambria" w:cs="Cambria" w:eastAsia="Cambria" w:hAnsi="Cambria"/>
      <w:b w:val="1"/>
      <w:bCs w:val="1"/>
      <w:color w:val="4f6228"/>
      <w:sz w:val="20"/>
      <w:szCs w:val="20"/>
    </w:rPr>
  </w:style>
  <w:style w:type="paragraph" w:styleId="Heading6">
    <w:name w:val="heading 6"/>
    <w:basedOn w:val="Normal"/>
    <w:next w:val="Normal"/>
    <w:pPr>
      <w:keepNext w:val="1"/>
      <w:spacing w:after="240" w:lineRule="auto"/>
      <w:ind w:left="3960" w:hanging="180"/>
    </w:pPr>
    <w:rPr>
      <w:rFonts w:ascii="Times New Roman" w:cs="Times New Roman" w:eastAsia="Times New Roman" w:hAnsi="Times New Roman"/>
      <w:sz w:val="24"/>
      <w:szCs w:val="24"/>
    </w:rPr>
  </w:style>
  <w:style w:type="paragraph" w:styleId="Title">
    <w:name w:val="Title"/>
    <w:basedOn w:val="Normal"/>
    <w:next w:val="Normal"/>
    <w:pPr>
      <w:pBdr>
        <w:bottom w:color="4f81bd" w:space="4" w:sz="8" w:val="single"/>
      </w:pBdr>
      <w:spacing w:after="300" w:lineRule="auto"/>
    </w:pPr>
    <w:rPr>
      <w:rFonts w:ascii="Cambria" w:cs="Cambria" w:eastAsia="Cambria" w:hAnsi="Cambria"/>
      <w:color w:val="17365d"/>
      <w:sz w:val="52"/>
      <w:szCs w:val="52"/>
    </w:rPr>
  </w:style>
  <w:style w:type="paragraph" w:styleId="Subtitle">
    <w:name w:val="Subtitle"/>
    <w:basedOn w:val="Normal"/>
    <w:next w:val="Normal"/>
    <w:pPr>
      <w:spacing w:after="60" w:before="120" w:lineRule="auto"/>
      <w:jc w:val="center"/>
    </w:pPr>
    <w:rPr>
      <w:rFonts w:ascii="Linux Biolinum" w:cs="Linux Biolinum" w:eastAsia="Linux Biolinum" w:hAnsi="Linux Biolinum"/>
      <w:sz w:val="24"/>
      <w:szCs w:val="24"/>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bagong.pagasa.dost.gov.ph" TargetMode="External"/><Relationship Id="rId22" Type="http://schemas.openxmlformats.org/officeDocument/2006/relationships/hyperlink" Target="https://phivolcs.dost.gov.ph" TargetMode="External"/><Relationship Id="rId21" Type="http://schemas.openxmlformats.org/officeDocument/2006/relationships/hyperlink" Target="https://phivolcs.dost.gov.ph" TargetMode="External"/><Relationship Id="rId24" Type="http://schemas.openxmlformats.org/officeDocument/2006/relationships/hyperlink" Target="https://doi.org/10.1504/IJSSCI.2008.017590" TargetMode="External"/><Relationship Id="rId23" Type="http://schemas.openxmlformats.org/officeDocument/2006/relationships/hyperlink" Target="https://doi.org/10.1504/IJSSCI.2008.01759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26" Type="http://schemas.openxmlformats.org/officeDocument/2006/relationships/hyperlink" Target="https://www.undrr.org/publication/sendai-framework-disaster-risk-reduction-2015-2030" TargetMode="External"/><Relationship Id="rId25" Type="http://schemas.openxmlformats.org/officeDocument/2006/relationships/hyperlink" Target="https://www.undrr.org/publication/sendai-framework-disaster-risk-reduction-2015-2030" TargetMode="External"/><Relationship Id="rId28" Type="http://schemas.openxmlformats.org/officeDocument/2006/relationships/hyperlink" Target="https://noah.up.edu.ph" TargetMode="External"/><Relationship Id="rId27" Type="http://schemas.openxmlformats.org/officeDocument/2006/relationships/hyperlink" Target="https://noah.up.edu.ph" TargetMode="Externa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2.xml"/><Relationship Id="rId11" Type="http://schemas.openxmlformats.org/officeDocument/2006/relationships/hyperlink" Target="https://doi.org/10.1111/1540-6237.8402002" TargetMode="External"/><Relationship Id="rId10" Type="http://schemas.openxmlformats.org/officeDocument/2006/relationships/image" Target="media/image1.png"/><Relationship Id="rId13" Type="http://schemas.openxmlformats.org/officeDocument/2006/relationships/hyperlink" Target="https://mgb.gov.ph" TargetMode="External"/><Relationship Id="rId12" Type="http://schemas.openxmlformats.org/officeDocument/2006/relationships/hyperlink" Target="https://doi.org/10.1111/1540-6237.8402002" TargetMode="External"/><Relationship Id="rId15" Type="http://schemas.openxmlformats.org/officeDocument/2006/relationships/hyperlink" Target="https://doi.org/10.1007/s10708-007-9111-y" TargetMode="External"/><Relationship Id="rId14" Type="http://schemas.openxmlformats.org/officeDocument/2006/relationships/hyperlink" Target="https://mgb.gov.ph" TargetMode="External"/><Relationship Id="rId17" Type="http://schemas.openxmlformats.org/officeDocument/2006/relationships/hyperlink" Target="https://doi.org/10.1080/13658810600661508" TargetMode="External"/><Relationship Id="rId16" Type="http://schemas.openxmlformats.org/officeDocument/2006/relationships/hyperlink" Target="https://doi.org/10.1007/s10708-007-9111-y" TargetMode="External"/><Relationship Id="rId19" Type="http://schemas.openxmlformats.org/officeDocument/2006/relationships/hyperlink" Target="https://bagong.pagasa.dost.gov.ph" TargetMode="External"/><Relationship Id="rId18" Type="http://schemas.openxmlformats.org/officeDocument/2006/relationships/hyperlink" Target="https://doi.org/10.1080/136588106006615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MTWinEqns">
    <vt:lpwstr>true</vt:lpwstr>
  </property>
  <property fmtid="{D5CDD505-2E9C-101B-9397-08002B2CF9AE}" pid="3" name="Document Confidentiality">
    <vt:lpwstr>Unrestricted</vt:lpwstr>
  </property>
  <property fmtid="{D5CDD505-2E9C-101B-9397-08002B2CF9AE}" pid="4" name="_NewReviewCycle">
    <vt:lpwstr>_NewReviewCycle</vt:lpwstr>
  </property>
  <property fmtid="{D5CDD505-2E9C-101B-9397-08002B2CF9AE}" pid="5" name="Version">
    <vt:lpwstr>2.1.0</vt:lpwstr>
  </property>
  <property fmtid="{D5CDD505-2E9C-101B-9397-08002B2CF9AE}" pid="6" name="Language">
    <vt:lpwstr>English</vt:lpwstr>
  </property>
</Properties>
</file>