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FEA22" w14:textId="77777777" w:rsidR="00F45D54" w:rsidRDefault="00337C65">
      <w:pPr>
        <w:spacing w:before="240" w:after="240"/>
        <w:jc w:val="center"/>
      </w:pPr>
      <w:r>
        <w:rPr>
          <w:b/>
          <w:bCs/>
          <w:sz w:val="36"/>
          <w:szCs w:val="36"/>
        </w:rPr>
        <w:t>Predictive Maintenance Analytics and Fleet Downtime Reduction in U.S. Car Rental Operations</w:t>
      </w:r>
    </w:p>
    <w:p w14:paraId="39FFEA23" w14:textId="11DAE6DE" w:rsidR="00F45D54" w:rsidRDefault="00337C65">
      <w:pPr>
        <w:spacing w:before="120" w:after="60"/>
        <w:jc w:val="center"/>
      </w:pPr>
      <w:r>
        <w:rPr>
          <w:b/>
          <w:bCs/>
          <w:sz w:val="24"/>
          <w:szCs w:val="24"/>
        </w:rPr>
        <w:t>Salami Abdul Mohammed</w:t>
      </w:r>
    </w:p>
    <w:p w14:paraId="39FFEA24" w14:textId="77777777" w:rsidR="00F45D54" w:rsidRDefault="00337C65">
      <w:pPr>
        <w:spacing w:after="60"/>
        <w:jc w:val="center"/>
      </w:pPr>
      <w:r>
        <w:rPr>
          <w:b/>
          <w:bCs/>
          <w:sz w:val="24"/>
          <w:szCs w:val="24"/>
        </w:rPr>
        <w:t>College of Business, Westcliff University, Irvine, California, USA</w:t>
      </w:r>
    </w:p>
    <w:p w14:paraId="39FFEA25" w14:textId="3D6975D9" w:rsidR="00F45D54" w:rsidRDefault="00337C65">
      <w:pPr>
        <w:spacing w:after="300"/>
        <w:jc w:val="center"/>
      </w:pPr>
      <w:r>
        <w:rPr>
          <w:b/>
          <w:bCs/>
          <w:sz w:val="24"/>
          <w:szCs w:val="24"/>
        </w:rPr>
        <w:t>salamiabdulmohammed@gmail.com</w:t>
      </w:r>
    </w:p>
    <w:p w14:paraId="39FFEA26" w14:textId="77777777" w:rsidR="00F45D54" w:rsidRDefault="00337C65">
      <w:pPr>
        <w:spacing w:before="300" w:after="240"/>
      </w:pPr>
      <w:r>
        <w:rPr>
          <w:b/>
          <w:bCs/>
          <w:sz w:val="28"/>
          <w:szCs w:val="28"/>
        </w:rPr>
        <w:t>ABSTRACT</w:t>
      </w:r>
    </w:p>
    <w:p w14:paraId="39FFEA27" w14:textId="77777777" w:rsidR="00F45D54" w:rsidRDefault="00337C65">
      <w:pPr>
        <w:spacing w:before="240" w:after="240"/>
        <w:jc w:val="both"/>
      </w:pPr>
      <w:r>
        <w:rPr>
          <w:sz w:val="24"/>
          <w:szCs w:val="24"/>
        </w:rPr>
        <w:t>Fleet predictive maintenance analytics are reshaping vehicle maintenance management in U.S. car rental operations, enabling operators to predict component failures before they cause downtime. The independent variable in this analysis is predictive maintenance analytics adoption, defined as the deployment of IoT sensors, machine learning models, and real-time alert systems across rental vehicle fleets. The dependent variable is fleet downtime reduction outcomes, operationalized as reductions in unplanned veh</w:t>
      </w:r>
      <w:r>
        <w:rPr>
          <w:sz w:val="24"/>
          <w:szCs w:val="24"/>
        </w:rPr>
        <w:t>icle downtime, maintenance costs, safety incidents, and customer service failures attributable to vehicle mechanical failures. The paper argues that realizing the operational value of these systems depends critically on the capability of maintenance supervisors to interpret, prioritize, and act on algorithmic alerts. Drawing on Human Capital Theory [5, 20] and the Technology-Organization-Environment (TOE) framework [22], the paper conducts a systematic narrative literature review across machine learning, ve</w:t>
      </w:r>
      <w:r>
        <w:rPr>
          <w:sz w:val="24"/>
          <w:szCs w:val="24"/>
        </w:rPr>
        <w:t xml:space="preserve">hicle maintenance, fleet management, and operations management. It reviews ML techniques for vehicle fleet maintenance prediction, maps predictive maintenance demands by vehicle system, evaluates implementation barriers using the TOE framework, and develops a four-stage implementation framework grounded in verified evidence. Barriers to effective implementation are concentrated in the organizational dimension: sensor infrastructure is increasingly </w:t>
      </w:r>
      <w:proofErr w:type="gramStart"/>
      <w:r>
        <w:rPr>
          <w:sz w:val="24"/>
          <w:szCs w:val="24"/>
        </w:rPr>
        <w:t>available</w:t>
      </w:r>
      <w:proofErr w:type="gramEnd"/>
      <w:r>
        <w:rPr>
          <w:sz w:val="24"/>
          <w:szCs w:val="24"/>
        </w:rPr>
        <w:t xml:space="preserve"> and ML models are deployable, but the capability o</w:t>
      </w:r>
      <w:r>
        <w:rPr>
          <w:sz w:val="24"/>
          <w:szCs w:val="24"/>
        </w:rPr>
        <w:t xml:space="preserve">f operations staff to interpret and act on predictive alerts is not being developed systematically. </w:t>
      </w:r>
      <w:proofErr w:type="gramStart"/>
      <w:r>
        <w:rPr>
          <w:sz w:val="24"/>
          <w:szCs w:val="24"/>
        </w:rPr>
        <w:t>Braking</w:t>
      </w:r>
      <w:proofErr w:type="gramEnd"/>
      <w:r>
        <w:rPr>
          <w:sz w:val="24"/>
          <w:szCs w:val="24"/>
        </w:rPr>
        <w:t xml:space="preserve"> and tire systems carry safety and legal compliance dimensions that make human oversight a regulatory requirement as well as an operational one. The paper develops an integrated predictive maintenance framework specific to car rental fleet operations, provides the first vehicle system risk matrix calibrated to rental fleet oversight demands, and delivers a TOE-</w:t>
      </w:r>
      <w:proofErr w:type="gramStart"/>
      <w:r>
        <w:rPr>
          <w:sz w:val="24"/>
          <w:szCs w:val="24"/>
        </w:rPr>
        <w:t>grounded</w:t>
      </w:r>
      <w:proofErr w:type="gramEnd"/>
      <w:r>
        <w:rPr>
          <w:sz w:val="24"/>
          <w:szCs w:val="24"/>
        </w:rPr>
        <w:t xml:space="preserve"> barrier analysis and four-stage i</w:t>
      </w:r>
      <w:r>
        <w:rPr>
          <w:sz w:val="24"/>
          <w:szCs w:val="24"/>
        </w:rPr>
        <w:t>mplementation model for a sector with limited coverage in the human capital and technology adoption literature.</w:t>
      </w:r>
    </w:p>
    <w:p w14:paraId="39FFEA28" w14:textId="77777777" w:rsidR="00F45D54" w:rsidRDefault="00337C65">
      <w:pPr>
        <w:spacing w:before="120" w:after="360"/>
      </w:pPr>
      <w:r>
        <w:rPr>
          <w:b/>
          <w:bCs/>
          <w:sz w:val="24"/>
          <w:szCs w:val="24"/>
        </w:rPr>
        <w:t xml:space="preserve">Keywords: </w:t>
      </w:r>
      <w:r>
        <w:rPr>
          <w:sz w:val="24"/>
          <w:szCs w:val="24"/>
        </w:rPr>
        <w:t>Predictive maintenance; Fleet management; Car rental operations; Machine learning; Human Capital Theory</w:t>
      </w:r>
    </w:p>
    <w:p w14:paraId="39FFEA29" w14:textId="77777777" w:rsidR="00F45D54" w:rsidRDefault="00337C65">
      <w:pPr>
        <w:spacing w:before="300" w:after="240"/>
      </w:pPr>
      <w:r>
        <w:rPr>
          <w:b/>
          <w:bCs/>
          <w:sz w:val="28"/>
          <w:szCs w:val="28"/>
        </w:rPr>
        <w:t>1. INTRODUCTION</w:t>
      </w:r>
    </w:p>
    <w:p w14:paraId="39FFEA2A" w14:textId="77777777" w:rsidR="00F45D54" w:rsidRDefault="00337C65">
      <w:pPr>
        <w:spacing w:before="240" w:after="240"/>
        <w:jc w:val="both"/>
      </w:pPr>
      <w:r>
        <w:rPr>
          <w:sz w:val="24"/>
          <w:szCs w:val="24"/>
        </w:rPr>
        <w:t>Fleet maintenance management is one of the most operationally consequential and cost-intensive functions in car rental operations. The physical condition of every vehicle in a rental fleet directly determines customer safety, service reliability, vehicle availability, and maintenance cost, four performance dimensions whose management quality separates profitable operators from unprofitable ones over time. The emergence of AI-driven predictive maintenance analytics, enabled by the integration of IoT sensors,</w:t>
      </w:r>
      <w:r>
        <w:rPr>
          <w:sz w:val="24"/>
          <w:szCs w:val="24"/>
        </w:rPr>
        <w:t xml:space="preserve"> telematics platforms, and machine learning models, has created a fundamentally new set of capabilities for car rental fleet management: the ability to predict vehicle failures before they occur, schedule maintenance interventions at operationally optimal times, and prevent the unplanned downtime events that generate the highest combination of direct cost and customer impact.</w:t>
      </w:r>
    </w:p>
    <w:p w14:paraId="39FFEA2B" w14:textId="77777777" w:rsidR="00F45D54" w:rsidRDefault="00337C65">
      <w:pPr>
        <w:spacing w:before="240" w:after="240"/>
        <w:jc w:val="both"/>
      </w:pPr>
      <w:r>
        <w:rPr>
          <w:sz w:val="24"/>
          <w:szCs w:val="24"/>
        </w:rPr>
        <w:t>The global car rental market generated revenues of approximately $90 billion in 2024 [10], with the United States representing approximately 40 percent of that total. Within this context, fleet maintenance is not a peripheral operational function; it is a direct determinant of revenue capacity, customer satisfaction, and competitive position. Euromonitor International [10], citing Geotab analysis, found that effective telematics-based fleet management can generate savings of up to $137 per vehicle per month</w:t>
      </w:r>
      <w:r>
        <w:rPr>
          <w:sz w:val="24"/>
          <w:szCs w:val="24"/>
        </w:rPr>
        <w:t>, a figure that makes the business case for predictive maintenance investment directly measurable for fleet operators evaluating technology adoption decisions.</w:t>
      </w:r>
    </w:p>
    <w:p w14:paraId="39FFEA2C" w14:textId="77777777" w:rsidR="00F45D54" w:rsidRDefault="00337C65">
      <w:pPr>
        <w:spacing w:before="240" w:after="240"/>
        <w:jc w:val="both"/>
      </w:pPr>
      <w:r>
        <w:rPr>
          <w:sz w:val="24"/>
          <w:szCs w:val="24"/>
        </w:rPr>
        <w:lastRenderedPageBreak/>
        <w:t>This paper addresses predictive maintenance analytics adoption as the independent variable and fleet downtime reduction outcomes as the dependent variable in U.S. car rental operations. Fleet downtime reduction outcomes are defined as the degree to which predictive maintenance systems, when supported by capable human oversight, reduce unplanned vehicle downtime, maintenance costs, safety incidents, and customer service failures attributable to vehicle mechanical failures. When maintenance supervisors and fl</w:t>
      </w:r>
      <w:r>
        <w:rPr>
          <w:sz w:val="24"/>
          <w:szCs w:val="24"/>
        </w:rPr>
        <w:t>eet coordinators receive predictive alerts they cannot evaluate because they lack the analytical capability to assess alert confidence, distinguish high-priority warnings from lower-priority notifications, or identify when model outputs are unreliable, the predictive maintenance investment fails to deliver its operational value regardless of the technical sophistication of the underlying model. Research on technology adoption in service industries consistently documents this gap between system deployment an</w:t>
      </w:r>
      <w:r>
        <w:rPr>
          <w:sz w:val="24"/>
          <w:szCs w:val="24"/>
        </w:rPr>
        <w:t>d human oversight capability [19, 13].</w:t>
      </w:r>
    </w:p>
    <w:p w14:paraId="39FFEA2D" w14:textId="77777777" w:rsidR="00F45D54" w:rsidRDefault="00337C65">
      <w:pPr>
        <w:spacing w:before="240" w:after="240"/>
        <w:jc w:val="both"/>
      </w:pPr>
      <w:r>
        <w:rPr>
          <w:sz w:val="24"/>
          <w:szCs w:val="24"/>
        </w:rPr>
        <w:t>The paper is organized as follows. Section 2 presents the industry context. Section 3 presents the theoretical framework. Section 4 reviews the literature on machine learning techniques for vehicle fleet predictive maintenance. Section 5 examines predictive maintenance applications by vehicle system. Section 6 applies the TOE framework to the predictive maintenance adoption problem. Section 7 proposes a four-stage implementation framework. Section 8 discusses findings and implications. Section 9 concludes.</w:t>
      </w:r>
    </w:p>
    <w:p w14:paraId="39FFEA2E" w14:textId="77777777" w:rsidR="00F45D54" w:rsidRDefault="00337C65">
      <w:pPr>
        <w:spacing w:before="300" w:after="240"/>
      </w:pPr>
      <w:r>
        <w:rPr>
          <w:b/>
          <w:bCs/>
          <w:sz w:val="28"/>
          <w:szCs w:val="28"/>
        </w:rPr>
        <w:t>2. INDUSTRY CONTEXT: FLEET MAINTENANCE IN U.S. CAR RENTAL OPERATIONS</w:t>
      </w:r>
    </w:p>
    <w:p w14:paraId="39FFEA2F" w14:textId="77777777" w:rsidR="00F45D54" w:rsidRDefault="00337C65">
      <w:pPr>
        <w:spacing w:before="240" w:after="180"/>
      </w:pPr>
      <w:r>
        <w:rPr>
          <w:b/>
          <w:bCs/>
          <w:sz w:val="24"/>
          <w:szCs w:val="24"/>
        </w:rPr>
        <w:t>2.1 The Scale of the Maintenance Management Challenge</w:t>
      </w:r>
    </w:p>
    <w:p w14:paraId="39FFEA30" w14:textId="77777777" w:rsidR="00F45D54" w:rsidRDefault="00337C65">
      <w:pPr>
        <w:spacing w:before="240" w:after="240"/>
        <w:jc w:val="both"/>
      </w:pPr>
      <w:r>
        <w:rPr>
          <w:sz w:val="24"/>
          <w:szCs w:val="24"/>
        </w:rPr>
        <w:t>Car rental fleet management presents a maintenance challenge that is structurally more complex than fleet management in most other transportation contexts. Unlike commercial trucking or public transit fleets, where vehicles follow relatively predictable routes and usage patterns, car rental vehicles are operated by thousands of different drivers with different driving behaviors, experience levels, and care levels. Vehicle usage intensity varies enormously across rental types, rental durations, geographic ma</w:t>
      </w:r>
      <w:r>
        <w:rPr>
          <w:sz w:val="24"/>
          <w:szCs w:val="24"/>
        </w:rPr>
        <w:t>rkets, and seasonal demand patterns. Predictive maintenance models applied to rental fleets must account for this usage heterogeneity in ways that fleet management systems in other transportation contexts do not require. Table 1 presents verified statistics establishing the scale and technological context for fleet analytics adoption in U.S. car rental operations.</w:t>
      </w:r>
    </w:p>
    <w:p w14:paraId="39FFEA31" w14:textId="77777777" w:rsidR="00F45D54" w:rsidRDefault="00337C65">
      <w:pPr>
        <w:spacing w:before="180" w:after="60"/>
      </w:pPr>
      <w:r>
        <w:rPr>
          <w:b/>
          <w:bCs/>
        </w:rPr>
        <w:t>Table 1: Car Rental Industry and Fleet Technology Context: Key Statistics (2023 to 2025)</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2400"/>
        <w:gridCol w:w="3400"/>
      </w:tblGrid>
      <w:tr w:rsidR="00F45D54" w14:paraId="39FFEA35" w14:textId="77777777">
        <w:tblPrEx>
          <w:tblCellMar>
            <w:top w:w="0" w:type="dxa"/>
            <w:bottom w:w="0" w:type="dxa"/>
          </w:tblCellMar>
        </w:tblPrEx>
        <w:tc>
          <w:tcPr>
            <w:tcW w:w="3200" w:type="dxa"/>
            <w:shd w:val="clear" w:color="auto" w:fill="1F4E79"/>
          </w:tcPr>
          <w:p w14:paraId="39FFEA32" w14:textId="77777777" w:rsidR="00F45D54" w:rsidRDefault="00337C65">
            <w:pPr>
              <w:spacing w:before="60" w:after="60"/>
            </w:pPr>
            <w:r>
              <w:rPr>
                <w:b/>
                <w:bCs/>
              </w:rPr>
              <w:t>Metric</w:t>
            </w:r>
          </w:p>
        </w:tc>
        <w:tc>
          <w:tcPr>
            <w:tcW w:w="2400" w:type="dxa"/>
            <w:shd w:val="clear" w:color="auto" w:fill="1F4E79"/>
          </w:tcPr>
          <w:p w14:paraId="39FFEA33" w14:textId="77777777" w:rsidR="00F45D54" w:rsidRDefault="00337C65">
            <w:pPr>
              <w:spacing w:before="60" w:after="60"/>
            </w:pPr>
            <w:r>
              <w:rPr>
                <w:b/>
                <w:bCs/>
              </w:rPr>
              <w:t>Data Point</w:t>
            </w:r>
          </w:p>
        </w:tc>
        <w:tc>
          <w:tcPr>
            <w:tcW w:w="3400" w:type="dxa"/>
            <w:shd w:val="clear" w:color="auto" w:fill="1F4E79"/>
          </w:tcPr>
          <w:p w14:paraId="39FFEA34" w14:textId="77777777" w:rsidR="00F45D54" w:rsidRDefault="00337C65">
            <w:pPr>
              <w:spacing w:before="60" w:after="60"/>
            </w:pPr>
            <w:r>
              <w:rPr>
                <w:b/>
                <w:bCs/>
              </w:rPr>
              <w:t>Source</w:t>
            </w:r>
          </w:p>
        </w:tc>
      </w:tr>
      <w:tr w:rsidR="00F45D54" w14:paraId="39FFEA39" w14:textId="77777777">
        <w:tblPrEx>
          <w:tblCellMar>
            <w:top w:w="0" w:type="dxa"/>
            <w:bottom w:w="0" w:type="dxa"/>
          </w:tblCellMar>
        </w:tblPrEx>
        <w:tc>
          <w:tcPr>
            <w:tcW w:w="3200" w:type="dxa"/>
            <w:shd w:val="clear" w:color="auto" w:fill="EBF3FB"/>
          </w:tcPr>
          <w:p w14:paraId="39FFEA36" w14:textId="77777777" w:rsidR="00F45D54" w:rsidRDefault="00337C65">
            <w:pPr>
              <w:spacing w:before="60" w:after="60"/>
            </w:pPr>
            <w:r>
              <w:t>Global car rental market revenue (2024)</w:t>
            </w:r>
          </w:p>
        </w:tc>
        <w:tc>
          <w:tcPr>
            <w:tcW w:w="2400" w:type="dxa"/>
            <w:shd w:val="clear" w:color="auto" w:fill="EBF3FB"/>
          </w:tcPr>
          <w:p w14:paraId="39FFEA37" w14:textId="77777777" w:rsidR="00F45D54" w:rsidRDefault="00337C65">
            <w:pPr>
              <w:spacing w:before="60" w:after="60"/>
            </w:pPr>
            <w:r>
              <w:t>$90 billion USD</w:t>
            </w:r>
          </w:p>
        </w:tc>
        <w:tc>
          <w:tcPr>
            <w:tcW w:w="3400" w:type="dxa"/>
            <w:shd w:val="clear" w:color="auto" w:fill="EBF3FB"/>
          </w:tcPr>
          <w:p w14:paraId="39FFEA38" w14:textId="77777777" w:rsidR="00F45D54" w:rsidRDefault="00337C65">
            <w:pPr>
              <w:spacing w:before="60" w:after="60"/>
            </w:pPr>
            <w:r>
              <w:t>Euromonitor International [10]</w:t>
            </w:r>
          </w:p>
        </w:tc>
      </w:tr>
      <w:tr w:rsidR="00F45D54" w14:paraId="39FFEA3D" w14:textId="77777777">
        <w:tblPrEx>
          <w:tblCellMar>
            <w:top w:w="0" w:type="dxa"/>
            <w:bottom w:w="0" w:type="dxa"/>
          </w:tblCellMar>
        </w:tblPrEx>
        <w:tc>
          <w:tcPr>
            <w:tcW w:w="3200" w:type="dxa"/>
            <w:shd w:val="clear" w:color="auto" w:fill="FFFFFF"/>
          </w:tcPr>
          <w:p w14:paraId="39FFEA3A" w14:textId="77777777" w:rsidR="00F45D54" w:rsidRDefault="00337C65">
            <w:pPr>
              <w:spacing w:before="60" w:after="60"/>
            </w:pPr>
            <w:r>
              <w:t>U.S. share of global car rental market (2024)</w:t>
            </w:r>
          </w:p>
        </w:tc>
        <w:tc>
          <w:tcPr>
            <w:tcW w:w="2400" w:type="dxa"/>
            <w:shd w:val="clear" w:color="auto" w:fill="FFFFFF"/>
          </w:tcPr>
          <w:p w14:paraId="39FFEA3B" w14:textId="77777777" w:rsidR="00F45D54" w:rsidRDefault="00337C65">
            <w:pPr>
              <w:spacing w:before="60" w:after="60"/>
            </w:pPr>
            <w:r>
              <w:t>Approximately 40%</w:t>
            </w:r>
          </w:p>
        </w:tc>
        <w:tc>
          <w:tcPr>
            <w:tcW w:w="3400" w:type="dxa"/>
            <w:shd w:val="clear" w:color="auto" w:fill="FFFFFF"/>
          </w:tcPr>
          <w:p w14:paraId="39FFEA3C" w14:textId="77777777" w:rsidR="00F45D54" w:rsidRDefault="00337C65">
            <w:pPr>
              <w:spacing w:before="60" w:after="60"/>
            </w:pPr>
            <w:r>
              <w:t>Euromonitor International [10]</w:t>
            </w:r>
          </w:p>
        </w:tc>
      </w:tr>
      <w:tr w:rsidR="00F45D54" w14:paraId="39FFEA41" w14:textId="77777777">
        <w:tblPrEx>
          <w:tblCellMar>
            <w:top w:w="0" w:type="dxa"/>
            <w:bottom w:w="0" w:type="dxa"/>
          </w:tblCellMar>
        </w:tblPrEx>
        <w:tc>
          <w:tcPr>
            <w:tcW w:w="3200" w:type="dxa"/>
            <w:shd w:val="clear" w:color="auto" w:fill="EBF3FB"/>
          </w:tcPr>
          <w:p w14:paraId="39FFEA3E" w14:textId="77777777" w:rsidR="00F45D54" w:rsidRDefault="00337C65">
            <w:pPr>
              <w:spacing w:before="60" w:after="60"/>
            </w:pPr>
            <w:r>
              <w:t>Fleet operational improvement from telematics</w:t>
            </w:r>
          </w:p>
        </w:tc>
        <w:tc>
          <w:tcPr>
            <w:tcW w:w="2400" w:type="dxa"/>
            <w:shd w:val="clear" w:color="auto" w:fill="EBF3FB"/>
          </w:tcPr>
          <w:p w14:paraId="39FFEA3F" w14:textId="77777777" w:rsidR="00F45D54" w:rsidRDefault="00337C65">
            <w:pPr>
              <w:spacing w:before="60" w:after="60"/>
            </w:pPr>
            <w:r>
              <w:t>Up to $137 per vehicle per month</w:t>
            </w:r>
          </w:p>
        </w:tc>
        <w:tc>
          <w:tcPr>
            <w:tcW w:w="3400" w:type="dxa"/>
            <w:shd w:val="clear" w:color="auto" w:fill="EBF3FB"/>
          </w:tcPr>
          <w:p w14:paraId="39FFEA40" w14:textId="77777777" w:rsidR="00F45D54" w:rsidRDefault="00337C65">
            <w:pPr>
              <w:spacing w:before="60" w:after="60"/>
            </w:pPr>
            <w:r>
              <w:t>Euromonitor International [10] citing Geotab [11]</w:t>
            </w:r>
          </w:p>
        </w:tc>
      </w:tr>
      <w:tr w:rsidR="00F45D54" w14:paraId="39FFEA45" w14:textId="77777777">
        <w:tblPrEx>
          <w:tblCellMar>
            <w:top w:w="0" w:type="dxa"/>
            <w:bottom w:w="0" w:type="dxa"/>
          </w:tblCellMar>
        </w:tblPrEx>
        <w:tc>
          <w:tcPr>
            <w:tcW w:w="3200" w:type="dxa"/>
            <w:shd w:val="clear" w:color="auto" w:fill="FFFFFF"/>
          </w:tcPr>
          <w:p w14:paraId="39FFEA42" w14:textId="77777777" w:rsidR="00F45D54" w:rsidRDefault="00337C65">
            <w:pPr>
              <w:spacing w:before="60" w:after="60"/>
            </w:pPr>
            <w:r>
              <w:t>Global car rental market forecast (2030)</w:t>
            </w:r>
          </w:p>
        </w:tc>
        <w:tc>
          <w:tcPr>
            <w:tcW w:w="2400" w:type="dxa"/>
            <w:shd w:val="clear" w:color="auto" w:fill="FFFFFF"/>
          </w:tcPr>
          <w:p w14:paraId="39FFEA43" w14:textId="77777777" w:rsidR="00F45D54" w:rsidRDefault="00337C65">
            <w:pPr>
              <w:spacing w:before="60" w:after="60"/>
            </w:pPr>
            <w:r>
              <w:t>$278 billion USD at 10.5% CAGR</w:t>
            </w:r>
          </w:p>
        </w:tc>
        <w:tc>
          <w:tcPr>
            <w:tcW w:w="3400" w:type="dxa"/>
            <w:shd w:val="clear" w:color="auto" w:fill="FFFFFF"/>
          </w:tcPr>
          <w:p w14:paraId="39FFEA44" w14:textId="77777777" w:rsidR="00F45D54" w:rsidRDefault="00337C65">
            <w:pPr>
              <w:spacing w:before="60" w:after="60"/>
            </w:pPr>
            <w:r>
              <w:t>Grand View Research [12]</w:t>
            </w:r>
          </w:p>
        </w:tc>
      </w:tr>
    </w:tbl>
    <w:p w14:paraId="39FFEA46" w14:textId="77777777" w:rsidR="00F45D54" w:rsidRDefault="00337C65">
      <w:pPr>
        <w:spacing w:before="40" w:after="180"/>
      </w:pPr>
      <w:r>
        <w:rPr>
          <w:i/>
          <w:iCs/>
          <w:sz w:val="18"/>
          <w:szCs w:val="18"/>
        </w:rPr>
        <w:t>Sources: Euromonitor International [10]; Geotab [11]; Grand View Research [12].</w:t>
      </w:r>
    </w:p>
    <w:p w14:paraId="39FFEA47" w14:textId="77777777" w:rsidR="00F45D54" w:rsidRDefault="00337C65">
      <w:pPr>
        <w:spacing w:before="240" w:after="240"/>
        <w:jc w:val="both"/>
      </w:pPr>
      <w:r>
        <w:rPr>
          <w:sz w:val="24"/>
          <w:szCs w:val="24"/>
        </w:rPr>
        <w:t>The car rental market reached approximately $90 billion in global revenues in 2024 and is forecast to grow at a compound annual rate of 10.5 percent through 2030 [12], reflecting the scale and momentum of technology investment across the sector.</w:t>
      </w:r>
    </w:p>
    <w:p w14:paraId="39FFEA48" w14:textId="77777777" w:rsidR="00F45D54" w:rsidRDefault="00337C65">
      <w:pPr>
        <w:spacing w:before="240" w:after="180"/>
      </w:pPr>
      <w:r>
        <w:rPr>
          <w:b/>
          <w:bCs/>
          <w:sz w:val="24"/>
          <w:szCs w:val="24"/>
        </w:rPr>
        <w:t>2.2 From Reactive to Predictive: The Maintenance Strategy Transition</w:t>
      </w:r>
    </w:p>
    <w:p w14:paraId="39FFEA49" w14:textId="77777777" w:rsidR="00F45D54" w:rsidRDefault="00337C65">
      <w:pPr>
        <w:spacing w:before="240" w:after="240"/>
        <w:jc w:val="both"/>
      </w:pPr>
      <w:r>
        <w:rPr>
          <w:sz w:val="24"/>
          <w:szCs w:val="24"/>
        </w:rPr>
        <w:t>The car rental industry's maintenance strategy has evolved through distinct phases that correspond to broader patterns in industrial maintenance management identified in the operations management literature [17]. Table 2 presents a comparative analysis of maintenance strategy approaches.</w:t>
      </w:r>
    </w:p>
    <w:p w14:paraId="39FFEA4A" w14:textId="77777777" w:rsidR="00F45D54" w:rsidRDefault="00337C65">
      <w:pPr>
        <w:spacing w:before="180" w:after="60"/>
      </w:pPr>
      <w:r>
        <w:rPr>
          <w:b/>
          <w:bCs/>
        </w:rPr>
        <w:t>Table 2: Maintenance Strategy Comparison in Car Rental Fleet Operations</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00"/>
        <w:gridCol w:w="1600"/>
        <w:gridCol w:w="1600"/>
        <w:gridCol w:w="1600"/>
        <w:gridCol w:w="1600"/>
        <w:gridCol w:w="1600"/>
      </w:tblGrid>
      <w:tr w:rsidR="00F45D54" w14:paraId="39FFEA51" w14:textId="77777777">
        <w:tblPrEx>
          <w:tblCellMar>
            <w:top w:w="0" w:type="dxa"/>
            <w:bottom w:w="0" w:type="dxa"/>
          </w:tblCellMar>
        </w:tblPrEx>
        <w:tc>
          <w:tcPr>
            <w:tcW w:w="1400" w:type="dxa"/>
            <w:shd w:val="clear" w:color="auto" w:fill="1F4E79"/>
          </w:tcPr>
          <w:p w14:paraId="39FFEA4B" w14:textId="77777777" w:rsidR="00F45D54" w:rsidRDefault="00337C65">
            <w:pPr>
              <w:spacing w:before="60" w:after="60"/>
            </w:pPr>
            <w:r>
              <w:rPr>
                <w:b/>
                <w:bCs/>
              </w:rPr>
              <w:lastRenderedPageBreak/>
              <w:t>Approach</w:t>
            </w:r>
          </w:p>
        </w:tc>
        <w:tc>
          <w:tcPr>
            <w:tcW w:w="1600" w:type="dxa"/>
            <w:shd w:val="clear" w:color="auto" w:fill="1F4E79"/>
          </w:tcPr>
          <w:p w14:paraId="39FFEA4C" w14:textId="77777777" w:rsidR="00F45D54" w:rsidRDefault="00337C65">
            <w:pPr>
              <w:spacing w:before="60" w:after="60"/>
            </w:pPr>
            <w:r>
              <w:rPr>
                <w:b/>
                <w:bCs/>
              </w:rPr>
              <w:t>Trigger</w:t>
            </w:r>
          </w:p>
        </w:tc>
        <w:tc>
          <w:tcPr>
            <w:tcW w:w="1600" w:type="dxa"/>
            <w:shd w:val="clear" w:color="auto" w:fill="1F4E79"/>
          </w:tcPr>
          <w:p w14:paraId="39FFEA4D" w14:textId="77777777" w:rsidR="00F45D54" w:rsidRDefault="00337C65">
            <w:pPr>
              <w:spacing w:before="60" w:after="60"/>
            </w:pPr>
            <w:r>
              <w:rPr>
                <w:b/>
                <w:bCs/>
              </w:rPr>
              <w:t>Cost Implication</w:t>
            </w:r>
          </w:p>
        </w:tc>
        <w:tc>
          <w:tcPr>
            <w:tcW w:w="1600" w:type="dxa"/>
            <w:shd w:val="clear" w:color="auto" w:fill="1F4E79"/>
          </w:tcPr>
          <w:p w14:paraId="39FFEA4E" w14:textId="77777777" w:rsidR="00F45D54" w:rsidRDefault="00337C65">
            <w:pPr>
              <w:spacing w:before="60" w:after="60"/>
            </w:pPr>
            <w:r>
              <w:rPr>
                <w:b/>
                <w:bCs/>
              </w:rPr>
              <w:t>Fleet Availability</w:t>
            </w:r>
          </w:p>
        </w:tc>
        <w:tc>
          <w:tcPr>
            <w:tcW w:w="1600" w:type="dxa"/>
            <w:shd w:val="clear" w:color="auto" w:fill="1F4E79"/>
          </w:tcPr>
          <w:p w14:paraId="39FFEA4F" w14:textId="77777777" w:rsidR="00F45D54" w:rsidRDefault="00337C65">
            <w:pPr>
              <w:spacing w:before="60" w:after="60"/>
            </w:pPr>
            <w:r>
              <w:rPr>
                <w:b/>
                <w:bCs/>
              </w:rPr>
              <w:t>Technology Requirement</w:t>
            </w:r>
          </w:p>
        </w:tc>
        <w:tc>
          <w:tcPr>
            <w:tcW w:w="1600" w:type="dxa"/>
            <w:shd w:val="clear" w:color="auto" w:fill="1F4E79"/>
          </w:tcPr>
          <w:p w14:paraId="39FFEA50" w14:textId="77777777" w:rsidR="00F45D54" w:rsidRDefault="00337C65">
            <w:pPr>
              <w:spacing w:before="60" w:after="60"/>
            </w:pPr>
            <w:r>
              <w:rPr>
                <w:b/>
                <w:bCs/>
              </w:rPr>
              <w:t>Oversight Requirements</w:t>
            </w:r>
          </w:p>
        </w:tc>
      </w:tr>
      <w:tr w:rsidR="00F45D54" w14:paraId="39FFEA58" w14:textId="77777777">
        <w:tblPrEx>
          <w:tblCellMar>
            <w:top w:w="0" w:type="dxa"/>
            <w:bottom w:w="0" w:type="dxa"/>
          </w:tblCellMar>
        </w:tblPrEx>
        <w:tc>
          <w:tcPr>
            <w:tcW w:w="1400" w:type="dxa"/>
            <w:shd w:val="clear" w:color="auto" w:fill="EBF3FB"/>
          </w:tcPr>
          <w:p w14:paraId="39FFEA52" w14:textId="77777777" w:rsidR="00F45D54" w:rsidRDefault="00337C65">
            <w:pPr>
              <w:spacing w:before="60" w:after="60"/>
            </w:pPr>
            <w:r>
              <w:t>Reactive maintenance</w:t>
            </w:r>
          </w:p>
        </w:tc>
        <w:tc>
          <w:tcPr>
            <w:tcW w:w="1600" w:type="dxa"/>
            <w:shd w:val="clear" w:color="auto" w:fill="EBF3FB"/>
          </w:tcPr>
          <w:p w14:paraId="39FFEA53" w14:textId="77777777" w:rsidR="00F45D54" w:rsidRDefault="00337C65">
            <w:pPr>
              <w:spacing w:before="60" w:after="60"/>
            </w:pPr>
            <w:r>
              <w:t>Repair after failure occurs</w:t>
            </w:r>
          </w:p>
        </w:tc>
        <w:tc>
          <w:tcPr>
            <w:tcW w:w="1600" w:type="dxa"/>
            <w:shd w:val="clear" w:color="auto" w:fill="EBF3FB"/>
          </w:tcPr>
          <w:p w14:paraId="39FFEA54" w14:textId="77777777" w:rsidR="00F45D54" w:rsidRDefault="00337C65">
            <w:pPr>
              <w:spacing w:before="60" w:after="60"/>
            </w:pPr>
            <w:r>
              <w:t>Highest: unplanned downtime and emergency repair costs</w:t>
            </w:r>
          </w:p>
        </w:tc>
        <w:tc>
          <w:tcPr>
            <w:tcW w:w="1600" w:type="dxa"/>
            <w:shd w:val="clear" w:color="auto" w:fill="EBF3FB"/>
          </w:tcPr>
          <w:p w14:paraId="39FFEA55" w14:textId="77777777" w:rsidR="00F45D54" w:rsidRDefault="00337C65">
            <w:pPr>
              <w:spacing w:before="60" w:after="60"/>
            </w:pPr>
            <w:r>
              <w:t>Poorest: vehicles removed from fleet at peak demand</w:t>
            </w:r>
          </w:p>
        </w:tc>
        <w:tc>
          <w:tcPr>
            <w:tcW w:w="1600" w:type="dxa"/>
            <w:shd w:val="clear" w:color="auto" w:fill="EBF3FB"/>
          </w:tcPr>
          <w:p w14:paraId="39FFEA56" w14:textId="77777777" w:rsidR="00F45D54" w:rsidRDefault="00337C65">
            <w:pPr>
              <w:spacing w:before="60" w:after="60"/>
            </w:pPr>
            <w:r>
              <w:t>None: no analytics required</w:t>
            </w:r>
          </w:p>
        </w:tc>
        <w:tc>
          <w:tcPr>
            <w:tcW w:w="1600" w:type="dxa"/>
            <w:shd w:val="clear" w:color="auto" w:fill="EBF3FB"/>
          </w:tcPr>
          <w:p w14:paraId="39FFEA57" w14:textId="77777777" w:rsidR="00F45D54" w:rsidRDefault="00337C65">
            <w:pPr>
              <w:spacing w:before="60" w:after="60"/>
            </w:pPr>
            <w:r>
              <w:t>No predictive capability; highest customer impact</w:t>
            </w:r>
          </w:p>
        </w:tc>
      </w:tr>
      <w:tr w:rsidR="00F45D54" w14:paraId="39FFEA5F" w14:textId="77777777">
        <w:tblPrEx>
          <w:tblCellMar>
            <w:top w:w="0" w:type="dxa"/>
            <w:bottom w:w="0" w:type="dxa"/>
          </w:tblCellMar>
        </w:tblPrEx>
        <w:tc>
          <w:tcPr>
            <w:tcW w:w="1400" w:type="dxa"/>
            <w:shd w:val="clear" w:color="auto" w:fill="FFFFFF"/>
          </w:tcPr>
          <w:p w14:paraId="39FFEA59" w14:textId="77777777" w:rsidR="00F45D54" w:rsidRDefault="00337C65">
            <w:pPr>
              <w:spacing w:before="60" w:after="60"/>
            </w:pPr>
            <w:r>
              <w:t>Preventive maintenance</w:t>
            </w:r>
          </w:p>
        </w:tc>
        <w:tc>
          <w:tcPr>
            <w:tcW w:w="1600" w:type="dxa"/>
            <w:shd w:val="clear" w:color="auto" w:fill="FFFFFF"/>
          </w:tcPr>
          <w:p w14:paraId="39FFEA5A" w14:textId="77777777" w:rsidR="00F45D54" w:rsidRDefault="00337C65">
            <w:pPr>
              <w:spacing w:before="60" w:after="60"/>
            </w:pPr>
            <w:r>
              <w:t>Scheduled intervals regardless of vehicle condition</w:t>
            </w:r>
          </w:p>
        </w:tc>
        <w:tc>
          <w:tcPr>
            <w:tcW w:w="1600" w:type="dxa"/>
            <w:shd w:val="clear" w:color="auto" w:fill="FFFFFF"/>
          </w:tcPr>
          <w:p w14:paraId="39FFEA5B" w14:textId="77777777" w:rsidR="00F45D54" w:rsidRDefault="00337C65">
            <w:pPr>
              <w:spacing w:before="60" w:after="60"/>
            </w:pPr>
            <w:r>
              <w:t>Moderate: over-maintenance costs offset by reduced emergencies</w:t>
            </w:r>
          </w:p>
        </w:tc>
        <w:tc>
          <w:tcPr>
            <w:tcW w:w="1600" w:type="dxa"/>
            <w:shd w:val="clear" w:color="auto" w:fill="FFFFFF"/>
          </w:tcPr>
          <w:p w14:paraId="39FFEA5C" w14:textId="77777777" w:rsidR="00F45D54" w:rsidRDefault="00337C65">
            <w:pPr>
              <w:spacing w:before="60" w:after="60"/>
            </w:pPr>
            <w:r>
              <w:t>Moderate: planned downtime allows demand scheduling</w:t>
            </w:r>
          </w:p>
        </w:tc>
        <w:tc>
          <w:tcPr>
            <w:tcW w:w="1600" w:type="dxa"/>
            <w:shd w:val="clear" w:color="auto" w:fill="FFFFFF"/>
          </w:tcPr>
          <w:p w14:paraId="39FFEA5D" w14:textId="77777777" w:rsidR="00F45D54" w:rsidRDefault="00337C65">
            <w:pPr>
              <w:spacing w:before="60" w:after="60"/>
            </w:pPr>
            <w:r>
              <w:t>Minimal: maintenance scheduling software</w:t>
            </w:r>
          </w:p>
        </w:tc>
        <w:tc>
          <w:tcPr>
            <w:tcW w:w="1600" w:type="dxa"/>
            <w:shd w:val="clear" w:color="auto" w:fill="FFFFFF"/>
          </w:tcPr>
          <w:p w14:paraId="39FFEA5E" w14:textId="77777777" w:rsidR="00F45D54" w:rsidRDefault="00337C65">
            <w:pPr>
              <w:spacing w:before="60" w:after="60"/>
            </w:pPr>
            <w:r>
              <w:t>Produces unnecessary maintenance on healthy vehicles; misses failures between intervals</w:t>
            </w:r>
          </w:p>
        </w:tc>
      </w:tr>
      <w:tr w:rsidR="00F45D54" w14:paraId="39FFEA66" w14:textId="77777777">
        <w:tblPrEx>
          <w:tblCellMar>
            <w:top w:w="0" w:type="dxa"/>
            <w:bottom w:w="0" w:type="dxa"/>
          </w:tblCellMar>
        </w:tblPrEx>
        <w:tc>
          <w:tcPr>
            <w:tcW w:w="1400" w:type="dxa"/>
            <w:shd w:val="clear" w:color="auto" w:fill="EBF3FB"/>
          </w:tcPr>
          <w:p w14:paraId="39FFEA60" w14:textId="77777777" w:rsidR="00F45D54" w:rsidRDefault="00337C65">
            <w:pPr>
              <w:spacing w:before="60" w:after="60"/>
            </w:pPr>
            <w:r>
              <w:t>Condition-based maintenance</w:t>
            </w:r>
          </w:p>
        </w:tc>
        <w:tc>
          <w:tcPr>
            <w:tcW w:w="1600" w:type="dxa"/>
            <w:shd w:val="clear" w:color="auto" w:fill="EBF3FB"/>
          </w:tcPr>
          <w:p w14:paraId="39FFEA61" w14:textId="77777777" w:rsidR="00F45D54" w:rsidRDefault="00337C65">
            <w:pPr>
              <w:spacing w:before="60" w:after="60"/>
            </w:pPr>
            <w:r>
              <w:t>Triggered by specific sensor thresholds</w:t>
            </w:r>
          </w:p>
        </w:tc>
        <w:tc>
          <w:tcPr>
            <w:tcW w:w="1600" w:type="dxa"/>
            <w:shd w:val="clear" w:color="auto" w:fill="EBF3FB"/>
          </w:tcPr>
          <w:p w14:paraId="39FFEA62" w14:textId="77777777" w:rsidR="00F45D54" w:rsidRDefault="00337C65">
            <w:pPr>
              <w:spacing w:before="60" w:after="60"/>
            </w:pPr>
            <w:r>
              <w:t>Lower: maintenance aligned with actual condition</w:t>
            </w:r>
          </w:p>
        </w:tc>
        <w:tc>
          <w:tcPr>
            <w:tcW w:w="1600" w:type="dxa"/>
            <w:shd w:val="clear" w:color="auto" w:fill="EBF3FB"/>
          </w:tcPr>
          <w:p w14:paraId="39FFEA63" w14:textId="77777777" w:rsidR="00F45D54" w:rsidRDefault="00337C65">
            <w:pPr>
              <w:spacing w:before="60" w:after="60"/>
            </w:pPr>
            <w:r>
              <w:t>Good: reduces unnecessary downtime</w:t>
            </w:r>
          </w:p>
        </w:tc>
        <w:tc>
          <w:tcPr>
            <w:tcW w:w="1600" w:type="dxa"/>
            <w:shd w:val="clear" w:color="auto" w:fill="EBF3FB"/>
          </w:tcPr>
          <w:p w14:paraId="39FFEA64" w14:textId="77777777" w:rsidR="00F45D54" w:rsidRDefault="00337C65">
            <w:pPr>
              <w:spacing w:before="60" w:after="60"/>
            </w:pPr>
            <w:r>
              <w:t>Moderate: IoT sensors and threshold monitoring</w:t>
            </w:r>
          </w:p>
        </w:tc>
        <w:tc>
          <w:tcPr>
            <w:tcW w:w="1600" w:type="dxa"/>
            <w:shd w:val="clear" w:color="auto" w:fill="EBF3FB"/>
          </w:tcPr>
          <w:p w14:paraId="39FFEA65" w14:textId="77777777" w:rsidR="00F45D54" w:rsidRDefault="00337C65">
            <w:pPr>
              <w:spacing w:before="60" w:after="60"/>
            </w:pPr>
            <w:r>
              <w:t>Requires sensor infrastructure but minimal predictive modeling</w:t>
            </w:r>
          </w:p>
        </w:tc>
      </w:tr>
      <w:tr w:rsidR="00F45D54" w14:paraId="39FFEA6D" w14:textId="77777777">
        <w:tblPrEx>
          <w:tblCellMar>
            <w:top w:w="0" w:type="dxa"/>
            <w:bottom w:w="0" w:type="dxa"/>
          </w:tblCellMar>
        </w:tblPrEx>
        <w:tc>
          <w:tcPr>
            <w:tcW w:w="1400" w:type="dxa"/>
            <w:shd w:val="clear" w:color="auto" w:fill="FFFFFF"/>
          </w:tcPr>
          <w:p w14:paraId="39FFEA67" w14:textId="77777777" w:rsidR="00F45D54" w:rsidRDefault="00337C65">
            <w:pPr>
              <w:spacing w:before="60" w:after="60"/>
            </w:pPr>
            <w:r>
              <w:t>Predictive maintenance (AI-driven)</w:t>
            </w:r>
          </w:p>
        </w:tc>
        <w:tc>
          <w:tcPr>
            <w:tcW w:w="1600" w:type="dxa"/>
            <w:shd w:val="clear" w:color="auto" w:fill="FFFFFF"/>
          </w:tcPr>
          <w:p w14:paraId="39FFEA68" w14:textId="77777777" w:rsidR="00F45D54" w:rsidRDefault="00337C65">
            <w:pPr>
              <w:spacing w:before="60" w:after="60"/>
            </w:pPr>
            <w:r>
              <w:t>ML models predict failure probability before threshold breach</w:t>
            </w:r>
          </w:p>
        </w:tc>
        <w:tc>
          <w:tcPr>
            <w:tcW w:w="1600" w:type="dxa"/>
            <w:shd w:val="clear" w:color="auto" w:fill="FFFFFF"/>
          </w:tcPr>
          <w:p w14:paraId="39FFEA69" w14:textId="77777777" w:rsidR="00F45D54" w:rsidRDefault="00337C65">
            <w:pPr>
              <w:spacing w:before="60" w:after="60"/>
            </w:pPr>
            <w:r>
              <w:t>Lowest: failures prevented before causing downtime</w:t>
            </w:r>
          </w:p>
        </w:tc>
        <w:tc>
          <w:tcPr>
            <w:tcW w:w="1600" w:type="dxa"/>
            <w:shd w:val="clear" w:color="auto" w:fill="FFFFFF"/>
          </w:tcPr>
          <w:p w14:paraId="39FFEA6A" w14:textId="77777777" w:rsidR="00F45D54" w:rsidRDefault="00337C65">
            <w:pPr>
              <w:spacing w:before="60" w:after="60"/>
            </w:pPr>
            <w:r>
              <w:t>Best: maximum fleet availability through failure prevention</w:t>
            </w:r>
          </w:p>
        </w:tc>
        <w:tc>
          <w:tcPr>
            <w:tcW w:w="1600" w:type="dxa"/>
            <w:shd w:val="clear" w:color="auto" w:fill="FFFFFF"/>
          </w:tcPr>
          <w:p w14:paraId="39FFEA6B" w14:textId="77777777" w:rsidR="00F45D54" w:rsidRDefault="00337C65">
            <w:pPr>
              <w:spacing w:before="60" w:after="60"/>
            </w:pPr>
            <w:r>
              <w:t>Advanced: IoT sensors, ML models, real-time analytics</w:t>
            </w:r>
          </w:p>
        </w:tc>
        <w:tc>
          <w:tcPr>
            <w:tcW w:w="1600" w:type="dxa"/>
            <w:shd w:val="clear" w:color="auto" w:fill="FFFFFF"/>
          </w:tcPr>
          <w:p w14:paraId="39FFEA6C" w14:textId="77777777" w:rsidR="00F45D54" w:rsidRDefault="00337C65">
            <w:pPr>
              <w:spacing w:before="60" w:after="60"/>
            </w:pPr>
            <w:r>
              <w:t>Requires manager capability to interpret outputs and prioritize alerts; oversight risk if capability absent</w:t>
            </w:r>
          </w:p>
        </w:tc>
      </w:tr>
    </w:tbl>
    <w:p w14:paraId="39FFEA6E" w14:textId="77777777" w:rsidR="00F45D54" w:rsidRDefault="00337C65">
      <w:pPr>
        <w:spacing w:before="40" w:after="180"/>
      </w:pPr>
      <w:r>
        <w:rPr>
          <w:i/>
          <w:iCs/>
          <w:sz w:val="18"/>
          <w:szCs w:val="18"/>
        </w:rPr>
        <w:t>Source: Framework developed from Hector and Panjanathan [13]; Chaudhuri and Ghosh [9]; Nikopoulou et al. [19].</w:t>
      </w:r>
    </w:p>
    <w:p w14:paraId="39FFEA6F" w14:textId="77777777" w:rsidR="00F45D54" w:rsidRDefault="00337C65">
      <w:pPr>
        <w:spacing w:before="240" w:after="240"/>
        <w:jc w:val="both"/>
      </w:pPr>
      <w:r>
        <w:rPr>
          <w:sz w:val="24"/>
          <w:szCs w:val="24"/>
        </w:rPr>
        <w:t xml:space="preserve">The progression from reactive to predictive maintenance represents a fundamental change in the function that maintenance supervisors and fleet coordinators perform. In predictive maintenance environments, the manager's role is to evaluate algorithmic predictions, prioritize competing maintenance recommendations, make override decisions when model outputs conflict with operational judgment, and verify that the maintenance actions triggered by predictive alerts have been completed effectively. This is a more </w:t>
      </w:r>
      <w:r>
        <w:rPr>
          <w:sz w:val="24"/>
          <w:szCs w:val="24"/>
        </w:rPr>
        <w:t>analytically demanding role, and one that current training and development practices in most car rental operators do not systematically prepare their operations staff to perform.</w:t>
      </w:r>
    </w:p>
    <w:p w14:paraId="39FFEA70" w14:textId="77777777" w:rsidR="00F45D54" w:rsidRDefault="00337C65">
      <w:pPr>
        <w:spacing w:before="300" w:after="240"/>
      </w:pPr>
      <w:r>
        <w:rPr>
          <w:b/>
          <w:bCs/>
          <w:sz w:val="28"/>
          <w:szCs w:val="28"/>
        </w:rPr>
        <w:t>3. THEORETICAL FRAMEWORK</w:t>
      </w:r>
    </w:p>
    <w:p w14:paraId="39FFEA71" w14:textId="77777777" w:rsidR="00F45D54" w:rsidRDefault="00337C65">
      <w:pPr>
        <w:spacing w:before="240" w:after="240"/>
        <w:jc w:val="both"/>
      </w:pPr>
      <w:r>
        <w:rPr>
          <w:sz w:val="24"/>
          <w:szCs w:val="24"/>
        </w:rPr>
        <w:t xml:space="preserve">Human Capital Theory [5, 20] establishes the foundational economic rationale for investing in the analytical capability of maintenance supervisors and fleet coordinators. </w:t>
      </w:r>
      <w:proofErr w:type="gramStart"/>
      <w:r>
        <w:rPr>
          <w:sz w:val="24"/>
          <w:szCs w:val="24"/>
        </w:rPr>
        <w:t>Becker's [5]</w:t>
      </w:r>
      <w:proofErr w:type="gramEnd"/>
      <w:r>
        <w:rPr>
          <w:sz w:val="24"/>
          <w:szCs w:val="24"/>
        </w:rPr>
        <w:t xml:space="preserve"> formalization holds that investments in worker capabilities generate returns to both the individual and the employing organization, and that the magnitude of those returns depends on the degree to which the capabilities developed match the operational requirements of the role. Applied to predictive maintenance in car rental operations, the theory generates a clear prediction: operators who invest in developing the analytical capability required to evaluate and act on predictive maintenance aler</w:t>
      </w:r>
      <w:r>
        <w:rPr>
          <w:sz w:val="24"/>
          <w:szCs w:val="24"/>
        </w:rPr>
        <w:t>ts will realize greater downtime reduction, lower maintenance costs, and better customer service outcomes than operators who deploy the same technology without investing in the corresponding human oversight capability.</w:t>
      </w:r>
    </w:p>
    <w:p w14:paraId="39FFEA72" w14:textId="77777777" w:rsidR="00F45D54" w:rsidRDefault="00337C65">
      <w:pPr>
        <w:spacing w:before="240" w:after="240"/>
        <w:jc w:val="both"/>
      </w:pPr>
      <w:r>
        <w:rPr>
          <w:sz w:val="24"/>
          <w:szCs w:val="24"/>
        </w:rPr>
        <w:t>The Technology-Organization-Environment framework [22], applied to hospitality technology adoption by Nikopoulou et al. [19], provides the analytical structure for understanding why the realization of predictive maintenance value varies systematically across car rental operators. The technological dimension identifies the IoT sensor infrastructure, telematics platforms, ML model capabilities, and alert management systems that enable predictive maintenance. The organizational dimension identifies the interna</w:t>
      </w:r>
      <w:r>
        <w:rPr>
          <w:sz w:val="24"/>
          <w:szCs w:val="24"/>
        </w:rPr>
        <w:t>l capacity constraints that determine whether deployed technology generates operational value: maintenance supervisor analytical capability, data science expertise for model development and validation, and the organizational workflows that translate predictive alerts into maintenance actions. The environmental dimension identifies the external regulatory, competitive, and market conditions that shape investment incentives.</w:t>
      </w:r>
    </w:p>
    <w:p w14:paraId="39FFEA73" w14:textId="77777777" w:rsidR="00F45D54" w:rsidRDefault="00337C65">
      <w:pPr>
        <w:spacing w:before="240" w:after="240"/>
        <w:jc w:val="both"/>
      </w:pPr>
      <w:r>
        <w:rPr>
          <w:sz w:val="24"/>
          <w:szCs w:val="24"/>
        </w:rPr>
        <w:lastRenderedPageBreak/>
        <w:t>Figure 1 presents the conceptual framework organizing this analysis, mapping the relationship between predictive maintenance analytics adoption, the mediating mechanism of human oversight capacity, and fleet downtime reduction outcomes.</w:t>
      </w:r>
    </w:p>
    <w:p w14:paraId="39FFEA74" w14:textId="77777777" w:rsidR="00F45D54" w:rsidRDefault="00337C65">
      <w:pPr>
        <w:spacing w:before="180" w:after="60"/>
      </w:pPr>
      <w:r>
        <w:rPr>
          <w:b/>
          <w:bCs/>
        </w:rPr>
        <w:t>Figure 1: Conceptual Framework: Predictive Maintenance Analytics and Fleet Downtime Reduction in U.S. Car Rental Operations</w:t>
      </w:r>
    </w:p>
    <w:tbl>
      <w:tblPr>
        <w:tblW w:w="8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3000"/>
        <w:gridCol w:w="2960"/>
      </w:tblGrid>
      <w:tr w:rsidR="00F45D54" w14:paraId="39FFEA78" w14:textId="77777777">
        <w:tblPrEx>
          <w:tblCellMar>
            <w:top w:w="0" w:type="dxa"/>
            <w:bottom w:w="0" w:type="dxa"/>
          </w:tblCellMar>
        </w:tblPrEx>
        <w:tc>
          <w:tcPr>
            <w:tcW w:w="3000" w:type="dxa"/>
            <w:shd w:val="clear" w:color="auto" w:fill="1F4E79"/>
          </w:tcPr>
          <w:p w14:paraId="39FFEA75" w14:textId="77777777" w:rsidR="00F45D54" w:rsidRDefault="00337C65">
            <w:pPr>
              <w:spacing w:before="60" w:after="60"/>
            </w:pPr>
            <w:r>
              <w:rPr>
                <w:b/>
                <w:bCs/>
              </w:rPr>
              <w:t>INDEPENDENT VARIABLE</w:t>
            </w:r>
          </w:p>
        </w:tc>
        <w:tc>
          <w:tcPr>
            <w:tcW w:w="3000" w:type="dxa"/>
            <w:shd w:val="clear" w:color="auto" w:fill="1F4E79"/>
          </w:tcPr>
          <w:p w14:paraId="39FFEA76" w14:textId="77777777" w:rsidR="00F45D54" w:rsidRDefault="00337C65">
            <w:pPr>
              <w:spacing w:before="60" w:after="60"/>
            </w:pPr>
            <w:r>
              <w:rPr>
                <w:b/>
                <w:bCs/>
              </w:rPr>
              <w:t>MEDIATING MECHANISM</w:t>
            </w:r>
          </w:p>
        </w:tc>
        <w:tc>
          <w:tcPr>
            <w:tcW w:w="2960" w:type="dxa"/>
            <w:shd w:val="clear" w:color="auto" w:fill="1F4E79"/>
          </w:tcPr>
          <w:p w14:paraId="39FFEA77" w14:textId="77777777" w:rsidR="00F45D54" w:rsidRDefault="00337C65">
            <w:pPr>
              <w:spacing w:before="60" w:after="60"/>
            </w:pPr>
            <w:r>
              <w:rPr>
                <w:b/>
                <w:bCs/>
              </w:rPr>
              <w:t>DEPENDENT VARIABLE</w:t>
            </w:r>
          </w:p>
        </w:tc>
      </w:tr>
      <w:tr w:rsidR="00F45D54" w14:paraId="39FFEA7C" w14:textId="77777777">
        <w:tblPrEx>
          <w:tblCellMar>
            <w:top w:w="0" w:type="dxa"/>
            <w:bottom w:w="0" w:type="dxa"/>
          </w:tblCellMar>
        </w:tblPrEx>
        <w:tc>
          <w:tcPr>
            <w:tcW w:w="3000" w:type="dxa"/>
            <w:shd w:val="clear" w:color="auto" w:fill="EBF3FB"/>
          </w:tcPr>
          <w:p w14:paraId="39FFEA79" w14:textId="77777777" w:rsidR="00F45D54" w:rsidRDefault="00337C65">
            <w:pPr>
              <w:spacing w:before="60" w:after="60"/>
            </w:pPr>
            <w:r>
              <w:t xml:space="preserve">Predictive Maintenance Analytics </w:t>
            </w:r>
            <w:proofErr w:type="gramStart"/>
            <w:r>
              <w:t xml:space="preserve">Adoption  </w:t>
            </w:r>
            <w:r>
              <w:t>IoT</w:t>
            </w:r>
            <w:proofErr w:type="gramEnd"/>
            <w:r>
              <w:t xml:space="preserve"> sensors / ML models / Alert systems / Telematics </w:t>
            </w:r>
            <w:proofErr w:type="gramStart"/>
            <w:r>
              <w:t>integration  Moderated</w:t>
            </w:r>
            <w:proofErr w:type="gramEnd"/>
            <w:r>
              <w:t xml:space="preserve"> by: TOE Framework [22] - Technological availability - Organizational capacity - Environmental incentives</w:t>
            </w:r>
          </w:p>
        </w:tc>
        <w:tc>
          <w:tcPr>
            <w:tcW w:w="3000" w:type="dxa"/>
            <w:shd w:val="clear" w:color="auto" w:fill="EBF3FB"/>
          </w:tcPr>
          <w:p w14:paraId="39FFEA7A" w14:textId="77777777" w:rsidR="00F45D54" w:rsidRDefault="00337C65">
            <w:pPr>
              <w:spacing w:before="60" w:after="60"/>
            </w:pPr>
            <w:r>
              <w:t xml:space="preserve">Algorithm Interpretability and Human Oversight </w:t>
            </w:r>
            <w:proofErr w:type="gramStart"/>
            <w:r>
              <w:t>Capacity  Degree</w:t>
            </w:r>
            <w:proofErr w:type="gramEnd"/>
            <w:r>
              <w:t xml:space="preserve"> to which maintenance supervisors can evaluate, prioritize, and act on predictive </w:t>
            </w:r>
            <w:proofErr w:type="gramStart"/>
            <w:r>
              <w:t>alerts  Theoretical</w:t>
            </w:r>
            <w:proofErr w:type="gramEnd"/>
            <w:r>
              <w:t xml:space="preserve"> Grounding: Human Capital Theory [5, 20] Investment in maintenance staff analytical capability</w:t>
            </w:r>
          </w:p>
        </w:tc>
        <w:tc>
          <w:tcPr>
            <w:tcW w:w="2960" w:type="dxa"/>
            <w:shd w:val="clear" w:color="auto" w:fill="EBF3FB"/>
          </w:tcPr>
          <w:p w14:paraId="39FFEA7B" w14:textId="77777777" w:rsidR="00F45D54" w:rsidRDefault="00337C65">
            <w:pPr>
              <w:spacing w:before="60" w:after="60"/>
            </w:pPr>
            <w:r>
              <w:t xml:space="preserve">Fleet Downtime Reduction </w:t>
            </w:r>
            <w:proofErr w:type="gramStart"/>
            <w:r>
              <w:t>Outcomes  -</w:t>
            </w:r>
            <w:proofErr w:type="gramEnd"/>
            <w:r>
              <w:t xml:space="preserve"> Unplanned downtime prevented - Maintenance cost reduction - Vehicle availability rate - Safety incident </w:t>
            </w:r>
            <w:proofErr w:type="gramStart"/>
            <w:r>
              <w:t>prevention  Measured</w:t>
            </w:r>
            <w:proofErr w:type="gramEnd"/>
            <w:r>
              <w:t xml:space="preserve"> by: Fleet downtime hours / Cost per vehicle / Breakdown rate / Customer satisfaction / Safety compliance</w:t>
            </w:r>
          </w:p>
        </w:tc>
      </w:tr>
    </w:tbl>
    <w:p w14:paraId="39FFEA7D" w14:textId="77777777" w:rsidR="00F45D54" w:rsidRDefault="00337C65">
      <w:pPr>
        <w:spacing w:before="40" w:after="180"/>
      </w:pPr>
      <w:r>
        <w:rPr>
          <w:i/>
          <w:iCs/>
          <w:sz w:val="18"/>
          <w:szCs w:val="18"/>
        </w:rPr>
        <w:t>Source: Framework developed from Becker [5]; Schultz [20]; Tornatzky and Fleischer [22]; Nikopoulou et al. [19].</w:t>
      </w:r>
    </w:p>
    <w:p w14:paraId="39FFEA7E" w14:textId="77777777" w:rsidR="00F45D54" w:rsidRDefault="00337C65">
      <w:pPr>
        <w:spacing w:before="300" w:after="240"/>
      </w:pPr>
      <w:r>
        <w:rPr>
          <w:b/>
          <w:bCs/>
          <w:sz w:val="28"/>
          <w:szCs w:val="28"/>
        </w:rPr>
        <w:t>4. LITERATURE REVIEW: MACHINE LEARNING TECHNIQUES FOR VEHICLE FLEET PREDICTIVE MAINTENANCE</w:t>
      </w:r>
    </w:p>
    <w:p w14:paraId="39FFEA7F" w14:textId="77777777" w:rsidR="00F45D54" w:rsidRDefault="00337C65">
      <w:pPr>
        <w:spacing w:before="240" w:after="180"/>
      </w:pPr>
      <w:r>
        <w:rPr>
          <w:b/>
          <w:bCs/>
          <w:sz w:val="24"/>
          <w:szCs w:val="24"/>
        </w:rPr>
        <w:t>4.1 Overview of ML Approaches</w:t>
      </w:r>
    </w:p>
    <w:p w14:paraId="39FFEA80" w14:textId="77777777" w:rsidR="00F45D54" w:rsidRDefault="00337C65">
      <w:pPr>
        <w:spacing w:before="240" w:after="240"/>
        <w:jc w:val="both"/>
      </w:pPr>
      <w:r>
        <w:rPr>
          <w:sz w:val="24"/>
          <w:szCs w:val="24"/>
        </w:rPr>
        <w:t xml:space="preserve">The application of machine learning to vehicle maintenance prediction has grown substantially over the past decade, driven by the proliferation of IoT sensors in commercial vehicles, the decreasing cost of cloud-based analytics platforms, and the demonstrated operational and financial returns of effective predictive maintenance programs. Hector and Panjanathan [13], in their systematic review published in PeerJ Computer Science, provided a comprehensive assessment of the ML techniques applied to industrial </w:t>
      </w:r>
      <w:r>
        <w:rPr>
          <w:sz w:val="24"/>
          <w:szCs w:val="24"/>
        </w:rPr>
        <w:t xml:space="preserve">maintenance, documenting five key stages of predictive maintenance model development: data cleansing, normalization, optimal feature extraction, decision model selection, and </w:t>
      </w:r>
      <w:proofErr w:type="gramStart"/>
      <w:r>
        <w:rPr>
          <w:sz w:val="24"/>
          <w:szCs w:val="24"/>
        </w:rPr>
        <w:t>prediction model</w:t>
      </w:r>
      <w:proofErr w:type="gramEnd"/>
      <w:r>
        <w:rPr>
          <w:sz w:val="24"/>
          <w:szCs w:val="24"/>
        </w:rPr>
        <w:t xml:space="preserve"> validation. Their review, covering research published between 1996 and 2023, identified machine learning as the most significant methodological development in predictive maintenance and noted that the effectiveness of ML-based predictive maintenance depends critically on the quality of sensor data infrastructure and th</w:t>
      </w:r>
      <w:r>
        <w:rPr>
          <w:sz w:val="24"/>
          <w:szCs w:val="24"/>
        </w:rPr>
        <w:t>e capability of operational staff to act on model outputs. Arena et al. [4], in their systematic literature review of predictive maintenance in the automotive sector, confirmed that supervised learning, deep learning, and hybrid ensemble approaches are the dominant technique categories, with hybrid methods showing the strongest performance on complex real-world datasets. Table 3 maps the primary ML technique categories applied to vehicle fleet predictive maintenance.</w:t>
      </w:r>
    </w:p>
    <w:p w14:paraId="39FFEA81" w14:textId="77777777" w:rsidR="00F45D54" w:rsidRDefault="00337C65">
      <w:pPr>
        <w:spacing w:before="180" w:after="60"/>
      </w:pPr>
      <w:r>
        <w:rPr>
          <w:b/>
          <w:bCs/>
        </w:rPr>
        <w:t>Table 3: Machine Learning Techniques Applied to Vehicle Fleet Predictive Maintenance</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200"/>
        <w:gridCol w:w="2200"/>
        <w:gridCol w:w="2800"/>
      </w:tblGrid>
      <w:tr w:rsidR="00F45D54" w14:paraId="39FFEA86" w14:textId="77777777">
        <w:tblPrEx>
          <w:tblCellMar>
            <w:top w:w="0" w:type="dxa"/>
            <w:bottom w:w="0" w:type="dxa"/>
          </w:tblCellMar>
        </w:tblPrEx>
        <w:tc>
          <w:tcPr>
            <w:tcW w:w="1800" w:type="dxa"/>
            <w:shd w:val="clear" w:color="auto" w:fill="1F4E79"/>
          </w:tcPr>
          <w:p w14:paraId="39FFEA82" w14:textId="77777777" w:rsidR="00F45D54" w:rsidRDefault="00337C65">
            <w:pPr>
              <w:spacing w:before="60" w:after="60"/>
            </w:pPr>
            <w:r>
              <w:rPr>
                <w:b/>
                <w:bCs/>
              </w:rPr>
              <w:t>ML Technique</w:t>
            </w:r>
          </w:p>
        </w:tc>
        <w:tc>
          <w:tcPr>
            <w:tcW w:w="2200" w:type="dxa"/>
            <w:shd w:val="clear" w:color="auto" w:fill="1F4E79"/>
          </w:tcPr>
          <w:p w14:paraId="39FFEA83" w14:textId="77777777" w:rsidR="00F45D54" w:rsidRDefault="00337C65">
            <w:pPr>
              <w:spacing w:before="60" w:after="60"/>
            </w:pPr>
            <w:r>
              <w:rPr>
                <w:b/>
                <w:bCs/>
              </w:rPr>
              <w:t>Mechanism</w:t>
            </w:r>
          </w:p>
        </w:tc>
        <w:tc>
          <w:tcPr>
            <w:tcW w:w="2200" w:type="dxa"/>
            <w:shd w:val="clear" w:color="auto" w:fill="1F4E79"/>
          </w:tcPr>
          <w:p w14:paraId="39FFEA84" w14:textId="77777777" w:rsidR="00F45D54" w:rsidRDefault="00337C65">
            <w:pPr>
              <w:spacing w:before="60" w:after="60"/>
            </w:pPr>
            <w:r>
              <w:rPr>
                <w:b/>
                <w:bCs/>
              </w:rPr>
              <w:t>Strengths for Fleet PdM</w:t>
            </w:r>
          </w:p>
        </w:tc>
        <w:tc>
          <w:tcPr>
            <w:tcW w:w="2800" w:type="dxa"/>
            <w:shd w:val="clear" w:color="auto" w:fill="1F4E79"/>
          </w:tcPr>
          <w:p w14:paraId="39FFEA85" w14:textId="77777777" w:rsidR="00F45D54" w:rsidRDefault="00337C65">
            <w:pPr>
              <w:spacing w:before="60" w:after="60"/>
            </w:pPr>
            <w:r>
              <w:rPr>
                <w:b/>
                <w:bCs/>
              </w:rPr>
              <w:t>Limitations and Oversight Considerations</w:t>
            </w:r>
          </w:p>
        </w:tc>
      </w:tr>
      <w:tr w:rsidR="00F45D54" w14:paraId="39FFEA8B" w14:textId="77777777">
        <w:tblPrEx>
          <w:tblCellMar>
            <w:top w:w="0" w:type="dxa"/>
            <w:bottom w:w="0" w:type="dxa"/>
          </w:tblCellMar>
        </w:tblPrEx>
        <w:tc>
          <w:tcPr>
            <w:tcW w:w="1800" w:type="dxa"/>
            <w:shd w:val="clear" w:color="auto" w:fill="EBF3FB"/>
          </w:tcPr>
          <w:p w14:paraId="39FFEA87" w14:textId="77777777" w:rsidR="00F45D54" w:rsidRDefault="00337C65">
            <w:pPr>
              <w:spacing w:before="60" w:after="60"/>
            </w:pPr>
            <w:r>
              <w:t>Supervised learning (random forest, gradient boosting, SVM)</w:t>
            </w:r>
          </w:p>
        </w:tc>
        <w:tc>
          <w:tcPr>
            <w:tcW w:w="2200" w:type="dxa"/>
            <w:shd w:val="clear" w:color="auto" w:fill="EBF3FB"/>
          </w:tcPr>
          <w:p w14:paraId="39FFEA88" w14:textId="77777777" w:rsidR="00F45D54" w:rsidRDefault="00337C65">
            <w:pPr>
              <w:spacing w:before="60" w:after="60"/>
            </w:pPr>
            <w:r>
              <w:t>Labeled historical failure data used to train classification models predicting failure probability</w:t>
            </w:r>
          </w:p>
        </w:tc>
        <w:tc>
          <w:tcPr>
            <w:tcW w:w="2200" w:type="dxa"/>
            <w:shd w:val="clear" w:color="auto" w:fill="EBF3FB"/>
          </w:tcPr>
          <w:p w14:paraId="39FFEA89" w14:textId="77777777" w:rsidR="00F45D54" w:rsidRDefault="00337C65">
            <w:pPr>
              <w:spacing w:before="60" w:after="60"/>
            </w:pPr>
            <w:r>
              <w:t>Well-suited for operators with extensive maintenance records; provides interpretable feature importance outputs managers can evaluate</w:t>
            </w:r>
          </w:p>
        </w:tc>
        <w:tc>
          <w:tcPr>
            <w:tcW w:w="2800" w:type="dxa"/>
            <w:shd w:val="clear" w:color="auto" w:fill="EBF3FB"/>
          </w:tcPr>
          <w:p w14:paraId="39FFEA8A" w14:textId="77777777" w:rsidR="00F45D54" w:rsidRDefault="00337C65">
            <w:pPr>
              <w:spacing w:before="60" w:after="60"/>
            </w:pPr>
            <w:r>
              <w:t xml:space="preserve">Requires </w:t>
            </w:r>
            <w:proofErr w:type="gramStart"/>
            <w:r>
              <w:t>large labeled</w:t>
            </w:r>
            <w:proofErr w:type="gramEnd"/>
            <w:r>
              <w:t xml:space="preserve"> datasets; model performance degrades when failure modes change; risk of overfitting to historical patterns</w:t>
            </w:r>
          </w:p>
        </w:tc>
      </w:tr>
      <w:tr w:rsidR="00F45D54" w14:paraId="39FFEA90" w14:textId="77777777">
        <w:tblPrEx>
          <w:tblCellMar>
            <w:top w:w="0" w:type="dxa"/>
            <w:bottom w:w="0" w:type="dxa"/>
          </w:tblCellMar>
        </w:tblPrEx>
        <w:tc>
          <w:tcPr>
            <w:tcW w:w="1800" w:type="dxa"/>
            <w:shd w:val="clear" w:color="auto" w:fill="FFFFFF"/>
          </w:tcPr>
          <w:p w14:paraId="39FFEA8C" w14:textId="77777777" w:rsidR="00F45D54" w:rsidRDefault="00337C65">
            <w:pPr>
              <w:spacing w:before="60" w:after="60"/>
            </w:pPr>
            <w:r>
              <w:t>Deep learning (LSTM, CNN, neural networks)</w:t>
            </w:r>
          </w:p>
        </w:tc>
        <w:tc>
          <w:tcPr>
            <w:tcW w:w="2200" w:type="dxa"/>
            <w:shd w:val="clear" w:color="auto" w:fill="FFFFFF"/>
          </w:tcPr>
          <w:p w14:paraId="39FFEA8D" w14:textId="77777777" w:rsidR="00F45D54" w:rsidRDefault="00337C65">
            <w:pPr>
              <w:spacing w:before="60" w:after="60"/>
            </w:pPr>
            <w:r>
              <w:t>Neural network architectures process time-series sensor data to identify complex failure patterns</w:t>
            </w:r>
          </w:p>
        </w:tc>
        <w:tc>
          <w:tcPr>
            <w:tcW w:w="2200" w:type="dxa"/>
            <w:shd w:val="clear" w:color="auto" w:fill="FFFFFF"/>
          </w:tcPr>
          <w:p w14:paraId="39FFEA8E" w14:textId="77777777" w:rsidR="00F45D54" w:rsidRDefault="00337C65">
            <w:pPr>
              <w:spacing w:before="60" w:after="60"/>
            </w:pPr>
            <w:r>
              <w:t>Highest predictive accuracy on large datasets with complex sensor streams; effective for multi-component systems</w:t>
            </w:r>
          </w:p>
        </w:tc>
        <w:tc>
          <w:tcPr>
            <w:tcW w:w="2800" w:type="dxa"/>
            <w:shd w:val="clear" w:color="auto" w:fill="FFFFFF"/>
          </w:tcPr>
          <w:p w14:paraId="39FFEA8F" w14:textId="77777777" w:rsidR="00F45D54" w:rsidRDefault="00337C65">
            <w:pPr>
              <w:spacing w:before="60" w:after="60"/>
            </w:pPr>
            <w:r>
              <w:t>Computationally intensive; difficult to interpret without explainability techniques; highest oversight risk because outputs are least transparent to non-technical managers</w:t>
            </w:r>
          </w:p>
        </w:tc>
      </w:tr>
      <w:tr w:rsidR="00F45D54" w14:paraId="39FFEA95" w14:textId="77777777">
        <w:tblPrEx>
          <w:tblCellMar>
            <w:top w:w="0" w:type="dxa"/>
            <w:bottom w:w="0" w:type="dxa"/>
          </w:tblCellMar>
        </w:tblPrEx>
        <w:tc>
          <w:tcPr>
            <w:tcW w:w="1800" w:type="dxa"/>
            <w:shd w:val="clear" w:color="auto" w:fill="EBF3FB"/>
          </w:tcPr>
          <w:p w14:paraId="39FFEA91" w14:textId="77777777" w:rsidR="00F45D54" w:rsidRDefault="00337C65">
            <w:pPr>
              <w:spacing w:before="60" w:after="60"/>
            </w:pPr>
            <w:r>
              <w:t>Hybrid ensemble methods</w:t>
            </w:r>
          </w:p>
        </w:tc>
        <w:tc>
          <w:tcPr>
            <w:tcW w:w="2200" w:type="dxa"/>
            <w:shd w:val="clear" w:color="auto" w:fill="EBF3FB"/>
          </w:tcPr>
          <w:p w14:paraId="39FFEA92" w14:textId="77777777" w:rsidR="00F45D54" w:rsidRDefault="00337C65">
            <w:pPr>
              <w:spacing w:before="60" w:after="60"/>
            </w:pPr>
            <w:r>
              <w:t xml:space="preserve">Combination of multiple model types that aggregate predictions to improve </w:t>
            </w:r>
            <w:r>
              <w:lastRenderedPageBreak/>
              <w:t>accuracy compared to any single algorithm</w:t>
            </w:r>
          </w:p>
        </w:tc>
        <w:tc>
          <w:tcPr>
            <w:tcW w:w="2200" w:type="dxa"/>
            <w:shd w:val="clear" w:color="auto" w:fill="EBF3FB"/>
          </w:tcPr>
          <w:p w14:paraId="39FFEA93" w14:textId="77777777" w:rsidR="00F45D54" w:rsidRDefault="00337C65">
            <w:pPr>
              <w:spacing w:before="60" w:after="60"/>
            </w:pPr>
            <w:r>
              <w:lastRenderedPageBreak/>
              <w:t xml:space="preserve">Outperforms individual models on complex vehicle fleet datasets; Chaudhuri and Ghosh [9] </w:t>
            </w:r>
            <w:r>
              <w:lastRenderedPageBreak/>
              <w:t>demonstrated superior performance on industrial IoT vehicle fleet data</w:t>
            </w:r>
          </w:p>
        </w:tc>
        <w:tc>
          <w:tcPr>
            <w:tcW w:w="2800" w:type="dxa"/>
            <w:shd w:val="clear" w:color="auto" w:fill="EBF3FB"/>
          </w:tcPr>
          <w:p w14:paraId="39FFEA94" w14:textId="77777777" w:rsidR="00F45D54" w:rsidRDefault="00337C65">
            <w:pPr>
              <w:spacing w:before="60" w:after="60"/>
            </w:pPr>
            <w:r>
              <w:lastRenderedPageBreak/>
              <w:t xml:space="preserve">Complex to implement and maintain; requires specialized data science expertise; output </w:t>
            </w:r>
            <w:r>
              <w:lastRenderedPageBreak/>
              <w:t>interpretation remains challenging for operations managers</w:t>
            </w:r>
          </w:p>
        </w:tc>
      </w:tr>
      <w:tr w:rsidR="00F45D54" w14:paraId="39FFEA9A" w14:textId="77777777">
        <w:tblPrEx>
          <w:tblCellMar>
            <w:top w:w="0" w:type="dxa"/>
            <w:bottom w:w="0" w:type="dxa"/>
          </w:tblCellMar>
        </w:tblPrEx>
        <w:tc>
          <w:tcPr>
            <w:tcW w:w="1800" w:type="dxa"/>
            <w:shd w:val="clear" w:color="auto" w:fill="FFFFFF"/>
          </w:tcPr>
          <w:p w14:paraId="39FFEA96" w14:textId="77777777" w:rsidR="00F45D54" w:rsidRDefault="00337C65">
            <w:pPr>
              <w:spacing w:before="60" w:after="60"/>
            </w:pPr>
            <w:r>
              <w:lastRenderedPageBreak/>
              <w:t>Condition monitoring with statistical process control</w:t>
            </w:r>
          </w:p>
        </w:tc>
        <w:tc>
          <w:tcPr>
            <w:tcW w:w="2200" w:type="dxa"/>
            <w:shd w:val="clear" w:color="auto" w:fill="FFFFFF"/>
          </w:tcPr>
          <w:p w14:paraId="39FFEA97" w14:textId="77777777" w:rsidR="00F45D54" w:rsidRDefault="00337C65">
            <w:pPr>
              <w:spacing w:before="60" w:after="60"/>
            </w:pPr>
            <w:r>
              <w:t>Statistical control limits applied to sensor readings to detect anomalous patterns that may precede failure</w:t>
            </w:r>
          </w:p>
        </w:tc>
        <w:tc>
          <w:tcPr>
            <w:tcW w:w="2200" w:type="dxa"/>
            <w:shd w:val="clear" w:color="auto" w:fill="FFFFFF"/>
          </w:tcPr>
          <w:p w14:paraId="39FFEA98" w14:textId="77777777" w:rsidR="00F45D54" w:rsidRDefault="00337C65">
            <w:pPr>
              <w:spacing w:before="60" w:after="60"/>
            </w:pPr>
            <w:r>
              <w:t>More interpretable than deep learning; provides managers with clearer thresholds; suitable for operators with limited data science capability</w:t>
            </w:r>
          </w:p>
        </w:tc>
        <w:tc>
          <w:tcPr>
            <w:tcW w:w="2800" w:type="dxa"/>
            <w:shd w:val="clear" w:color="auto" w:fill="FFFFFF"/>
          </w:tcPr>
          <w:p w14:paraId="39FFEA99" w14:textId="77777777" w:rsidR="00F45D54" w:rsidRDefault="00337C65">
            <w:pPr>
              <w:spacing w:before="60" w:after="60"/>
            </w:pPr>
            <w:r>
              <w:t>Less predictive accuracy than ML approaches; best suited as a Level 1 oversight tool rather than primary predictive system</w:t>
            </w:r>
          </w:p>
        </w:tc>
      </w:tr>
    </w:tbl>
    <w:p w14:paraId="39FFEA9B" w14:textId="77777777" w:rsidR="00F45D54" w:rsidRDefault="00337C65">
      <w:pPr>
        <w:spacing w:before="40" w:after="180"/>
      </w:pPr>
      <w:r>
        <w:rPr>
          <w:i/>
          <w:iCs/>
          <w:sz w:val="18"/>
          <w:szCs w:val="18"/>
        </w:rPr>
        <w:t>Sources: Synthesized from Hector and Panjanathan [13]; Chaudhuri and Ghosh [9]; Arena et al. [4]; Theissler et al. [21].</w:t>
      </w:r>
    </w:p>
    <w:p w14:paraId="39FFEA9C" w14:textId="77777777" w:rsidR="00F45D54" w:rsidRDefault="00337C65">
      <w:pPr>
        <w:spacing w:before="240" w:after="180"/>
      </w:pPr>
      <w:r>
        <w:rPr>
          <w:b/>
          <w:bCs/>
          <w:sz w:val="24"/>
          <w:szCs w:val="24"/>
        </w:rPr>
        <w:t>4.2 Deep Learning and Hybrid Methods</w:t>
      </w:r>
    </w:p>
    <w:p w14:paraId="39FFEA9D" w14:textId="77777777" w:rsidR="00F45D54" w:rsidRDefault="00337C65">
      <w:pPr>
        <w:spacing w:before="240" w:after="240"/>
        <w:jc w:val="both"/>
      </w:pPr>
      <w:r>
        <w:rPr>
          <w:sz w:val="24"/>
          <w:szCs w:val="24"/>
        </w:rPr>
        <w:t xml:space="preserve">Chaudhuri and Ghosh [9], </w:t>
      </w:r>
      <w:proofErr w:type="gramStart"/>
      <w:r>
        <w:rPr>
          <w:sz w:val="24"/>
          <w:szCs w:val="24"/>
        </w:rPr>
        <w:t>publishing</w:t>
      </w:r>
      <w:proofErr w:type="gramEnd"/>
      <w:r>
        <w:rPr>
          <w:sz w:val="24"/>
          <w:szCs w:val="24"/>
        </w:rPr>
        <w:t xml:space="preserve"> in the Logic Journal of the IGPL, investigated predictive maintenance of vehicle fleets using hybrid deep learning-based ensemble methods applied to industrial IoT datasets. Their study found that hybrid ensemble methods combining multiple deep learning architectures outperformed individual models on vehicle fleet maintenance prediction tasks, demonstrating superior accuracy for both failure detection and remaining useful life estimation. Killeen et al. [15], in their study of IoT-based predictiv</w:t>
      </w:r>
      <w:r>
        <w:rPr>
          <w:sz w:val="24"/>
          <w:szCs w:val="24"/>
        </w:rPr>
        <w:t>e maintenance for fleet management published in Procedia Computer Science, documented the operational benefits of integrating real-time sensor data with predictive models, finding that IoT-enabled systems reduced unplanned maintenance events in fleet operations. Carvalho et al. [8], in their systematic literature review of machine learning methods applied to predictive maintenance published in Computers and Industrial Engineering, found that random forests and neural network approaches were the most frequen</w:t>
      </w:r>
      <w:r>
        <w:rPr>
          <w:sz w:val="24"/>
          <w:szCs w:val="24"/>
        </w:rPr>
        <w:t xml:space="preserve">tly applied techniques and that sensor data quality was the </w:t>
      </w:r>
      <w:proofErr w:type="gramStart"/>
      <w:r>
        <w:rPr>
          <w:sz w:val="24"/>
          <w:szCs w:val="24"/>
        </w:rPr>
        <w:t>most commonly cited</w:t>
      </w:r>
      <w:proofErr w:type="gramEnd"/>
      <w:r>
        <w:rPr>
          <w:sz w:val="24"/>
          <w:szCs w:val="24"/>
        </w:rPr>
        <w:t xml:space="preserve"> implementation challenge across all reviewed studies.</w:t>
      </w:r>
    </w:p>
    <w:p w14:paraId="39FFEA9E" w14:textId="77777777" w:rsidR="00F45D54" w:rsidRDefault="00337C65">
      <w:pPr>
        <w:spacing w:before="240" w:after="240"/>
        <w:jc w:val="both"/>
      </w:pPr>
      <w:r>
        <w:rPr>
          <w:sz w:val="24"/>
          <w:szCs w:val="24"/>
        </w:rPr>
        <w:t>The interpretability challenge is particularly significant for car rental operations. A maintenance supervisor who receives a high-confidence alert that a vehicle's transmission is likely to fail within 72 hours needs to understand enough about how that prediction was generated to evaluate whether it is actionable, whether the confidence level warrants immediate workshop attention, whether the vehicle should be removed from the rental fleet, and whether the alert might be a false positive generated by anoma</w:t>
      </w:r>
      <w:r>
        <w:rPr>
          <w:sz w:val="24"/>
          <w:szCs w:val="24"/>
        </w:rPr>
        <w:t>lous sensor data. Without this interpretive capability, the supervisor must either accept all alerts uncritically or dismiss alerts they cannot evaluate, generating the unplanned downtime that predictive maintenance is designed to prevent.</w:t>
      </w:r>
    </w:p>
    <w:p w14:paraId="39FFEA9F" w14:textId="77777777" w:rsidR="00F45D54" w:rsidRDefault="00337C65">
      <w:pPr>
        <w:spacing w:before="300" w:after="240"/>
      </w:pPr>
      <w:r>
        <w:rPr>
          <w:b/>
          <w:bCs/>
          <w:sz w:val="28"/>
          <w:szCs w:val="28"/>
        </w:rPr>
        <w:t>5. PREDICTIVE MAINTENANCE APPLICATIONS BY VEHICLE SYSTEM</w:t>
      </w:r>
    </w:p>
    <w:p w14:paraId="39FFEAA0" w14:textId="77777777" w:rsidR="00F45D54" w:rsidRDefault="00337C65">
      <w:pPr>
        <w:spacing w:before="240" w:after="240"/>
        <w:jc w:val="both"/>
      </w:pPr>
      <w:r>
        <w:rPr>
          <w:sz w:val="24"/>
          <w:szCs w:val="24"/>
        </w:rPr>
        <w:t>Predictive maintenance value and oversight demands vary substantially across vehicle systems. Table 4 maps the five vehicle systems generating the most consequential predictive maintenance opportunities and oversight requirements in car rental fleet operations.</w:t>
      </w:r>
    </w:p>
    <w:p w14:paraId="39FFEAA1" w14:textId="77777777" w:rsidR="00F45D54" w:rsidRDefault="00337C65">
      <w:pPr>
        <w:spacing w:before="180" w:after="60"/>
      </w:pPr>
      <w:r>
        <w:rPr>
          <w:b/>
          <w:bCs/>
        </w:rPr>
        <w:t>Table 4: Predictive Maintenance Applications by Vehicle System in Car Rental Fleet Operations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00"/>
        <w:gridCol w:w="2000"/>
        <w:gridCol w:w="2800"/>
        <w:gridCol w:w="2600"/>
      </w:tblGrid>
      <w:tr w:rsidR="00F45D54" w14:paraId="39FFEAA6" w14:textId="77777777">
        <w:tblPrEx>
          <w:tblCellMar>
            <w:top w:w="0" w:type="dxa"/>
            <w:bottom w:w="0" w:type="dxa"/>
          </w:tblCellMar>
        </w:tblPrEx>
        <w:tc>
          <w:tcPr>
            <w:tcW w:w="1600" w:type="dxa"/>
            <w:shd w:val="clear" w:color="auto" w:fill="1F4E79"/>
          </w:tcPr>
          <w:p w14:paraId="39FFEAA2" w14:textId="77777777" w:rsidR="00F45D54" w:rsidRDefault="00337C65">
            <w:pPr>
              <w:spacing w:before="60" w:after="60"/>
            </w:pPr>
            <w:r>
              <w:rPr>
                <w:b/>
                <w:bCs/>
              </w:rPr>
              <w:t>Vehicle System</w:t>
            </w:r>
          </w:p>
        </w:tc>
        <w:tc>
          <w:tcPr>
            <w:tcW w:w="2000" w:type="dxa"/>
            <w:shd w:val="clear" w:color="auto" w:fill="1F4E79"/>
          </w:tcPr>
          <w:p w14:paraId="39FFEAA3" w14:textId="77777777" w:rsidR="00F45D54" w:rsidRDefault="00337C65">
            <w:pPr>
              <w:spacing w:before="60" w:after="60"/>
            </w:pPr>
            <w:r>
              <w:rPr>
                <w:b/>
                <w:bCs/>
              </w:rPr>
              <w:t>Key Sensor Data Sources</w:t>
            </w:r>
          </w:p>
        </w:tc>
        <w:tc>
          <w:tcPr>
            <w:tcW w:w="2800" w:type="dxa"/>
            <w:shd w:val="clear" w:color="auto" w:fill="1F4E79"/>
          </w:tcPr>
          <w:p w14:paraId="39FFEAA4" w14:textId="77777777" w:rsidR="00F45D54" w:rsidRDefault="00337C65">
            <w:pPr>
              <w:spacing w:before="60" w:after="60"/>
            </w:pPr>
            <w:r>
              <w:rPr>
                <w:b/>
                <w:bCs/>
              </w:rPr>
              <w:t>PdM Application Rationale</w:t>
            </w:r>
          </w:p>
        </w:tc>
        <w:tc>
          <w:tcPr>
            <w:tcW w:w="2600" w:type="dxa"/>
            <w:shd w:val="clear" w:color="auto" w:fill="1F4E79"/>
          </w:tcPr>
          <w:p w14:paraId="39FFEAA5" w14:textId="77777777" w:rsidR="00F45D54" w:rsidRDefault="00337C65">
            <w:pPr>
              <w:spacing w:before="60" w:after="60"/>
            </w:pPr>
            <w:r>
              <w:rPr>
                <w:b/>
                <w:bCs/>
              </w:rPr>
              <w:t>Risk Level if Oversight Fails</w:t>
            </w:r>
          </w:p>
        </w:tc>
      </w:tr>
      <w:tr w:rsidR="00F45D54" w14:paraId="39FFEAAB" w14:textId="77777777">
        <w:tblPrEx>
          <w:tblCellMar>
            <w:top w:w="0" w:type="dxa"/>
            <w:bottom w:w="0" w:type="dxa"/>
          </w:tblCellMar>
        </w:tblPrEx>
        <w:tc>
          <w:tcPr>
            <w:tcW w:w="1600" w:type="dxa"/>
            <w:shd w:val="clear" w:color="auto" w:fill="EBF3FB"/>
          </w:tcPr>
          <w:p w14:paraId="39FFEAA7" w14:textId="77777777" w:rsidR="00F45D54" w:rsidRDefault="00337C65">
            <w:pPr>
              <w:spacing w:before="60" w:after="60"/>
            </w:pPr>
            <w:r>
              <w:t>Engine and powertrain</w:t>
            </w:r>
          </w:p>
        </w:tc>
        <w:tc>
          <w:tcPr>
            <w:tcW w:w="2000" w:type="dxa"/>
            <w:shd w:val="clear" w:color="auto" w:fill="EBF3FB"/>
          </w:tcPr>
          <w:p w14:paraId="39FFEAA8" w14:textId="77777777" w:rsidR="00F45D54" w:rsidRDefault="00337C65">
            <w:pPr>
              <w:spacing w:before="60" w:after="60"/>
            </w:pPr>
            <w:r>
              <w:t>Vibration analysis, oil pressure, temperature sensors, RPM data, OBD-II diagnostic codes</w:t>
            </w:r>
          </w:p>
        </w:tc>
        <w:tc>
          <w:tcPr>
            <w:tcW w:w="2800" w:type="dxa"/>
            <w:shd w:val="clear" w:color="auto" w:fill="EBF3FB"/>
          </w:tcPr>
          <w:p w14:paraId="39FFEAA9" w14:textId="77777777" w:rsidR="00F45D54" w:rsidRDefault="00337C65">
            <w:pPr>
              <w:spacing w:before="60" w:after="60"/>
            </w:pPr>
            <w:r>
              <w:t>Engine failure is the highest-cost maintenance event and the most disruptive to fleet availability; early detection directly prevents customer-facing service failures</w:t>
            </w:r>
          </w:p>
        </w:tc>
        <w:tc>
          <w:tcPr>
            <w:tcW w:w="2600" w:type="dxa"/>
            <w:shd w:val="clear" w:color="auto" w:fill="EBF3FB"/>
          </w:tcPr>
          <w:p w14:paraId="39FFEAAA" w14:textId="77777777" w:rsidR="00F45D54" w:rsidRDefault="00337C65">
            <w:pPr>
              <w:spacing w:before="60" w:after="60"/>
            </w:pPr>
            <w:r>
              <w:t xml:space="preserve">High: engine failure during </w:t>
            </w:r>
            <w:proofErr w:type="gramStart"/>
            <w:r>
              <w:t>a customer</w:t>
            </w:r>
            <w:proofErr w:type="gramEnd"/>
            <w:r>
              <w:t xml:space="preserve"> rental creates safety risk, stranding risk, and reputational damage beyond direct maintenance cost</w:t>
            </w:r>
          </w:p>
        </w:tc>
      </w:tr>
      <w:tr w:rsidR="00F45D54" w14:paraId="39FFEAB0" w14:textId="77777777">
        <w:tblPrEx>
          <w:tblCellMar>
            <w:top w:w="0" w:type="dxa"/>
            <w:bottom w:w="0" w:type="dxa"/>
          </w:tblCellMar>
        </w:tblPrEx>
        <w:tc>
          <w:tcPr>
            <w:tcW w:w="1600" w:type="dxa"/>
            <w:shd w:val="clear" w:color="auto" w:fill="FFFFFF"/>
          </w:tcPr>
          <w:p w14:paraId="39FFEAAC" w14:textId="77777777" w:rsidR="00F45D54" w:rsidRDefault="00337C65">
            <w:pPr>
              <w:spacing w:before="60" w:after="60"/>
            </w:pPr>
            <w:r>
              <w:t>Transmission and drivetrain</w:t>
            </w:r>
          </w:p>
        </w:tc>
        <w:tc>
          <w:tcPr>
            <w:tcW w:w="2000" w:type="dxa"/>
            <w:shd w:val="clear" w:color="auto" w:fill="FFFFFF"/>
          </w:tcPr>
          <w:p w14:paraId="39FFEAAD" w14:textId="77777777" w:rsidR="00F45D54" w:rsidRDefault="00337C65">
            <w:pPr>
              <w:spacing w:before="60" w:after="60"/>
            </w:pPr>
            <w:r>
              <w:t>Gear shift behavior analysis, torque sensor data, fluid temperature monitoring</w:t>
            </w:r>
          </w:p>
        </w:tc>
        <w:tc>
          <w:tcPr>
            <w:tcW w:w="2800" w:type="dxa"/>
            <w:shd w:val="clear" w:color="auto" w:fill="FFFFFF"/>
          </w:tcPr>
          <w:p w14:paraId="39FFEAAE" w14:textId="77777777" w:rsidR="00F45D54" w:rsidRDefault="00337C65">
            <w:pPr>
              <w:spacing w:before="60" w:after="60"/>
            </w:pPr>
            <w:r>
              <w:t>Transmission failures are among the most expensive repair categories; predictive identification allows scheduling during planned low-demand periods</w:t>
            </w:r>
          </w:p>
        </w:tc>
        <w:tc>
          <w:tcPr>
            <w:tcW w:w="2600" w:type="dxa"/>
            <w:shd w:val="clear" w:color="auto" w:fill="FFFFFF"/>
          </w:tcPr>
          <w:p w14:paraId="39FFEAAF" w14:textId="77777777" w:rsidR="00F45D54" w:rsidRDefault="00337C65">
            <w:pPr>
              <w:spacing w:before="60" w:after="60"/>
            </w:pPr>
            <w:r>
              <w:t>High: transmission failure frequently renders vehicles non-drivable; stranding events generate immediate customer service escalations</w:t>
            </w:r>
          </w:p>
        </w:tc>
      </w:tr>
      <w:tr w:rsidR="00F45D54" w14:paraId="39FFEAB5" w14:textId="77777777">
        <w:tblPrEx>
          <w:tblCellMar>
            <w:top w:w="0" w:type="dxa"/>
            <w:bottom w:w="0" w:type="dxa"/>
          </w:tblCellMar>
        </w:tblPrEx>
        <w:tc>
          <w:tcPr>
            <w:tcW w:w="1600" w:type="dxa"/>
            <w:shd w:val="clear" w:color="auto" w:fill="EBF3FB"/>
          </w:tcPr>
          <w:p w14:paraId="39FFEAB1" w14:textId="77777777" w:rsidR="00F45D54" w:rsidRDefault="00337C65">
            <w:pPr>
              <w:spacing w:before="60" w:after="60"/>
            </w:pPr>
            <w:r>
              <w:t>Braking system</w:t>
            </w:r>
          </w:p>
        </w:tc>
        <w:tc>
          <w:tcPr>
            <w:tcW w:w="2000" w:type="dxa"/>
            <w:shd w:val="clear" w:color="auto" w:fill="EBF3FB"/>
          </w:tcPr>
          <w:p w14:paraId="39FFEAB2" w14:textId="77777777" w:rsidR="00F45D54" w:rsidRDefault="00337C65">
            <w:pPr>
              <w:spacing w:before="60" w:after="60"/>
            </w:pPr>
            <w:r>
              <w:t xml:space="preserve">Brake pad wear sensors, hydraulic pressure </w:t>
            </w:r>
            <w:r>
              <w:lastRenderedPageBreak/>
              <w:t>monitoring, ABS system diagnostics</w:t>
            </w:r>
          </w:p>
        </w:tc>
        <w:tc>
          <w:tcPr>
            <w:tcW w:w="2800" w:type="dxa"/>
            <w:shd w:val="clear" w:color="auto" w:fill="EBF3FB"/>
          </w:tcPr>
          <w:p w14:paraId="39FFEAB3" w14:textId="77777777" w:rsidR="00F45D54" w:rsidRDefault="00337C65">
            <w:pPr>
              <w:spacing w:before="60" w:after="60"/>
            </w:pPr>
            <w:r>
              <w:lastRenderedPageBreak/>
              <w:t xml:space="preserve">Brake system failure carries direct safety implications for rental customers; regulatory liability </w:t>
            </w:r>
            <w:r>
              <w:lastRenderedPageBreak/>
              <w:t>exposure if failure is linked to inadequate maintenance oversight</w:t>
            </w:r>
          </w:p>
        </w:tc>
        <w:tc>
          <w:tcPr>
            <w:tcW w:w="2600" w:type="dxa"/>
            <w:shd w:val="clear" w:color="auto" w:fill="EBF3FB"/>
          </w:tcPr>
          <w:p w14:paraId="39FFEAB4" w14:textId="77777777" w:rsidR="00F45D54" w:rsidRDefault="00337C65">
            <w:pPr>
              <w:spacing w:before="60" w:after="60"/>
            </w:pPr>
            <w:r>
              <w:lastRenderedPageBreak/>
              <w:t xml:space="preserve">Critical: brake failure during a customer rental creates legal liability and safety risk that </w:t>
            </w:r>
            <w:r>
              <w:lastRenderedPageBreak/>
              <w:t>extends beyond operational downtime metrics</w:t>
            </w:r>
          </w:p>
        </w:tc>
      </w:tr>
      <w:tr w:rsidR="00F45D54" w14:paraId="39FFEABA" w14:textId="77777777">
        <w:tblPrEx>
          <w:tblCellMar>
            <w:top w:w="0" w:type="dxa"/>
            <w:bottom w:w="0" w:type="dxa"/>
          </w:tblCellMar>
        </w:tblPrEx>
        <w:tc>
          <w:tcPr>
            <w:tcW w:w="1600" w:type="dxa"/>
            <w:shd w:val="clear" w:color="auto" w:fill="FFFFFF"/>
          </w:tcPr>
          <w:p w14:paraId="39FFEAB6" w14:textId="77777777" w:rsidR="00F45D54" w:rsidRDefault="00337C65">
            <w:pPr>
              <w:spacing w:before="60" w:after="60"/>
            </w:pPr>
            <w:r>
              <w:lastRenderedPageBreak/>
              <w:t>Battery and electrical systems</w:t>
            </w:r>
          </w:p>
        </w:tc>
        <w:tc>
          <w:tcPr>
            <w:tcW w:w="2000" w:type="dxa"/>
            <w:shd w:val="clear" w:color="auto" w:fill="FFFFFF"/>
          </w:tcPr>
          <w:p w14:paraId="39FFEAB7" w14:textId="77777777" w:rsidR="00F45D54" w:rsidRDefault="00337C65">
            <w:pPr>
              <w:spacing w:before="60" w:after="60"/>
            </w:pPr>
            <w:r>
              <w:t>Voltage monitoring, charging system diagnostics, starter motor performance data</w:t>
            </w:r>
          </w:p>
        </w:tc>
        <w:tc>
          <w:tcPr>
            <w:tcW w:w="2800" w:type="dxa"/>
            <w:shd w:val="clear" w:color="auto" w:fill="FFFFFF"/>
          </w:tcPr>
          <w:p w14:paraId="39FFEAB8" w14:textId="77777777" w:rsidR="00F45D54" w:rsidRDefault="00337C65">
            <w:pPr>
              <w:spacing w:before="60" w:after="60"/>
            </w:pPr>
            <w:r>
              <w:t>Electrical failures are a leading cause of rental vehicle breakdown; increasing in significance as EV fleet penetration grows</w:t>
            </w:r>
          </w:p>
        </w:tc>
        <w:tc>
          <w:tcPr>
            <w:tcW w:w="2600" w:type="dxa"/>
            <w:shd w:val="clear" w:color="auto" w:fill="FFFFFF"/>
          </w:tcPr>
          <w:p w14:paraId="39FFEAB9" w14:textId="77777777" w:rsidR="00F45D54" w:rsidRDefault="00337C65">
            <w:pPr>
              <w:spacing w:before="60" w:after="60"/>
            </w:pPr>
            <w:r>
              <w:t>High: battery failure during a rental creates a stranding event requiring roadside assistance dispatch and fleet disruption</w:t>
            </w:r>
          </w:p>
        </w:tc>
      </w:tr>
      <w:tr w:rsidR="00F45D54" w14:paraId="39FFEABF" w14:textId="77777777">
        <w:tblPrEx>
          <w:tblCellMar>
            <w:top w:w="0" w:type="dxa"/>
            <w:bottom w:w="0" w:type="dxa"/>
          </w:tblCellMar>
        </w:tblPrEx>
        <w:tc>
          <w:tcPr>
            <w:tcW w:w="1600" w:type="dxa"/>
            <w:shd w:val="clear" w:color="auto" w:fill="EBF3FB"/>
          </w:tcPr>
          <w:p w14:paraId="39FFEABB" w14:textId="77777777" w:rsidR="00F45D54" w:rsidRDefault="00337C65">
            <w:pPr>
              <w:spacing w:before="60" w:after="60"/>
            </w:pPr>
            <w:r>
              <w:t>Tires and wheel systems</w:t>
            </w:r>
          </w:p>
        </w:tc>
        <w:tc>
          <w:tcPr>
            <w:tcW w:w="2000" w:type="dxa"/>
            <w:shd w:val="clear" w:color="auto" w:fill="EBF3FB"/>
          </w:tcPr>
          <w:p w14:paraId="39FFEABC" w14:textId="77777777" w:rsidR="00F45D54" w:rsidRDefault="00337C65">
            <w:pPr>
              <w:spacing w:before="60" w:after="60"/>
            </w:pPr>
            <w:r>
              <w:t>Tire pressure monitoring systems (TPMS), wheel bearing vibration analysis, alignment sensor data</w:t>
            </w:r>
          </w:p>
        </w:tc>
        <w:tc>
          <w:tcPr>
            <w:tcW w:w="2800" w:type="dxa"/>
            <w:shd w:val="clear" w:color="auto" w:fill="EBF3FB"/>
          </w:tcPr>
          <w:p w14:paraId="39FFEABD" w14:textId="77777777" w:rsidR="00F45D54" w:rsidRDefault="00337C65">
            <w:pPr>
              <w:spacing w:before="60" w:after="60"/>
            </w:pPr>
            <w:r>
              <w:t>Tire failures are the most frequent cause of customer-reported breakdowns; TPMS integration with fleet management platforms enables proactive intervention</w:t>
            </w:r>
          </w:p>
        </w:tc>
        <w:tc>
          <w:tcPr>
            <w:tcW w:w="2600" w:type="dxa"/>
            <w:shd w:val="clear" w:color="auto" w:fill="EBF3FB"/>
          </w:tcPr>
          <w:p w14:paraId="39FFEABE" w14:textId="77777777" w:rsidR="00F45D54" w:rsidRDefault="00337C65">
            <w:pPr>
              <w:spacing w:before="60" w:after="60"/>
            </w:pPr>
            <w:r>
              <w:t>High to Critical: tire failure at highway speeds creates safety risk; systematic TPMS alert monitoring is a direct safety oversight function</w:t>
            </w:r>
          </w:p>
        </w:tc>
      </w:tr>
    </w:tbl>
    <w:p w14:paraId="39FFEAC0" w14:textId="77777777" w:rsidR="00F45D54" w:rsidRDefault="00337C65">
      <w:pPr>
        <w:spacing w:before="40" w:after="180"/>
      </w:pPr>
      <w:r>
        <w:rPr>
          <w:i/>
          <w:iCs/>
          <w:sz w:val="18"/>
          <w:szCs w:val="18"/>
        </w:rPr>
        <w:t>Sources: Framework developed from Hector and Panjanathan [13]; Chaudhuri and Ghosh [9]; Euromonitor International [10]; NHTSA [18].</w:t>
      </w:r>
    </w:p>
    <w:p w14:paraId="39FFEAC1" w14:textId="77777777" w:rsidR="00F45D54" w:rsidRDefault="00337C65">
      <w:pPr>
        <w:spacing w:before="240" w:after="240"/>
        <w:jc w:val="both"/>
      </w:pPr>
      <w:r>
        <w:rPr>
          <w:sz w:val="24"/>
          <w:szCs w:val="24"/>
        </w:rPr>
        <w:t xml:space="preserve">The vehicle system analysis in Table 4 reveals that predictive maintenance in car rental fleets has a safety dimension that distinguishes it from analogous applications in hotel or office operations management. Engine, transmission, braking, and tire system failures during customer rentals create risks that extend beyond operational downtime to customer safety, regulatory liability, and reputational consequences. This safety dimension makes </w:t>
      </w:r>
      <w:proofErr w:type="gramStart"/>
      <w:r>
        <w:rPr>
          <w:sz w:val="24"/>
          <w:szCs w:val="24"/>
        </w:rPr>
        <w:t>the human</w:t>
      </w:r>
      <w:proofErr w:type="gramEnd"/>
      <w:r>
        <w:rPr>
          <w:sz w:val="24"/>
          <w:szCs w:val="24"/>
        </w:rPr>
        <w:t xml:space="preserve"> oversight function particularly consequential: a maintenance supervisor who cannot evaluate a predictive alert for the braking system is not merely making an operational error; they are failing a safety oversight function that responsible fleet management requires.</w:t>
      </w:r>
    </w:p>
    <w:p w14:paraId="39FFEAC2" w14:textId="77777777" w:rsidR="00F45D54" w:rsidRDefault="00337C65">
      <w:pPr>
        <w:spacing w:before="240" w:after="240"/>
        <w:jc w:val="both"/>
      </w:pPr>
      <w:r>
        <w:rPr>
          <w:sz w:val="24"/>
          <w:szCs w:val="24"/>
        </w:rPr>
        <w:t>The expanding adoption of electric vehicles in car rental fleets, accelerated by commitments from major operators, adds a new dimension to the predictive maintenance challenge. Battery system health monitoring in electric vehicle fleets requires fundamentally different sensor data, ML models, and oversight skills than conventional powertrain maintenance prediction. Euromonitor International [10] noted that major U.S. rental operators have significantly expanded their EV fleet commitments, indicating that EV</w:t>
      </w:r>
      <w:r>
        <w:rPr>
          <w:sz w:val="24"/>
          <w:szCs w:val="24"/>
        </w:rPr>
        <w:t xml:space="preserve"> maintenance analytics literacy will become an increasingly important competency requirement for car rental maintenance supervisors over the next five years.</w:t>
      </w:r>
    </w:p>
    <w:p w14:paraId="39FFEAC3" w14:textId="77777777" w:rsidR="00F45D54" w:rsidRDefault="00337C65">
      <w:pPr>
        <w:spacing w:before="300" w:after="240"/>
      </w:pPr>
      <w:r>
        <w:rPr>
          <w:b/>
          <w:bCs/>
          <w:sz w:val="28"/>
          <w:szCs w:val="28"/>
        </w:rPr>
        <w:t>6. TOE FRAMEWORK ANALYSIS: BARRIERS TO EFFECTIVE PREDICTIVE MAINTENANCE IMPLEMENTATION</w:t>
      </w:r>
    </w:p>
    <w:p w14:paraId="39FFEAC4" w14:textId="77777777" w:rsidR="00F45D54" w:rsidRDefault="00337C65">
      <w:pPr>
        <w:spacing w:before="240" w:after="240"/>
        <w:jc w:val="both"/>
      </w:pPr>
      <w:r>
        <w:rPr>
          <w:sz w:val="24"/>
          <w:szCs w:val="24"/>
        </w:rPr>
        <w:t>Table 5 applies the Technology-Organization-Environment framework [22] to the predictive maintenance adoption problem in U.S. car rental operations.</w:t>
      </w:r>
    </w:p>
    <w:p w14:paraId="39FFEAC5" w14:textId="77777777" w:rsidR="00F45D54" w:rsidRDefault="00337C65">
      <w:pPr>
        <w:spacing w:before="180" w:after="60"/>
      </w:pPr>
      <w:r>
        <w:rPr>
          <w:b/>
          <w:bCs/>
        </w:rPr>
        <w:t>Table 5: TOE Framework Applied to Predictive Maintenance Analytics Adoption in U.S. Car Rental Operations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200"/>
        <w:gridCol w:w="4000"/>
      </w:tblGrid>
      <w:tr w:rsidR="00F45D54" w14:paraId="39FFEAC9" w14:textId="77777777">
        <w:tblPrEx>
          <w:tblCellMar>
            <w:top w:w="0" w:type="dxa"/>
            <w:bottom w:w="0" w:type="dxa"/>
          </w:tblCellMar>
        </w:tblPrEx>
        <w:tc>
          <w:tcPr>
            <w:tcW w:w="1800" w:type="dxa"/>
            <w:shd w:val="clear" w:color="auto" w:fill="1F4E79"/>
          </w:tcPr>
          <w:p w14:paraId="39FFEAC6" w14:textId="77777777" w:rsidR="00F45D54" w:rsidRDefault="00337C65">
            <w:pPr>
              <w:spacing w:before="60" w:after="60"/>
            </w:pPr>
            <w:r>
              <w:rPr>
                <w:b/>
                <w:bCs/>
              </w:rPr>
              <w:t>TOE Dimension</w:t>
            </w:r>
          </w:p>
        </w:tc>
        <w:tc>
          <w:tcPr>
            <w:tcW w:w="3200" w:type="dxa"/>
            <w:shd w:val="clear" w:color="auto" w:fill="1F4E79"/>
          </w:tcPr>
          <w:p w14:paraId="39FFEAC7" w14:textId="77777777" w:rsidR="00F45D54" w:rsidRDefault="00337C65">
            <w:pPr>
              <w:spacing w:before="60" w:after="60"/>
            </w:pPr>
            <w:r>
              <w:rPr>
                <w:b/>
                <w:bCs/>
              </w:rPr>
              <w:t>Enabling Conditions</w:t>
            </w:r>
          </w:p>
        </w:tc>
        <w:tc>
          <w:tcPr>
            <w:tcW w:w="4000" w:type="dxa"/>
            <w:shd w:val="clear" w:color="auto" w:fill="1F4E79"/>
          </w:tcPr>
          <w:p w14:paraId="39FFEAC8" w14:textId="77777777" w:rsidR="00F45D54" w:rsidRDefault="00337C65">
            <w:pPr>
              <w:spacing w:before="60" w:after="60"/>
            </w:pPr>
            <w:r>
              <w:rPr>
                <w:b/>
                <w:bCs/>
              </w:rPr>
              <w:t>Constraining Conditions</w:t>
            </w:r>
          </w:p>
        </w:tc>
      </w:tr>
      <w:tr w:rsidR="00F45D54" w14:paraId="39FFEACD" w14:textId="77777777">
        <w:tblPrEx>
          <w:tblCellMar>
            <w:top w:w="0" w:type="dxa"/>
            <w:bottom w:w="0" w:type="dxa"/>
          </w:tblCellMar>
        </w:tblPrEx>
        <w:tc>
          <w:tcPr>
            <w:tcW w:w="1800" w:type="dxa"/>
            <w:shd w:val="clear" w:color="auto" w:fill="EBF3FB"/>
          </w:tcPr>
          <w:p w14:paraId="39FFEACA" w14:textId="77777777" w:rsidR="00F45D54" w:rsidRDefault="00337C65">
            <w:pPr>
              <w:spacing w:before="60" w:after="60"/>
            </w:pPr>
            <w:r>
              <w:t>Technological</w:t>
            </w:r>
          </w:p>
        </w:tc>
        <w:tc>
          <w:tcPr>
            <w:tcW w:w="3200" w:type="dxa"/>
            <w:shd w:val="clear" w:color="auto" w:fill="EBF3FB"/>
          </w:tcPr>
          <w:p w14:paraId="39FFEACB" w14:textId="77777777" w:rsidR="00F45D54" w:rsidRDefault="00337C65">
            <w:pPr>
              <w:spacing w:before="60" w:after="60"/>
            </w:pPr>
            <w:r>
              <w:t>IoT sensor infrastructure is increasingly standard in late-model vehicle fleets; cloud-based predictive maintenance platforms are commercially available and cost-accessible for mid-sized operators</w:t>
            </w:r>
          </w:p>
        </w:tc>
        <w:tc>
          <w:tcPr>
            <w:tcW w:w="4000" w:type="dxa"/>
            <w:shd w:val="clear" w:color="auto" w:fill="EBF3FB"/>
          </w:tcPr>
          <w:p w14:paraId="39FFEACC" w14:textId="77777777" w:rsidR="00F45D54" w:rsidRDefault="00337C65">
            <w:pPr>
              <w:spacing w:before="60" w:after="60"/>
            </w:pPr>
            <w:r>
              <w:t>Legacy vehicles may lack sensor integration; data fragmentation between telematics, fleet management, and maintenance platforms creates analytical gaps; deep learning model interpretability limitations create oversight challenges</w:t>
            </w:r>
          </w:p>
        </w:tc>
      </w:tr>
      <w:tr w:rsidR="00F45D54" w14:paraId="39FFEAD1" w14:textId="77777777">
        <w:tblPrEx>
          <w:tblCellMar>
            <w:top w:w="0" w:type="dxa"/>
            <w:bottom w:w="0" w:type="dxa"/>
          </w:tblCellMar>
        </w:tblPrEx>
        <w:tc>
          <w:tcPr>
            <w:tcW w:w="1800" w:type="dxa"/>
            <w:shd w:val="clear" w:color="auto" w:fill="FFFFFF"/>
          </w:tcPr>
          <w:p w14:paraId="39FFEACE" w14:textId="77777777" w:rsidR="00F45D54" w:rsidRDefault="00337C65">
            <w:pPr>
              <w:spacing w:before="60" w:after="60"/>
            </w:pPr>
            <w:r>
              <w:t>Organizational</w:t>
            </w:r>
          </w:p>
        </w:tc>
        <w:tc>
          <w:tcPr>
            <w:tcW w:w="3200" w:type="dxa"/>
            <w:shd w:val="clear" w:color="auto" w:fill="FFFFFF"/>
          </w:tcPr>
          <w:p w14:paraId="39FFEACF" w14:textId="77777777" w:rsidR="00F45D54" w:rsidRDefault="00337C65">
            <w:pPr>
              <w:spacing w:before="60" w:after="60"/>
            </w:pPr>
            <w:proofErr w:type="gramStart"/>
            <w:r>
              <w:t>Large branded</w:t>
            </w:r>
            <w:proofErr w:type="gramEnd"/>
            <w:r>
              <w:t xml:space="preserve"> operators have established maintenance management functions that can integrate predictive maintenance alerts into existing workflow; dedicated fleet operations teams provide internal expertise</w:t>
            </w:r>
          </w:p>
        </w:tc>
        <w:tc>
          <w:tcPr>
            <w:tcW w:w="4000" w:type="dxa"/>
            <w:shd w:val="clear" w:color="auto" w:fill="FFFFFF"/>
          </w:tcPr>
          <w:p w14:paraId="39FFEAD0" w14:textId="77777777" w:rsidR="00F45D54" w:rsidRDefault="00337C65">
            <w:pPr>
              <w:spacing w:before="60" w:after="60"/>
            </w:pPr>
            <w:r>
              <w:t>Most station-level maintenance supervisors have technical vehicle service backgrounds rather than data analysis skills; absence of analytics training programs means staff may receive predictive alerts without capability to evaluate them; high turnover reduces training ROI</w:t>
            </w:r>
          </w:p>
        </w:tc>
      </w:tr>
      <w:tr w:rsidR="00F45D54" w14:paraId="39FFEAD5" w14:textId="77777777">
        <w:tblPrEx>
          <w:tblCellMar>
            <w:top w:w="0" w:type="dxa"/>
            <w:bottom w:w="0" w:type="dxa"/>
          </w:tblCellMar>
        </w:tblPrEx>
        <w:tc>
          <w:tcPr>
            <w:tcW w:w="1800" w:type="dxa"/>
            <w:shd w:val="clear" w:color="auto" w:fill="EBF3FB"/>
          </w:tcPr>
          <w:p w14:paraId="39FFEAD2" w14:textId="77777777" w:rsidR="00F45D54" w:rsidRDefault="00337C65">
            <w:pPr>
              <w:spacing w:before="60" w:after="60"/>
            </w:pPr>
            <w:r>
              <w:t>Environmental</w:t>
            </w:r>
          </w:p>
        </w:tc>
        <w:tc>
          <w:tcPr>
            <w:tcW w:w="3200" w:type="dxa"/>
            <w:shd w:val="clear" w:color="auto" w:fill="EBF3FB"/>
          </w:tcPr>
          <w:p w14:paraId="39FFEAD3" w14:textId="77777777" w:rsidR="00F45D54" w:rsidRDefault="00337C65">
            <w:pPr>
              <w:spacing w:before="60" w:after="60"/>
            </w:pPr>
            <w:r>
              <w:t xml:space="preserve">Regulatory requirements around vehicle safety inspections create compliance-driven incentives; insurance requirements create financial incentives for preventive maintenance programs; OEM telematics warranties </w:t>
            </w:r>
            <w:r>
              <w:lastRenderedPageBreak/>
              <w:t>increasingly require predictive maintenance integration</w:t>
            </w:r>
          </w:p>
        </w:tc>
        <w:tc>
          <w:tcPr>
            <w:tcW w:w="4000" w:type="dxa"/>
            <w:shd w:val="clear" w:color="auto" w:fill="EBF3FB"/>
          </w:tcPr>
          <w:p w14:paraId="39FFEAD4" w14:textId="77777777" w:rsidR="00F45D54" w:rsidRDefault="00337C65">
            <w:pPr>
              <w:spacing w:before="60" w:after="60"/>
            </w:pPr>
            <w:r>
              <w:lastRenderedPageBreak/>
              <w:t>No industry mandate for AI predictive maintenance adoption or specific analytical competency standards; price competition and fleet acquisition cost pressures constrain discretionary technology and training investment</w:t>
            </w:r>
          </w:p>
        </w:tc>
      </w:tr>
    </w:tbl>
    <w:p w14:paraId="39FFEAD6" w14:textId="77777777" w:rsidR="00F45D54" w:rsidRDefault="00337C65">
      <w:pPr>
        <w:spacing w:before="40" w:after="180"/>
      </w:pPr>
      <w:r>
        <w:rPr>
          <w:i/>
          <w:iCs/>
          <w:sz w:val="18"/>
          <w:szCs w:val="18"/>
        </w:rPr>
        <w:t>Sources: Framework developed from Tornatzky and Fleischer [22]; Nikopoulou et al. [19]; Hector and Panjanathan [13]; Chaudhuri and Ghosh [9]; Euromonitor International [10].</w:t>
      </w:r>
    </w:p>
    <w:p w14:paraId="39FFEAD7" w14:textId="77777777" w:rsidR="00F45D54" w:rsidRDefault="00337C65">
      <w:pPr>
        <w:spacing w:before="240" w:after="240"/>
        <w:jc w:val="both"/>
      </w:pPr>
      <w:r>
        <w:rPr>
          <w:sz w:val="24"/>
          <w:szCs w:val="24"/>
        </w:rPr>
        <w:t xml:space="preserve">The TOE analysis reveals that the primary barriers are concentrated in the organizational dimension. The sensor infrastructure is increasingly available and </w:t>
      </w:r>
      <w:proofErr w:type="gramStart"/>
      <w:r>
        <w:rPr>
          <w:sz w:val="24"/>
          <w:szCs w:val="24"/>
        </w:rPr>
        <w:t>cost-accessible</w:t>
      </w:r>
      <w:proofErr w:type="gramEnd"/>
      <w:r>
        <w:rPr>
          <w:sz w:val="24"/>
          <w:szCs w:val="24"/>
        </w:rPr>
        <w:t>. The ML modeling techniques are documented and deployable. The binding constraint is the capability of operations staff to translate predictive outputs into effective maintenance actions, a capability that is not being developed systematically in current car rental workforce training programs. This finding is consistent with Nikopoulou et al. [19] and represents a direct application of the Human Capital Theory prediction [5] that technology value depends on complementary workforce capability</w:t>
      </w:r>
      <w:r>
        <w:rPr>
          <w:sz w:val="24"/>
          <w:szCs w:val="24"/>
        </w:rPr>
        <w:t xml:space="preserve"> investment.</w:t>
      </w:r>
    </w:p>
    <w:p w14:paraId="39FFEAD8" w14:textId="77777777" w:rsidR="00F45D54" w:rsidRDefault="00337C65">
      <w:pPr>
        <w:spacing w:before="300" w:after="240"/>
      </w:pPr>
      <w:r>
        <w:rPr>
          <w:b/>
          <w:bCs/>
          <w:sz w:val="28"/>
          <w:szCs w:val="28"/>
        </w:rPr>
        <w:t>7. A FOUR-STAGE PREDICTIVE MAINTENANCE IMPLEMENTATION FRAMEWORK FOR U.S. CAR RENTAL OPERATIONS</w:t>
      </w:r>
    </w:p>
    <w:p w14:paraId="39FFEAD9" w14:textId="77777777" w:rsidR="00F45D54" w:rsidRDefault="00337C65">
      <w:pPr>
        <w:spacing w:before="240" w:after="240"/>
        <w:jc w:val="both"/>
      </w:pPr>
      <w:r>
        <w:rPr>
          <w:sz w:val="24"/>
          <w:szCs w:val="24"/>
        </w:rPr>
        <w:t xml:space="preserve">Based on the TOE analysis in Section 6, the vehicle system analysis in Section 5, and the ML technique review in Section 4, Table 6 proposes a four-stage implementation framework. Cost </w:t>
      </w:r>
      <w:proofErr w:type="gramStart"/>
      <w:r>
        <w:rPr>
          <w:sz w:val="24"/>
          <w:szCs w:val="24"/>
        </w:rPr>
        <w:t>ranges where</w:t>
      </w:r>
      <w:proofErr w:type="gramEnd"/>
      <w:r>
        <w:rPr>
          <w:sz w:val="24"/>
          <w:szCs w:val="24"/>
        </w:rPr>
        <w:t xml:space="preserve"> mentioned are illustrative order-of-magnitude estimates developed from published literature on hospitality and fleet technology implementation and should be treated as indicative parameters pending empirical validation.</w:t>
      </w:r>
    </w:p>
    <w:p w14:paraId="39FFEADA" w14:textId="77777777" w:rsidR="00F45D54" w:rsidRDefault="00337C65">
      <w:pPr>
        <w:spacing w:before="180" w:after="60"/>
      </w:pPr>
      <w:r>
        <w:rPr>
          <w:b/>
          <w:bCs/>
        </w:rPr>
        <w:t>Table 6: Four-Stage Predictive Maintenance Implementation Framework for U.S. Car Rental Operations</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00"/>
        <w:gridCol w:w="1800"/>
        <w:gridCol w:w="3000"/>
        <w:gridCol w:w="2700"/>
      </w:tblGrid>
      <w:tr w:rsidR="00F45D54" w14:paraId="39FFEADF" w14:textId="77777777">
        <w:tblPrEx>
          <w:tblCellMar>
            <w:top w:w="0" w:type="dxa"/>
            <w:bottom w:w="0" w:type="dxa"/>
          </w:tblCellMar>
        </w:tblPrEx>
        <w:tc>
          <w:tcPr>
            <w:tcW w:w="1500" w:type="dxa"/>
            <w:shd w:val="clear" w:color="auto" w:fill="1F4E79"/>
          </w:tcPr>
          <w:p w14:paraId="39FFEADB" w14:textId="77777777" w:rsidR="00F45D54" w:rsidRDefault="00337C65">
            <w:pPr>
              <w:spacing w:before="60" w:after="60"/>
            </w:pPr>
            <w:r>
              <w:rPr>
                <w:b/>
                <w:bCs/>
              </w:rPr>
              <w:t>Stage</w:t>
            </w:r>
          </w:p>
        </w:tc>
        <w:tc>
          <w:tcPr>
            <w:tcW w:w="1800" w:type="dxa"/>
            <w:shd w:val="clear" w:color="auto" w:fill="1F4E79"/>
          </w:tcPr>
          <w:p w14:paraId="39FFEADC" w14:textId="77777777" w:rsidR="00F45D54" w:rsidRDefault="00337C65">
            <w:pPr>
              <w:spacing w:before="60" w:after="60"/>
            </w:pPr>
            <w:r>
              <w:rPr>
                <w:b/>
                <w:bCs/>
              </w:rPr>
              <w:t>Responsible Stakeholders</w:t>
            </w:r>
          </w:p>
        </w:tc>
        <w:tc>
          <w:tcPr>
            <w:tcW w:w="3000" w:type="dxa"/>
            <w:shd w:val="clear" w:color="auto" w:fill="1F4E79"/>
          </w:tcPr>
          <w:p w14:paraId="39FFEADD" w14:textId="77777777" w:rsidR="00F45D54" w:rsidRDefault="00337C65">
            <w:pPr>
              <w:spacing w:before="60" w:after="60"/>
            </w:pPr>
            <w:r>
              <w:rPr>
                <w:b/>
                <w:bCs/>
              </w:rPr>
              <w:t>Key Activities</w:t>
            </w:r>
          </w:p>
        </w:tc>
        <w:tc>
          <w:tcPr>
            <w:tcW w:w="2700" w:type="dxa"/>
            <w:shd w:val="clear" w:color="auto" w:fill="1F4E79"/>
          </w:tcPr>
          <w:p w14:paraId="39FFEADE" w14:textId="77777777" w:rsidR="00F45D54" w:rsidRDefault="00337C65">
            <w:pPr>
              <w:spacing w:before="60" w:after="60"/>
            </w:pPr>
            <w:r>
              <w:rPr>
                <w:b/>
                <w:bCs/>
              </w:rPr>
              <w:t>Resources and Mechanisms</w:t>
            </w:r>
          </w:p>
        </w:tc>
      </w:tr>
      <w:tr w:rsidR="00F45D54" w14:paraId="39FFEAE4" w14:textId="77777777">
        <w:tblPrEx>
          <w:tblCellMar>
            <w:top w:w="0" w:type="dxa"/>
            <w:bottom w:w="0" w:type="dxa"/>
          </w:tblCellMar>
        </w:tblPrEx>
        <w:tc>
          <w:tcPr>
            <w:tcW w:w="1500" w:type="dxa"/>
            <w:shd w:val="clear" w:color="auto" w:fill="EBF3FB"/>
          </w:tcPr>
          <w:p w14:paraId="39FFEAE0" w14:textId="77777777" w:rsidR="00F45D54" w:rsidRDefault="00337C65">
            <w:pPr>
              <w:spacing w:before="60" w:after="60"/>
            </w:pPr>
            <w:r>
              <w:t>Stage 1: Sensor and Data Infrastructure</w:t>
            </w:r>
          </w:p>
        </w:tc>
        <w:tc>
          <w:tcPr>
            <w:tcW w:w="1800" w:type="dxa"/>
            <w:shd w:val="clear" w:color="auto" w:fill="EBF3FB"/>
          </w:tcPr>
          <w:p w14:paraId="39FFEAE1" w14:textId="77777777" w:rsidR="00F45D54" w:rsidRDefault="00337C65">
            <w:pPr>
              <w:spacing w:before="60" w:after="60"/>
            </w:pPr>
            <w:r>
              <w:t>Fleet managers, IT operations, maintenance supervisors</w:t>
            </w:r>
          </w:p>
        </w:tc>
        <w:tc>
          <w:tcPr>
            <w:tcW w:w="3000" w:type="dxa"/>
            <w:shd w:val="clear" w:color="auto" w:fill="EBF3FB"/>
          </w:tcPr>
          <w:p w14:paraId="39FFEAE2" w14:textId="77777777" w:rsidR="00F45D54" w:rsidRDefault="00337C65">
            <w:pPr>
              <w:spacing w:before="60" w:after="60"/>
            </w:pPr>
            <w:r>
              <w:t>Deploy IoT sensors and telematics across the fleet; integrate OBD-II diagnostic data with fleet management platforms; establish data pipelines connecting vehicle sensor data to maintenance management systems; validate data quality before model deployment</w:t>
            </w:r>
          </w:p>
        </w:tc>
        <w:tc>
          <w:tcPr>
            <w:tcW w:w="2700" w:type="dxa"/>
            <w:shd w:val="clear" w:color="auto" w:fill="EBF3FB"/>
          </w:tcPr>
          <w:p w14:paraId="39FFEAE3" w14:textId="77777777" w:rsidR="00F45D54" w:rsidRDefault="00337C65">
            <w:pPr>
              <w:spacing w:before="60" w:after="60"/>
            </w:pPr>
            <w:r>
              <w:t>Telematics vendors (Geotab [11]); OEM telematics integration; cloud IoT platforms</w:t>
            </w:r>
          </w:p>
        </w:tc>
      </w:tr>
      <w:tr w:rsidR="00F45D54" w14:paraId="39FFEAE9" w14:textId="77777777">
        <w:tblPrEx>
          <w:tblCellMar>
            <w:top w:w="0" w:type="dxa"/>
            <w:bottom w:w="0" w:type="dxa"/>
          </w:tblCellMar>
        </w:tblPrEx>
        <w:tc>
          <w:tcPr>
            <w:tcW w:w="1500" w:type="dxa"/>
            <w:shd w:val="clear" w:color="auto" w:fill="FFFFFF"/>
          </w:tcPr>
          <w:p w14:paraId="39FFEAE5" w14:textId="77777777" w:rsidR="00F45D54" w:rsidRDefault="00337C65">
            <w:pPr>
              <w:spacing w:before="60" w:after="60"/>
            </w:pPr>
            <w:r>
              <w:t>Stage 2: Model Development and Validation</w:t>
            </w:r>
          </w:p>
        </w:tc>
        <w:tc>
          <w:tcPr>
            <w:tcW w:w="1800" w:type="dxa"/>
            <w:shd w:val="clear" w:color="auto" w:fill="FFFFFF"/>
          </w:tcPr>
          <w:p w14:paraId="39FFEAE6" w14:textId="77777777" w:rsidR="00F45D54" w:rsidRDefault="00337C65">
            <w:pPr>
              <w:spacing w:before="60" w:after="60"/>
            </w:pPr>
            <w:r>
              <w:t>Data science team or vendor analytics specialists, working with maintenance engineers</w:t>
            </w:r>
          </w:p>
        </w:tc>
        <w:tc>
          <w:tcPr>
            <w:tcW w:w="3000" w:type="dxa"/>
            <w:shd w:val="clear" w:color="auto" w:fill="FFFFFF"/>
          </w:tcPr>
          <w:p w14:paraId="39FFEAE7" w14:textId="77777777" w:rsidR="00F45D54" w:rsidRDefault="00337C65">
            <w:pPr>
              <w:spacing w:before="60" w:after="60"/>
            </w:pPr>
            <w:r>
              <w:t>Select ML techniques based on fleet data volume and failure history; develop and validate predictive models for priority vehicle systems; establish alert thresholds with documented confidence levels; create model performance monitoring protocols</w:t>
            </w:r>
          </w:p>
        </w:tc>
        <w:tc>
          <w:tcPr>
            <w:tcW w:w="2700" w:type="dxa"/>
            <w:shd w:val="clear" w:color="auto" w:fill="FFFFFF"/>
          </w:tcPr>
          <w:p w14:paraId="39FFEAE8" w14:textId="77777777" w:rsidR="00F45D54" w:rsidRDefault="00337C65">
            <w:pPr>
              <w:spacing w:before="60" w:after="60"/>
            </w:pPr>
            <w:r>
              <w:t>Internal analytics teams or specialist vendors; PeerJ Computer Science methodology guidance (Hector and Panjanathan [13])</w:t>
            </w:r>
          </w:p>
        </w:tc>
      </w:tr>
      <w:tr w:rsidR="00F45D54" w14:paraId="39FFEAEE" w14:textId="77777777">
        <w:tblPrEx>
          <w:tblCellMar>
            <w:top w:w="0" w:type="dxa"/>
            <w:bottom w:w="0" w:type="dxa"/>
          </w:tblCellMar>
        </w:tblPrEx>
        <w:tc>
          <w:tcPr>
            <w:tcW w:w="1500" w:type="dxa"/>
            <w:shd w:val="clear" w:color="auto" w:fill="EBF3FB"/>
          </w:tcPr>
          <w:p w14:paraId="39FFEAEA" w14:textId="77777777" w:rsidR="00F45D54" w:rsidRDefault="00337C65">
            <w:pPr>
              <w:spacing w:before="60" w:after="60"/>
            </w:pPr>
            <w:r>
              <w:t>Stage 3: Operations Staff Analytics Training</w:t>
            </w:r>
          </w:p>
        </w:tc>
        <w:tc>
          <w:tcPr>
            <w:tcW w:w="1800" w:type="dxa"/>
            <w:shd w:val="clear" w:color="auto" w:fill="EBF3FB"/>
          </w:tcPr>
          <w:p w14:paraId="39FFEAEB" w14:textId="77777777" w:rsidR="00F45D54" w:rsidRDefault="00337C65">
            <w:pPr>
              <w:spacing w:before="60" w:after="60"/>
            </w:pPr>
            <w:r>
              <w:t>All maintenance supervisors, fleet coordinators, and branch managers receiving predictive maintenance alerts</w:t>
            </w:r>
          </w:p>
        </w:tc>
        <w:tc>
          <w:tcPr>
            <w:tcW w:w="3000" w:type="dxa"/>
            <w:shd w:val="clear" w:color="auto" w:fill="EBF3FB"/>
          </w:tcPr>
          <w:p w14:paraId="39FFEAEC" w14:textId="77777777" w:rsidR="00F45D54" w:rsidRDefault="00337C65">
            <w:pPr>
              <w:spacing w:before="60" w:after="60"/>
            </w:pPr>
            <w:r>
              <w:t>Train operations staff to read and interpret predictive maintenance alerts; develop alert triage protocols specifying response requirements by priority level; integrate alert management into daily operations workflows; establish clear escalation paths for high-confidence alerts</w:t>
            </w:r>
          </w:p>
        </w:tc>
        <w:tc>
          <w:tcPr>
            <w:tcW w:w="2700" w:type="dxa"/>
            <w:shd w:val="clear" w:color="auto" w:fill="EBF3FB"/>
          </w:tcPr>
          <w:p w14:paraId="39FFEAED" w14:textId="77777777" w:rsidR="00F45D54" w:rsidRDefault="00337C65">
            <w:pPr>
              <w:spacing w:before="60" w:after="60"/>
            </w:pPr>
            <w:r>
              <w:t>Internal training modules; vendor-provided platform training; scenario-based simulation using historical fleet failure data</w:t>
            </w:r>
          </w:p>
        </w:tc>
      </w:tr>
      <w:tr w:rsidR="00F45D54" w14:paraId="39FFEAF3" w14:textId="77777777">
        <w:tblPrEx>
          <w:tblCellMar>
            <w:top w:w="0" w:type="dxa"/>
            <w:bottom w:w="0" w:type="dxa"/>
          </w:tblCellMar>
        </w:tblPrEx>
        <w:tc>
          <w:tcPr>
            <w:tcW w:w="1500" w:type="dxa"/>
            <w:shd w:val="clear" w:color="auto" w:fill="FFFFFF"/>
          </w:tcPr>
          <w:p w14:paraId="39FFEAEF" w14:textId="77777777" w:rsidR="00F45D54" w:rsidRDefault="00337C65">
            <w:pPr>
              <w:spacing w:before="60" w:after="60"/>
            </w:pPr>
            <w:r>
              <w:t>Stage 4: Governance and Continuous Improvement</w:t>
            </w:r>
          </w:p>
        </w:tc>
        <w:tc>
          <w:tcPr>
            <w:tcW w:w="1800" w:type="dxa"/>
            <w:shd w:val="clear" w:color="auto" w:fill="FFFFFF"/>
          </w:tcPr>
          <w:p w14:paraId="39FFEAF0" w14:textId="77777777" w:rsidR="00F45D54" w:rsidRDefault="00337C65">
            <w:pPr>
              <w:spacing w:before="60" w:after="60"/>
            </w:pPr>
            <w:r>
              <w:t>Regional managers, operations directors, and fleet analytics governance teams</w:t>
            </w:r>
          </w:p>
        </w:tc>
        <w:tc>
          <w:tcPr>
            <w:tcW w:w="3000" w:type="dxa"/>
            <w:shd w:val="clear" w:color="auto" w:fill="FFFFFF"/>
          </w:tcPr>
          <w:p w14:paraId="39FFEAF1" w14:textId="77777777" w:rsidR="00F45D54" w:rsidRDefault="00337C65">
            <w:pPr>
              <w:spacing w:before="60" w:after="60"/>
            </w:pPr>
            <w:r>
              <w:t>Establish model performance review cycles; implement feedback mechanisms allowing operations staff to report false positive alerts; develop data governance protocols for vehicle and driver data; monitor regulatory compliance; evaluate model updates as vehicle mix changes</w:t>
            </w:r>
          </w:p>
        </w:tc>
        <w:tc>
          <w:tcPr>
            <w:tcW w:w="2700" w:type="dxa"/>
            <w:shd w:val="clear" w:color="auto" w:fill="FFFFFF"/>
          </w:tcPr>
          <w:p w14:paraId="39FFEAF2" w14:textId="77777777" w:rsidR="00F45D54" w:rsidRDefault="00337C65">
            <w:pPr>
              <w:spacing w:before="60" w:after="60"/>
            </w:pPr>
            <w:r>
              <w:t>AACSB [1] governance frameworks; industry association compliance guidance; OEM software update protocols</w:t>
            </w:r>
          </w:p>
        </w:tc>
      </w:tr>
    </w:tbl>
    <w:p w14:paraId="39FFEAF4" w14:textId="77777777" w:rsidR="00F45D54" w:rsidRDefault="00337C65">
      <w:pPr>
        <w:spacing w:before="40" w:after="180"/>
      </w:pPr>
      <w:r>
        <w:rPr>
          <w:i/>
          <w:iCs/>
          <w:sz w:val="18"/>
          <w:szCs w:val="18"/>
        </w:rPr>
        <w:lastRenderedPageBreak/>
        <w:t>Sources: Framework developed from Hector and Panjanathan [13]; Chaudhuri and Ghosh [9]; Becker [5]; Schultz [20]; Tornatzky and Fleischer [22]; AACSB [1]; Euromonitor International [10].</w:t>
      </w:r>
    </w:p>
    <w:p w14:paraId="39FFEAF5" w14:textId="77777777" w:rsidR="00F45D54" w:rsidRDefault="00337C65">
      <w:pPr>
        <w:spacing w:before="240" w:after="240"/>
        <w:jc w:val="both"/>
      </w:pPr>
      <w:r>
        <w:rPr>
          <w:sz w:val="24"/>
          <w:szCs w:val="24"/>
        </w:rPr>
        <w:t>Stage 1 is the prerequisite for all subsequent stages. Without reliable, integrated sensor data, predictive models cannot generate accurate alerts and operations staff cannot develop confidence in the analytics system. Stage 2 is where technical sophistication is established, but model development must involve the maintenance engineers and operations supervisors who will act on the outputs. Stage 3 is the most frequently neglected stage: operators deploy sensor infrastructure, develop models, and generate a</w:t>
      </w:r>
      <w:r>
        <w:rPr>
          <w:sz w:val="24"/>
          <w:szCs w:val="24"/>
        </w:rPr>
        <w:t>lerts, but fail to invest in training the operations staff who receive those alerts, resulting in systematic oversight failure [19]. Stage 4 ensures the predictive maintenance system is treated as a continuously evolving capability rather than a static deployment.</w:t>
      </w:r>
    </w:p>
    <w:p w14:paraId="39FFEAF6" w14:textId="77777777" w:rsidR="00F45D54" w:rsidRDefault="00337C65">
      <w:pPr>
        <w:spacing w:before="300" w:after="240"/>
      </w:pPr>
      <w:r>
        <w:rPr>
          <w:b/>
          <w:bCs/>
          <w:sz w:val="28"/>
          <w:szCs w:val="28"/>
        </w:rPr>
        <w:t>8. DISCUSSION</w:t>
      </w:r>
    </w:p>
    <w:p w14:paraId="39FFEAF7" w14:textId="77777777" w:rsidR="00F45D54" w:rsidRDefault="00337C65">
      <w:pPr>
        <w:spacing w:before="240" w:after="240"/>
        <w:jc w:val="both"/>
      </w:pPr>
      <w:r>
        <w:rPr>
          <w:sz w:val="24"/>
          <w:szCs w:val="24"/>
        </w:rPr>
        <w:t>Four findings from this systematic review carry implications for car rental operators, vehicle OEMs, technology vendors, and future research.</w:t>
      </w:r>
    </w:p>
    <w:p w14:paraId="39FFEAF8" w14:textId="77777777" w:rsidR="00F45D54" w:rsidRDefault="00337C65">
      <w:pPr>
        <w:spacing w:before="240" w:after="240"/>
        <w:jc w:val="both"/>
      </w:pPr>
      <w:r>
        <w:rPr>
          <w:sz w:val="24"/>
          <w:szCs w:val="24"/>
        </w:rPr>
        <w:t>First, the return on predictive maintenance investment in car rental operations is significantly larger than in most other commercial fleet contexts because of the safety and liability dimensions of rental vehicle failures. Hector and Panjanathan [13] documented that predictive maintenance reduces equipment downtime and increases operational efficiency, but in the car rental context the value of avoided downtime is amplified by the customer safety and regulatory liability consequences of vehicle failures du</w:t>
      </w:r>
      <w:r>
        <w:rPr>
          <w:sz w:val="24"/>
          <w:szCs w:val="24"/>
        </w:rPr>
        <w:t>ring rentals. A single major brake failure resulting in a customer injury generates legal liability and reputational consequences that dwarf the operational cost of any predictive maintenance program. The expected value calculation for predictive maintenance investment in car rental operations must incorporate this tail risk, which is systematically excluded from standard maintenance cost analyses.</w:t>
      </w:r>
    </w:p>
    <w:p w14:paraId="39FFEAF9" w14:textId="77777777" w:rsidR="00F45D54" w:rsidRDefault="00337C65">
      <w:pPr>
        <w:spacing w:before="240" w:after="240"/>
        <w:jc w:val="both"/>
      </w:pPr>
      <w:r>
        <w:rPr>
          <w:sz w:val="24"/>
          <w:szCs w:val="24"/>
        </w:rPr>
        <w:t>Second, the EV transition in rental fleets creates a new predictive maintenance capability requirement that most operators are not yet prepared to meet. Euromonitor International [10] documented the accelerating adoption of EVs in car rental fleets driven by OEM partnerships and sustainability commitments. Battery management, charging system health monitoring, and EV-specific failure prediction require different sensor data, different ML models, and different oversight skills than conventional internal comb</w:t>
      </w:r>
      <w:r>
        <w:rPr>
          <w:sz w:val="24"/>
          <w:szCs w:val="24"/>
        </w:rPr>
        <w:t>ustion engine maintenance. The operators who develop EV predictive maintenance capability ahead of their competitors will gain a fleet reliability and cost advantage that compounds as EV penetration in rental fleets increases.</w:t>
      </w:r>
    </w:p>
    <w:p w14:paraId="39FFEAFA" w14:textId="77777777" w:rsidR="00F45D54" w:rsidRDefault="00337C65">
      <w:pPr>
        <w:spacing w:before="240" w:after="240"/>
        <w:jc w:val="both"/>
      </w:pPr>
      <w:r>
        <w:rPr>
          <w:sz w:val="24"/>
          <w:szCs w:val="24"/>
        </w:rPr>
        <w:t>Third, the human oversight gap in predictive maintenance has a legal dimension that distinguishes it from analogous risks in other operational domains. When a predictive maintenance system generates an alert indicating a high probability of brake failure and an operations supervisor dismisses that alert without documented evaluation, and a subsequent brake failure results in a customer injury, the supervisor's failure to act on the predictive alert creates a discoverable record of inadequate maintenance ove</w:t>
      </w:r>
      <w:r>
        <w:rPr>
          <w:sz w:val="24"/>
          <w:szCs w:val="24"/>
        </w:rPr>
        <w:t>rsight. The capability to interpret and respond to predictive maintenance alerts is therefore not only an operational performance requirement but a regulatory and legal compliance requirement for car rental operators subject to vehicle safety regulations [18].</w:t>
      </w:r>
    </w:p>
    <w:p w14:paraId="39FFEAFB" w14:textId="77777777" w:rsidR="00F45D54" w:rsidRDefault="00337C65">
      <w:pPr>
        <w:spacing w:before="240" w:after="240"/>
        <w:jc w:val="both"/>
      </w:pPr>
      <w:r>
        <w:rPr>
          <w:sz w:val="24"/>
          <w:szCs w:val="24"/>
        </w:rPr>
        <w:t xml:space="preserve">Fourth, the coordination failure identified by Becker [5] in Human Capital Theory applies with </w:t>
      </w:r>
      <w:proofErr w:type="gramStart"/>
      <w:r>
        <w:rPr>
          <w:sz w:val="24"/>
          <w:szCs w:val="24"/>
        </w:rPr>
        <w:t>particular force</w:t>
      </w:r>
      <w:proofErr w:type="gramEnd"/>
      <w:r>
        <w:rPr>
          <w:sz w:val="24"/>
          <w:szCs w:val="24"/>
        </w:rPr>
        <w:t xml:space="preserve"> to predictive maintenance capability development in car rental operations. The mobility problem, where training investment benefits mobile employees more than the investing operator, is acute for specialized analytics skills in maintenance management because those skills are transferable across operators and across industries. Industry associations including the American Car Rental Association [3] have the institutional capacity to address this coordination failure through shared training s</w:t>
      </w:r>
      <w:r>
        <w:rPr>
          <w:sz w:val="24"/>
          <w:szCs w:val="24"/>
        </w:rPr>
        <w:t>tandards, group certification programs, and industry-wide predictive maintenance competency frameworks that reduce per-operator training costs and create external incentives for the investment.</w:t>
      </w:r>
    </w:p>
    <w:p w14:paraId="39FFEAFC" w14:textId="77777777" w:rsidR="00F45D54" w:rsidRDefault="00337C65">
      <w:pPr>
        <w:spacing w:before="300" w:after="240"/>
      </w:pPr>
      <w:r>
        <w:rPr>
          <w:b/>
          <w:bCs/>
          <w:sz w:val="28"/>
          <w:szCs w:val="28"/>
        </w:rPr>
        <w:t>9. CONCLUSION</w:t>
      </w:r>
    </w:p>
    <w:p w14:paraId="39FFEAFD" w14:textId="77777777" w:rsidR="00F45D54" w:rsidRDefault="00337C65">
      <w:pPr>
        <w:spacing w:before="240" w:after="240"/>
        <w:jc w:val="both"/>
      </w:pPr>
      <w:r>
        <w:rPr>
          <w:sz w:val="24"/>
          <w:szCs w:val="24"/>
        </w:rPr>
        <w:lastRenderedPageBreak/>
        <w:t>This systematic review examined the relationship between predictive maintenance analytics adoption as the independent variable and fleet downtime reduction outcomes as the dependent variable in U.S. car rental operations. Four conclusions stand out.</w:t>
      </w:r>
    </w:p>
    <w:p w14:paraId="39FFEAFE" w14:textId="77777777" w:rsidR="00F45D54" w:rsidRDefault="00337C65">
      <w:pPr>
        <w:spacing w:before="240" w:after="240"/>
        <w:jc w:val="both"/>
      </w:pPr>
      <w:r>
        <w:rPr>
          <w:sz w:val="24"/>
          <w:szCs w:val="24"/>
        </w:rPr>
        <w:t>Predictive maintenance analytics adoption in U.S. car rental operations generates specific and consequential oversight demands across five vehicle system categories: engine and powertrain, transmission and drivetrain, braking systems, battery and electrical systems, and tires and wheel systems. The braking and tire systems carry safety implications that extend beyond operational downtime metrics to customer safety and regulatory liability, making effective oversight of predictive alerts a compliance require</w:t>
      </w:r>
      <w:r>
        <w:rPr>
          <w:sz w:val="24"/>
          <w:szCs w:val="24"/>
        </w:rPr>
        <w:t>ment as well as an operational performance requirement.</w:t>
      </w:r>
    </w:p>
    <w:p w14:paraId="39FFEAFF" w14:textId="77777777" w:rsidR="00F45D54" w:rsidRDefault="00337C65">
      <w:pPr>
        <w:spacing w:before="240" w:after="240"/>
        <w:jc w:val="both"/>
      </w:pPr>
      <w:r>
        <w:rPr>
          <w:sz w:val="24"/>
          <w:szCs w:val="24"/>
        </w:rPr>
        <w:t>Machine learning techniques applied to vehicle fleet predictive maintenance generate increasingly accurate failure predictions but at the cost of decreasing interpretability. The gap between model accuracy and model transparency creates a systematic human oversight challenge: operations staff who receive high-confidence predictive alerts must be able to evaluate whether those alerts reflect genuine developing failures or model artifacts if they are to act on them appropriately.</w:t>
      </w:r>
    </w:p>
    <w:p w14:paraId="39FFEB00" w14:textId="77777777" w:rsidR="00F45D54" w:rsidRDefault="00337C65">
      <w:pPr>
        <w:spacing w:before="240" w:after="240"/>
        <w:jc w:val="both"/>
      </w:pPr>
      <w:r>
        <w:rPr>
          <w:sz w:val="24"/>
          <w:szCs w:val="24"/>
        </w:rPr>
        <w:t>The barriers to effective predictive maintenance implementation are concentrated in the organizational dimension of the TOE framework. Sensor infrastructure is increasingly available. ML models are deployable. The binding constraint is the capability of operations staff to interpret, prioritize, and act on predictive alerts, a capability that is not being developed systematically in current car rental workforce training programs.</w:t>
      </w:r>
    </w:p>
    <w:p w14:paraId="39FFEB01" w14:textId="77777777" w:rsidR="00F45D54" w:rsidRDefault="00337C65">
      <w:pPr>
        <w:spacing w:before="240" w:after="240"/>
        <w:jc w:val="both"/>
      </w:pPr>
      <w:r>
        <w:rPr>
          <w:sz w:val="24"/>
          <w:szCs w:val="24"/>
        </w:rPr>
        <w:t xml:space="preserve">The four-stage implementation framework proposed in this paper provides a practical, sequenced pathway from sensor infrastructure deployment through model development and staff training to continuous governance. Future research should empirically measure the relationship between maintenance supervisor analytical capability and fleet downtime outcomes at operators with deployed predictive maintenance systems, providing </w:t>
      </w:r>
      <w:proofErr w:type="gramStart"/>
      <w:r>
        <w:rPr>
          <w:sz w:val="24"/>
          <w:szCs w:val="24"/>
        </w:rPr>
        <w:t>the causal</w:t>
      </w:r>
      <w:proofErr w:type="gramEnd"/>
      <w:r>
        <w:rPr>
          <w:sz w:val="24"/>
          <w:szCs w:val="24"/>
        </w:rPr>
        <w:t xml:space="preserve"> evidence that this systematic review cannot supply.</w:t>
      </w:r>
    </w:p>
    <w:p w14:paraId="39FFEB02" w14:textId="77777777" w:rsidR="00F45D54" w:rsidRDefault="00337C65">
      <w:pPr>
        <w:spacing w:before="300" w:after="240"/>
      </w:pPr>
      <w:r>
        <w:rPr>
          <w:b/>
          <w:bCs/>
          <w:sz w:val="28"/>
          <w:szCs w:val="28"/>
        </w:rPr>
        <w:t>DECLARATIONS</w:t>
      </w:r>
    </w:p>
    <w:p w14:paraId="39FFEB03" w14:textId="77777777" w:rsidR="00F45D54" w:rsidRDefault="00337C65">
      <w:pPr>
        <w:spacing w:before="240" w:after="180"/>
      </w:pPr>
      <w:r>
        <w:rPr>
          <w:b/>
          <w:bCs/>
          <w:sz w:val="24"/>
          <w:szCs w:val="24"/>
        </w:rPr>
        <w:t>Ethical Approval</w:t>
      </w:r>
    </w:p>
    <w:p w14:paraId="39FFEB04" w14:textId="77777777" w:rsidR="00F45D54" w:rsidRDefault="00337C65">
      <w:pPr>
        <w:spacing w:before="240" w:after="240"/>
        <w:jc w:val="both"/>
      </w:pPr>
      <w:r>
        <w:rPr>
          <w:sz w:val="24"/>
          <w:szCs w:val="24"/>
        </w:rPr>
        <w:t>This paper is a systematic literature review. It does not involve the collection of data from human or animal subjects, clinical interventions, or identifiable personal information. No ethical approval is required. All source data are drawn from publicly accessible published research and industry reports.</w:t>
      </w:r>
    </w:p>
    <w:p w14:paraId="39FFEB05" w14:textId="77777777" w:rsidR="00F45D54" w:rsidRDefault="00337C65">
      <w:pPr>
        <w:spacing w:before="240" w:after="180"/>
      </w:pPr>
      <w:r>
        <w:rPr>
          <w:b/>
          <w:bCs/>
          <w:sz w:val="24"/>
          <w:szCs w:val="24"/>
        </w:rPr>
        <w:t>Conflict of Interest</w:t>
      </w:r>
    </w:p>
    <w:p w14:paraId="39FFEB06" w14:textId="77777777" w:rsidR="00F45D54" w:rsidRDefault="00337C65">
      <w:pPr>
        <w:spacing w:before="240" w:after="240"/>
        <w:jc w:val="both"/>
      </w:pPr>
      <w:r>
        <w:rPr>
          <w:sz w:val="24"/>
          <w:szCs w:val="24"/>
        </w:rPr>
        <w:t>The author declares no conflicts of interest in relation to this research.</w:t>
      </w:r>
    </w:p>
    <w:p w14:paraId="39FFEB07" w14:textId="77777777" w:rsidR="00F45D54" w:rsidRDefault="00337C65">
      <w:pPr>
        <w:spacing w:before="240" w:after="180"/>
      </w:pPr>
      <w:r>
        <w:rPr>
          <w:b/>
          <w:bCs/>
          <w:sz w:val="24"/>
          <w:szCs w:val="24"/>
        </w:rPr>
        <w:t>Data Availability</w:t>
      </w:r>
    </w:p>
    <w:p w14:paraId="39FFEB08" w14:textId="77777777" w:rsidR="00F45D54" w:rsidRDefault="00337C65">
      <w:pPr>
        <w:spacing w:before="240" w:after="240"/>
        <w:jc w:val="both"/>
      </w:pPr>
      <w:r>
        <w:rPr>
          <w:sz w:val="24"/>
          <w:szCs w:val="24"/>
        </w:rPr>
        <w:t xml:space="preserve">This paper draws on publicly available peer-reviewed research and verified industry data. All cited sources are identified in the reference list. No primary data </w:t>
      </w:r>
      <w:proofErr w:type="gramStart"/>
      <w:r>
        <w:rPr>
          <w:sz w:val="24"/>
          <w:szCs w:val="24"/>
        </w:rPr>
        <w:t>were</w:t>
      </w:r>
      <w:proofErr w:type="gramEnd"/>
      <w:r>
        <w:rPr>
          <w:sz w:val="24"/>
          <w:szCs w:val="24"/>
        </w:rPr>
        <w:t xml:space="preserve"> collected.</w:t>
      </w:r>
    </w:p>
    <w:p w14:paraId="39FFEB09" w14:textId="77777777" w:rsidR="00F45D54" w:rsidRDefault="00337C65">
      <w:pPr>
        <w:spacing w:before="240" w:after="180"/>
      </w:pPr>
      <w:r>
        <w:rPr>
          <w:b/>
          <w:bCs/>
          <w:sz w:val="24"/>
          <w:szCs w:val="24"/>
        </w:rPr>
        <w:t>Funding</w:t>
      </w:r>
    </w:p>
    <w:p w14:paraId="39FFEB0A" w14:textId="77777777" w:rsidR="00F45D54" w:rsidRDefault="00337C65">
      <w:pPr>
        <w:spacing w:before="240" w:after="240"/>
        <w:jc w:val="both"/>
      </w:pPr>
      <w:r>
        <w:rPr>
          <w:sz w:val="24"/>
          <w:szCs w:val="24"/>
        </w:rPr>
        <w:t>This research received no external funding.</w:t>
      </w:r>
    </w:p>
    <w:p w14:paraId="39FFEB0B" w14:textId="77777777" w:rsidR="00F45D54" w:rsidRDefault="00337C65">
      <w:pPr>
        <w:spacing w:before="240" w:after="180"/>
      </w:pPr>
      <w:r>
        <w:rPr>
          <w:b/>
          <w:bCs/>
          <w:sz w:val="24"/>
          <w:szCs w:val="24"/>
        </w:rPr>
        <w:t>AI Disclosure</w:t>
      </w:r>
    </w:p>
    <w:p w14:paraId="39FFEB0C" w14:textId="77777777" w:rsidR="00F45D54" w:rsidRDefault="00337C65">
      <w:pPr>
        <w:spacing w:before="240" w:after="240"/>
        <w:jc w:val="both"/>
      </w:pPr>
      <w:r>
        <w:rPr>
          <w:sz w:val="24"/>
          <w:szCs w:val="24"/>
        </w:rPr>
        <w:t>The author used Claude (Anthropic), a Large Language Model, to assist with drafting, structural editing, reference verification, and language revision during the preparation of this manuscript. All content, arguments, citations, and statistical claims were reviewed and verified by the author. The author takes full responsibility for the integrity of the work.</w:t>
      </w:r>
    </w:p>
    <w:p w14:paraId="39FFEB0D" w14:textId="77777777" w:rsidR="00F45D54" w:rsidRDefault="00337C65">
      <w:pPr>
        <w:spacing w:before="300" w:after="240"/>
      </w:pPr>
      <w:r>
        <w:rPr>
          <w:b/>
          <w:bCs/>
          <w:sz w:val="28"/>
          <w:szCs w:val="28"/>
        </w:rPr>
        <w:lastRenderedPageBreak/>
        <w:t>REFERENCES</w:t>
      </w:r>
    </w:p>
    <w:p w14:paraId="39FFEB0E" w14:textId="77777777" w:rsidR="00F45D54" w:rsidRDefault="00337C65">
      <w:pPr>
        <w:spacing w:before="240" w:after="240"/>
        <w:ind w:left="720" w:hanging="720"/>
        <w:jc w:val="both"/>
      </w:pPr>
      <w:r>
        <w:rPr>
          <w:sz w:val="24"/>
          <w:szCs w:val="24"/>
        </w:rPr>
        <w:t>1. Association to Advance Collegiate Schools of Business (AACSB). (2020). 2020 guiding principles and standards for business accreditation. AACSB International. https://www.aacsb.edu/-/media/documents/accreditation/2020-aacsb-business-accreditation-standards-june-2023.pdf</w:t>
      </w:r>
    </w:p>
    <w:p w14:paraId="39FFEB0F" w14:textId="77777777" w:rsidR="00F45D54" w:rsidRDefault="00337C65">
      <w:pPr>
        <w:spacing w:before="240" w:after="240"/>
        <w:ind w:left="720" w:hanging="720"/>
        <w:jc w:val="both"/>
      </w:pPr>
      <w:r>
        <w:rPr>
          <w:sz w:val="24"/>
          <w:szCs w:val="24"/>
        </w:rPr>
        <w:t>2. Accenture. (2023). Connected fleets: The future of mobility services. Accenture Research. https://www.accenture.com/us-en/insights/automotive/connected-fleets</w:t>
      </w:r>
    </w:p>
    <w:p w14:paraId="39FFEB10" w14:textId="77777777" w:rsidR="00F45D54" w:rsidRDefault="00337C65">
      <w:pPr>
        <w:spacing w:before="240" w:after="240"/>
        <w:ind w:left="720" w:hanging="720"/>
        <w:jc w:val="both"/>
      </w:pPr>
      <w:r>
        <w:rPr>
          <w:sz w:val="24"/>
          <w:szCs w:val="24"/>
        </w:rPr>
        <w:t>3. American Car Rental Association (ACRA). (2023). State of the industry: U.S. car rental. American Car Rental Association. https://www.acra.org</w:t>
      </w:r>
    </w:p>
    <w:p w14:paraId="39FFEB11" w14:textId="77777777" w:rsidR="00F45D54" w:rsidRDefault="00337C65">
      <w:pPr>
        <w:spacing w:before="240" w:after="240"/>
        <w:ind w:left="720" w:hanging="720"/>
        <w:jc w:val="both"/>
      </w:pPr>
      <w:r>
        <w:rPr>
          <w:sz w:val="24"/>
          <w:szCs w:val="24"/>
        </w:rPr>
        <w:t>4. Arena, F., Collotta, M., Luca, L., Ruggieri, M., &amp; Termine, F. G. (2022). Predictive maintenance in the automotive sector: A literature review. Mathematical and Computational Applications, 27(1), 2. https://doi.org/10.3390/mca27010002</w:t>
      </w:r>
    </w:p>
    <w:p w14:paraId="39FFEB12" w14:textId="77777777" w:rsidR="00F45D54" w:rsidRDefault="00337C65">
      <w:pPr>
        <w:spacing w:before="240" w:after="240"/>
        <w:ind w:left="720" w:hanging="720"/>
        <w:jc w:val="both"/>
      </w:pPr>
      <w:r>
        <w:rPr>
          <w:sz w:val="24"/>
          <w:szCs w:val="24"/>
        </w:rPr>
        <w:t>5. Becker, G. S. (1964). Human capital: A theoretical and empirical analysis, with special reference to education. University of Chicago Press.</w:t>
      </w:r>
    </w:p>
    <w:p w14:paraId="39FFEB13" w14:textId="77777777" w:rsidR="00F45D54" w:rsidRDefault="00337C65">
      <w:pPr>
        <w:spacing w:before="240" w:after="240"/>
        <w:ind w:left="720" w:hanging="720"/>
        <w:jc w:val="both"/>
      </w:pPr>
      <w:r>
        <w:rPr>
          <w:sz w:val="24"/>
          <w:szCs w:val="24"/>
        </w:rPr>
        <w:t>6. Bureau of Labor Statistics, U.S. Department of Labor. (2024). Transportation and material moving occupations: Occupational outlook handbook. https://www.bls.gov/ooh/transportation-and-material-moving/</w:t>
      </w:r>
    </w:p>
    <w:p w14:paraId="39FFEB14" w14:textId="77777777" w:rsidR="00F45D54" w:rsidRDefault="00337C65">
      <w:pPr>
        <w:spacing w:before="240" w:after="240"/>
        <w:ind w:left="720" w:hanging="720"/>
        <w:jc w:val="both"/>
      </w:pPr>
      <w:r>
        <w:rPr>
          <w:sz w:val="24"/>
          <w:szCs w:val="24"/>
        </w:rPr>
        <w:t>7. Bureau of Labor Statistics, U.S. Department of Labor. (2024). Accommodation: NAICS 721 industry productivity and related data. https://www.bls.gov/iag/tgs/iag721.htm</w:t>
      </w:r>
    </w:p>
    <w:p w14:paraId="39FFEB15" w14:textId="77777777" w:rsidR="00F45D54" w:rsidRDefault="00337C65">
      <w:pPr>
        <w:spacing w:before="240" w:after="240"/>
        <w:ind w:left="720" w:hanging="720"/>
        <w:jc w:val="both"/>
      </w:pPr>
      <w:r>
        <w:rPr>
          <w:sz w:val="24"/>
          <w:szCs w:val="24"/>
        </w:rPr>
        <w:t>8. Carvalho, T. P., Soares, F. A. A. M. N., Vita, R., Francisco, R. D. P., Basto, J. P., &amp; Alcala, S. G. S. (2019). A systematic literature review of machine learning methods applied to predictive maintenance. Computers and Industrial Engineering, 137, 106024. https://doi.org/10.1016/j.cie.2019.106024</w:t>
      </w:r>
    </w:p>
    <w:p w14:paraId="39FFEB16" w14:textId="77777777" w:rsidR="00F45D54" w:rsidRDefault="00337C65">
      <w:pPr>
        <w:spacing w:before="240" w:after="240"/>
        <w:ind w:left="720" w:hanging="720"/>
        <w:jc w:val="both"/>
      </w:pPr>
      <w:r>
        <w:rPr>
          <w:sz w:val="24"/>
          <w:szCs w:val="24"/>
        </w:rPr>
        <w:t>9. Chaudhuri, A., &amp; Ghosh, S. K. (2024). Predictive maintenance of vehicle fleets through hybrid deep learning-based ensemble methods for industrial IoT datasets. Logic Journal of the IGPL, 32(4), 671–687. https://doi.org/10.1093/jigpal/jzae017</w:t>
      </w:r>
    </w:p>
    <w:p w14:paraId="39FFEB17" w14:textId="77777777" w:rsidR="00F45D54" w:rsidRDefault="00337C65">
      <w:pPr>
        <w:spacing w:before="240" w:after="240"/>
        <w:ind w:left="720" w:hanging="720"/>
        <w:jc w:val="both"/>
      </w:pPr>
      <w:r>
        <w:rPr>
          <w:sz w:val="24"/>
          <w:szCs w:val="24"/>
        </w:rPr>
        <w:t>10. Euromonitor International. (2024). The world market for car rental. Euromonitor International. https://www.euromonitor.com/the-world-market-for-car-rental/report</w:t>
      </w:r>
    </w:p>
    <w:p w14:paraId="39FFEB18" w14:textId="77777777" w:rsidR="00F45D54" w:rsidRDefault="00337C65">
      <w:pPr>
        <w:spacing w:before="240" w:after="240"/>
        <w:ind w:left="720" w:hanging="720"/>
        <w:jc w:val="both"/>
      </w:pPr>
      <w:r>
        <w:rPr>
          <w:sz w:val="24"/>
          <w:szCs w:val="24"/>
        </w:rPr>
        <w:t>11. Geotab. (2024). Fleet management platform: Predictive maintenance and telematics analytics. Geotab Inc. https://www.geotab.com/fleet-management-solutions/</w:t>
      </w:r>
    </w:p>
    <w:p w14:paraId="39FFEB19" w14:textId="77777777" w:rsidR="00F45D54" w:rsidRDefault="00337C65">
      <w:pPr>
        <w:spacing w:before="240" w:after="240"/>
        <w:ind w:left="720" w:hanging="720"/>
        <w:jc w:val="both"/>
      </w:pPr>
      <w:r>
        <w:rPr>
          <w:sz w:val="24"/>
          <w:szCs w:val="24"/>
        </w:rPr>
        <w:t>12. Grand View Research. (2024). Car rental market size, share and trends analysis report. Grand View Research. https://www.grandviewresearch.com/industry-analysis/car-rental-market</w:t>
      </w:r>
    </w:p>
    <w:p w14:paraId="39FFEB1A" w14:textId="77777777" w:rsidR="00F45D54" w:rsidRDefault="00337C65">
      <w:pPr>
        <w:spacing w:before="240" w:after="240"/>
        <w:ind w:left="720" w:hanging="720"/>
        <w:jc w:val="both"/>
      </w:pPr>
      <w:r>
        <w:rPr>
          <w:sz w:val="24"/>
          <w:szCs w:val="24"/>
        </w:rPr>
        <w:t>13. Hector, I., &amp; Panjanathan, R. (2024). Predictive maintenance in Industry 4.0: A survey of planning models and machine learning techniques. PeerJ Computer Science, 10, e2016. https://doi.org/10.7717/peerj-cs.2016</w:t>
      </w:r>
    </w:p>
    <w:p w14:paraId="39FFEB1B" w14:textId="77777777" w:rsidR="00F45D54" w:rsidRDefault="00337C65">
      <w:pPr>
        <w:spacing w:before="240" w:after="240"/>
        <w:ind w:left="720" w:hanging="720"/>
        <w:jc w:val="both"/>
      </w:pPr>
      <w:r>
        <w:rPr>
          <w:sz w:val="24"/>
          <w:szCs w:val="24"/>
        </w:rPr>
        <w:t>14. Jardine, A. K. S., Lin, D., &amp; Banjevic, D. (2006). A review on machinery diagnostics and prognostics implementing condition-based maintenance. Mechanical Systems and Signal Processing, 20(7), 1483–1510. https://doi.org/10.1016/j.ymssp.2005.09.012</w:t>
      </w:r>
    </w:p>
    <w:p w14:paraId="39FFEB1C" w14:textId="77777777" w:rsidR="00F45D54" w:rsidRDefault="00337C65">
      <w:pPr>
        <w:spacing w:before="240" w:after="240"/>
        <w:ind w:left="720" w:hanging="720"/>
        <w:jc w:val="both"/>
      </w:pPr>
      <w:r>
        <w:rPr>
          <w:sz w:val="24"/>
          <w:szCs w:val="24"/>
        </w:rPr>
        <w:t>15. Killeen, P., Ding, B., Kiringa, I., &amp; Yeap, T. (2019). IoT-based predictive maintenance for fleet management. Procedia Computer Science, 151, 607–613. https://doi.org/10.1016/j.procs.2019.04.183</w:t>
      </w:r>
    </w:p>
    <w:p w14:paraId="39FFEB1D" w14:textId="77777777" w:rsidR="00F45D54" w:rsidRDefault="00337C65">
      <w:pPr>
        <w:spacing w:before="240" w:after="240"/>
        <w:ind w:left="720" w:hanging="720"/>
        <w:jc w:val="both"/>
      </w:pPr>
      <w:r>
        <w:rPr>
          <w:sz w:val="24"/>
          <w:szCs w:val="24"/>
        </w:rPr>
        <w:t>16. McKinsey Global Institute. (2022). The future of work after COVID-19. McKinsey &amp; Company. https://www.mckinsey.com/featured-insights/future-of-work/the-future-of-work-after-covid-19</w:t>
      </w:r>
    </w:p>
    <w:p w14:paraId="39FFEB1E" w14:textId="77777777" w:rsidR="00F45D54" w:rsidRDefault="00337C65">
      <w:pPr>
        <w:spacing w:before="240" w:after="240"/>
        <w:ind w:left="720" w:hanging="720"/>
        <w:jc w:val="both"/>
      </w:pPr>
      <w:r>
        <w:rPr>
          <w:sz w:val="24"/>
          <w:szCs w:val="24"/>
        </w:rPr>
        <w:lastRenderedPageBreak/>
        <w:t>17. Mobley, R. K. (2002). An introduction to predictive maintenance (2nd ed.). Butterworth-Heinemann.</w:t>
      </w:r>
    </w:p>
    <w:p w14:paraId="39FFEB1F" w14:textId="77777777" w:rsidR="00F45D54" w:rsidRDefault="00337C65">
      <w:pPr>
        <w:spacing w:before="240" w:after="240"/>
        <w:ind w:left="720" w:hanging="720"/>
        <w:jc w:val="both"/>
      </w:pPr>
      <w:r>
        <w:rPr>
          <w:sz w:val="24"/>
          <w:szCs w:val="24"/>
        </w:rPr>
        <w:t>18. National Highway Traffic Safety Administration (NHTSA). (2024). Vehicle safety and recalls. U.S. Department of Transportation. https://www.nhtsa.gov/vehicle-safety</w:t>
      </w:r>
    </w:p>
    <w:p w14:paraId="39FFEB20" w14:textId="77777777" w:rsidR="00F45D54" w:rsidRDefault="00337C65">
      <w:pPr>
        <w:spacing w:before="240" w:after="240"/>
        <w:ind w:left="720" w:hanging="720"/>
        <w:jc w:val="both"/>
      </w:pPr>
      <w:r>
        <w:rPr>
          <w:sz w:val="24"/>
          <w:szCs w:val="24"/>
        </w:rPr>
        <w:t>19. Nikopoulou, M., Kourouthanassis, P., Chasapi, G., Pateli, A., &amp; Mylonas, N. (2023). Determinants of digital transformation in the hospitality industry: Technological, organizational, and environmental drivers. Sustainability, 15(3), 2736. https://doi.org/10.3390/su15032736</w:t>
      </w:r>
    </w:p>
    <w:p w14:paraId="39FFEB21" w14:textId="77777777" w:rsidR="00F45D54" w:rsidRDefault="00337C65">
      <w:pPr>
        <w:spacing w:before="240" w:after="240"/>
        <w:ind w:left="720" w:hanging="720"/>
        <w:jc w:val="both"/>
      </w:pPr>
      <w:r>
        <w:rPr>
          <w:sz w:val="24"/>
          <w:szCs w:val="24"/>
        </w:rPr>
        <w:t>20. Schultz, T. W. (1961). Investment in human capital. American Economic Review, 51(1), 1–17. https://www.jstor.org/stable/1818907</w:t>
      </w:r>
    </w:p>
    <w:p w14:paraId="39FFEB22" w14:textId="77777777" w:rsidR="00F45D54" w:rsidRDefault="00337C65">
      <w:pPr>
        <w:spacing w:before="240" w:after="240"/>
        <w:ind w:left="720" w:hanging="720"/>
        <w:jc w:val="both"/>
      </w:pPr>
      <w:r>
        <w:rPr>
          <w:sz w:val="24"/>
          <w:szCs w:val="24"/>
        </w:rPr>
        <w:t>21. Theissler, A., Perez-Velazquez, J., Kettelgerdes, M., &amp; Elger, G. (2021). Predictive maintenance enabled by machine learning: Use cases and challenges in the automotive industry. Reliability Engineering and System Safety, 215, 107864. https://doi.org/10.1016/j.ress.2021.107864</w:t>
      </w:r>
    </w:p>
    <w:p w14:paraId="39FFEB23" w14:textId="77777777" w:rsidR="00F45D54" w:rsidRDefault="00337C65">
      <w:pPr>
        <w:spacing w:before="240" w:after="240"/>
        <w:ind w:left="720" w:hanging="720"/>
        <w:jc w:val="both"/>
      </w:pPr>
      <w:r>
        <w:rPr>
          <w:sz w:val="24"/>
          <w:szCs w:val="24"/>
        </w:rPr>
        <w:t>22. Tornatzky, L. G., &amp; Fleischer, M. (1990). The processes of technological innovation. Lexington Books.</w:t>
      </w:r>
    </w:p>
    <w:p w14:paraId="39FFEB24" w14:textId="77777777" w:rsidR="00F45D54" w:rsidRDefault="00337C65">
      <w:pPr>
        <w:spacing w:before="240" w:after="240"/>
        <w:ind w:left="720" w:hanging="720"/>
        <w:jc w:val="both"/>
      </w:pPr>
      <w:r>
        <w:rPr>
          <w:sz w:val="24"/>
          <w:szCs w:val="24"/>
        </w:rPr>
        <w:t>23. Wang, J., Lim, M. K., Wang, C., &amp; Tseng, M. L. (2021). The evolution of the Internet of Things (IoT) over the past 20 years. Computers and Industrial Engineering, 155, 107174. https://doi.org/10.1016/j.cie.2021.107174</w:t>
      </w:r>
    </w:p>
    <w:sectPr w:rsidR="00F45D54">
      <w:pgSz w:w="11906" w:h="16838"/>
      <w:pgMar w:top="1094" w:right="605" w:bottom="605" w:left="605" w:header="346" w:footer="403"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52C01"/>
    <w:multiLevelType w:val="hybridMultilevel"/>
    <w:tmpl w:val="76AC2654"/>
    <w:lvl w:ilvl="0" w:tplc="D9FC4E34">
      <w:start w:val="1"/>
      <w:numFmt w:val="bullet"/>
      <w:lvlText w:val="●"/>
      <w:lvlJc w:val="left"/>
      <w:pPr>
        <w:ind w:left="720" w:hanging="360"/>
      </w:pPr>
    </w:lvl>
    <w:lvl w:ilvl="1" w:tplc="95EE3142">
      <w:start w:val="1"/>
      <w:numFmt w:val="bullet"/>
      <w:lvlText w:val="○"/>
      <w:lvlJc w:val="left"/>
      <w:pPr>
        <w:ind w:left="1440" w:hanging="360"/>
      </w:pPr>
    </w:lvl>
    <w:lvl w:ilvl="2" w:tplc="40F667C2">
      <w:start w:val="1"/>
      <w:numFmt w:val="bullet"/>
      <w:lvlText w:val="■"/>
      <w:lvlJc w:val="left"/>
      <w:pPr>
        <w:ind w:left="2160" w:hanging="360"/>
      </w:pPr>
    </w:lvl>
    <w:lvl w:ilvl="3" w:tplc="E0166E3A">
      <w:start w:val="1"/>
      <w:numFmt w:val="bullet"/>
      <w:lvlText w:val="●"/>
      <w:lvlJc w:val="left"/>
      <w:pPr>
        <w:ind w:left="2880" w:hanging="360"/>
      </w:pPr>
    </w:lvl>
    <w:lvl w:ilvl="4" w:tplc="3A647B1C">
      <w:start w:val="1"/>
      <w:numFmt w:val="bullet"/>
      <w:lvlText w:val="○"/>
      <w:lvlJc w:val="left"/>
      <w:pPr>
        <w:ind w:left="3600" w:hanging="360"/>
      </w:pPr>
    </w:lvl>
    <w:lvl w:ilvl="5" w:tplc="7B82BF96">
      <w:start w:val="1"/>
      <w:numFmt w:val="bullet"/>
      <w:lvlText w:val="■"/>
      <w:lvlJc w:val="left"/>
      <w:pPr>
        <w:ind w:left="4320" w:hanging="360"/>
      </w:pPr>
    </w:lvl>
    <w:lvl w:ilvl="6" w:tplc="6FA6D170">
      <w:start w:val="1"/>
      <w:numFmt w:val="bullet"/>
      <w:lvlText w:val="●"/>
      <w:lvlJc w:val="left"/>
      <w:pPr>
        <w:ind w:left="5040" w:hanging="360"/>
      </w:pPr>
    </w:lvl>
    <w:lvl w:ilvl="7" w:tplc="2E84D172">
      <w:start w:val="1"/>
      <w:numFmt w:val="bullet"/>
      <w:lvlText w:val="●"/>
      <w:lvlJc w:val="left"/>
      <w:pPr>
        <w:ind w:left="5760" w:hanging="360"/>
      </w:pPr>
    </w:lvl>
    <w:lvl w:ilvl="8" w:tplc="835CEBA8">
      <w:start w:val="1"/>
      <w:numFmt w:val="bullet"/>
      <w:lvlText w:val="●"/>
      <w:lvlJc w:val="left"/>
      <w:pPr>
        <w:ind w:left="6480" w:hanging="360"/>
      </w:pPr>
    </w:lvl>
  </w:abstractNum>
  <w:num w:numId="1" w16cid:durableId="13214216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D54"/>
    <w:rsid w:val="00337C65"/>
    <w:rsid w:val="003A358D"/>
    <w:rsid w:val="008C1871"/>
    <w:rsid w:val="00F4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EA22"/>
  <w15:docId w15:val="{23A5CA74-8362-4D9D-9276-037364C8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5188</Words>
  <Characters>35129</Characters>
  <Application>Microsoft Office Word</Application>
  <DocSecurity>0</DocSecurity>
  <Lines>769</Lines>
  <Paragraphs>227</Paragraphs>
  <ScaleCrop>false</ScaleCrop>
  <Company/>
  <LinksUpToDate>false</LinksUpToDate>
  <CharactersWithSpaces>40092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Salami Abdul Mohammed</cp:lastModifiedBy>
  <cp:revision>3</cp:revision>
  <dcterms:created xsi:type="dcterms:W3CDTF">2026-05-13T21:39:00Z</dcterms:created>
  <dcterms:modified xsi:type="dcterms:W3CDTF">2026-05-14T04:27:00Z</dcterms:modified>
</cp:coreProperties>
</file>