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1D5" w:rsidRPr="006E51D5" w:rsidRDefault="00606362" w:rsidP="006E51D5">
      <w:pPr>
        <w:jc w:val="center"/>
        <w:rPr>
          <w:rFonts w:ascii="Times New Roman" w:hAnsi="Times New Roman" w:cs="Times New Roman"/>
          <w:b/>
          <w:bCs/>
          <w:sz w:val="48"/>
          <w:szCs w:val="48"/>
        </w:rPr>
      </w:pPr>
      <w:r>
        <w:rPr>
          <w:rFonts w:ascii="Times New Roman" w:hAnsi="Times New Roman" w:cs="Times New Roman"/>
          <w:b/>
          <w:bCs/>
          <w:sz w:val="48"/>
          <w:szCs w:val="48"/>
        </w:rPr>
        <w:t>Effects</w:t>
      </w:r>
      <w:r w:rsidR="006E51D5" w:rsidRPr="006E51D5">
        <w:rPr>
          <w:rFonts w:ascii="Times New Roman" w:hAnsi="Times New Roman" w:cs="Times New Roman"/>
          <w:b/>
          <w:bCs/>
          <w:sz w:val="48"/>
          <w:szCs w:val="48"/>
        </w:rPr>
        <w:t xml:space="preserve"> of activities of car wash centers on water quality and hygiene in Koforidua, Ghana.</w:t>
      </w:r>
    </w:p>
    <w:p w:rsidR="005E4543" w:rsidRDefault="005E4543" w:rsidP="00606362">
      <w:pPr>
        <w:spacing w:after="0"/>
        <w:jc w:val="center"/>
        <w:rPr>
          <w:rFonts w:ascii="Times New Roman" w:hAnsi="Times New Roman" w:cs="Times New Roman"/>
        </w:rPr>
      </w:pPr>
    </w:p>
    <w:p w:rsidR="005E4543" w:rsidRPr="005718F9" w:rsidRDefault="005E4543" w:rsidP="00606362">
      <w:pPr>
        <w:spacing w:after="0"/>
        <w:jc w:val="center"/>
        <w:rPr>
          <w:rFonts w:ascii="Times New Roman" w:hAnsi="Times New Roman" w:cs="Times New Roman"/>
          <w:b/>
          <w:bCs/>
        </w:rPr>
      </w:pPr>
      <w:r w:rsidRPr="005718F9">
        <w:rPr>
          <w:rFonts w:ascii="Times New Roman" w:hAnsi="Times New Roman" w:cs="Times New Roman"/>
          <w:b/>
          <w:bCs/>
        </w:rPr>
        <w:t>ABSTRACT</w:t>
      </w:r>
    </w:p>
    <w:p w:rsidR="005E4543" w:rsidRPr="005718F9" w:rsidRDefault="005718F9" w:rsidP="005718F9">
      <w:pPr>
        <w:spacing w:after="0"/>
        <w:jc w:val="both"/>
        <w:rPr>
          <w:rFonts w:ascii="Times New Roman" w:hAnsi="Times New Roman" w:cs="Times New Roman"/>
          <w:sz w:val="24"/>
          <w:szCs w:val="24"/>
        </w:rPr>
      </w:pPr>
      <w:r w:rsidRPr="00473365">
        <w:rPr>
          <w:rFonts w:ascii="Times New Roman" w:hAnsi="Times New Roman" w:cs="Times New Roman"/>
          <w:sz w:val="24"/>
          <w:szCs w:val="24"/>
          <w:lang/>
        </w:rPr>
        <w:t>This study examines how Koforidua, Ghana's water quality and public health are affected by effluent from vehicle wash facilities. EPA Ghana and WHO criteria were used to analyse the microbiological and physicochemical characteristics of wastewater samples from four car wash facilities that were specifically chosen. The findings show elevated levels of E. coli and total coliform, above allowable limits, suggesting faecal contamination and elevated health concerns. Concerns concerning gastrointestinal and waterborne infections were raised by the exceeding of WHO limits for turbidity, pH, and sodium levels, particularly in neighbouring populations that depend on these water supplies. Increased ammonium, phosphate, and nitrate levels further draw attention to possible environmental effects, such as eutrophication</w:t>
      </w:r>
      <w:bookmarkStart w:id="0" w:name="_GoBack"/>
      <w:bookmarkEnd w:id="0"/>
      <w:r w:rsidRPr="00473365">
        <w:rPr>
          <w:rFonts w:ascii="Times New Roman" w:hAnsi="Times New Roman" w:cs="Times New Roman"/>
          <w:sz w:val="24"/>
          <w:szCs w:val="24"/>
          <w:lang/>
        </w:rPr>
        <w:t>. </w:t>
      </w:r>
      <w:r w:rsidRPr="005718F9">
        <w:rPr>
          <w:rFonts w:ascii="Times New Roman" w:hAnsi="Times New Roman" w:cs="Times New Roman"/>
          <w:sz w:val="24"/>
          <w:szCs w:val="24"/>
        </w:rPr>
        <w:t>These results highlight how urgently controlled wastewater disposal methods are needed to safeguard local water quality and public health.</w:t>
      </w:r>
    </w:p>
    <w:p w:rsidR="005E4543" w:rsidRDefault="005E4543" w:rsidP="00606362">
      <w:pPr>
        <w:spacing w:after="0"/>
        <w:jc w:val="center"/>
        <w:rPr>
          <w:rFonts w:ascii="Times New Roman" w:hAnsi="Times New Roman" w:cs="Times New Roman"/>
        </w:rPr>
      </w:pPr>
    </w:p>
    <w:p w:rsidR="005718F9" w:rsidRDefault="005718F9" w:rsidP="005718F9">
      <w:pPr>
        <w:spacing w:after="0"/>
        <w:rPr>
          <w:rFonts w:ascii="Times New Roman" w:hAnsi="Times New Roman" w:cs="Times New Roman"/>
        </w:rPr>
      </w:pPr>
      <w:r w:rsidRPr="005718F9">
        <w:rPr>
          <w:rFonts w:ascii="Times New Roman" w:hAnsi="Times New Roman" w:cs="Times New Roman"/>
          <w:b/>
          <w:bCs/>
        </w:rPr>
        <w:t>KEYWORDS:</w:t>
      </w:r>
      <w:r>
        <w:rPr>
          <w:rFonts w:ascii="Times New Roman" w:hAnsi="Times New Roman" w:cs="Times New Roman"/>
        </w:rPr>
        <w:t xml:space="preserve"> </w:t>
      </w:r>
      <w:r w:rsidRPr="005718F9">
        <w:rPr>
          <w:rFonts w:ascii="Times New Roman" w:hAnsi="Times New Roman" w:cs="Times New Roman"/>
          <w:i/>
          <w:iCs/>
        </w:rPr>
        <w:t xml:space="preserve">Water quality, </w:t>
      </w:r>
      <w:r w:rsidR="00C03851">
        <w:rPr>
          <w:rFonts w:ascii="Times New Roman" w:hAnsi="Times New Roman" w:cs="Times New Roman"/>
          <w:i/>
          <w:iCs/>
        </w:rPr>
        <w:t>public</w:t>
      </w:r>
      <w:r w:rsidRPr="005718F9">
        <w:rPr>
          <w:rFonts w:ascii="Times New Roman" w:hAnsi="Times New Roman" w:cs="Times New Roman"/>
          <w:i/>
          <w:iCs/>
        </w:rPr>
        <w:t xml:space="preserve"> health, car wash activities</w:t>
      </w:r>
      <w:r w:rsidR="00726DD5">
        <w:rPr>
          <w:rFonts w:ascii="Times New Roman" w:hAnsi="Times New Roman" w:cs="Times New Roman"/>
          <w:i/>
          <w:iCs/>
        </w:rPr>
        <w:t>, microbial pollutants, physiochemical pollutants</w:t>
      </w:r>
    </w:p>
    <w:p w:rsidR="005E4543" w:rsidRDefault="005E4543"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110787" w:rsidRDefault="00110787"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5718F9" w:rsidRDefault="005718F9" w:rsidP="00606362">
      <w:pPr>
        <w:spacing w:after="0"/>
        <w:jc w:val="center"/>
        <w:rPr>
          <w:rFonts w:ascii="Times New Roman" w:hAnsi="Times New Roman" w:cs="Times New Roman"/>
        </w:rPr>
      </w:pPr>
    </w:p>
    <w:p w:rsidR="008F41F0" w:rsidRDefault="008F41F0" w:rsidP="00606362">
      <w:pPr>
        <w:spacing w:after="0"/>
        <w:jc w:val="center"/>
        <w:rPr>
          <w:rFonts w:ascii="Times New Roman" w:hAnsi="Times New Roman" w:cs="Times New Roman"/>
        </w:rPr>
      </w:pPr>
    </w:p>
    <w:p w:rsidR="008F41F0" w:rsidRDefault="008F41F0" w:rsidP="00606362">
      <w:pPr>
        <w:spacing w:after="0"/>
        <w:jc w:val="center"/>
        <w:rPr>
          <w:rFonts w:ascii="Times New Roman" w:hAnsi="Times New Roman" w:cs="Times New Roman"/>
        </w:rPr>
      </w:pPr>
    </w:p>
    <w:p w:rsidR="008F41F0" w:rsidRDefault="008F41F0" w:rsidP="00606362">
      <w:pPr>
        <w:spacing w:after="0"/>
        <w:jc w:val="center"/>
        <w:rPr>
          <w:rFonts w:ascii="Times New Roman" w:hAnsi="Times New Roman" w:cs="Times New Roman"/>
        </w:rPr>
      </w:pPr>
    </w:p>
    <w:p w:rsidR="008F41F0" w:rsidRDefault="008F41F0" w:rsidP="00606362">
      <w:pPr>
        <w:spacing w:after="0"/>
        <w:jc w:val="center"/>
        <w:rPr>
          <w:rFonts w:ascii="Times New Roman" w:hAnsi="Times New Roman" w:cs="Times New Roman"/>
        </w:rPr>
      </w:pPr>
    </w:p>
    <w:p w:rsidR="008F41F0" w:rsidRDefault="008F41F0" w:rsidP="00606362">
      <w:pPr>
        <w:spacing w:after="0"/>
        <w:jc w:val="center"/>
        <w:rPr>
          <w:rFonts w:ascii="Times New Roman" w:hAnsi="Times New Roman" w:cs="Times New Roman"/>
        </w:rPr>
      </w:pPr>
    </w:p>
    <w:p w:rsidR="008F41F0" w:rsidRDefault="008F41F0" w:rsidP="00606362">
      <w:pPr>
        <w:spacing w:after="0"/>
        <w:jc w:val="center"/>
        <w:rPr>
          <w:rFonts w:ascii="Times New Roman" w:hAnsi="Times New Roman" w:cs="Times New Roman"/>
        </w:rPr>
      </w:pPr>
    </w:p>
    <w:p w:rsidR="005718F9" w:rsidRPr="005718F9" w:rsidRDefault="005718F9" w:rsidP="005718F9">
      <w:pPr>
        <w:pStyle w:val="ListParagraph"/>
        <w:numPr>
          <w:ilvl w:val="0"/>
          <w:numId w:val="1"/>
        </w:numPr>
        <w:spacing w:after="0"/>
        <w:rPr>
          <w:rFonts w:ascii="Times New Roman" w:hAnsi="Times New Roman" w:cs="Times New Roman"/>
          <w:b/>
          <w:bCs/>
        </w:rPr>
      </w:pPr>
      <w:r w:rsidRPr="005718F9">
        <w:rPr>
          <w:rFonts w:ascii="Times New Roman" w:hAnsi="Times New Roman" w:cs="Times New Roman"/>
          <w:b/>
          <w:bCs/>
        </w:rPr>
        <w:lastRenderedPageBreak/>
        <w:t>INTRODUCTION</w:t>
      </w:r>
    </w:p>
    <w:p w:rsidR="005718F9" w:rsidRPr="00725D89" w:rsidRDefault="005718F9" w:rsidP="00725D89">
      <w:pPr>
        <w:jc w:val="both"/>
        <w:rPr>
          <w:rFonts w:ascii="Times New Roman" w:hAnsi="Times New Roman" w:cs="Times New Roman"/>
          <w:sz w:val="24"/>
          <w:szCs w:val="24"/>
          <w:lang w:val="en-ZA"/>
        </w:rPr>
      </w:pPr>
      <w:r w:rsidRPr="00725D89">
        <w:rPr>
          <w:rFonts w:ascii="Times New Roman" w:hAnsi="Times New Roman" w:cs="Times New Roman"/>
          <w:sz w:val="24"/>
          <w:szCs w:val="24"/>
          <w:lang w:val="en-ZA"/>
        </w:rPr>
        <w:t>Water fundamentally supports the basic unit of life for living things. It is therefore important to commit water to prudent use to serve the purpose of life. In contemporary times,</w:t>
      </w:r>
      <w:r w:rsidRPr="00725D89">
        <w:rPr>
          <w:rFonts w:ascii="Times New Roman" w:hAnsi="Times New Roman" w:cs="Times New Roman"/>
          <w:sz w:val="24"/>
          <w:szCs w:val="24"/>
        </w:rPr>
        <w:t xml:space="preserve"> severe water contamination and insufficient water resources have proven to be one of the major challenges of water usage (Enoh &amp; Christopher, 2015). It is therefore needful for appropriate</w:t>
      </w:r>
      <w:r w:rsidRPr="00725D89">
        <w:rPr>
          <w:rFonts w:ascii="Times New Roman" w:hAnsi="Times New Roman" w:cs="Times New Roman"/>
          <w:sz w:val="24"/>
          <w:szCs w:val="24"/>
          <w:lang w:val="en-ZA"/>
        </w:rPr>
        <w:t xml:space="preserve"> planning of water management for controlling issues of water scarcity and pollution (Bhatti et. al., 2011). Sustainable water quality can be ensured through adherence to water quality management principles such as the treatment of wastewater, water reuse, or discharge of water into the aquatic system </w:t>
      </w:r>
      <w:r w:rsidRPr="00725D89">
        <w:rPr>
          <w:rFonts w:ascii="Times New Roman" w:hAnsi="Times New Roman" w:cs="Times New Roman"/>
          <w:sz w:val="24"/>
          <w:szCs w:val="24"/>
        </w:rPr>
        <w:t>(Erasmus 2016).</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lang w:val="en-ZA"/>
        </w:rPr>
        <w:t>Ghana is one of the countries that experience high levels of dryness in Africa, especially in the Northern part of the country ((</w:t>
      </w:r>
      <w:proofErr w:type="spellStart"/>
      <w:r w:rsidRPr="00725D89">
        <w:rPr>
          <w:rFonts w:ascii="Times New Roman" w:hAnsi="Times New Roman" w:cs="Times New Roman"/>
          <w:sz w:val="24"/>
          <w:szCs w:val="24"/>
        </w:rPr>
        <w:t>Amuakwa</w:t>
      </w:r>
      <w:proofErr w:type="spellEnd"/>
      <w:r w:rsidRPr="00725D89">
        <w:rPr>
          <w:rFonts w:ascii="Times New Roman" w:hAnsi="Times New Roman" w:cs="Times New Roman"/>
          <w:sz w:val="24"/>
          <w:szCs w:val="24"/>
        </w:rPr>
        <w:t>-Mensah, and Asante, 2015</w:t>
      </w:r>
      <w:r w:rsidRPr="00725D89">
        <w:rPr>
          <w:rFonts w:ascii="Times New Roman" w:hAnsi="Times New Roman" w:cs="Times New Roman"/>
          <w:sz w:val="24"/>
          <w:szCs w:val="24"/>
          <w:lang w:val="en-ZA"/>
        </w:rPr>
        <w:t>). Despite this dryness, studies still revealed a high level of contamination of the water bodies due to negative environmental practices (</w:t>
      </w:r>
      <w:proofErr w:type="spellStart"/>
      <w:r w:rsidRPr="00725D89">
        <w:rPr>
          <w:rFonts w:ascii="Times New Roman" w:hAnsi="Times New Roman" w:cs="Times New Roman"/>
          <w:sz w:val="24"/>
          <w:szCs w:val="24"/>
        </w:rPr>
        <w:t>Yeleliere</w:t>
      </w:r>
      <w:proofErr w:type="spellEnd"/>
      <w:r w:rsidRPr="00725D89">
        <w:rPr>
          <w:rFonts w:ascii="Times New Roman" w:hAnsi="Times New Roman" w:cs="Times New Roman"/>
          <w:sz w:val="24"/>
          <w:szCs w:val="24"/>
        </w:rPr>
        <w:t xml:space="preserve">, </w:t>
      </w:r>
      <w:proofErr w:type="spellStart"/>
      <w:r w:rsidRPr="00725D89">
        <w:rPr>
          <w:rFonts w:ascii="Times New Roman" w:hAnsi="Times New Roman" w:cs="Times New Roman"/>
          <w:sz w:val="24"/>
          <w:szCs w:val="24"/>
        </w:rPr>
        <w:t>Cobbina</w:t>
      </w:r>
      <w:proofErr w:type="spellEnd"/>
      <w:r w:rsidRPr="00725D89">
        <w:rPr>
          <w:rFonts w:ascii="Times New Roman" w:hAnsi="Times New Roman" w:cs="Times New Roman"/>
          <w:sz w:val="24"/>
          <w:szCs w:val="24"/>
        </w:rPr>
        <w:t xml:space="preserve">, and </w:t>
      </w:r>
      <w:proofErr w:type="spellStart"/>
      <w:r w:rsidRPr="00725D89">
        <w:rPr>
          <w:rFonts w:ascii="Times New Roman" w:hAnsi="Times New Roman" w:cs="Times New Roman"/>
          <w:sz w:val="24"/>
          <w:szCs w:val="24"/>
        </w:rPr>
        <w:t>Duwiejuah</w:t>
      </w:r>
      <w:proofErr w:type="spellEnd"/>
      <w:r w:rsidRPr="00725D89">
        <w:rPr>
          <w:rFonts w:ascii="Times New Roman" w:hAnsi="Times New Roman" w:cs="Times New Roman"/>
          <w:sz w:val="24"/>
          <w:szCs w:val="24"/>
        </w:rPr>
        <w:t>, 2018</w:t>
      </w:r>
      <w:r w:rsidRPr="00725D89">
        <w:rPr>
          <w:rFonts w:ascii="Times New Roman" w:hAnsi="Times New Roman" w:cs="Times New Roman"/>
          <w:sz w:val="24"/>
          <w:szCs w:val="24"/>
          <w:lang w:val="en-ZA"/>
        </w:rPr>
        <w:t xml:space="preserve">). Activities of Car wash </w:t>
      </w:r>
      <w:proofErr w:type="spellStart"/>
      <w:r w:rsidRPr="00725D89">
        <w:rPr>
          <w:rFonts w:ascii="Times New Roman" w:hAnsi="Times New Roman" w:cs="Times New Roman"/>
          <w:sz w:val="24"/>
          <w:szCs w:val="24"/>
          <w:lang w:val="en-ZA"/>
        </w:rPr>
        <w:t>centers</w:t>
      </w:r>
      <w:proofErr w:type="spellEnd"/>
      <w:r w:rsidRPr="00725D89">
        <w:rPr>
          <w:rFonts w:ascii="Times New Roman" w:hAnsi="Times New Roman" w:cs="Times New Roman"/>
          <w:sz w:val="24"/>
          <w:szCs w:val="24"/>
          <w:lang w:val="en-ZA"/>
        </w:rPr>
        <w:t xml:space="preserve"> further exacerbate the situation. Contaminants such as sand dust, free oil, grease detergents, phosphates, paint residues, volatile organic compounds (VOCs), and rubbish are contained in was</w:t>
      </w:r>
      <w:proofErr w:type="spellStart"/>
      <w:r w:rsidRPr="00725D89">
        <w:rPr>
          <w:rFonts w:ascii="Times New Roman" w:hAnsi="Times New Roman" w:cs="Times New Roman"/>
          <w:sz w:val="24"/>
          <w:szCs w:val="24"/>
        </w:rPr>
        <w:t>tewater</w:t>
      </w:r>
      <w:proofErr w:type="spellEnd"/>
      <w:r w:rsidRPr="00725D89">
        <w:rPr>
          <w:rFonts w:ascii="Times New Roman" w:hAnsi="Times New Roman" w:cs="Times New Roman"/>
          <w:sz w:val="24"/>
          <w:szCs w:val="24"/>
        </w:rPr>
        <w:t xml:space="preserve"> from car washing stations (</w:t>
      </w:r>
      <w:proofErr w:type="spellStart"/>
      <w:r w:rsidRPr="00725D89">
        <w:rPr>
          <w:rFonts w:ascii="Times New Roman" w:hAnsi="Times New Roman" w:cs="Times New Roman"/>
          <w:sz w:val="24"/>
          <w:szCs w:val="24"/>
        </w:rPr>
        <w:t>Andama</w:t>
      </w:r>
      <w:proofErr w:type="spellEnd"/>
      <w:r w:rsidRPr="00725D89">
        <w:rPr>
          <w:rFonts w:ascii="Times New Roman" w:hAnsi="Times New Roman" w:cs="Times New Roman"/>
          <w:sz w:val="24"/>
          <w:szCs w:val="24"/>
        </w:rPr>
        <w:t xml:space="preserve"> et al., 2022).). This pollution caused by a negative environmental approach to waste management coupled with the activities of car wash centers has resulted in an alarming problem due to high population growth, increasing urban development, gentrification, and unskilled utilization of water resources (Singh &amp; Singh, 2006; Enoh &amp; Christopher, 2015). </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t>Studies have further revealed that globally, water has not been given the needed value desired, driven by the illusion that water is in abundance (Al-</w:t>
      </w:r>
      <w:proofErr w:type="spellStart"/>
      <w:r w:rsidRPr="00725D89">
        <w:rPr>
          <w:rFonts w:ascii="Times New Roman" w:hAnsi="Times New Roman" w:cs="Times New Roman"/>
          <w:sz w:val="24"/>
          <w:szCs w:val="24"/>
        </w:rPr>
        <w:t>Odwani</w:t>
      </w:r>
      <w:proofErr w:type="spellEnd"/>
      <w:r w:rsidRPr="00725D89">
        <w:rPr>
          <w:rFonts w:ascii="Times New Roman" w:hAnsi="Times New Roman" w:cs="Times New Roman"/>
          <w:sz w:val="24"/>
          <w:szCs w:val="24"/>
        </w:rPr>
        <w:t xml:space="preserve"> et al., 2007). Alemayehu et al. (2012) further predicted that water availability is set to decline in Africa in the next 10 to 20 years citing an average of 25 countries in Africa to face this issue. In urban dwellings, population growth has a direct influence on the need for transportation. This increase in transport demand has further influenced an increase in the operations of car wash centers within the Urban centers (Rubi-Juarez </w:t>
      </w:r>
      <w:r w:rsidRPr="00725D89">
        <w:rPr>
          <w:rFonts w:ascii="Times New Roman" w:hAnsi="Times New Roman" w:cs="Times New Roman"/>
          <w:i/>
          <w:iCs/>
          <w:sz w:val="24"/>
          <w:szCs w:val="24"/>
        </w:rPr>
        <w:t>et al</w:t>
      </w:r>
      <w:r w:rsidRPr="00725D89">
        <w:rPr>
          <w:rFonts w:ascii="Times New Roman" w:hAnsi="Times New Roman" w:cs="Times New Roman"/>
          <w:sz w:val="24"/>
          <w:szCs w:val="24"/>
        </w:rPr>
        <w:t>., 2015). Water usage by car wash centers is at high volumes resulting in the generation of high volumes of hazardous wastewater. The situation in developing worlds like Ghana has not been so resolved due to the lack of implementation of the World-Wide Environmental Legislation on the recycling of wastewater from car wash centers, contrary to practices in the developed world (</w:t>
      </w:r>
      <w:proofErr w:type="spellStart"/>
      <w:r w:rsidRPr="00725D89">
        <w:rPr>
          <w:rFonts w:ascii="Times New Roman" w:hAnsi="Times New Roman" w:cs="Times New Roman"/>
          <w:sz w:val="24"/>
          <w:szCs w:val="24"/>
        </w:rPr>
        <w:t>Huibers</w:t>
      </w:r>
      <w:proofErr w:type="spellEnd"/>
      <w:r w:rsidRPr="00725D89">
        <w:rPr>
          <w:rFonts w:ascii="Times New Roman" w:hAnsi="Times New Roman" w:cs="Times New Roman"/>
          <w:sz w:val="24"/>
          <w:szCs w:val="24"/>
        </w:rPr>
        <w:t xml:space="preserve">, </w:t>
      </w:r>
      <w:proofErr w:type="spellStart"/>
      <w:r w:rsidRPr="00725D89">
        <w:rPr>
          <w:rFonts w:ascii="Times New Roman" w:hAnsi="Times New Roman" w:cs="Times New Roman"/>
          <w:sz w:val="24"/>
          <w:szCs w:val="24"/>
        </w:rPr>
        <w:t>Seghezzo</w:t>
      </w:r>
      <w:proofErr w:type="spellEnd"/>
      <w:r w:rsidRPr="00725D89">
        <w:rPr>
          <w:rFonts w:ascii="Times New Roman" w:hAnsi="Times New Roman" w:cs="Times New Roman"/>
          <w:sz w:val="24"/>
          <w:szCs w:val="24"/>
        </w:rPr>
        <w:t xml:space="preserve">, and </w:t>
      </w:r>
      <w:proofErr w:type="spellStart"/>
      <w:r w:rsidRPr="00725D89">
        <w:rPr>
          <w:rFonts w:ascii="Times New Roman" w:hAnsi="Times New Roman" w:cs="Times New Roman"/>
          <w:sz w:val="24"/>
          <w:szCs w:val="24"/>
        </w:rPr>
        <w:t>Mels</w:t>
      </w:r>
      <w:proofErr w:type="spellEnd"/>
      <w:r w:rsidRPr="00725D89">
        <w:rPr>
          <w:rFonts w:ascii="Times New Roman" w:hAnsi="Times New Roman" w:cs="Times New Roman"/>
          <w:sz w:val="24"/>
          <w:szCs w:val="24"/>
        </w:rPr>
        <w:t>, 2006): For instance, in Queensland and Australia, it is mandatory for the use of at most 70 L of fresh water in a single car wash. Also in Europe, most countries have imposed a reclamation percentage of 70-80% of wastewater used by carwash centers (</w:t>
      </w:r>
      <w:proofErr w:type="spellStart"/>
      <w:r w:rsidRPr="00725D89">
        <w:rPr>
          <w:rFonts w:ascii="Times New Roman" w:hAnsi="Times New Roman" w:cs="Times New Roman"/>
          <w:sz w:val="24"/>
          <w:szCs w:val="24"/>
        </w:rPr>
        <w:t>Boussu</w:t>
      </w:r>
      <w:proofErr w:type="spellEnd"/>
      <w:r w:rsidRPr="00725D89">
        <w:rPr>
          <w:rFonts w:ascii="Times New Roman" w:hAnsi="Times New Roman" w:cs="Times New Roman"/>
          <w:sz w:val="24"/>
          <w:szCs w:val="24"/>
        </w:rPr>
        <w:t xml:space="preserve"> et al., 2007). </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t>Contrary to observation in Koforidua of Ghana, Ansa-</w:t>
      </w:r>
      <w:proofErr w:type="spellStart"/>
      <w:r w:rsidRPr="00725D89">
        <w:rPr>
          <w:rFonts w:ascii="Times New Roman" w:hAnsi="Times New Roman" w:cs="Times New Roman"/>
          <w:sz w:val="24"/>
          <w:szCs w:val="24"/>
        </w:rPr>
        <w:t>Asare</w:t>
      </w:r>
      <w:proofErr w:type="spellEnd"/>
      <w:r w:rsidRPr="00725D89">
        <w:rPr>
          <w:rFonts w:ascii="Times New Roman" w:hAnsi="Times New Roman" w:cs="Times New Roman"/>
          <w:sz w:val="24"/>
          <w:szCs w:val="24"/>
        </w:rPr>
        <w:t xml:space="preserve"> et al., in 2012 reported that a water quality assessment carried out in the </w:t>
      </w:r>
      <w:proofErr w:type="spellStart"/>
      <w:r w:rsidRPr="00725D89">
        <w:rPr>
          <w:rFonts w:ascii="Times New Roman" w:hAnsi="Times New Roman" w:cs="Times New Roman"/>
          <w:sz w:val="24"/>
          <w:szCs w:val="24"/>
        </w:rPr>
        <w:t>Densu</w:t>
      </w:r>
      <w:proofErr w:type="spellEnd"/>
      <w:r w:rsidRPr="00725D89">
        <w:rPr>
          <w:rFonts w:ascii="Times New Roman" w:hAnsi="Times New Roman" w:cs="Times New Roman"/>
          <w:sz w:val="24"/>
          <w:szCs w:val="24"/>
        </w:rPr>
        <w:t xml:space="preserve">, </w:t>
      </w:r>
      <w:proofErr w:type="spellStart"/>
      <w:r w:rsidRPr="00725D89">
        <w:rPr>
          <w:rFonts w:ascii="Times New Roman" w:hAnsi="Times New Roman" w:cs="Times New Roman"/>
          <w:sz w:val="24"/>
          <w:szCs w:val="24"/>
        </w:rPr>
        <w:t>Birim</w:t>
      </w:r>
      <w:proofErr w:type="spellEnd"/>
      <w:r w:rsidRPr="00725D89">
        <w:rPr>
          <w:rFonts w:ascii="Times New Roman" w:hAnsi="Times New Roman" w:cs="Times New Roman"/>
          <w:sz w:val="24"/>
          <w:szCs w:val="24"/>
        </w:rPr>
        <w:t xml:space="preserve">, and </w:t>
      </w:r>
      <w:proofErr w:type="spellStart"/>
      <w:r w:rsidRPr="00725D89">
        <w:rPr>
          <w:rFonts w:ascii="Times New Roman" w:hAnsi="Times New Roman" w:cs="Times New Roman"/>
          <w:sz w:val="24"/>
          <w:szCs w:val="24"/>
        </w:rPr>
        <w:t>Ayensu</w:t>
      </w:r>
      <w:proofErr w:type="spellEnd"/>
      <w:r w:rsidRPr="00725D89">
        <w:rPr>
          <w:rFonts w:ascii="Times New Roman" w:hAnsi="Times New Roman" w:cs="Times New Roman"/>
          <w:sz w:val="24"/>
          <w:szCs w:val="24"/>
        </w:rPr>
        <w:t xml:space="preserve"> Basins in the </w:t>
      </w:r>
      <w:proofErr w:type="spellStart"/>
      <w:r w:rsidRPr="00725D89">
        <w:rPr>
          <w:rFonts w:ascii="Times New Roman" w:hAnsi="Times New Roman" w:cs="Times New Roman"/>
          <w:sz w:val="24"/>
          <w:szCs w:val="24"/>
        </w:rPr>
        <w:t>Okyeman</w:t>
      </w:r>
      <w:proofErr w:type="spellEnd"/>
      <w:r w:rsidRPr="00725D89">
        <w:rPr>
          <w:rFonts w:ascii="Times New Roman" w:hAnsi="Times New Roman" w:cs="Times New Roman"/>
          <w:sz w:val="24"/>
          <w:szCs w:val="24"/>
        </w:rPr>
        <w:t xml:space="preserve"> area between August 2005 and June 2006 identified human and agricultural practices as the main sources of Contamination. This and other practices in the country have not received the needed environmental policy guide to salvage this perennial challenge.</w:t>
      </w:r>
    </w:p>
    <w:p w:rsidR="00110787"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t>This study is tailored towards Assessing the impact of carwash activities on water quality in Koforidua, an urban community in Ghana, with a focus on Sustainable Development Goal 6 (SDG 6). The proliferation of car wash centers in urban areas of Ghana has raised significant concerns about the potential impact on local water quality and hygiene. Vehicular washing involves the use of various cleaning agents and uncontrolled discharge of wastewater into the environment. There is a growing need to assess the effects of these activities on the sustainability of water resources and the overall hygiene standards of the Ghanaian community.</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lastRenderedPageBreak/>
        <w:t>Koforidua, like many urban centers, experiences a rapid increase in the number of car wash centers, driven by population growth, urbanization, and the expanding automobile industry. While these car wash businesses contribute to local economic activities, the potential consequences of their operations on water quality and hygiene remain poorly understood (Nsubuga et al. 2014). The indiscriminate use of cleaning agents and improper disposal of wastewater has the potential to introduce pollutants into water bodies, affecting both aquatic ecosystems and the availability of safe water for residents (Nsubuga et al. 2014).</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t>Furthermore, the hygiene practices employed by car wash centers are crucial factors that determine the overall impact on community health. Inadequate hygiene measures may lead to the spread of contaminants and pose risks to public health. Understanding the complex interplay between car wash activities, water quality, and hygiene practices is essential for developing sustainable solutions that balance economic development with environmental and public health considerations.</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t xml:space="preserve">Studies in car wash centers and water quality management have focused largely on the effect of this practice on water quality and the environmental ecosystem without recourse to the effect on the individuals in the operational domain directly involved in releasing these contaminants to the environment, as well as their awareness about the environmental effects of these contaminants (see: </w:t>
      </w:r>
      <w:proofErr w:type="spellStart"/>
      <w:r w:rsidRPr="00725D89">
        <w:rPr>
          <w:rFonts w:ascii="Times New Roman" w:hAnsi="Times New Roman" w:cs="Times New Roman"/>
          <w:sz w:val="24"/>
          <w:szCs w:val="24"/>
        </w:rPr>
        <w:t>Yeleliere</w:t>
      </w:r>
      <w:proofErr w:type="spellEnd"/>
      <w:r w:rsidRPr="00725D89">
        <w:rPr>
          <w:rFonts w:ascii="Times New Roman" w:hAnsi="Times New Roman" w:cs="Times New Roman"/>
          <w:sz w:val="24"/>
          <w:szCs w:val="24"/>
        </w:rPr>
        <w:t xml:space="preserve"> et al.; </w:t>
      </w:r>
      <w:proofErr w:type="spellStart"/>
      <w:r w:rsidRPr="00725D89">
        <w:rPr>
          <w:rFonts w:ascii="Times New Roman" w:hAnsi="Times New Roman" w:cs="Times New Roman"/>
          <w:sz w:val="24"/>
          <w:szCs w:val="24"/>
        </w:rPr>
        <w:t>Akpakpavi</w:t>
      </w:r>
      <w:proofErr w:type="spellEnd"/>
      <w:r w:rsidRPr="00725D89">
        <w:rPr>
          <w:rFonts w:ascii="Times New Roman" w:hAnsi="Times New Roman" w:cs="Times New Roman"/>
          <w:sz w:val="24"/>
          <w:szCs w:val="24"/>
        </w:rPr>
        <w:t xml:space="preserve">, 2015, and </w:t>
      </w:r>
      <w:proofErr w:type="spellStart"/>
      <w:r w:rsidRPr="00725D89">
        <w:rPr>
          <w:rFonts w:ascii="Times New Roman" w:hAnsi="Times New Roman" w:cs="Times New Roman"/>
          <w:sz w:val="24"/>
          <w:szCs w:val="24"/>
        </w:rPr>
        <w:t>Mantey</w:t>
      </w:r>
      <w:proofErr w:type="spellEnd"/>
      <w:r w:rsidRPr="00725D89">
        <w:rPr>
          <w:rFonts w:ascii="Times New Roman" w:hAnsi="Times New Roman" w:cs="Times New Roman"/>
          <w:sz w:val="24"/>
          <w:szCs w:val="24"/>
        </w:rPr>
        <w:t>, 2017). The problem remains partially solved without attention to these car wash operators and their operational environment. A comprehensive assessment of the potential health impact on car wash operators and clients, and their awareness of its effects, will to a large extent address the underpinning problem.</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t>Therefore, this research aims to systematically assess the effects of car wash activities on sustainable water quality, health, and hygiene in Koforidua. By identifying the specific contributions of car wash centers to water pollution and evaluating the existing hygiene practices, the study seeks to provide valuable insights for the formulation of effective policies and practices that promote environmentally friendly car wash operations, ensuring the long-term sustainability of water resources and public health in the community.</w:t>
      </w:r>
    </w:p>
    <w:p w:rsidR="005718F9" w:rsidRPr="00725D89" w:rsidRDefault="005718F9" w:rsidP="00725D89">
      <w:pPr>
        <w:jc w:val="both"/>
        <w:rPr>
          <w:rFonts w:ascii="Times New Roman" w:hAnsi="Times New Roman" w:cs="Times New Roman"/>
          <w:sz w:val="24"/>
          <w:szCs w:val="24"/>
        </w:rPr>
      </w:pPr>
      <w:r w:rsidRPr="00725D89">
        <w:rPr>
          <w:rFonts w:ascii="Times New Roman" w:hAnsi="Times New Roman" w:cs="Times New Roman"/>
          <w:sz w:val="24"/>
          <w:szCs w:val="24"/>
        </w:rPr>
        <w:t>The main aim of this research is to assess the effects of activities of car wash centers on sustainable water quality and hygiene in Koforidua with a focus on achieving SDG 6. To achieve this aim, the study seeks to assess the effect of car wash activities on water quality and hygiene, considering the chemical and microbial contamination observed. It also assesses the potential health risks associated with contaminated water sources from car wash centers.</w:t>
      </w:r>
      <w:r w:rsidR="00725D89" w:rsidRPr="00725D89">
        <w:rPr>
          <w:rFonts w:ascii="Times New Roman" w:hAnsi="Times New Roman" w:cs="Times New Roman"/>
          <w:sz w:val="24"/>
          <w:szCs w:val="24"/>
        </w:rPr>
        <w:t xml:space="preserve"> </w:t>
      </w:r>
      <w:r w:rsidRPr="00725D89">
        <w:rPr>
          <w:rFonts w:ascii="Times New Roman" w:hAnsi="Times New Roman" w:cs="Times New Roman"/>
          <w:sz w:val="24"/>
          <w:szCs w:val="24"/>
        </w:rPr>
        <w:t>Activities involving car washes may result in unanticipated expenses for environmental cleanup, medical care, or water treatment. The community and car wash companies must be aware of these possible financial costs to decide on resource allocation and sustainable procedures. The study closes a significant research gap by offering actual data unique to the Koforidua environment. The localized focus is essential for adjusting interventions and policies to the particular characteristics of the community, even when similar studies may occur in larger contexts.</w:t>
      </w:r>
    </w:p>
    <w:p w:rsidR="00725D89" w:rsidRDefault="00725D89" w:rsidP="00725D89">
      <w:pPr>
        <w:jc w:val="both"/>
        <w:rPr>
          <w:rFonts w:ascii="Times New Roman" w:hAnsi="Times New Roman" w:cs="Times New Roman"/>
          <w:sz w:val="24"/>
          <w:szCs w:val="24"/>
        </w:rPr>
      </w:pPr>
      <w:r w:rsidRPr="00725D89">
        <w:rPr>
          <w:rFonts w:ascii="Times New Roman" w:hAnsi="Times New Roman" w:cs="Times New Roman"/>
          <w:sz w:val="24"/>
          <w:szCs w:val="24"/>
        </w:rPr>
        <w:t>Despite the region's fast urbanization and rising vehicle usage, studies conducted in Sub-Saharan Africa, particularly Ghana, have mostly ignored the effects of car wash operations on public health and water quality. This study primarily looks at how wastewater from car washes affects the quality of the water in Koforidua, Ghana, filling a major research vacuum in the field of environmental studies. The wastewater from car washes can contain high levels of chemical and microbiological contaminants, such as heavy metals, surfactants, and pathogenic bacteria, which deteriorate water quality and present major health risks, according to earlier studies like those by Ahmed et al. (2019) and Tekere et al. (2016). Nevertheless, these investigations have mostly examined general contamination without specifically evaluating how Car wash facilities harm the environment and spread waterborne illnesses.</w:t>
      </w:r>
    </w:p>
    <w:p w:rsidR="00725D89" w:rsidRDefault="00725D89" w:rsidP="00725D89">
      <w:pPr>
        <w:jc w:val="both"/>
        <w:rPr>
          <w:rFonts w:ascii="Times New Roman" w:hAnsi="Times New Roman" w:cs="Times New Roman"/>
          <w:sz w:val="24"/>
          <w:szCs w:val="24"/>
        </w:rPr>
      </w:pPr>
      <w:r w:rsidRPr="00725D89">
        <w:rPr>
          <w:rFonts w:ascii="Times New Roman" w:hAnsi="Times New Roman" w:cs="Times New Roman"/>
          <w:sz w:val="24"/>
          <w:szCs w:val="24"/>
        </w:rPr>
        <w:lastRenderedPageBreak/>
        <w:t>This study highlights a particular source of water pollution and possible health hazards that are frequently overlooked in local laws and community practices, making it pertinent to Sustainable Development Goal (SDG) 6, which focusses on clean water and sanitation. In order to support better sanitation practices and sustainable urban planning to safeguard local water sources, this research can help inform policy on wastewater management in urban Ghana by determining the levels of pollution and health concerns associated with car wash effluent. The results of this study can assist policymakers in creating rules for the car wash industry's waste disposal, which could lessen the polluting of public waterways and create safer, healthier communities (Ahmed et al., 2019; World Health Organisation, 2017).</w:t>
      </w:r>
    </w:p>
    <w:p w:rsidR="00725D89" w:rsidRDefault="00725D89" w:rsidP="00725D89">
      <w:pPr>
        <w:jc w:val="both"/>
        <w:rPr>
          <w:rFonts w:ascii="Times New Roman" w:hAnsi="Times New Roman" w:cs="Times New Roman"/>
          <w:b/>
          <w:bCs/>
          <w:sz w:val="24"/>
          <w:szCs w:val="24"/>
        </w:rPr>
      </w:pPr>
      <w:r w:rsidRPr="00725D89">
        <w:rPr>
          <w:rFonts w:ascii="Times New Roman" w:hAnsi="Times New Roman" w:cs="Times New Roman"/>
          <w:b/>
          <w:bCs/>
          <w:sz w:val="24"/>
          <w:szCs w:val="24"/>
        </w:rPr>
        <w:t>2.0 LITERATURE REVIEW</w:t>
      </w:r>
    </w:p>
    <w:p w:rsidR="00725D89" w:rsidRPr="00725D89" w:rsidRDefault="00725D89" w:rsidP="00725D89">
      <w:pPr>
        <w:jc w:val="both"/>
        <w:rPr>
          <w:rFonts w:ascii="Times New Roman" w:hAnsi="Times New Roman" w:cs="Times New Roman"/>
          <w:b/>
          <w:bCs/>
          <w:sz w:val="24"/>
          <w:szCs w:val="24"/>
        </w:rPr>
      </w:pPr>
      <w:r w:rsidRPr="00725D89">
        <w:rPr>
          <w:rFonts w:ascii="Times New Roman" w:hAnsi="Times New Roman" w:cs="Times New Roman"/>
          <w:b/>
          <w:bCs/>
          <w:sz w:val="24"/>
          <w:szCs w:val="24"/>
        </w:rPr>
        <w:t xml:space="preserve">2.1 Car Wash </w:t>
      </w:r>
      <w:r>
        <w:rPr>
          <w:rFonts w:ascii="Times New Roman" w:hAnsi="Times New Roman" w:cs="Times New Roman"/>
          <w:b/>
          <w:bCs/>
          <w:sz w:val="24"/>
          <w:szCs w:val="24"/>
        </w:rPr>
        <w:t>and the Environment</w:t>
      </w:r>
    </w:p>
    <w:p w:rsidR="00725D89" w:rsidRPr="00725D89" w:rsidRDefault="00725D89" w:rsidP="00725D89">
      <w:pPr>
        <w:jc w:val="both"/>
        <w:rPr>
          <w:rFonts w:ascii="Times New Roman" w:hAnsi="Times New Roman" w:cs="Times New Roman"/>
          <w:sz w:val="24"/>
          <w:szCs w:val="24"/>
        </w:rPr>
      </w:pPr>
      <w:r w:rsidRPr="00725D89">
        <w:rPr>
          <w:rFonts w:ascii="Times New Roman" w:hAnsi="Times New Roman" w:cs="Times New Roman"/>
          <w:sz w:val="24"/>
          <w:szCs w:val="24"/>
        </w:rPr>
        <w:t>Car washing services are equally vital to extending the life of a vehicle as any other maintenance procedure. Regular car washes maintain your vehicle's appearance and help you maintain appropriate car maintenance. Today's world has made motor vehicles a need for mobility. Therefore, most nations have seen a rise in the number of vehicles as a result of several demands for a quicker means of transit (</w:t>
      </w:r>
      <w:proofErr w:type="spellStart"/>
      <w:r w:rsidRPr="00725D89">
        <w:rPr>
          <w:rFonts w:ascii="Times New Roman" w:hAnsi="Times New Roman" w:cs="Times New Roman"/>
          <w:sz w:val="24"/>
          <w:szCs w:val="24"/>
        </w:rPr>
        <w:t>Haimene</w:t>
      </w:r>
      <w:proofErr w:type="spellEnd"/>
      <w:r w:rsidRPr="00725D89">
        <w:rPr>
          <w:rFonts w:ascii="Times New Roman" w:hAnsi="Times New Roman" w:cs="Times New Roman"/>
          <w:sz w:val="24"/>
          <w:szCs w:val="24"/>
        </w:rPr>
        <w:t>, 2016). Commercial carwash stations give car owners a handy means of simply cleaning dirt from their vehicles as part of an after-sales service. But the environment pays a heavy price for this. Every time a car is cleaned, a significant amount of otherwise drinkable water is significantly contaminated and ends up in streams (</w:t>
      </w:r>
      <w:proofErr w:type="spellStart"/>
      <w:r w:rsidRPr="00725D89">
        <w:rPr>
          <w:rFonts w:ascii="Times New Roman" w:hAnsi="Times New Roman" w:cs="Times New Roman"/>
          <w:sz w:val="24"/>
          <w:szCs w:val="24"/>
        </w:rPr>
        <w:t>Monney</w:t>
      </w:r>
      <w:proofErr w:type="spellEnd"/>
      <w:r w:rsidRPr="00725D89">
        <w:rPr>
          <w:rFonts w:ascii="Times New Roman" w:hAnsi="Times New Roman" w:cs="Times New Roman"/>
          <w:sz w:val="24"/>
          <w:szCs w:val="24"/>
        </w:rPr>
        <w:t xml:space="preserve"> et al., 2020). </w:t>
      </w:r>
    </w:p>
    <w:p w:rsidR="00725D89" w:rsidRPr="00725D89" w:rsidRDefault="00725D89" w:rsidP="00725D89">
      <w:pPr>
        <w:jc w:val="both"/>
        <w:rPr>
          <w:rFonts w:ascii="Times New Roman" w:hAnsi="Times New Roman" w:cs="Times New Roman"/>
          <w:sz w:val="24"/>
          <w:szCs w:val="24"/>
        </w:rPr>
      </w:pPr>
      <w:r w:rsidRPr="00725D89">
        <w:rPr>
          <w:rFonts w:ascii="Times New Roman" w:hAnsi="Times New Roman" w:cs="Times New Roman"/>
          <w:sz w:val="24"/>
          <w:szCs w:val="24"/>
        </w:rPr>
        <w:t>The carwash sector is estimated to use around 1.3 million gallons of fresh water each day, according to an empirical study conducted in Sao Paulo (Almeida et al., 2010).  The consequences for the availability of water in cities are dire, given the growing number of people living in cities, the quick rise in the number of cars on the road, and the growing shortage of water worldwide.</w:t>
      </w:r>
    </w:p>
    <w:p w:rsidR="008F0794" w:rsidRDefault="00725D89" w:rsidP="008F0794">
      <w:pPr>
        <w:jc w:val="both"/>
        <w:rPr>
          <w:rFonts w:ascii="Times New Roman" w:hAnsi="Times New Roman" w:cs="Times New Roman"/>
          <w:sz w:val="24"/>
          <w:szCs w:val="24"/>
        </w:rPr>
      </w:pPr>
      <w:r w:rsidRPr="00725D89">
        <w:rPr>
          <w:rFonts w:ascii="Times New Roman" w:hAnsi="Times New Roman" w:cs="Times New Roman"/>
          <w:sz w:val="24"/>
          <w:szCs w:val="24"/>
        </w:rPr>
        <w:t>Although car washes are crucial to keeping cars in good condition, they hurt the environment. The increased consumption of water and the effluents generated by car washes are becoming a worry for the environment. The wastewater produced by these service stations has the potential to contaminate the air, water, and land (</w:t>
      </w:r>
      <w:proofErr w:type="spellStart"/>
      <w:r w:rsidRPr="00725D89">
        <w:rPr>
          <w:rFonts w:ascii="Times New Roman" w:hAnsi="Times New Roman" w:cs="Times New Roman"/>
          <w:sz w:val="24"/>
          <w:szCs w:val="24"/>
        </w:rPr>
        <w:t>Haimene</w:t>
      </w:r>
      <w:proofErr w:type="spellEnd"/>
      <w:r w:rsidRPr="00725D89">
        <w:rPr>
          <w:rFonts w:ascii="Times New Roman" w:hAnsi="Times New Roman" w:cs="Times New Roman"/>
          <w:sz w:val="24"/>
          <w:szCs w:val="24"/>
        </w:rPr>
        <w:t>, 2016).</w:t>
      </w:r>
    </w:p>
    <w:p w:rsidR="00725D89" w:rsidRPr="008F0794" w:rsidRDefault="008F0794" w:rsidP="008F0794">
      <w:pPr>
        <w:jc w:val="both"/>
        <w:rPr>
          <w:rFonts w:ascii="Times New Roman" w:hAnsi="Times New Roman" w:cs="Times New Roman"/>
          <w:sz w:val="24"/>
          <w:szCs w:val="24"/>
        </w:rPr>
      </w:pPr>
      <w:r w:rsidRPr="008F0794">
        <w:rPr>
          <w:rFonts w:ascii="Times New Roman" w:hAnsi="Times New Roman" w:cs="Times New Roman"/>
          <w:b/>
          <w:bCs/>
          <w:sz w:val="24"/>
          <w:szCs w:val="24"/>
        </w:rPr>
        <w:t>2.2</w:t>
      </w:r>
      <w:r>
        <w:rPr>
          <w:rFonts w:ascii="Times New Roman" w:hAnsi="Times New Roman" w:cs="Times New Roman"/>
          <w:sz w:val="24"/>
          <w:szCs w:val="24"/>
        </w:rPr>
        <w:t xml:space="preserve"> </w:t>
      </w:r>
      <w:r w:rsidR="00725D89">
        <w:rPr>
          <w:rFonts w:ascii="Times New Roman" w:hAnsi="Times New Roman" w:cs="Times New Roman"/>
          <w:b/>
          <w:bCs/>
          <w:sz w:val="24"/>
          <w:szCs w:val="24"/>
        </w:rPr>
        <w:t>Activities of car wash centers</w:t>
      </w:r>
    </w:p>
    <w:p w:rsidR="00725D89" w:rsidRPr="008F0794" w:rsidRDefault="00725D89" w:rsidP="008F0794">
      <w:pPr>
        <w:spacing w:before="240"/>
        <w:jc w:val="both"/>
        <w:rPr>
          <w:rFonts w:ascii="Times New Roman" w:hAnsi="Times New Roman" w:cs="Times New Roman"/>
          <w:sz w:val="24"/>
          <w:szCs w:val="24"/>
        </w:rPr>
      </w:pPr>
      <w:r w:rsidRPr="008F0794">
        <w:rPr>
          <w:rFonts w:ascii="Times New Roman" w:hAnsi="Times New Roman" w:cs="Times New Roman"/>
          <w:sz w:val="24"/>
          <w:szCs w:val="24"/>
        </w:rPr>
        <w:t>Car wash centers engage in a variety of activities aimed at cleaning and maintaining the exterior and, in some cases, the interior of vehicles. These activities may vary based on the type of car wash and the services offered. Professional car washing is generally divided into different types based on the washing technologies being used (</w:t>
      </w:r>
      <w:proofErr w:type="spellStart"/>
      <w:r w:rsidRPr="008F0794">
        <w:rPr>
          <w:rFonts w:ascii="Times New Roman" w:hAnsi="Times New Roman" w:cs="Times New Roman"/>
          <w:sz w:val="24"/>
          <w:szCs w:val="24"/>
        </w:rPr>
        <w:t>Ghaly</w:t>
      </w:r>
      <w:proofErr w:type="spellEnd"/>
      <w:r w:rsidRPr="008F0794">
        <w:rPr>
          <w:rFonts w:ascii="Times New Roman" w:hAnsi="Times New Roman" w:cs="Times New Roman"/>
          <w:sz w:val="24"/>
          <w:szCs w:val="24"/>
        </w:rPr>
        <w:t xml:space="preserve"> et al., 2021). Three different types of car wash technologies as explained by </w:t>
      </w:r>
      <w:proofErr w:type="spellStart"/>
      <w:r w:rsidRPr="008F0794">
        <w:rPr>
          <w:rFonts w:ascii="Times New Roman" w:hAnsi="Times New Roman" w:cs="Times New Roman"/>
          <w:sz w:val="24"/>
          <w:szCs w:val="24"/>
        </w:rPr>
        <w:t>Ghaly</w:t>
      </w:r>
      <w:proofErr w:type="spellEnd"/>
      <w:r w:rsidRPr="008F0794">
        <w:rPr>
          <w:rFonts w:ascii="Times New Roman" w:hAnsi="Times New Roman" w:cs="Times New Roman"/>
          <w:sz w:val="24"/>
          <w:szCs w:val="24"/>
        </w:rPr>
        <w:t xml:space="preserve"> et al. (2021) as follows:</w:t>
      </w:r>
    </w:p>
    <w:p w:rsidR="008F0794" w:rsidRPr="008F0794" w:rsidRDefault="00725D89" w:rsidP="008F0794">
      <w:pPr>
        <w:pStyle w:val="ListParagraph"/>
        <w:numPr>
          <w:ilvl w:val="0"/>
          <w:numId w:val="5"/>
        </w:numPr>
        <w:jc w:val="both"/>
        <w:rPr>
          <w:rFonts w:ascii="Times New Roman" w:hAnsi="Times New Roman" w:cs="Times New Roman"/>
          <w:b/>
          <w:bCs/>
          <w:sz w:val="24"/>
          <w:szCs w:val="24"/>
        </w:rPr>
      </w:pPr>
      <w:r w:rsidRPr="008F0794">
        <w:rPr>
          <w:rFonts w:ascii="Times New Roman" w:hAnsi="Times New Roman" w:cs="Times New Roman"/>
          <w:b/>
          <w:bCs/>
          <w:sz w:val="24"/>
          <w:szCs w:val="24"/>
        </w:rPr>
        <w:t xml:space="preserve">Self-car washing: </w:t>
      </w:r>
      <w:r w:rsidRPr="008F0794">
        <w:rPr>
          <w:rFonts w:ascii="Times New Roman" w:hAnsi="Times New Roman" w:cs="Times New Roman"/>
          <w:sz w:val="24"/>
          <w:szCs w:val="24"/>
        </w:rPr>
        <w:t>Customers wash their cars at self-serve car washes. A wand dispenses water, and the car is cleaned with low-pressure brushes. Self-serve vehicle washes often use coin-operated equipment.</w:t>
      </w:r>
    </w:p>
    <w:p w:rsidR="008F0794" w:rsidRDefault="008F0794" w:rsidP="008F0794">
      <w:pPr>
        <w:pStyle w:val="ListParagraph"/>
        <w:ind w:left="1080"/>
        <w:jc w:val="both"/>
        <w:rPr>
          <w:rFonts w:ascii="Times New Roman" w:hAnsi="Times New Roman" w:cs="Times New Roman"/>
          <w:b/>
          <w:bCs/>
          <w:sz w:val="24"/>
          <w:szCs w:val="24"/>
        </w:rPr>
      </w:pPr>
    </w:p>
    <w:p w:rsidR="008F0794" w:rsidRDefault="00725D89" w:rsidP="008F0794">
      <w:pPr>
        <w:pStyle w:val="ListParagraph"/>
        <w:numPr>
          <w:ilvl w:val="0"/>
          <w:numId w:val="5"/>
        </w:numPr>
        <w:jc w:val="both"/>
        <w:rPr>
          <w:rFonts w:ascii="Times New Roman" w:hAnsi="Times New Roman" w:cs="Times New Roman"/>
          <w:b/>
          <w:bCs/>
          <w:sz w:val="24"/>
          <w:szCs w:val="24"/>
        </w:rPr>
      </w:pPr>
      <w:r w:rsidRPr="008F0794">
        <w:rPr>
          <w:rFonts w:ascii="Times New Roman" w:hAnsi="Times New Roman" w:cs="Times New Roman"/>
          <w:b/>
          <w:bCs/>
          <w:sz w:val="24"/>
          <w:szCs w:val="24"/>
        </w:rPr>
        <w:t xml:space="preserve">In-bay automatic car washing:  </w:t>
      </w:r>
      <w:r w:rsidRPr="008F0794">
        <w:rPr>
          <w:rFonts w:ascii="Times New Roman" w:hAnsi="Times New Roman" w:cs="Times New Roman"/>
          <w:sz w:val="24"/>
          <w:szCs w:val="24"/>
        </w:rPr>
        <w:t>In in-bay automatic car washing, which is mostly found in gas stations, the driver parks the car in the pay area and the machine cleans it by moving back and forth over the car. In certain stations, before the automobile enters the bay to be washed, the customer must pay at the pump and input the code.</w:t>
      </w:r>
    </w:p>
    <w:p w:rsidR="008F0794" w:rsidRPr="008F0794" w:rsidRDefault="008F0794" w:rsidP="008F0794">
      <w:pPr>
        <w:pStyle w:val="ListParagraph"/>
        <w:rPr>
          <w:rFonts w:ascii="Times New Roman" w:hAnsi="Times New Roman" w:cs="Times New Roman"/>
          <w:b/>
          <w:bCs/>
          <w:sz w:val="24"/>
          <w:szCs w:val="24"/>
        </w:rPr>
      </w:pPr>
    </w:p>
    <w:p w:rsidR="00725D89" w:rsidRPr="008F0794" w:rsidRDefault="00725D89" w:rsidP="008F0794">
      <w:pPr>
        <w:pStyle w:val="ListParagraph"/>
        <w:numPr>
          <w:ilvl w:val="0"/>
          <w:numId w:val="5"/>
        </w:numPr>
        <w:jc w:val="both"/>
        <w:rPr>
          <w:rFonts w:ascii="Times New Roman" w:hAnsi="Times New Roman" w:cs="Times New Roman"/>
          <w:b/>
          <w:bCs/>
          <w:sz w:val="24"/>
          <w:szCs w:val="24"/>
        </w:rPr>
      </w:pPr>
      <w:r w:rsidRPr="008F0794">
        <w:rPr>
          <w:rFonts w:ascii="Times New Roman" w:hAnsi="Times New Roman" w:cs="Times New Roman"/>
          <w:b/>
          <w:bCs/>
          <w:sz w:val="24"/>
          <w:szCs w:val="24"/>
        </w:rPr>
        <w:lastRenderedPageBreak/>
        <w:t xml:space="preserve">Conveyor car washing: </w:t>
      </w:r>
      <w:r w:rsidRPr="008F0794">
        <w:rPr>
          <w:rFonts w:ascii="Times New Roman" w:hAnsi="Times New Roman" w:cs="Times New Roman"/>
          <w:sz w:val="24"/>
          <w:szCs w:val="24"/>
        </w:rPr>
        <w:t>Conveyor car washing is a type of full-service washing where the customer waits outside while the car's exterior and inside is cleaned. In this instance, the vehicle is cleaned using water and soap solution using friction brushes or curtains while it is moving along a conveyor belt.</w:t>
      </w:r>
    </w:p>
    <w:p w:rsid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The three types of car wash services discussed above are typically well-built and designed with drainage systems that direct effluent wastewater to a treatment system that separates water from oil and sludge before it is emptied into the local municipality's sewer system (</w:t>
      </w:r>
      <w:proofErr w:type="spellStart"/>
      <w:r w:rsidRPr="008F0794">
        <w:rPr>
          <w:rFonts w:ascii="Times New Roman" w:hAnsi="Times New Roman" w:cs="Times New Roman"/>
          <w:sz w:val="24"/>
          <w:szCs w:val="24"/>
        </w:rPr>
        <w:t>Ghaly</w:t>
      </w:r>
      <w:proofErr w:type="spellEnd"/>
      <w:r w:rsidRPr="008F0794">
        <w:rPr>
          <w:rFonts w:ascii="Times New Roman" w:hAnsi="Times New Roman" w:cs="Times New Roman"/>
          <w:sz w:val="24"/>
          <w:szCs w:val="24"/>
        </w:rPr>
        <w:t xml:space="preserve"> et al., 2021).</w:t>
      </w:r>
    </w:p>
    <w:p w:rsidR="00725D89" w:rsidRPr="008F0794" w:rsidRDefault="00725D89" w:rsidP="008F0794">
      <w:pPr>
        <w:pStyle w:val="ListParagraph"/>
        <w:numPr>
          <w:ilvl w:val="1"/>
          <w:numId w:val="6"/>
        </w:numPr>
        <w:jc w:val="both"/>
        <w:rPr>
          <w:rFonts w:ascii="Times New Roman" w:hAnsi="Times New Roman" w:cs="Times New Roman"/>
          <w:sz w:val="24"/>
          <w:szCs w:val="24"/>
        </w:rPr>
      </w:pPr>
      <w:r w:rsidRPr="008F0794">
        <w:rPr>
          <w:rFonts w:ascii="Times New Roman" w:hAnsi="Times New Roman" w:cs="Times New Roman"/>
          <w:b/>
          <w:bCs/>
          <w:sz w:val="24"/>
          <w:szCs w:val="24"/>
        </w:rPr>
        <w:t>Ghanaian Perspective</w:t>
      </w:r>
    </w:p>
    <w:p w:rsid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In Ghana, car</w:t>
      </w:r>
      <w:r w:rsidR="008F0794">
        <w:rPr>
          <w:rFonts w:ascii="Times New Roman" w:hAnsi="Times New Roman" w:cs="Times New Roman"/>
          <w:sz w:val="24"/>
          <w:szCs w:val="24"/>
        </w:rPr>
        <w:t xml:space="preserve"> </w:t>
      </w:r>
      <w:r w:rsidRPr="008F0794">
        <w:rPr>
          <w:rFonts w:ascii="Times New Roman" w:hAnsi="Times New Roman" w:cs="Times New Roman"/>
          <w:sz w:val="24"/>
          <w:szCs w:val="24"/>
        </w:rPr>
        <w:t>wash facilities are typically positioned near busy roads and in densely trafficked areas to ensure driver visibility. Most of these stations depend on groundwater sources (mechanized boreholes and dug wells) due to the erratic flow of water from the urban water supply system and soaring water utility bills (</w:t>
      </w:r>
      <w:proofErr w:type="spellStart"/>
      <w:r w:rsidRPr="008F0794">
        <w:rPr>
          <w:rFonts w:ascii="Times New Roman" w:hAnsi="Times New Roman" w:cs="Times New Roman"/>
          <w:sz w:val="24"/>
          <w:szCs w:val="24"/>
        </w:rPr>
        <w:t>Monney</w:t>
      </w:r>
      <w:proofErr w:type="spellEnd"/>
      <w:r w:rsidRPr="008F0794">
        <w:rPr>
          <w:rFonts w:ascii="Times New Roman" w:hAnsi="Times New Roman" w:cs="Times New Roman"/>
          <w:sz w:val="24"/>
          <w:szCs w:val="24"/>
        </w:rPr>
        <w:t xml:space="preserve"> et al., 2020). Two major methods of washing cars in Ghana as found by </w:t>
      </w:r>
      <w:proofErr w:type="spellStart"/>
      <w:r w:rsidRPr="008F0794">
        <w:rPr>
          <w:rFonts w:ascii="Times New Roman" w:hAnsi="Times New Roman" w:cs="Times New Roman"/>
          <w:sz w:val="24"/>
          <w:szCs w:val="24"/>
        </w:rPr>
        <w:t>Monney</w:t>
      </w:r>
      <w:proofErr w:type="spellEnd"/>
      <w:r w:rsidRPr="008F0794">
        <w:rPr>
          <w:rFonts w:ascii="Times New Roman" w:hAnsi="Times New Roman" w:cs="Times New Roman"/>
          <w:sz w:val="24"/>
          <w:szCs w:val="24"/>
        </w:rPr>
        <w:t xml:space="preserve"> et al., (2020) are:</w:t>
      </w:r>
    </w:p>
    <w:p w:rsidR="008F0794" w:rsidRDefault="00725D89" w:rsidP="008F0794">
      <w:pPr>
        <w:pStyle w:val="ListParagraph"/>
        <w:numPr>
          <w:ilvl w:val="0"/>
          <w:numId w:val="7"/>
        </w:numPr>
        <w:jc w:val="both"/>
        <w:rPr>
          <w:rFonts w:ascii="Times New Roman" w:hAnsi="Times New Roman" w:cs="Times New Roman"/>
          <w:sz w:val="24"/>
          <w:szCs w:val="24"/>
        </w:rPr>
      </w:pPr>
      <w:r w:rsidRPr="008F0794">
        <w:rPr>
          <w:rFonts w:ascii="Times New Roman" w:hAnsi="Times New Roman" w:cs="Times New Roman"/>
          <w:b/>
          <w:bCs/>
          <w:sz w:val="24"/>
          <w:szCs w:val="24"/>
        </w:rPr>
        <w:t xml:space="preserve">Semi-automated washing: </w:t>
      </w:r>
      <w:r w:rsidRPr="008F0794">
        <w:rPr>
          <w:rFonts w:ascii="Times New Roman" w:hAnsi="Times New Roman" w:cs="Times New Roman"/>
          <w:sz w:val="24"/>
          <w:szCs w:val="24"/>
        </w:rPr>
        <w:t xml:space="preserve">This involves using handheld water spraying machines to wash vehicles in the open. </w:t>
      </w:r>
    </w:p>
    <w:p w:rsidR="008F0794" w:rsidRPr="008F0794" w:rsidRDefault="008F0794" w:rsidP="008F0794">
      <w:pPr>
        <w:pStyle w:val="ListParagraph"/>
        <w:jc w:val="both"/>
        <w:rPr>
          <w:rFonts w:ascii="Times New Roman" w:hAnsi="Times New Roman" w:cs="Times New Roman"/>
          <w:sz w:val="24"/>
          <w:szCs w:val="24"/>
        </w:rPr>
      </w:pPr>
    </w:p>
    <w:p w:rsidR="00725D89" w:rsidRPr="008F0794" w:rsidRDefault="00725D89" w:rsidP="008F0794">
      <w:pPr>
        <w:pStyle w:val="ListParagraph"/>
        <w:numPr>
          <w:ilvl w:val="0"/>
          <w:numId w:val="7"/>
        </w:numPr>
        <w:jc w:val="both"/>
        <w:rPr>
          <w:rFonts w:ascii="Times New Roman" w:hAnsi="Times New Roman" w:cs="Times New Roman"/>
          <w:sz w:val="24"/>
          <w:szCs w:val="24"/>
        </w:rPr>
      </w:pPr>
      <w:r w:rsidRPr="008F0794">
        <w:rPr>
          <w:rFonts w:ascii="Times New Roman" w:hAnsi="Times New Roman" w:cs="Times New Roman"/>
          <w:b/>
          <w:bCs/>
          <w:sz w:val="24"/>
          <w:szCs w:val="24"/>
        </w:rPr>
        <w:t xml:space="preserve">Manual Washing: </w:t>
      </w:r>
      <w:r w:rsidRPr="008F0794">
        <w:rPr>
          <w:rFonts w:ascii="Times New Roman" w:hAnsi="Times New Roman" w:cs="Times New Roman"/>
          <w:sz w:val="24"/>
          <w:szCs w:val="24"/>
        </w:rPr>
        <w:t>This refers to washing vehicles entirely by hand with a sponge or foam, water, and brush in the open.</w:t>
      </w:r>
    </w:p>
    <w:p w:rsidR="00725D89" w:rsidRP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 xml:space="preserve">In both methods of operation, the wastewater flows directly into community drainage systems without any treatment. According to </w:t>
      </w:r>
      <w:proofErr w:type="spellStart"/>
      <w:r w:rsidRPr="008F0794">
        <w:rPr>
          <w:rFonts w:ascii="Times New Roman" w:hAnsi="Times New Roman" w:cs="Times New Roman"/>
          <w:sz w:val="24"/>
          <w:szCs w:val="24"/>
        </w:rPr>
        <w:t>Monney</w:t>
      </w:r>
      <w:proofErr w:type="spellEnd"/>
      <w:r w:rsidRPr="008F0794">
        <w:rPr>
          <w:rFonts w:ascii="Times New Roman" w:hAnsi="Times New Roman" w:cs="Times New Roman"/>
          <w:sz w:val="24"/>
          <w:szCs w:val="24"/>
        </w:rPr>
        <w:t xml:space="preserve"> et al., (2020), 92% of the car</w:t>
      </w:r>
      <w:r w:rsidR="008F0794">
        <w:rPr>
          <w:rFonts w:ascii="Times New Roman" w:hAnsi="Times New Roman" w:cs="Times New Roman"/>
          <w:sz w:val="24"/>
          <w:szCs w:val="24"/>
        </w:rPr>
        <w:t xml:space="preserve"> </w:t>
      </w:r>
      <w:r w:rsidRPr="008F0794">
        <w:rPr>
          <w:rFonts w:ascii="Times New Roman" w:hAnsi="Times New Roman" w:cs="Times New Roman"/>
          <w:sz w:val="24"/>
          <w:szCs w:val="24"/>
        </w:rPr>
        <w:t>wash stations that were identified in Ghana use hand-held spray wands to wash cars, and none of them had a facility to treat the wastewater that was produced.</w:t>
      </w:r>
    </w:p>
    <w:p w:rsidR="00725D89" w:rsidRPr="00B16E9E" w:rsidRDefault="00725D89" w:rsidP="008F0794">
      <w:pPr>
        <w:pStyle w:val="ListParagraph"/>
        <w:numPr>
          <w:ilvl w:val="1"/>
          <w:numId w:val="6"/>
        </w:numPr>
        <w:jc w:val="both"/>
        <w:rPr>
          <w:rFonts w:ascii="Times New Roman" w:hAnsi="Times New Roman" w:cs="Times New Roman"/>
          <w:b/>
          <w:bCs/>
          <w:sz w:val="24"/>
          <w:szCs w:val="24"/>
        </w:rPr>
      </w:pPr>
      <w:r w:rsidRPr="00B16E9E">
        <w:rPr>
          <w:rFonts w:ascii="Times New Roman" w:hAnsi="Times New Roman" w:cs="Times New Roman"/>
          <w:b/>
          <w:bCs/>
          <w:sz w:val="24"/>
          <w:szCs w:val="24"/>
        </w:rPr>
        <w:t>Effects of car wash activities on water quality</w:t>
      </w:r>
    </w:p>
    <w:p w:rsidR="00725D89" w:rsidRP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Outdoor car wash bays, especially those built next to wetlands and streams, have become a major environmental danger when wastewater is deposited untreated into the water system in urban areas (</w:t>
      </w:r>
      <w:proofErr w:type="spellStart"/>
      <w:r w:rsidRPr="008F0794">
        <w:rPr>
          <w:rFonts w:ascii="Times New Roman" w:hAnsi="Times New Roman" w:cs="Times New Roman"/>
          <w:sz w:val="24"/>
          <w:szCs w:val="24"/>
        </w:rPr>
        <w:t>Andama</w:t>
      </w:r>
      <w:proofErr w:type="spellEnd"/>
      <w:r w:rsidRPr="008F0794">
        <w:rPr>
          <w:rFonts w:ascii="Times New Roman" w:hAnsi="Times New Roman" w:cs="Times New Roman"/>
          <w:sz w:val="24"/>
          <w:szCs w:val="24"/>
        </w:rPr>
        <w:t xml:space="preserve"> et al., 2022). Commercial car wash bay operations have a significant risk of contaminating water sources, rendering them hazardous for use by people and by terrestrial and aquatic ecosystems since they necessitate the use of massive volumes of water that return to surface waterways daily (Reeta et al., 2020). An estimated 150 to 350 liters of wastewater per day are dumped into the environment by car washes (</w:t>
      </w:r>
      <w:proofErr w:type="spellStart"/>
      <w:r w:rsidRPr="008F0794">
        <w:rPr>
          <w:rFonts w:ascii="Times New Roman" w:hAnsi="Times New Roman" w:cs="Times New Roman"/>
          <w:sz w:val="24"/>
          <w:szCs w:val="24"/>
        </w:rPr>
        <w:t>Hashim</w:t>
      </w:r>
      <w:proofErr w:type="spellEnd"/>
      <w:r w:rsidRPr="008F0794">
        <w:rPr>
          <w:rFonts w:ascii="Times New Roman" w:hAnsi="Times New Roman" w:cs="Times New Roman"/>
          <w:sz w:val="24"/>
          <w:szCs w:val="24"/>
        </w:rPr>
        <w:t xml:space="preserve"> &amp; </w:t>
      </w:r>
      <w:proofErr w:type="spellStart"/>
      <w:r w:rsidRPr="008F0794">
        <w:rPr>
          <w:rFonts w:ascii="Times New Roman" w:hAnsi="Times New Roman" w:cs="Times New Roman"/>
          <w:sz w:val="24"/>
          <w:szCs w:val="24"/>
        </w:rPr>
        <w:t>Zayadi</w:t>
      </w:r>
      <w:proofErr w:type="spellEnd"/>
      <w:r w:rsidRPr="008F0794">
        <w:rPr>
          <w:rFonts w:ascii="Times New Roman" w:hAnsi="Times New Roman" w:cs="Times New Roman"/>
          <w:sz w:val="24"/>
          <w:szCs w:val="24"/>
        </w:rPr>
        <w:t xml:space="preserve">, 2016). </w:t>
      </w:r>
    </w:p>
    <w:p w:rsidR="00725D89" w:rsidRP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While washing a car on the street, high suspended solids from the brake linings leak into the oil, and grease, sand, and dust are washed away, and there are traces of surfactant that are scarcely broken down by the environment. Parts of automobiles including the engine block, intake manifold, and brake drums frequently leak more heavy metals like iron, copper, zinc, and lead than is permitted (</w:t>
      </w:r>
      <w:proofErr w:type="spellStart"/>
      <w:r w:rsidRPr="008F0794">
        <w:rPr>
          <w:rFonts w:ascii="Times New Roman" w:hAnsi="Times New Roman" w:cs="Times New Roman"/>
          <w:sz w:val="24"/>
          <w:szCs w:val="24"/>
        </w:rPr>
        <w:t>Shete</w:t>
      </w:r>
      <w:proofErr w:type="spellEnd"/>
      <w:r w:rsidRPr="008F0794">
        <w:rPr>
          <w:rFonts w:ascii="Times New Roman" w:hAnsi="Times New Roman" w:cs="Times New Roman"/>
          <w:sz w:val="24"/>
          <w:szCs w:val="24"/>
        </w:rPr>
        <w:t xml:space="preserve"> et al., 2014). All of the stored sediments will run into the stormwater system through the gutter system without being treated. As a result, the ecosystem is harmed and increases environmental contamination as it washes away into streams, drainage systems, and receiving waterways (</w:t>
      </w:r>
      <w:proofErr w:type="spellStart"/>
      <w:r w:rsidRPr="008F0794">
        <w:rPr>
          <w:rFonts w:ascii="Times New Roman" w:hAnsi="Times New Roman" w:cs="Times New Roman"/>
          <w:color w:val="222222"/>
          <w:sz w:val="24"/>
          <w:szCs w:val="24"/>
          <w:shd w:val="clear" w:color="auto" w:fill="FFFFFF"/>
        </w:rPr>
        <w:t>Perkowski</w:t>
      </w:r>
      <w:proofErr w:type="spellEnd"/>
      <w:r w:rsidRPr="008F0794">
        <w:rPr>
          <w:rFonts w:ascii="Times New Roman" w:hAnsi="Times New Roman" w:cs="Times New Roman"/>
          <w:color w:val="222222"/>
          <w:sz w:val="24"/>
          <w:szCs w:val="24"/>
          <w:shd w:val="clear" w:color="auto" w:fill="FFFFFF"/>
        </w:rPr>
        <w:t xml:space="preserve"> et al., 2006)</w:t>
      </w:r>
      <w:r w:rsidRPr="008F0794">
        <w:rPr>
          <w:rFonts w:ascii="Times New Roman" w:hAnsi="Times New Roman" w:cs="Times New Roman"/>
          <w:sz w:val="24"/>
          <w:szCs w:val="24"/>
        </w:rPr>
        <w:t xml:space="preserve">. Heavy metals have effects on the aquatic environment as well as the entire ecosystem at large due to their persistence in food webs and accumulation in living organisms. </w:t>
      </w:r>
    </w:p>
    <w:p w:rsidR="00725D89" w:rsidRP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 xml:space="preserve">The car wash industry generates wastewater with high levels of pollutants that exceed internal water Environmental Quality Standards for wastewater effluents (Aikens et al., 2015). To mitigate these effects, </w:t>
      </w:r>
      <w:r w:rsidRPr="008F0794">
        <w:rPr>
          <w:rFonts w:ascii="Times New Roman" w:hAnsi="Times New Roman" w:cs="Times New Roman"/>
          <w:sz w:val="24"/>
          <w:szCs w:val="24"/>
        </w:rPr>
        <w:lastRenderedPageBreak/>
        <w:t>it is imperative to put best management practices into place, support eco-friendly technologies, and increase community and car wash operator awareness.</w:t>
      </w:r>
    </w:p>
    <w:p w:rsidR="00725D89" w:rsidRDefault="00725D89" w:rsidP="008F0794">
      <w:pPr>
        <w:pStyle w:val="ListParagraph"/>
        <w:numPr>
          <w:ilvl w:val="1"/>
          <w:numId w:val="6"/>
        </w:numPr>
        <w:jc w:val="both"/>
        <w:rPr>
          <w:rFonts w:ascii="Times New Roman" w:hAnsi="Times New Roman" w:cs="Times New Roman"/>
          <w:b/>
          <w:bCs/>
          <w:sz w:val="24"/>
          <w:szCs w:val="24"/>
        </w:rPr>
      </w:pPr>
      <w:r w:rsidRPr="004341AD">
        <w:rPr>
          <w:rFonts w:ascii="Times New Roman" w:hAnsi="Times New Roman" w:cs="Times New Roman"/>
          <w:b/>
          <w:bCs/>
          <w:sz w:val="24"/>
          <w:szCs w:val="24"/>
        </w:rPr>
        <w:t>Health risks associated with car wash activities.</w:t>
      </w:r>
    </w:p>
    <w:p w:rsidR="00725D89" w:rsidRP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Pollution from car wash wastewater can have a detrimental effect on both aquatic and human existence. This is because heavy metals, oils, greases, and detergents containing surfactants have all been found in vehicle wash effluents and are occasionally categorized as hazardous materials (</w:t>
      </w:r>
      <w:proofErr w:type="spellStart"/>
      <w:r w:rsidRPr="008F0794">
        <w:rPr>
          <w:rFonts w:ascii="Times New Roman" w:hAnsi="Times New Roman" w:cs="Times New Roman"/>
          <w:color w:val="222222"/>
          <w:sz w:val="24"/>
          <w:szCs w:val="24"/>
          <w:shd w:val="clear" w:color="auto" w:fill="FFFFFF"/>
        </w:rPr>
        <w:t>Phungula</w:t>
      </w:r>
      <w:proofErr w:type="spellEnd"/>
      <w:r w:rsidRPr="008F0794">
        <w:rPr>
          <w:rFonts w:ascii="Times New Roman" w:hAnsi="Times New Roman" w:cs="Times New Roman"/>
          <w:color w:val="222222"/>
          <w:sz w:val="24"/>
          <w:szCs w:val="24"/>
          <w:shd w:val="clear" w:color="auto" w:fill="FFFFFF"/>
        </w:rPr>
        <w:t>, 2016)</w:t>
      </w:r>
      <w:r w:rsidRPr="008F0794">
        <w:rPr>
          <w:rFonts w:ascii="Times New Roman" w:hAnsi="Times New Roman" w:cs="Times New Roman"/>
          <w:sz w:val="24"/>
          <w:szCs w:val="24"/>
        </w:rPr>
        <w:t>. The most often occurring contaminants in high concentrations in industrial effluent are heavy metals, including cadmium, zinc, copper, and chromium. These heavy metals have the potential to harm aquatic life and endanger human health</w:t>
      </w:r>
      <w:r w:rsidRPr="008F0794">
        <w:rPr>
          <w:rFonts w:ascii="Times New Roman" w:hAnsi="Times New Roman" w:cs="Times New Roman"/>
          <w:color w:val="222222"/>
          <w:sz w:val="24"/>
          <w:szCs w:val="24"/>
          <w:shd w:val="clear" w:color="auto" w:fill="FFFFFF"/>
        </w:rPr>
        <w:t xml:space="preserve"> (</w:t>
      </w:r>
      <w:proofErr w:type="spellStart"/>
      <w:r w:rsidRPr="008F0794">
        <w:rPr>
          <w:rFonts w:ascii="Times New Roman" w:hAnsi="Times New Roman" w:cs="Times New Roman"/>
          <w:color w:val="222222"/>
          <w:sz w:val="24"/>
          <w:szCs w:val="24"/>
          <w:shd w:val="clear" w:color="auto" w:fill="FFFFFF"/>
        </w:rPr>
        <w:t>Kashefi</w:t>
      </w:r>
      <w:proofErr w:type="spellEnd"/>
      <w:r w:rsidRPr="008F0794">
        <w:rPr>
          <w:rFonts w:ascii="Times New Roman" w:hAnsi="Times New Roman" w:cs="Times New Roman"/>
          <w:color w:val="222222"/>
          <w:sz w:val="24"/>
          <w:szCs w:val="24"/>
          <w:shd w:val="clear" w:color="auto" w:fill="FFFFFF"/>
        </w:rPr>
        <w:t xml:space="preserve"> et al., 2014)</w:t>
      </w:r>
      <w:r w:rsidRPr="008F0794">
        <w:rPr>
          <w:rFonts w:ascii="Times New Roman" w:hAnsi="Times New Roman" w:cs="Times New Roman"/>
          <w:sz w:val="24"/>
          <w:szCs w:val="24"/>
        </w:rPr>
        <w:t>.</w:t>
      </w:r>
    </w:p>
    <w:p w:rsidR="00725D89" w:rsidRPr="008F0794" w:rsidRDefault="00725D89" w:rsidP="008F0794">
      <w:pPr>
        <w:jc w:val="both"/>
        <w:rPr>
          <w:rFonts w:ascii="Times New Roman" w:hAnsi="Times New Roman" w:cs="Times New Roman"/>
          <w:sz w:val="24"/>
          <w:szCs w:val="24"/>
        </w:rPr>
      </w:pPr>
      <w:r w:rsidRPr="008F0794">
        <w:rPr>
          <w:rFonts w:ascii="Times New Roman" w:hAnsi="Times New Roman" w:cs="Times New Roman"/>
          <w:sz w:val="24"/>
          <w:szCs w:val="24"/>
        </w:rPr>
        <w:t>The wastewater generated during the washing of cars, trucks, and several other types of automobiles may contain a wide range of hydrocarbons, chemicals, detergents, phosphates, and oil. These pollutants in the wastewater not only affect aquatic life and lower the surface water quality, but such high quantities may also render the groundwater unfit for human consumption (Qamar et al., 2017). Wastewater tainted with oil contains harmful organic substances such as phenols, petroleum hydrocarbons, and polycyclic aromatic hydrocarbons (PAHs), which hinder the growth of plants and animals and can cause cancer and mutation in humans (</w:t>
      </w:r>
      <w:proofErr w:type="spellStart"/>
      <w:r w:rsidRPr="008F0794">
        <w:rPr>
          <w:rFonts w:ascii="Times New Roman" w:hAnsi="Times New Roman" w:cs="Times New Roman"/>
          <w:sz w:val="24"/>
          <w:szCs w:val="24"/>
        </w:rPr>
        <w:t>Gryta</w:t>
      </w:r>
      <w:proofErr w:type="spellEnd"/>
      <w:r w:rsidRPr="008F0794">
        <w:rPr>
          <w:rFonts w:ascii="Times New Roman" w:hAnsi="Times New Roman" w:cs="Times New Roman"/>
          <w:sz w:val="24"/>
          <w:szCs w:val="24"/>
        </w:rPr>
        <w:t xml:space="preserve"> et al., 2001). These substances have received a great deal of attention because of their harmful effects on the environment, ecosystems, and human health. Concern over the safety and health of the public water supply as well as the environmental quality of freshwater habitats, such as rivers and streams, which serve as the final drains for these effluents, is growing (Tekere et al., 2016).</w:t>
      </w:r>
    </w:p>
    <w:p w:rsidR="00725D89" w:rsidRDefault="008F0794" w:rsidP="00725D89">
      <w:pPr>
        <w:jc w:val="both"/>
        <w:rPr>
          <w:rFonts w:ascii="Times New Roman" w:hAnsi="Times New Roman" w:cs="Times New Roman"/>
          <w:b/>
          <w:bCs/>
          <w:sz w:val="24"/>
          <w:szCs w:val="24"/>
        </w:rPr>
      </w:pPr>
      <w:r>
        <w:rPr>
          <w:rFonts w:ascii="Times New Roman" w:hAnsi="Times New Roman" w:cs="Times New Roman"/>
          <w:b/>
          <w:bCs/>
          <w:sz w:val="24"/>
          <w:szCs w:val="24"/>
        </w:rPr>
        <w:t>3.0 RE</w:t>
      </w:r>
      <w:r w:rsidR="0074547F">
        <w:rPr>
          <w:rFonts w:ascii="Times New Roman" w:hAnsi="Times New Roman" w:cs="Times New Roman"/>
          <w:b/>
          <w:bCs/>
          <w:sz w:val="24"/>
          <w:szCs w:val="24"/>
        </w:rPr>
        <w:t>SEARCH METHODOLOGY</w:t>
      </w:r>
    </w:p>
    <w:p w:rsidR="000D2486" w:rsidRPr="000D2486" w:rsidRDefault="000D2486" w:rsidP="000D2486">
      <w:pPr>
        <w:jc w:val="both"/>
        <w:rPr>
          <w:rFonts w:ascii="Times New Roman" w:hAnsi="Times New Roman" w:cs="Times New Roman"/>
          <w:b/>
          <w:bCs/>
          <w:sz w:val="24"/>
          <w:szCs w:val="24"/>
        </w:rPr>
      </w:pPr>
      <w:r w:rsidRPr="000D2486">
        <w:rPr>
          <w:rFonts w:ascii="Times New Roman" w:hAnsi="Times New Roman" w:cs="Times New Roman"/>
          <w:b/>
          <w:bCs/>
          <w:sz w:val="24"/>
          <w:szCs w:val="24"/>
        </w:rPr>
        <w:t>3.1 Research Design</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 xml:space="preserve">The study adopted a quantitative approach to addressing the research problem. In this case, a structured questionnaire was presented to respondents to obtain their responses. The questionnaire for the study in effect was categorized into distinct sections of which each section addresses certain fundamental areas to which the study objective is tailored. Also, an experimental approach through a laboratory analysis was employed to determine both the physical and chemical properties of the wastewater from sites of car wash centers considered in the study. The study further employed a purposive sampling approach to select sites where samples of water were collected for experimentation. In all, a total of 4 car wash centers were sampled within the Koforidua Municipal. The selection method </w:t>
      </w:r>
      <w:proofErr w:type="spellStart"/>
      <w:r w:rsidRPr="000D2486">
        <w:rPr>
          <w:rFonts w:ascii="Times New Roman" w:hAnsi="Times New Roman" w:cs="Times New Roman"/>
          <w:sz w:val="24"/>
          <w:szCs w:val="24"/>
        </w:rPr>
        <w:t>consdered</w:t>
      </w:r>
      <w:proofErr w:type="spellEnd"/>
      <w:r w:rsidRPr="000D2486">
        <w:rPr>
          <w:rFonts w:ascii="Times New Roman" w:hAnsi="Times New Roman" w:cs="Times New Roman"/>
          <w:sz w:val="24"/>
          <w:szCs w:val="24"/>
        </w:rPr>
        <w:t xml:space="preserve"> the closeness of a car wash center to nearby water bodies serving surrounding communities.</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Descriptive statistics was employed to interpret the study results, considering the number of responses, the means of response, and the variance to evaluate the reliability and precision of responses from the respondents engaged in the study. The study further discussed the results based on the interconnectivity of the data sourced from the responses and other empirical studies conducted around the research area, to be able to compare the study outcomes.</w:t>
      </w:r>
    </w:p>
    <w:p w:rsidR="000D2486" w:rsidRPr="000D2486" w:rsidRDefault="000D2486" w:rsidP="000D2486">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Pr="000D2486">
        <w:rPr>
          <w:rFonts w:ascii="Times New Roman" w:hAnsi="Times New Roman" w:cs="Times New Roman"/>
          <w:b/>
          <w:bCs/>
          <w:sz w:val="24"/>
          <w:szCs w:val="24"/>
        </w:rPr>
        <w:t>Population of the study</w:t>
      </w:r>
    </w:p>
    <w:p w:rsidR="000D2486" w:rsidRPr="000D2486" w:rsidRDefault="000D2486" w:rsidP="000D2486">
      <w:pPr>
        <w:jc w:val="both"/>
        <w:rPr>
          <w:rFonts w:ascii="Times New Roman" w:hAnsi="Times New Roman" w:cs="Times New Roman"/>
          <w:sz w:val="24"/>
          <w:szCs w:val="24"/>
        </w:rPr>
      </w:pPr>
      <w:r w:rsidRPr="00670BFD">
        <w:rPr>
          <w:rFonts w:ascii="Times New Roman" w:hAnsi="Times New Roman" w:cs="Times New Roman"/>
          <w:sz w:val="24"/>
          <w:szCs w:val="24"/>
        </w:rPr>
        <w:t xml:space="preserve">This study focusses on Koforidua </w:t>
      </w:r>
      <w:r w:rsidRPr="000D2486">
        <w:rPr>
          <w:rFonts w:ascii="Times New Roman" w:hAnsi="Times New Roman" w:cs="Times New Roman"/>
          <w:sz w:val="24"/>
          <w:szCs w:val="24"/>
        </w:rPr>
        <w:t xml:space="preserve">in the New Juaben </w:t>
      </w:r>
      <w:r w:rsidRPr="00670BFD">
        <w:rPr>
          <w:rFonts w:ascii="Times New Roman" w:hAnsi="Times New Roman" w:cs="Times New Roman"/>
          <w:sz w:val="24"/>
          <w:szCs w:val="24"/>
        </w:rPr>
        <w:t>Municipality</w:t>
      </w:r>
      <w:r w:rsidRPr="000D2486">
        <w:rPr>
          <w:rFonts w:ascii="Times New Roman" w:hAnsi="Times New Roman" w:cs="Times New Roman"/>
          <w:sz w:val="24"/>
          <w:szCs w:val="24"/>
        </w:rPr>
        <w:t xml:space="preserve"> in the Eastern region of Ghana,</w:t>
      </w:r>
      <w:r w:rsidRPr="00670BFD">
        <w:rPr>
          <w:rFonts w:ascii="Times New Roman" w:hAnsi="Times New Roman" w:cs="Times New Roman"/>
          <w:sz w:val="24"/>
          <w:szCs w:val="24"/>
        </w:rPr>
        <w:t xml:space="preserve"> where car wash facilities are important to the local economy. </w:t>
      </w:r>
      <w:r w:rsidRPr="000D2486">
        <w:rPr>
          <w:rFonts w:ascii="Times New Roman" w:hAnsi="Times New Roman" w:cs="Times New Roman"/>
          <w:sz w:val="24"/>
          <w:szCs w:val="24"/>
        </w:rPr>
        <w:t>The capital of Ghana's Eastern Region, Koforidua, is a fast-growing urban area with a diversified population involved in a range of economic pursuits, such as trade, services, and agriculture. The Ghana Statistical Service (GSS) reports that Koforidua's population is a part of the New Juaben Municipality, which had 183,727 residents as of the 2021 Population and</w:t>
      </w:r>
      <w:r>
        <w:rPr>
          <w:rFonts w:ascii="Times New Roman" w:hAnsi="Times New Roman" w:cs="Times New Roman"/>
          <w:sz w:val="24"/>
          <w:szCs w:val="24"/>
        </w:rPr>
        <w:t xml:space="preserve"> </w:t>
      </w:r>
      <w:r w:rsidRPr="000D2486">
        <w:rPr>
          <w:rFonts w:ascii="Times New Roman" w:hAnsi="Times New Roman" w:cs="Times New Roman"/>
          <w:sz w:val="24"/>
          <w:szCs w:val="24"/>
        </w:rPr>
        <w:t xml:space="preserve">Housing Census. In recent years, the area's population density has expanded significantly, which has led </w:t>
      </w:r>
      <w:r w:rsidRPr="000D2486">
        <w:rPr>
          <w:rFonts w:ascii="Times New Roman" w:hAnsi="Times New Roman" w:cs="Times New Roman"/>
          <w:sz w:val="24"/>
          <w:szCs w:val="24"/>
        </w:rPr>
        <w:lastRenderedPageBreak/>
        <w:t xml:space="preserve">to an increase in urban activity and the resulting environmental effects (GSS, 2021). A significant portion of the population of Koforidua is employed in small- to medium-sized businesses, and the area is home to a diverse range of ethnic groups, including Akan, Ewe, and Ga-Dangme. Environmental issues, particularly those pertaining to sanitation and water quality, increase along with </w:t>
      </w:r>
      <w:proofErr w:type="spellStart"/>
      <w:r w:rsidRPr="000D2486">
        <w:rPr>
          <w:rFonts w:ascii="Times New Roman" w:hAnsi="Times New Roman" w:cs="Times New Roman"/>
          <w:sz w:val="24"/>
          <w:szCs w:val="24"/>
        </w:rPr>
        <w:t>urbanisation</w:t>
      </w:r>
      <w:proofErr w:type="spellEnd"/>
      <w:r w:rsidRPr="000D2486">
        <w:rPr>
          <w:rFonts w:ascii="Times New Roman" w:hAnsi="Times New Roman" w:cs="Times New Roman"/>
          <w:sz w:val="24"/>
          <w:szCs w:val="24"/>
        </w:rPr>
        <w:t xml:space="preserve"> and population density. The growth of car wash facilities and their possible effects on nearby water supplies worsen these problems and provide health hazards as a result of pollution and contamination (GSS, 2021; Amoako &amp; Asiedu, 2012).</w:t>
      </w:r>
    </w:p>
    <w:p w:rsidR="000D2486" w:rsidRPr="000D2486" w:rsidRDefault="000D2486" w:rsidP="000D2486">
      <w:pPr>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Pr="000D2486">
        <w:rPr>
          <w:rFonts w:ascii="Times New Roman" w:hAnsi="Times New Roman" w:cs="Times New Roman"/>
          <w:b/>
          <w:bCs/>
          <w:sz w:val="24"/>
          <w:szCs w:val="24"/>
        </w:rPr>
        <w:t>Sampling Procedure and Sample size.</w:t>
      </w:r>
    </w:p>
    <w:p w:rsidR="000D2486" w:rsidRPr="000D2486" w:rsidRDefault="000D2486" w:rsidP="000D2486">
      <w:pPr>
        <w:jc w:val="both"/>
        <w:rPr>
          <w:rFonts w:ascii="Times New Roman" w:hAnsi="Times New Roman" w:cs="Times New Roman"/>
          <w:sz w:val="24"/>
          <w:szCs w:val="24"/>
        </w:rPr>
      </w:pPr>
      <w:r w:rsidRPr="00670BFD">
        <w:rPr>
          <w:rFonts w:ascii="Times New Roman" w:hAnsi="Times New Roman" w:cs="Times New Roman"/>
          <w:sz w:val="24"/>
          <w:szCs w:val="24"/>
        </w:rPr>
        <w:t>Four</w:t>
      </w:r>
      <w:r w:rsidRPr="000D2486">
        <w:rPr>
          <w:rFonts w:ascii="Times New Roman" w:hAnsi="Times New Roman" w:cs="Times New Roman"/>
          <w:sz w:val="24"/>
          <w:szCs w:val="24"/>
        </w:rPr>
        <w:t xml:space="preserve"> (4)</w:t>
      </w:r>
      <w:r w:rsidRPr="00670BFD">
        <w:rPr>
          <w:rFonts w:ascii="Times New Roman" w:hAnsi="Times New Roman" w:cs="Times New Roman"/>
          <w:sz w:val="24"/>
          <w:szCs w:val="24"/>
        </w:rPr>
        <w:t xml:space="preserve"> car wash facilities were purposefully chosen from the municipality in order to gain a knowledge of the ways in which these activities impact the health and purity of the water. This choice made it possible for the study to look at water sources that are directly affected by car wash operations and record the levels of microbiological and chemical pollution. In order to provide a thorough grasp of the local context, the purposive sampling technique makes sure that sites spanning a range of environmental and operational practices were included (Merriam &amp; </w:t>
      </w:r>
      <w:proofErr w:type="spellStart"/>
      <w:r w:rsidRPr="00670BFD">
        <w:rPr>
          <w:rFonts w:ascii="Times New Roman" w:hAnsi="Times New Roman" w:cs="Times New Roman"/>
          <w:sz w:val="24"/>
          <w:szCs w:val="24"/>
        </w:rPr>
        <w:t>Tisdell</w:t>
      </w:r>
      <w:proofErr w:type="spellEnd"/>
      <w:r w:rsidRPr="00670BFD">
        <w:rPr>
          <w:rFonts w:ascii="Times New Roman" w:hAnsi="Times New Roman" w:cs="Times New Roman"/>
          <w:sz w:val="24"/>
          <w:szCs w:val="24"/>
        </w:rPr>
        <w:t xml:space="preserve">, 2015; </w:t>
      </w:r>
      <w:proofErr w:type="spellStart"/>
      <w:r w:rsidRPr="00670BFD">
        <w:rPr>
          <w:rFonts w:ascii="Times New Roman" w:hAnsi="Times New Roman" w:cs="Times New Roman"/>
          <w:sz w:val="24"/>
          <w:szCs w:val="24"/>
        </w:rPr>
        <w:t>Tongco</w:t>
      </w:r>
      <w:proofErr w:type="spellEnd"/>
      <w:r w:rsidRPr="00670BFD">
        <w:rPr>
          <w:rFonts w:ascii="Times New Roman" w:hAnsi="Times New Roman" w:cs="Times New Roman"/>
          <w:sz w:val="24"/>
          <w:szCs w:val="24"/>
        </w:rPr>
        <w:t>, 2007).</w:t>
      </w:r>
      <w:r w:rsidRPr="000D2486">
        <w:rPr>
          <w:rFonts w:ascii="Times New Roman" w:hAnsi="Times New Roman" w:cs="Times New Roman"/>
          <w:sz w:val="24"/>
          <w:szCs w:val="24"/>
        </w:rPr>
        <w:t xml:space="preserve"> </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Considering the water requirements of vehicle wash operations, chemical residues and untreated wastewater discharge may have an adverse effect on public health by contaminating adjacent water sources, a prevalent problem in metropolitan areas of developing nations (</w:t>
      </w:r>
      <w:proofErr w:type="spellStart"/>
      <w:r w:rsidRPr="000D2486">
        <w:rPr>
          <w:rFonts w:ascii="Times New Roman" w:hAnsi="Times New Roman" w:cs="Times New Roman"/>
          <w:sz w:val="24"/>
          <w:szCs w:val="24"/>
        </w:rPr>
        <w:t>Baral</w:t>
      </w:r>
      <w:proofErr w:type="spellEnd"/>
      <w:r w:rsidRPr="000D2486">
        <w:rPr>
          <w:rFonts w:ascii="Times New Roman" w:hAnsi="Times New Roman" w:cs="Times New Roman"/>
          <w:sz w:val="24"/>
          <w:szCs w:val="24"/>
        </w:rPr>
        <w:t xml:space="preserve">, </w:t>
      </w:r>
      <w:proofErr w:type="spellStart"/>
      <w:r w:rsidRPr="000D2486">
        <w:rPr>
          <w:rFonts w:ascii="Times New Roman" w:hAnsi="Times New Roman" w:cs="Times New Roman"/>
          <w:sz w:val="24"/>
          <w:szCs w:val="24"/>
        </w:rPr>
        <w:t>Paudel</w:t>
      </w:r>
      <w:proofErr w:type="spellEnd"/>
      <w:r w:rsidRPr="000D2486">
        <w:rPr>
          <w:rFonts w:ascii="Times New Roman" w:hAnsi="Times New Roman" w:cs="Times New Roman"/>
          <w:sz w:val="24"/>
          <w:szCs w:val="24"/>
        </w:rPr>
        <w:t xml:space="preserve">, &amp; </w:t>
      </w:r>
      <w:proofErr w:type="spellStart"/>
      <w:r w:rsidRPr="000D2486">
        <w:rPr>
          <w:rFonts w:ascii="Times New Roman" w:hAnsi="Times New Roman" w:cs="Times New Roman"/>
          <w:sz w:val="24"/>
          <w:szCs w:val="24"/>
        </w:rPr>
        <w:t>Rijal</w:t>
      </w:r>
      <w:proofErr w:type="spellEnd"/>
      <w:r w:rsidRPr="000D2486">
        <w:rPr>
          <w:rFonts w:ascii="Times New Roman" w:hAnsi="Times New Roman" w:cs="Times New Roman"/>
          <w:sz w:val="24"/>
          <w:szCs w:val="24"/>
        </w:rPr>
        <w:t>, 2018). Public health recommendations targeted at reducing health risks associated with water contamination are informed by an examination of these elements in Koforidua, which offers insights into the particular socio-environmental issues encountered by local populations.</w:t>
      </w:r>
    </w:p>
    <w:p w:rsidR="000D2486" w:rsidRPr="000D2486" w:rsidRDefault="000D2486" w:rsidP="000D2486">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0D2486">
        <w:rPr>
          <w:rFonts w:ascii="Times New Roman" w:hAnsi="Times New Roman" w:cs="Times New Roman"/>
          <w:b/>
          <w:bCs/>
          <w:sz w:val="24"/>
          <w:szCs w:val="24"/>
        </w:rPr>
        <w:t>Data Collection</w:t>
      </w:r>
    </w:p>
    <w:p w:rsidR="000D2486" w:rsidRPr="000D2486" w:rsidRDefault="000D2486" w:rsidP="000D2486">
      <w:pPr>
        <w:jc w:val="both"/>
        <w:rPr>
          <w:rFonts w:ascii="Times New Roman" w:hAnsi="Times New Roman" w:cs="Times New Roman"/>
          <w:sz w:val="24"/>
          <w:szCs w:val="24"/>
        </w:rPr>
      </w:pPr>
      <w:r w:rsidRPr="0058362E">
        <w:rPr>
          <w:rFonts w:ascii="Times New Roman" w:hAnsi="Times New Roman" w:cs="Times New Roman"/>
          <w:sz w:val="24"/>
          <w:szCs w:val="24"/>
        </w:rPr>
        <w:t>For this study, primary and secondary sources of data were gathered. Four car wash facilities in the Koforidua Municipality were specifically chosen, and primary data was collected directly from them. In order to determine the degree of chemical and microbiological pollution, samples of the water consumed by these facilities as well as wastewater produced were taken. Car wash owners and community members were surveyed and interviewed in addition to water samples to learn more about their cleanliness habits, knowledge of water quality problems, and any health consequences they may have encountered as a result of contaminated water sources.</w:t>
      </w:r>
      <w:r>
        <w:rPr>
          <w:rFonts w:ascii="Times New Roman" w:hAnsi="Times New Roman" w:cs="Times New Roman"/>
          <w:sz w:val="24"/>
          <w:szCs w:val="24"/>
        </w:rPr>
        <w:t xml:space="preserve"> </w:t>
      </w:r>
      <w:r w:rsidRPr="000D2486">
        <w:rPr>
          <w:rFonts w:ascii="Times New Roman" w:hAnsi="Times New Roman" w:cs="Times New Roman"/>
          <w:sz w:val="24"/>
          <w:szCs w:val="24"/>
        </w:rPr>
        <w:t>Secondary data was collected from relevant sources such as reports from the Ghana Statistical Service, environmental protection agencies, and previous studies on urban water quality in Ghana. This contextual data provided a basis for understanding local standards, regulatory frameworks, and community health profiles.</w:t>
      </w:r>
    </w:p>
    <w:p w:rsidR="000D2486" w:rsidRPr="000D2486" w:rsidRDefault="000D2486" w:rsidP="000D2486">
      <w:pPr>
        <w:jc w:val="both"/>
        <w:rPr>
          <w:rFonts w:ascii="Times New Roman" w:hAnsi="Times New Roman" w:cs="Times New Roman"/>
          <w:b/>
          <w:bCs/>
          <w:sz w:val="24"/>
          <w:szCs w:val="24"/>
        </w:rPr>
      </w:pPr>
      <w:r>
        <w:rPr>
          <w:rFonts w:ascii="Times New Roman" w:hAnsi="Times New Roman" w:cs="Times New Roman"/>
          <w:b/>
          <w:bCs/>
          <w:sz w:val="24"/>
          <w:szCs w:val="24"/>
        </w:rPr>
        <w:t xml:space="preserve">3.5 </w:t>
      </w:r>
      <w:r w:rsidRPr="000D2486">
        <w:rPr>
          <w:rFonts w:ascii="Times New Roman" w:hAnsi="Times New Roman" w:cs="Times New Roman"/>
          <w:b/>
          <w:bCs/>
          <w:sz w:val="24"/>
          <w:szCs w:val="24"/>
        </w:rPr>
        <w:t>Data Analysis</w:t>
      </w:r>
    </w:p>
    <w:p w:rsidR="000D2486" w:rsidRPr="000D2486" w:rsidRDefault="000D2486" w:rsidP="000D2486">
      <w:pPr>
        <w:jc w:val="both"/>
        <w:rPr>
          <w:rFonts w:ascii="Times New Roman" w:hAnsi="Times New Roman" w:cs="Times New Roman"/>
          <w:sz w:val="24"/>
          <w:szCs w:val="24"/>
        </w:rPr>
      </w:pPr>
      <w:r w:rsidRPr="0058362E">
        <w:rPr>
          <w:rFonts w:ascii="Times New Roman" w:hAnsi="Times New Roman" w:cs="Times New Roman"/>
          <w:sz w:val="24"/>
          <w:szCs w:val="24"/>
        </w:rPr>
        <w:t>In order to quantify particular chemical and microbiological contaminants, including heavy metals, detergents, and bacteria (such E. coli), the gathered water samples were examined in a lab</w:t>
      </w:r>
      <w:r w:rsidRPr="000D2486">
        <w:rPr>
          <w:rFonts w:ascii="Times New Roman" w:hAnsi="Times New Roman" w:cs="Times New Roman"/>
          <w:sz w:val="24"/>
          <w:szCs w:val="24"/>
        </w:rPr>
        <w:t xml:space="preserve">. </w:t>
      </w:r>
      <w:r w:rsidRPr="0058362E">
        <w:rPr>
          <w:rFonts w:ascii="Times New Roman" w:hAnsi="Times New Roman" w:cs="Times New Roman"/>
          <w:sz w:val="24"/>
          <w:szCs w:val="24"/>
        </w:rPr>
        <w:t>To measure pollution levels and compare outcomes across various vehicle wash facilities, descriptive statistics were employed</w:t>
      </w:r>
      <w:r w:rsidRPr="000D2486">
        <w:rPr>
          <w:rFonts w:ascii="Times New Roman" w:hAnsi="Times New Roman" w:cs="Times New Roman"/>
          <w:sz w:val="24"/>
          <w:szCs w:val="24"/>
        </w:rPr>
        <w:t xml:space="preserve"> and where laboratory results of water samples were </w:t>
      </w:r>
      <w:proofErr w:type="spellStart"/>
      <w:r w:rsidRPr="000D2486">
        <w:rPr>
          <w:rFonts w:ascii="Times New Roman" w:hAnsi="Times New Roman" w:cs="Times New Roman"/>
          <w:sz w:val="24"/>
          <w:szCs w:val="24"/>
        </w:rPr>
        <w:t>analysed</w:t>
      </w:r>
      <w:proofErr w:type="spellEnd"/>
      <w:r w:rsidRPr="000D2486">
        <w:rPr>
          <w:rFonts w:ascii="Times New Roman" w:hAnsi="Times New Roman" w:cs="Times New Roman"/>
          <w:sz w:val="24"/>
          <w:szCs w:val="24"/>
        </w:rPr>
        <w:t xml:space="preserve"> and compared and compared to the World health Organisation (WHO) and Environmental Protection Agency (EPA) standards</w:t>
      </w:r>
      <w:r w:rsidRPr="0058362E">
        <w:rPr>
          <w:rFonts w:ascii="Times New Roman" w:hAnsi="Times New Roman" w:cs="Times New Roman"/>
          <w:sz w:val="24"/>
          <w:szCs w:val="24"/>
        </w:rPr>
        <w:t>. To find common health problems, water consumption patterns, and attitudes towards sanitation, theme analysis was used to examine survey and interview results. Furthermore, correlation analyses were performed to investigate the association between reported health problems and pollution levels, offering valuable information about the possible health hazards linked to Koforidua car wash activities.</w:t>
      </w:r>
      <w:r w:rsidRPr="000D2486">
        <w:rPr>
          <w:rFonts w:ascii="Times New Roman" w:hAnsi="Times New Roman" w:cs="Times New Roman"/>
          <w:sz w:val="24"/>
          <w:szCs w:val="24"/>
        </w:rPr>
        <w:t xml:space="preserve"> </w:t>
      </w:r>
      <w:r w:rsidRPr="0058362E">
        <w:rPr>
          <w:rFonts w:ascii="Times New Roman" w:hAnsi="Times New Roman" w:cs="Times New Roman"/>
          <w:sz w:val="24"/>
          <w:szCs w:val="24"/>
        </w:rPr>
        <w:t>A thorough evaluation of the effects of car wash operations on the municipality's environment and public health was made possible by the combination of a quantitative and qualitative methodology.</w:t>
      </w:r>
    </w:p>
    <w:p w:rsidR="000D2486" w:rsidRPr="000D2486" w:rsidRDefault="000D2486" w:rsidP="000D2486">
      <w:pPr>
        <w:jc w:val="both"/>
        <w:rPr>
          <w:rFonts w:ascii="Times New Roman" w:hAnsi="Times New Roman" w:cs="Times New Roman"/>
          <w:b/>
          <w:bCs/>
          <w:sz w:val="24"/>
          <w:szCs w:val="24"/>
        </w:rPr>
      </w:pPr>
      <w:r w:rsidRPr="000D2486">
        <w:rPr>
          <w:rFonts w:ascii="Times New Roman" w:hAnsi="Times New Roman" w:cs="Times New Roman"/>
          <w:b/>
          <w:bCs/>
          <w:sz w:val="24"/>
          <w:szCs w:val="24"/>
        </w:rPr>
        <w:lastRenderedPageBreak/>
        <w:t>4.0 DATA ANALYSIS AND PRESENTATION OF RESULTS.</w:t>
      </w:r>
    </w:p>
    <w:p w:rsidR="000D2486" w:rsidRPr="000D2486" w:rsidRDefault="000D2486" w:rsidP="000D2486">
      <w:pPr>
        <w:jc w:val="both"/>
        <w:rPr>
          <w:rFonts w:ascii="Times New Roman" w:hAnsi="Times New Roman" w:cs="Times New Roman"/>
          <w:b/>
          <w:bCs/>
          <w:sz w:val="24"/>
          <w:szCs w:val="24"/>
        </w:rPr>
      </w:pPr>
      <w:r w:rsidRPr="000D2486">
        <w:rPr>
          <w:rFonts w:ascii="Times New Roman" w:hAnsi="Times New Roman" w:cs="Times New Roman"/>
          <w:b/>
          <w:bCs/>
          <w:sz w:val="24"/>
          <w:szCs w:val="24"/>
        </w:rPr>
        <w:t>4.1</w:t>
      </w:r>
      <w:r w:rsidRPr="000D2486">
        <w:rPr>
          <w:rFonts w:ascii="Times New Roman" w:hAnsi="Times New Roman" w:cs="Times New Roman"/>
          <w:sz w:val="24"/>
          <w:szCs w:val="24"/>
        </w:rPr>
        <w:t xml:space="preserve"> </w:t>
      </w:r>
      <w:r w:rsidRPr="000D2486">
        <w:rPr>
          <w:rFonts w:ascii="Times New Roman" w:hAnsi="Times New Roman" w:cs="Times New Roman"/>
          <w:b/>
          <w:bCs/>
          <w:sz w:val="24"/>
          <w:szCs w:val="24"/>
        </w:rPr>
        <w:t>EFFECTS OF CAR WASH ACTIVITIES ON WATER QUALITY AND HYGIENE</w:t>
      </w:r>
    </w:p>
    <w:p w:rsidR="000D2486" w:rsidRPr="000D2486" w:rsidRDefault="000D2486" w:rsidP="000D2486">
      <w:pPr>
        <w:jc w:val="both"/>
        <w:rPr>
          <w:rFonts w:ascii="Times New Roman" w:hAnsi="Times New Roman" w:cs="Times New Roman"/>
          <w:b/>
          <w:bCs/>
          <w:sz w:val="24"/>
          <w:szCs w:val="24"/>
        </w:rPr>
      </w:pPr>
      <w:r w:rsidRPr="000D2486">
        <w:rPr>
          <w:rFonts w:ascii="Times New Roman" w:hAnsi="Times New Roman" w:cs="Times New Roman"/>
          <w:b/>
          <w:bCs/>
          <w:sz w:val="24"/>
          <w:szCs w:val="24"/>
        </w:rPr>
        <w:t>4.1.1. Microbial Pollutants</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 xml:space="preserve">The water samples collected were seen to contain very high levels of Coliform and </w:t>
      </w:r>
      <w:r w:rsidRPr="000D2486">
        <w:rPr>
          <w:rFonts w:ascii="Times New Roman" w:hAnsi="Times New Roman" w:cs="Times New Roman"/>
          <w:i/>
          <w:iCs/>
          <w:sz w:val="24"/>
          <w:szCs w:val="24"/>
        </w:rPr>
        <w:t>E-coli.</w:t>
      </w:r>
      <w:r w:rsidRPr="000D2486">
        <w:rPr>
          <w:rFonts w:ascii="Times New Roman" w:hAnsi="Times New Roman" w:cs="Times New Roman"/>
          <w:sz w:val="24"/>
          <w:szCs w:val="24"/>
        </w:rPr>
        <w:t xml:space="preserve"> The table below shows the levels of Coliform and </w:t>
      </w:r>
      <w:r w:rsidRPr="000D2486">
        <w:rPr>
          <w:rFonts w:ascii="Times New Roman" w:hAnsi="Times New Roman" w:cs="Times New Roman"/>
          <w:i/>
          <w:iCs/>
          <w:sz w:val="24"/>
          <w:szCs w:val="24"/>
        </w:rPr>
        <w:t>E-coli</w:t>
      </w:r>
      <w:r w:rsidRPr="000D2486">
        <w:rPr>
          <w:rFonts w:ascii="Times New Roman" w:hAnsi="Times New Roman" w:cs="Times New Roman"/>
          <w:sz w:val="24"/>
          <w:szCs w:val="24"/>
        </w:rPr>
        <w:t xml:space="preserve"> in all 4 water samples.</w:t>
      </w:r>
    </w:p>
    <w:tbl>
      <w:tblPr>
        <w:tblStyle w:val="TableGrid"/>
        <w:tblW w:w="0" w:type="auto"/>
        <w:tblLook w:val="04A0" w:firstRow="1" w:lastRow="0" w:firstColumn="1" w:lastColumn="0" w:noHBand="0" w:noVBand="1"/>
      </w:tblPr>
      <w:tblGrid>
        <w:gridCol w:w="3124"/>
        <w:gridCol w:w="3113"/>
        <w:gridCol w:w="3113"/>
      </w:tblGrid>
      <w:tr w:rsidR="000D2486" w:rsidRPr="000D2486" w:rsidTr="008F6803">
        <w:tc>
          <w:tcPr>
            <w:tcW w:w="3124" w:type="dxa"/>
          </w:tcPr>
          <w:p w:rsidR="000D2486" w:rsidRPr="000D2486" w:rsidRDefault="000D2486" w:rsidP="000D2486">
            <w:pPr>
              <w:rPr>
                <w:rFonts w:ascii="Times New Roman" w:hAnsi="Times New Roman" w:cs="Times New Roman"/>
                <w:b/>
                <w:bCs/>
                <w:sz w:val="24"/>
                <w:szCs w:val="24"/>
              </w:rPr>
            </w:pPr>
            <w:r w:rsidRPr="000D2486">
              <w:rPr>
                <w:rFonts w:ascii="Times New Roman" w:hAnsi="Times New Roman" w:cs="Times New Roman"/>
                <w:b/>
                <w:bCs/>
                <w:sz w:val="24"/>
                <w:szCs w:val="24"/>
              </w:rPr>
              <w:t>Sample Identification</w:t>
            </w:r>
          </w:p>
        </w:tc>
        <w:tc>
          <w:tcPr>
            <w:tcW w:w="3113" w:type="dxa"/>
          </w:tcPr>
          <w:p w:rsidR="000D2486" w:rsidRPr="000D2486" w:rsidRDefault="000D2486" w:rsidP="0030678D">
            <w:pPr>
              <w:spacing w:after="0"/>
              <w:jc w:val="center"/>
              <w:rPr>
                <w:rFonts w:ascii="Times New Roman" w:hAnsi="Times New Roman" w:cs="Times New Roman"/>
                <w:b/>
                <w:bCs/>
                <w:sz w:val="24"/>
                <w:szCs w:val="24"/>
              </w:rPr>
            </w:pPr>
            <w:r w:rsidRPr="000D2486">
              <w:rPr>
                <w:rFonts w:ascii="Times New Roman" w:hAnsi="Times New Roman" w:cs="Times New Roman"/>
                <w:b/>
                <w:bCs/>
                <w:sz w:val="24"/>
                <w:szCs w:val="24"/>
              </w:rPr>
              <w:t>Total Coliform (TC)</w:t>
            </w:r>
          </w:p>
          <w:p w:rsidR="000D2486" w:rsidRPr="000D2486" w:rsidRDefault="000D2486" w:rsidP="0030678D">
            <w:pPr>
              <w:spacing w:after="0"/>
              <w:jc w:val="center"/>
              <w:rPr>
                <w:rFonts w:ascii="Times New Roman" w:hAnsi="Times New Roman" w:cs="Times New Roman"/>
                <w:b/>
                <w:bCs/>
                <w:sz w:val="24"/>
                <w:szCs w:val="24"/>
              </w:rPr>
            </w:pPr>
            <w:r w:rsidRPr="000D2486">
              <w:rPr>
                <w:rFonts w:ascii="Times New Roman" w:hAnsi="Times New Roman" w:cs="Times New Roman"/>
                <w:b/>
                <w:bCs/>
                <w:sz w:val="24"/>
                <w:szCs w:val="24"/>
              </w:rPr>
              <w:t>(</w:t>
            </w:r>
            <w:proofErr w:type="spellStart"/>
            <w:r w:rsidRPr="000D2486">
              <w:rPr>
                <w:rFonts w:ascii="Times New Roman" w:hAnsi="Times New Roman" w:cs="Times New Roman"/>
                <w:b/>
                <w:bCs/>
                <w:sz w:val="24"/>
                <w:szCs w:val="24"/>
              </w:rPr>
              <w:t>cfu</w:t>
            </w:r>
            <w:proofErr w:type="spellEnd"/>
            <w:r w:rsidRPr="000D2486">
              <w:rPr>
                <w:rFonts w:ascii="Times New Roman" w:hAnsi="Times New Roman" w:cs="Times New Roman"/>
                <w:b/>
                <w:bCs/>
                <w:sz w:val="24"/>
                <w:szCs w:val="24"/>
              </w:rPr>
              <w:t>/100ml)</w:t>
            </w:r>
          </w:p>
          <w:p w:rsidR="000D2486" w:rsidRPr="000D2486" w:rsidRDefault="000D2486" w:rsidP="0030678D">
            <w:pPr>
              <w:spacing w:after="0"/>
              <w:jc w:val="center"/>
              <w:rPr>
                <w:rFonts w:ascii="Times New Roman" w:hAnsi="Times New Roman" w:cs="Times New Roman"/>
                <w:b/>
                <w:bCs/>
                <w:sz w:val="24"/>
                <w:szCs w:val="24"/>
              </w:rPr>
            </w:pPr>
            <w:r w:rsidRPr="000D2486">
              <w:rPr>
                <w:rFonts w:ascii="Times New Roman" w:hAnsi="Times New Roman" w:cs="Times New Roman"/>
                <w:b/>
                <w:bCs/>
                <w:sz w:val="24"/>
                <w:szCs w:val="24"/>
              </w:rPr>
              <w:t>Method: APHA 9222A</w:t>
            </w:r>
          </w:p>
        </w:tc>
        <w:tc>
          <w:tcPr>
            <w:tcW w:w="3113" w:type="dxa"/>
          </w:tcPr>
          <w:p w:rsidR="000D2486" w:rsidRPr="000D2486" w:rsidRDefault="000D2486" w:rsidP="0030678D">
            <w:pPr>
              <w:spacing w:after="0"/>
              <w:jc w:val="center"/>
              <w:rPr>
                <w:rFonts w:ascii="Times New Roman" w:hAnsi="Times New Roman" w:cs="Times New Roman"/>
                <w:b/>
                <w:bCs/>
                <w:i/>
                <w:iCs/>
                <w:sz w:val="24"/>
                <w:szCs w:val="24"/>
              </w:rPr>
            </w:pPr>
            <w:r w:rsidRPr="000D2486">
              <w:rPr>
                <w:rFonts w:ascii="Times New Roman" w:hAnsi="Times New Roman" w:cs="Times New Roman"/>
                <w:b/>
                <w:bCs/>
                <w:i/>
                <w:iCs/>
                <w:sz w:val="24"/>
                <w:szCs w:val="24"/>
              </w:rPr>
              <w:t>E. Coli</w:t>
            </w:r>
          </w:p>
          <w:p w:rsidR="000D2486" w:rsidRPr="000D2486" w:rsidRDefault="000D2486" w:rsidP="0030678D">
            <w:pPr>
              <w:spacing w:after="0"/>
              <w:jc w:val="center"/>
              <w:rPr>
                <w:rFonts w:ascii="Times New Roman" w:hAnsi="Times New Roman" w:cs="Times New Roman"/>
                <w:b/>
                <w:bCs/>
                <w:sz w:val="24"/>
                <w:szCs w:val="24"/>
              </w:rPr>
            </w:pPr>
            <w:r w:rsidRPr="000D2486">
              <w:rPr>
                <w:rFonts w:ascii="Times New Roman" w:hAnsi="Times New Roman" w:cs="Times New Roman"/>
                <w:b/>
                <w:bCs/>
                <w:sz w:val="24"/>
                <w:szCs w:val="24"/>
              </w:rPr>
              <w:t>(</w:t>
            </w:r>
            <w:proofErr w:type="spellStart"/>
            <w:r w:rsidRPr="000D2486">
              <w:rPr>
                <w:rFonts w:ascii="Times New Roman" w:hAnsi="Times New Roman" w:cs="Times New Roman"/>
                <w:b/>
                <w:bCs/>
                <w:sz w:val="24"/>
                <w:szCs w:val="24"/>
              </w:rPr>
              <w:t>cfu</w:t>
            </w:r>
            <w:proofErr w:type="spellEnd"/>
            <w:r w:rsidRPr="000D2486">
              <w:rPr>
                <w:rFonts w:ascii="Times New Roman" w:hAnsi="Times New Roman" w:cs="Times New Roman"/>
                <w:b/>
                <w:bCs/>
                <w:sz w:val="24"/>
                <w:szCs w:val="24"/>
              </w:rPr>
              <w:t>/100ml)</w:t>
            </w:r>
          </w:p>
          <w:p w:rsidR="000D2486" w:rsidRPr="000D2486" w:rsidRDefault="000D2486" w:rsidP="0030678D">
            <w:pPr>
              <w:spacing w:after="0"/>
              <w:jc w:val="center"/>
              <w:rPr>
                <w:rFonts w:ascii="Times New Roman" w:hAnsi="Times New Roman" w:cs="Times New Roman"/>
                <w:b/>
                <w:bCs/>
                <w:sz w:val="24"/>
                <w:szCs w:val="24"/>
              </w:rPr>
            </w:pPr>
            <w:r w:rsidRPr="000D2486">
              <w:rPr>
                <w:rFonts w:ascii="Times New Roman" w:hAnsi="Times New Roman" w:cs="Times New Roman"/>
                <w:b/>
                <w:bCs/>
                <w:sz w:val="24"/>
                <w:szCs w:val="24"/>
              </w:rPr>
              <w:t>Method: APHA 9260F</w:t>
            </w:r>
          </w:p>
        </w:tc>
      </w:tr>
      <w:tr w:rsidR="000D2486" w:rsidRPr="000D2486" w:rsidTr="008F6803">
        <w:tc>
          <w:tcPr>
            <w:tcW w:w="3124" w:type="dxa"/>
          </w:tcPr>
          <w:p w:rsidR="000D2486" w:rsidRPr="000D2486" w:rsidRDefault="000D2486" w:rsidP="000D2486">
            <w:pPr>
              <w:rPr>
                <w:rFonts w:ascii="Times New Roman" w:hAnsi="Times New Roman" w:cs="Times New Roman"/>
                <w:b/>
                <w:bCs/>
                <w:sz w:val="24"/>
                <w:szCs w:val="24"/>
              </w:rPr>
            </w:pPr>
            <w:r w:rsidRPr="000D2486">
              <w:rPr>
                <w:rFonts w:ascii="Times New Roman" w:hAnsi="Times New Roman" w:cs="Times New Roman"/>
                <w:b/>
                <w:bCs/>
                <w:sz w:val="24"/>
                <w:szCs w:val="24"/>
              </w:rPr>
              <w:t>Effluent 1</w:t>
            </w:r>
          </w:p>
        </w:tc>
        <w:tc>
          <w:tcPr>
            <w:tcW w:w="3113" w:type="dxa"/>
          </w:tcPr>
          <w:p w:rsidR="000D2486" w:rsidRPr="000D2486" w:rsidRDefault="000D2486" w:rsidP="000D2486">
            <w:pPr>
              <w:jc w:val="center"/>
              <w:rPr>
                <w:rFonts w:ascii="Times New Roman" w:hAnsi="Times New Roman" w:cs="Times New Roman"/>
                <w:sz w:val="24"/>
                <w:szCs w:val="24"/>
              </w:rPr>
            </w:pPr>
            <w:r w:rsidRPr="000D2486">
              <w:rPr>
                <w:rFonts w:ascii="Times New Roman" w:hAnsi="Times New Roman" w:cs="Times New Roman"/>
                <w:sz w:val="24"/>
                <w:szCs w:val="24"/>
              </w:rPr>
              <w:t>1116 x 10</w:t>
            </w:r>
            <w:r w:rsidRPr="000D2486">
              <w:rPr>
                <w:rFonts w:ascii="Times New Roman" w:hAnsi="Times New Roman" w:cs="Times New Roman"/>
                <w:sz w:val="24"/>
                <w:szCs w:val="24"/>
                <w:vertAlign w:val="superscript"/>
              </w:rPr>
              <w:t>3</w:t>
            </w:r>
          </w:p>
        </w:tc>
        <w:tc>
          <w:tcPr>
            <w:tcW w:w="3113" w:type="dxa"/>
          </w:tcPr>
          <w:p w:rsidR="000D2486" w:rsidRPr="000D2486" w:rsidRDefault="000D2486" w:rsidP="000D2486">
            <w:pPr>
              <w:jc w:val="center"/>
              <w:rPr>
                <w:rFonts w:ascii="Times New Roman" w:hAnsi="Times New Roman" w:cs="Times New Roman"/>
                <w:sz w:val="24"/>
                <w:szCs w:val="24"/>
              </w:rPr>
            </w:pPr>
            <w:r w:rsidRPr="000D2486">
              <w:rPr>
                <w:rFonts w:ascii="Times New Roman" w:hAnsi="Times New Roman" w:cs="Times New Roman"/>
                <w:sz w:val="24"/>
                <w:szCs w:val="24"/>
              </w:rPr>
              <w:t>76 x 10</w:t>
            </w:r>
            <w:r w:rsidRPr="000D2486">
              <w:rPr>
                <w:rFonts w:ascii="Times New Roman" w:hAnsi="Times New Roman" w:cs="Times New Roman"/>
                <w:sz w:val="24"/>
                <w:szCs w:val="24"/>
                <w:vertAlign w:val="superscript"/>
              </w:rPr>
              <w:t>3</w:t>
            </w:r>
          </w:p>
        </w:tc>
      </w:tr>
      <w:tr w:rsidR="000D2486" w:rsidRPr="000D2486" w:rsidTr="008F6803">
        <w:tc>
          <w:tcPr>
            <w:tcW w:w="3124" w:type="dxa"/>
          </w:tcPr>
          <w:p w:rsidR="000D2486" w:rsidRPr="000D2486" w:rsidRDefault="000D2486" w:rsidP="000D2486">
            <w:pPr>
              <w:rPr>
                <w:rFonts w:ascii="Times New Roman" w:hAnsi="Times New Roman" w:cs="Times New Roman"/>
                <w:b/>
                <w:bCs/>
                <w:sz w:val="24"/>
                <w:szCs w:val="24"/>
              </w:rPr>
            </w:pPr>
            <w:r w:rsidRPr="000D2486">
              <w:rPr>
                <w:rFonts w:ascii="Times New Roman" w:hAnsi="Times New Roman" w:cs="Times New Roman"/>
                <w:b/>
                <w:bCs/>
                <w:sz w:val="24"/>
                <w:szCs w:val="24"/>
              </w:rPr>
              <w:t>Effluent 2</w:t>
            </w:r>
          </w:p>
        </w:tc>
        <w:tc>
          <w:tcPr>
            <w:tcW w:w="3113" w:type="dxa"/>
          </w:tcPr>
          <w:p w:rsidR="000D2486" w:rsidRPr="000D2486" w:rsidRDefault="000D2486" w:rsidP="000D2486">
            <w:pPr>
              <w:jc w:val="center"/>
              <w:rPr>
                <w:rFonts w:ascii="Times New Roman" w:hAnsi="Times New Roman" w:cs="Times New Roman"/>
                <w:sz w:val="24"/>
                <w:szCs w:val="24"/>
              </w:rPr>
            </w:pPr>
            <w:r w:rsidRPr="000D2486">
              <w:rPr>
                <w:rFonts w:ascii="Times New Roman" w:hAnsi="Times New Roman" w:cs="Times New Roman"/>
                <w:sz w:val="24"/>
                <w:szCs w:val="24"/>
              </w:rPr>
              <w:t>984 x 10</w:t>
            </w:r>
            <w:r w:rsidRPr="000D2486">
              <w:rPr>
                <w:rFonts w:ascii="Times New Roman" w:hAnsi="Times New Roman" w:cs="Times New Roman"/>
                <w:sz w:val="24"/>
                <w:szCs w:val="24"/>
                <w:vertAlign w:val="superscript"/>
              </w:rPr>
              <w:t>3</w:t>
            </w:r>
          </w:p>
        </w:tc>
        <w:tc>
          <w:tcPr>
            <w:tcW w:w="3113" w:type="dxa"/>
          </w:tcPr>
          <w:p w:rsidR="000D2486" w:rsidRPr="000D2486" w:rsidRDefault="000D2486" w:rsidP="000D2486">
            <w:pPr>
              <w:jc w:val="center"/>
              <w:rPr>
                <w:rFonts w:ascii="Times New Roman" w:hAnsi="Times New Roman" w:cs="Times New Roman"/>
                <w:sz w:val="24"/>
                <w:szCs w:val="24"/>
              </w:rPr>
            </w:pPr>
            <w:r w:rsidRPr="000D2486">
              <w:rPr>
                <w:rFonts w:ascii="Times New Roman" w:hAnsi="Times New Roman" w:cs="Times New Roman"/>
                <w:sz w:val="24"/>
                <w:szCs w:val="24"/>
              </w:rPr>
              <w:t>84 x 10</w:t>
            </w:r>
            <w:r w:rsidRPr="000D2486">
              <w:rPr>
                <w:rFonts w:ascii="Times New Roman" w:hAnsi="Times New Roman" w:cs="Times New Roman"/>
                <w:sz w:val="24"/>
                <w:szCs w:val="24"/>
                <w:vertAlign w:val="superscript"/>
              </w:rPr>
              <w:t>3</w:t>
            </w:r>
          </w:p>
        </w:tc>
      </w:tr>
      <w:tr w:rsidR="000D2486" w:rsidRPr="000D2486" w:rsidTr="008F6803">
        <w:tc>
          <w:tcPr>
            <w:tcW w:w="3124" w:type="dxa"/>
          </w:tcPr>
          <w:p w:rsidR="000D2486" w:rsidRPr="000D2486" w:rsidRDefault="000D2486" w:rsidP="000D2486">
            <w:pPr>
              <w:rPr>
                <w:rFonts w:ascii="Times New Roman" w:hAnsi="Times New Roman" w:cs="Times New Roman"/>
                <w:b/>
                <w:bCs/>
                <w:sz w:val="24"/>
                <w:szCs w:val="24"/>
              </w:rPr>
            </w:pPr>
            <w:r w:rsidRPr="000D2486">
              <w:rPr>
                <w:rFonts w:ascii="Times New Roman" w:hAnsi="Times New Roman" w:cs="Times New Roman"/>
                <w:b/>
                <w:bCs/>
                <w:sz w:val="24"/>
                <w:szCs w:val="24"/>
              </w:rPr>
              <w:t>Effluent 3</w:t>
            </w:r>
          </w:p>
        </w:tc>
        <w:tc>
          <w:tcPr>
            <w:tcW w:w="3113" w:type="dxa"/>
          </w:tcPr>
          <w:p w:rsidR="000D2486" w:rsidRPr="000D2486" w:rsidRDefault="000D2486" w:rsidP="000D2486">
            <w:pPr>
              <w:jc w:val="center"/>
              <w:rPr>
                <w:rFonts w:ascii="Times New Roman" w:hAnsi="Times New Roman" w:cs="Times New Roman"/>
                <w:sz w:val="24"/>
                <w:szCs w:val="24"/>
              </w:rPr>
            </w:pPr>
            <w:r w:rsidRPr="000D2486">
              <w:rPr>
                <w:rFonts w:ascii="Times New Roman" w:hAnsi="Times New Roman" w:cs="Times New Roman"/>
                <w:sz w:val="24"/>
                <w:szCs w:val="24"/>
              </w:rPr>
              <w:t>2016 x 10</w:t>
            </w:r>
            <w:r w:rsidRPr="000D2486">
              <w:rPr>
                <w:rFonts w:ascii="Times New Roman" w:hAnsi="Times New Roman" w:cs="Times New Roman"/>
                <w:sz w:val="24"/>
                <w:szCs w:val="24"/>
                <w:vertAlign w:val="superscript"/>
              </w:rPr>
              <w:t>3</w:t>
            </w:r>
          </w:p>
        </w:tc>
        <w:tc>
          <w:tcPr>
            <w:tcW w:w="3113" w:type="dxa"/>
          </w:tcPr>
          <w:p w:rsidR="000D2486" w:rsidRPr="000D2486" w:rsidRDefault="000D2486" w:rsidP="000D2486">
            <w:pPr>
              <w:jc w:val="center"/>
              <w:rPr>
                <w:rFonts w:ascii="Times New Roman" w:hAnsi="Times New Roman" w:cs="Times New Roman"/>
                <w:sz w:val="24"/>
                <w:szCs w:val="24"/>
              </w:rPr>
            </w:pPr>
            <w:r w:rsidRPr="000D2486">
              <w:rPr>
                <w:rFonts w:ascii="Times New Roman" w:hAnsi="Times New Roman" w:cs="Times New Roman"/>
                <w:sz w:val="24"/>
                <w:szCs w:val="24"/>
              </w:rPr>
              <w:t>114 x 10</w:t>
            </w:r>
            <w:r w:rsidRPr="000D2486">
              <w:rPr>
                <w:rFonts w:ascii="Times New Roman" w:hAnsi="Times New Roman" w:cs="Times New Roman"/>
                <w:sz w:val="24"/>
                <w:szCs w:val="24"/>
                <w:vertAlign w:val="superscript"/>
              </w:rPr>
              <w:t>3</w:t>
            </w:r>
          </w:p>
        </w:tc>
      </w:tr>
      <w:tr w:rsidR="000D2486" w:rsidRPr="000D2486" w:rsidTr="008F6803">
        <w:tc>
          <w:tcPr>
            <w:tcW w:w="3124" w:type="dxa"/>
          </w:tcPr>
          <w:p w:rsidR="000D2486" w:rsidRPr="000D2486" w:rsidRDefault="000D2486" w:rsidP="000D2486">
            <w:pPr>
              <w:rPr>
                <w:rFonts w:ascii="Times New Roman" w:hAnsi="Times New Roman" w:cs="Times New Roman"/>
                <w:b/>
                <w:bCs/>
                <w:sz w:val="24"/>
                <w:szCs w:val="24"/>
              </w:rPr>
            </w:pPr>
            <w:r w:rsidRPr="000D2486">
              <w:rPr>
                <w:rFonts w:ascii="Times New Roman" w:hAnsi="Times New Roman" w:cs="Times New Roman"/>
                <w:b/>
                <w:bCs/>
                <w:sz w:val="24"/>
                <w:szCs w:val="24"/>
              </w:rPr>
              <w:t>Effluent 4</w:t>
            </w:r>
          </w:p>
        </w:tc>
        <w:tc>
          <w:tcPr>
            <w:tcW w:w="3113" w:type="dxa"/>
          </w:tcPr>
          <w:p w:rsidR="000D2486" w:rsidRPr="000D2486" w:rsidRDefault="000D2486" w:rsidP="000D2486">
            <w:pPr>
              <w:jc w:val="center"/>
              <w:rPr>
                <w:rFonts w:ascii="Times New Roman" w:hAnsi="Times New Roman" w:cs="Times New Roman"/>
                <w:sz w:val="24"/>
                <w:szCs w:val="24"/>
              </w:rPr>
            </w:pPr>
            <w:r w:rsidRPr="000D2486">
              <w:rPr>
                <w:rFonts w:ascii="Times New Roman" w:hAnsi="Times New Roman" w:cs="Times New Roman"/>
                <w:sz w:val="24"/>
                <w:szCs w:val="24"/>
              </w:rPr>
              <w:t>1841 x 10</w:t>
            </w:r>
            <w:r w:rsidRPr="000D2486">
              <w:rPr>
                <w:rFonts w:ascii="Times New Roman" w:hAnsi="Times New Roman" w:cs="Times New Roman"/>
                <w:sz w:val="24"/>
                <w:szCs w:val="24"/>
                <w:vertAlign w:val="superscript"/>
              </w:rPr>
              <w:t>3</w:t>
            </w:r>
          </w:p>
        </w:tc>
        <w:tc>
          <w:tcPr>
            <w:tcW w:w="3113" w:type="dxa"/>
          </w:tcPr>
          <w:p w:rsidR="000D2486" w:rsidRPr="000D2486" w:rsidRDefault="000D2486" w:rsidP="000D2486">
            <w:pPr>
              <w:jc w:val="center"/>
              <w:rPr>
                <w:rFonts w:ascii="Times New Roman" w:hAnsi="Times New Roman" w:cs="Times New Roman"/>
                <w:sz w:val="24"/>
                <w:szCs w:val="24"/>
              </w:rPr>
            </w:pPr>
            <w:proofErr w:type="gramStart"/>
            <w:r w:rsidRPr="000D2486">
              <w:rPr>
                <w:rFonts w:ascii="Times New Roman" w:hAnsi="Times New Roman" w:cs="Times New Roman"/>
                <w:sz w:val="24"/>
                <w:szCs w:val="24"/>
              </w:rPr>
              <w:t>91  x</w:t>
            </w:r>
            <w:proofErr w:type="gramEnd"/>
            <w:r w:rsidRPr="000D2486">
              <w:rPr>
                <w:rFonts w:ascii="Times New Roman" w:hAnsi="Times New Roman" w:cs="Times New Roman"/>
                <w:sz w:val="24"/>
                <w:szCs w:val="24"/>
              </w:rPr>
              <w:t xml:space="preserve"> 10</w:t>
            </w:r>
            <w:r w:rsidRPr="000D2486">
              <w:rPr>
                <w:rFonts w:ascii="Times New Roman" w:hAnsi="Times New Roman" w:cs="Times New Roman"/>
                <w:sz w:val="24"/>
                <w:szCs w:val="24"/>
                <w:vertAlign w:val="superscript"/>
              </w:rPr>
              <w:t>3</w:t>
            </w:r>
          </w:p>
        </w:tc>
      </w:tr>
      <w:tr w:rsidR="000D2486" w:rsidRPr="000D2486" w:rsidTr="008F6803">
        <w:tc>
          <w:tcPr>
            <w:tcW w:w="3124" w:type="dxa"/>
          </w:tcPr>
          <w:p w:rsidR="000D2486" w:rsidRPr="000D2486" w:rsidRDefault="000D2486" w:rsidP="000D2486">
            <w:pPr>
              <w:rPr>
                <w:rFonts w:ascii="Times New Roman" w:hAnsi="Times New Roman" w:cs="Times New Roman"/>
                <w:b/>
                <w:bCs/>
                <w:sz w:val="24"/>
                <w:szCs w:val="24"/>
              </w:rPr>
            </w:pPr>
            <w:r w:rsidRPr="000D2486">
              <w:rPr>
                <w:rFonts w:ascii="Times New Roman" w:hAnsi="Times New Roman" w:cs="Times New Roman"/>
                <w:b/>
                <w:bCs/>
                <w:sz w:val="24"/>
                <w:szCs w:val="24"/>
              </w:rPr>
              <w:t>EPA Ghana maximum permissible levels</w:t>
            </w:r>
          </w:p>
        </w:tc>
        <w:tc>
          <w:tcPr>
            <w:tcW w:w="3113" w:type="dxa"/>
          </w:tcPr>
          <w:p w:rsidR="000D2486" w:rsidRPr="000D2486" w:rsidRDefault="000D2486" w:rsidP="000D2486">
            <w:pPr>
              <w:jc w:val="center"/>
              <w:rPr>
                <w:rFonts w:ascii="Times New Roman" w:hAnsi="Times New Roman" w:cs="Times New Roman"/>
                <w:b/>
                <w:bCs/>
                <w:sz w:val="24"/>
                <w:szCs w:val="24"/>
              </w:rPr>
            </w:pPr>
            <w:r w:rsidRPr="000D2486">
              <w:rPr>
                <w:rFonts w:ascii="Times New Roman" w:hAnsi="Times New Roman" w:cs="Times New Roman"/>
                <w:b/>
                <w:bCs/>
                <w:sz w:val="24"/>
                <w:szCs w:val="24"/>
              </w:rPr>
              <w:t>400</w:t>
            </w:r>
          </w:p>
        </w:tc>
        <w:tc>
          <w:tcPr>
            <w:tcW w:w="3113" w:type="dxa"/>
          </w:tcPr>
          <w:p w:rsidR="000D2486" w:rsidRPr="000D2486" w:rsidRDefault="000D2486" w:rsidP="000D2486">
            <w:pPr>
              <w:jc w:val="center"/>
              <w:rPr>
                <w:rFonts w:ascii="Times New Roman" w:hAnsi="Times New Roman" w:cs="Times New Roman"/>
                <w:b/>
                <w:bCs/>
                <w:sz w:val="24"/>
                <w:szCs w:val="24"/>
              </w:rPr>
            </w:pPr>
            <w:r w:rsidRPr="000D2486">
              <w:rPr>
                <w:rFonts w:ascii="Times New Roman" w:hAnsi="Times New Roman" w:cs="Times New Roman"/>
                <w:b/>
                <w:bCs/>
                <w:sz w:val="24"/>
                <w:szCs w:val="24"/>
              </w:rPr>
              <w:t>10</w:t>
            </w:r>
          </w:p>
        </w:tc>
      </w:tr>
    </w:tbl>
    <w:p w:rsidR="000D2486" w:rsidRDefault="000D2486" w:rsidP="0030678D">
      <w:pPr>
        <w:spacing w:after="0"/>
        <w:jc w:val="both"/>
        <w:rPr>
          <w:rFonts w:ascii="Times New Roman" w:hAnsi="Times New Roman" w:cs="Times New Roman"/>
          <w:i/>
          <w:iCs/>
          <w:sz w:val="24"/>
          <w:szCs w:val="24"/>
        </w:rPr>
      </w:pPr>
      <w:r w:rsidRPr="000D2486">
        <w:rPr>
          <w:rFonts w:ascii="Times New Roman" w:hAnsi="Times New Roman" w:cs="Times New Roman"/>
          <w:b/>
          <w:bCs/>
          <w:i/>
          <w:iCs/>
          <w:sz w:val="24"/>
          <w:szCs w:val="24"/>
        </w:rPr>
        <w:t xml:space="preserve">Table </w:t>
      </w:r>
      <w:r w:rsidRPr="000D2486">
        <w:rPr>
          <w:rFonts w:ascii="Times New Roman" w:hAnsi="Times New Roman" w:cs="Times New Roman"/>
          <w:b/>
          <w:bCs/>
          <w:i/>
          <w:iCs/>
          <w:sz w:val="24"/>
          <w:szCs w:val="24"/>
        </w:rPr>
        <w:fldChar w:fldCharType="begin"/>
      </w:r>
      <w:r w:rsidRPr="000D2486">
        <w:rPr>
          <w:rFonts w:ascii="Times New Roman" w:hAnsi="Times New Roman" w:cs="Times New Roman"/>
          <w:b/>
          <w:bCs/>
          <w:i/>
          <w:iCs/>
          <w:sz w:val="24"/>
          <w:szCs w:val="24"/>
        </w:rPr>
        <w:instrText xml:space="preserve"> SEQ Table \* ARABIC </w:instrText>
      </w:r>
      <w:r w:rsidRPr="000D2486">
        <w:rPr>
          <w:rFonts w:ascii="Times New Roman" w:hAnsi="Times New Roman" w:cs="Times New Roman"/>
          <w:b/>
          <w:bCs/>
          <w:i/>
          <w:iCs/>
          <w:sz w:val="24"/>
          <w:szCs w:val="24"/>
        </w:rPr>
        <w:fldChar w:fldCharType="separate"/>
      </w:r>
      <w:r w:rsidRPr="000D2486">
        <w:rPr>
          <w:rFonts w:ascii="Times New Roman" w:hAnsi="Times New Roman" w:cs="Times New Roman"/>
          <w:b/>
          <w:bCs/>
          <w:i/>
          <w:iCs/>
          <w:noProof/>
          <w:sz w:val="24"/>
          <w:szCs w:val="24"/>
        </w:rPr>
        <w:t>1</w:t>
      </w:r>
      <w:r w:rsidRPr="000D2486">
        <w:rPr>
          <w:rFonts w:ascii="Times New Roman" w:hAnsi="Times New Roman" w:cs="Times New Roman"/>
          <w:b/>
          <w:bCs/>
          <w:i/>
          <w:iCs/>
          <w:sz w:val="24"/>
          <w:szCs w:val="24"/>
        </w:rPr>
        <w:fldChar w:fldCharType="end"/>
      </w:r>
      <w:r w:rsidRPr="000D2486">
        <w:rPr>
          <w:rFonts w:ascii="Times New Roman" w:hAnsi="Times New Roman" w:cs="Times New Roman"/>
          <w:b/>
          <w:bCs/>
          <w:i/>
          <w:iCs/>
          <w:sz w:val="24"/>
          <w:szCs w:val="24"/>
        </w:rPr>
        <w:t>:</w:t>
      </w:r>
      <w:r w:rsidRPr="000D2486">
        <w:rPr>
          <w:rFonts w:ascii="Times New Roman" w:hAnsi="Times New Roman" w:cs="Times New Roman"/>
          <w:i/>
          <w:iCs/>
          <w:sz w:val="24"/>
          <w:szCs w:val="24"/>
        </w:rPr>
        <w:t xml:space="preserve">  Levels of Coliform and E-coli in water samples</w:t>
      </w:r>
    </w:p>
    <w:p w:rsidR="0030678D" w:rsidRPr="000D2486" w:rsidRDefault="0030678D" w:rsidP="0030678D">
      <w:pPr>
        <w:spacing w:after="0"/>
        <w:jc w:val="both"/>
        <w:rPr>
          <w:rFonts w:ascii="Times New Roman" w:hAnsi="Times New Roman" w:cs="Times New Roman"/>
          <w:i/>
          <w:iCs/>
          <w:sz w:val="24"/>
          <w:szCs w:val="24"/>
        </w:rPr>
      </w:pPr>
      <w:r w:rsidRPr="0030678D">
        <w:rPr>
          <w:rFonts w:ascii="Times New Roman" w:hAnsi="Times New Roman" w:cs="Times New Roman"/>
          <w:b/>
          <w:bCs/>
          <w:i/>
          <w:iCs/>
          <w:sz w:val="24"/>
          <w:szCs w:val="24"/>
        </w:rPr>
        <w:t>Source:</w:t>
      </w:r>
      <w:r>
        <w:rPr>
          <w:rFonts w:ascii="Times New Roman" w:hAnsi="Times New Roman" w:cs="Times New Roman"/>
          <w:i/>
          <w:iCs/>
          <w:sz w:val="24"/>
          <w:szCs w:val="24"/>
        </w:rPr>
        <w:t xml:space="preserve"> Author Construct</w:t>
      </w:r>
    </w:p>
    <w:p w:rsidR="0030678D" w:rsidRDefault="0030678D" w:rsidP="000D2486">
      <w:pPr>
        <w:jc w:val="both"/>
        <w:rPr>
          <w:rFonts w:ascii="Times New Roman" w:hAnsi="Times New Roman" w:cs="Times New Roman"/>
          <w:sz w:val="24"/>
          <w:szCs w:val="24"/>
        </w:rPr>
      </w:pP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The levels of coliform in all water samples exceeded the EPA Ghana permissible levels. The total coliform bacteria test is the most fundamental method for determining whether a water supply is contaminated by bacteria (McCall, 2017). Total coliform counts provide a broad picture of how hygienic a water source is. Bacteria that are present in soil, water that has been impacted by surface water, and human or animal feces are all considered to be total coliforms. If your water has 1 or more Total Coliforms present, the water is not suitable for drinking. However, the EPA Ghana has a permissible level of 400cfu/100ml of water. Water samples from all 4 car washing centers had levels of Coliform way higher than the EPA permissible levels. Sample 1 had a total of 1116 x 10</w:t>
      </w:r>
      <w:r w:rsidRPr="000D2486">
        <w:rPr>
          <w:rFonts w:ascii="Times New Roman" w:hAnsi="Times New Roman" w:cs="Times New Roman"/>
          <w:sz w:val="24"/>
          <w:szCs w:val="24"/>
          <w:vertAlign w:val="superscript"/>
        </w:rPr>
        <w:t xml:space="preserve">3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 sample 2 contained 984 x 10</w:t>
      </w:r>
      <w:r w:rsidRPr="000D2486">
        <w:rPr>
          <w:rFonts w:ascii="Times New Roman" w:hAnsi="Times New Roman" w:cs="Times New Roman"/>
          <w:sz w:val="24"/>
          <w:szCs w:val="24"/>
          <w:vertAlign w:val="superscript"/>
        </w:rPr>
        <w:t xml:space="preserve">3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 sample 3 contained 2016 x 10</w:t>
      </w:r>
      <w:r w:rsidRPr="000D2486">
        <w:rPr>
          <w:rFonts w:ascii="Times New Roman" w:hAnsi="Times New Roman" w:cs="Times New Roman"/>
          <w:sz w:val="24"/>
          <w:szCs w:val="24"/>
          <w:vertAlign w:val="superscript"/>
        </w:rPr>
        <w:t xml:space="preserve">3 </w:t>
      </w:r>
      <w:r w:rsidRPr="000D2486">
        <w:rPr>
          <w:rFonts w:ascii="Times New Roman" w:hAnsi="Times New Roman" w:cs="Times New Roman"/>
          <w:sz w:val="24"/>
          <w:szCs w:val="24"/>
        </w:rPr>
        <w:t>and sample 4 contained 1841 x 10</w:t>
      </w:r>
      <w:r w:rsidRPr="000D2486">
        <w:rPr>
          <w:rFonts w:ascii="Times New Roman" w:hAnsi="Times New Roman" w:cs="Times New Roman"/>
          <w:sz w:val="24"/>
          <w:szCs w:val="24"/>
          <w:vertAlign w:val="superscript"/>
        </w:rPr>
        <w:t xml:space="preserve">3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 xml:space="preserve"> per 100ml of water.</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 xml:space="preserve">One kind of </w:t>
      </w:r>
      <w:proofErr w:type="spellStart"/>
      <w:r w:rsidRPr="000D2486">
        <w:rPr>
          <w:rFonts w:ascii="Times New Roman" w:hAnsi="Times New Roman" w:cs="Times New Roman"/>
          <w:sz w:val="24"/>
          <w:szCs w:val="24"/>
        </w:rPr>
        <w:t>faecal</w:t>
      </w:r>
      <w:proofErr w:type="spellEnd"/>
      <w:r w:rsidRPr="000D2486">
        <w:rPr>
          <w:rFonts w:ascii="Times New Roman" w:hAnsi="Times New Roman" w:cs="Times New Roman"/>
          <w:sz w:val="24"/>
          <w:szCs w:val="24"/>
        </w:rPr>
        <w:t xml:space="preserve"> coliform bacterium that is frequently discovered in both animal and human intestines is E. coli. Escherichia coli is abbreviated as E. coli. E. Coli contamination of water is a clear sign of recent sewage or animal waste contamination. Numerous kinds of disease-causing microbes have been found in sewage. The waste water samples were also found to contain levels of </w:t>
      </w:r>
      <w:r w:rsidRPr="000D2486">
        <w:rPr>
          <w:rFonts w:ascii="Times New Roman" w:hAnsi="Times New Roman" w:cs="Times New Roman"/>
          <w:i/>
          <w:iCs/>
          <w:sz w:val="24"/>
          <w:szCs w:val="24"/>
        </w:rPr>
        <w:t xml:space="preserve">E -coli </w:t>
      </w:r>
      <w:r w:rsidRPr="000D2486">
        <w:rPr>
          <w:rFonts w:ascii="Times New Roman" w:hAnsi="Times New Roman" w:cs="Times New Roman"/>
          <w:sz w:val="24"/>
          <w:szCs w:val="24"/>
        </w:rPr>
        <w:t>higher than the permissible levels of EPA Ghana of 10cfu/100ml of water. Waste Water sample 1 was contaminated with a total of 76 x 10</w:t>
      </w:r>
      <w:r w:rsidRPr="000D2486">
        <w:rPr>
          <w:rFonts w:ascii="Times New Roman" w:hAnsi="Times New Roman" w:cs="Times New Roman"/>
          <w:sz w:val="24"/>
          <w:szCs w:val="24"/>
          <w:vertAlign w:val="superscript"/>
        </w:rPr>
        <w:t xml:space="preserve">3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/100ml, sample 2 contained 84 x 10</w:t>
      </w:r>
      <w:r w:rsidRPr="000D2486">
        <w:rPr>
          <w:rFonts w:ascii="Times New Roman" w:hAnsi="Times New Roman" w:cs="Times New Roman"/>
          <w:sz w:val="24"/>
          <w:szCs w:val="24"/>
          <w:vertAlign w:val="superscript"/>
        </w:rPr>
        <w:t>3</w:t>
      </w:r>
      <w:r w:rsidRPr="000D2486">
        <w:rPr>
          <w:rFonts w:ascii="Times New Roman" w:hAnsi="Times New Roman" w:cs="Times New Roman"/>
          <w:sz w:val="24"/>
          <w:szCs w:val="24"/>
        </w:rPr>
        <w:t xml:space="preserve">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/100ml, sample 3 contained 114 x 10</w:t>
      </w:r>
      <w:r w:rsidRPr="000D2486">
        <w:rPr>
          <w:rFonts w:ascii="Times New Roman" w:hAnsi="Times New Roman" w:cs="Times New Roman"/>
          <w:sz w:val="24"/>
          <w:szCs w:val="24"/>
          <w:vertAlign w:val="superscript"/>
        </w:rPr>
        <w:t xml:space="preserve">3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/100ml and sample 4 contained 91 x 10</w:t>
      </w:r>
      <w:r w:rsidRPr="000D2486">
        <w:rPr>
          <w:rFonts w:ascii="Times New Roman" w:hAnsi="Times New Roman" w:cs="Times New Roman"/>
          <w:sz w:val="24"/>
          <w:szCs w:val="24"/>
          <w:vertAlign w:val="superscript"/>
        </w:rPr>
        <w:t xml:space="preserve">3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/100ml of water.</w:t>
      </w:r>
    </w:p>
    <w:p w:rsidR="000D2486" w:rsidRPr="000D2486" w:rsidRDefault="000D2486" w:rsidP="000D2486">
      <w:pPr>
        <w:jc w:val="both"/>
        <w:rPr>
          <w:rFonts w:ascii="Times New Roman" w:hAnsi="Times New Roman" w:cs="Times New Roman"/>
          <w:b/>
          <w:bCs/>
          <w:sz w:val="24"/>
          <w:szCs w:val="24"/>
        </w:rPr>
      </w:pPr>
      <w:r w:rsidRPr="000D2486">
        <w:rPr>
          <w:rFonts w:ascii="Times New Roman" w:hAnsi="Times New Roman" w:cs="Times New Roman"/>
          <w:b/>
          <w:bCs/>
          <w:sz w:val="24"/>
          <w:szCs w:val="24"/>
        </w:rPr>
        <w:t>4.</w:t>
      </w:r>
      <w:r w:rsidR="00BC3BD6">
        <w:rPr>
          <w:rFonts w:ascii="Times New Roman" w:hAnsi="Times New Roman" w:cs="Times New Roman"/>
          <w:b/>
          <w:bCs/>
          <w:sz w:val="24"/>
          <w:szCs w:val="24"/>
        </w:rPr>
        <w:t>1</w:t>
      </w:r>
      <w:r w:rsidRPr="000D2486">
        <w:rPr>
          <w:rFonts w:ascii="Times New Roman" w:hAnsi="Times New Roman" w:cs="Times New Roman"/>
          <w:b/>
          <w:bCs/>
          <w:sz w:val="24"/>
          <w:szCs w:val="24"/>
        </w:rPr>
        <w:t>.2. Physicochemical pollutants</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All four waste water samples collected from the four car wash centers appeared to be turbid, oily and with foam. Table 2 below shows the values of concentrations of tested parameters at all four selected car wash centers in comparison with WHO and EPA standards.</w:t>
      </w:r>
    </w:p>
    <w:p w:rsidR="000D2486" w:rsidRPr="000D2486" w:rsidRDefault="000D2486" w:rsidP="000D2486">
      <w:pPr>
        <w:jc w:val="both"/>
        <w:rPr>
          <w:rFonts w:ascii="Times New Roman" w:hAnsi="Times New Roman" w:cs="Times New Roman"/>
          <w:sz w:val="24"/>
          <w:szCs w:val="24"/>
        </w:rPr>
      </w:pPr>
    </w:p>
    <w:p w:rsidR="000D2486" w:rsidRPr="0030678D" w:rsidRDefault="00BC3BD6" w:rsidP="0030678D">
      <w:pPr>
        <w:spacing w:after="0"/>
        <w:jc w:val="both"/>
        <w:rPr>
          <w:rFonts w:ascii="Times New Roman" w:hAnsi="Times New Roman" w:cs="Times New Roman"/>
          <w:i/>
          <w:iCs/>
          <w:sz w:val="20"/>
          <w:szCs w:val="20"/>
        </w:rPr>
      </w:pPr>
      <w:r w:rsidRPr="0030678D">
        <w:rPr>
          <w:rFonts w:ascii="Times New Roman" w:hAnsi="Times New Roman" w:cs="Times New Roman"/>
          <w:b/>
          <w:bCs/>
          <w:i/>
          <w:iCs/>
          <w:sz w:val="20"/>
          <w:szCs w:val="20"/>
        </w:rPr>
        <w:lastRenderedPageBreak/>
        <w:t>Table 2:</w:t>
      </w:r>
      <w:r w:rsidRPr="0030678D">
        <w:rPr>
          <w:rFonts w:ascii="Times New Roman" w:hAnsi="Times New Roman" w:cs="Times New Roman"/>
          <w:i/>
          <w:iCs/>
          <w:sz w:val="20"/>
          <w:szCs w:val="20"/>
        </w:rPr>
        <w:t xml:space="preserve"> Physiochemical contaminants water samples compared to EPA and WHO standards.</w:t>
      </w:r>
    </w:p>
    <w:p w:rsidR="0030678D" w:rsidRPr="0030678D" w:rsidRDefault="0030678D" w:rsidP="0030678D">
      <w:pPr>
        <w:spacing w:after="0"/>
        <w:jc w:val="both"/>
        <w:rPr>
          <w:rFonts w:ascii="Times New Roman" w:hAnsi="Times New Roman" w:cs="Times New Roman"/>
          <w:i/>
          <w:iCs/>
          <w:sz w:val="20"/>
          <w:szCs w:val="20"/>
        </w:rPr>
      </w:pPr>
      <w:r w:rsidRPr="0030678D">
        <w:rPr>
          <w:rFonts w:ascii="Times New Roman" w:hAnsi="Times New Roman" w:cs="Times New Roman"/>
          <w:b/>
          <w:bCs/>
          <w:i/>
          <w:iCs/>
          <w:sz w:val="20"/>
          <w:szCs w:val="20"/>
        </w:rPr>
        <w:t>Source:</w:t>
      </w:r>
      <w:r w:rsidRPr="0030678D">
        <w:rPr>
          <w:rFonts w:ascii="Times New Roman" w:hAnsi="Times New Roman" w:cs="Times New Roman"/>
          <w:i/>
          <w:iCs/>
          <w:sz w:val="20"/>
          <w:szCs w:val="20"/>
        </w:rPr>
        <w:t xml:space="preserve"> Author’s construct</w:t>
      </w:r>
    </w:p>
    <w:tbl>
      <w:tblPr>
        <w:tblStyle w:val="TableGrid"/>
        <w:tblpPr w:leftFromText="180" w:rightFromText="180" w:vertAnchor="page" w:horzAnchor="margin" w:tblpXSpec="center" w:tblpY="946"/>
        <w:tblW w:w="11250" w:type="dxa"/>
        <w:tblLook w:val="04A0" w:firstRow="1" w:lastRow="0" w:firstColumn="1" w:lastColumn="0" w:noHBand="0" w:noVBand="1"/>
      </w:tblPr>
      <w:tblGrid>
        <w:gridCol w:w="2774"/>
        <w:gridCol w:w="950"/>
        <w:gridCol w:w="796"/>
        <w:gridCol w:w="913"/>
        <w:gridCol w:w="913"/>
        <w:gridCol w:w="913"/>
        <w:gridCol w:w="917"/>
        <w:gridCol w:w="1855"/>
        <w:gridCol w:w="1219"/>
      </w:tblGrid>
      <w:tr w:rsidR="000D2486" w:rsidRPr="000D2486" w:rsidTr="008F6803">
        <w:tc>
          <w:tcPr>
            <w:tcW w:w="2774"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Parameter</w:t>
            </w:r>
          </w:p>
        </w:tc>
        <w:tc>
          <w:tcPr>
            <w:tcW w:w="950"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Method No.</w:t>
            </w:r>
          </w:p>
        </w:tc>
        <w:tc>
          <w:tcPr>
            <w:tcW w:w="796"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Unit</w:t>
            </w:r>
          </w:p>
        </w:tc>
        <w:tc>
          <w:tcPr>
            <w:tcW w:w="913"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Sample 1 Value</w:t>
            </w:r>
          </w:p>
        </w:tc>
        <w:tc>
          <w:tcPr>
            <w:tcW w:w="913"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Sample 2 Value</w:t>
            </w:r>
          </w:p>
        </w:tc>
        <w:tc>
          <w:tcPr>
            <w:tcW w:w="913"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Sample 3 Value</w:t>
            </w:r>
          </w:p>
        </w:tc>
        <w:tc>
          <w:tcPr>
            <w:tcW w:w="917"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Sample 4 Value</w:t>
            </w:r>
          </w:p>
        </w:tc>
        <w:tc>
          <w:tcPr>
            <w:tcW w:w="1855"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WHO Guidelines Values</w:t>
            </w:r>
          </w:p>
        </w:tc>
        <w:tc>
          <w:tcPr>
            <w:tcW w:w="1219" w:type="dxa"/>
          </w:tcPr>
          <w:p w:rsidR="000D2486" w:rsidRPr="00BC3BD6" w:rsidRDefault="000D2486" w:rsidP="000D2486">
            <w:pPr>
              <w:jc w:val="center"/>
              <w:rPr>
                <w:rFonts w:ascii="Times New Roman" w:hAnsi="Times New Roman" w:cs="Times New Roman"/>
                <w:b/>
                <w:bCs/>
                <w:sz w:val="20"/>
                <w:szCs w:val="20"/>
              </w:rPr>
            </w:pPr>
            <w:r w:rsidRPr="00BC3BD6">
              <w:rPr>
                <w:rFonts w:ascii="Times New Roman" w:hAnsi="Times New Roman" w:cs="Times New Roman"/>
                <w:b/>
                <w:bCs/>
                <w:sz w:val="20"/>
                <w:szCs w:val="20"/>
              </w:rPr>
              <w:t>EPA Guidelines Values</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Turbidity</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NTU</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29.8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30.1</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48.3</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26.3</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75</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proofErr w:type="spellStart"/>
            <w:r w:rsidRPr="00BC3BD6">
              <w:rPr>
                <w:rFonts w:ascii="Times New Roman" w:hAnsi="Times New Roman" w:cs="Times New Roman"/>
                <w:sz w:val="20"/>
                <w:szCs w:val="20"/>
              </w:rPr>
              <w:t>Colour</w:t>
            </w:r>
            <w:proofErr w:type="spellEnd"/>
            <w:r w:rsidRPr="00BC3BD6">
              <w:rPr>
                <w:rFonts w:ascii="Times New Roman" w:hAnsi="Times New Roman" w:cs="Times New Roman"/>
                <w:sz w:val="20"/>
                <w:szCs w:val="20"/>
              </w:rPr>
              <w:t xml:space="preserve"> (Apparent)</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Hz</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30.0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30.0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36.5</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29.7</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200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proofErr w:type="spellStart"/>
            <w:r w:rsidRPr="00BC3BD6">
              <w:rPr>
                <w:rFonts w:ascii="Times New Roman" w:hAnsi="Times New Roman" w:cs="Times New Roman"/>
                <w:sz w:val="20"/>
                <w:szCs w:val="20"/>
              </w:rPr>
              <w:t>Odour</w:t>
            </w:r>
            <w:proofErr w:type="spellEnd"/>
          </w:p>
        </w:tc>
        <w:tc>
          <w:tcPr>
            <w:tcW w:w="950" w:type="dxa"/>
          </w:tcPr>
          <w:p w:rsidR="000D2486" w:rsidRPr="00BC3BD6" w:rsidRDefault="000D2486" w:rsidP="000D2486">
            <w:pPr>
              <w:jc w:val="center"/>
              <w:rPr>
                <w:rFonts w:ascii="Times New Roman" w:hAnsi="Times New Roman" w:cs="Times New Roman"/>
                <w:sz w:val="20"/>
                <w:szCs w:val="20"/>
              </w:rPr>
            </w:pP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Inoffensive</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pH</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pH Units</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8.58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9.24</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10.8</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8.69</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6.5-8.0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6.0-9.0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Conductivity</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µS/cm</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1,347</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1,432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1,670</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1,311</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1500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Tot. Susp. Solids (SS)</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32.0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36.0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33.4</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31.4</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Tot. Dis. Solids (TDS)</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808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804</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921</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801</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1000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Sodium</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30</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232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249</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331</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297</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Potassium</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29</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53.0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61.0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48.4</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50.3</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Calcium</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23</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37.3</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32.8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41.0</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38.8</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Magnesium</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26</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16.2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16.9</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15.1</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17.3</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Total Iron</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31</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0.786</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0.831</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0.941</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0.823</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0.300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Ammonium (NH</w:t>
            </w:r>
            <w:r w:rsidRPr="00BC3BD6">
              <w:rPr>
                <w:rFonts w:ascii="Times New Roman" w:hAnsi="Times New Roman" w:cs="Times New Roman"/>
                <w:sz w:val="20"/>
                <w:szCs w:val="20"/>
                <w:vertAlign w:val="subscript"/>
              </w:rPr>
              <w:t>4</w:t>
            </w:r>
            <w:r w:rsidRPr="00BC3BD6">
              <w:rPr>
                <w:rFonts w:ascii="Times New Roman" w:hAnsi="Times New Roman" w:cs="Times New Roman"/>
                <w:sz w:val="20"/>
                <w:szCs w:val="20"/>
              </w:rPr>
              <w:t>-N)</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13</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9.22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8.37</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9.18</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8.99</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0.00-1.50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Chloride</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24</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194</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188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201</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191</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250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250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Sulphate (SO</w:t>
            </w:r>
            <w:r w:rsidRPr="00BC3BD6">
              <w:rPr>
                <w:rFonts w:ascii="Times New Roman" w:hAnsi="Times New Roman" w:cs="Times New Roman"/>
                <w:sz w:val="20"/>
                <w:szCs w:val="20"/>
                <w:vertAlign w:val="subscript"/>
              </w:rPr>
              <w:t>4</w:t>
            </w:r>
            <w:r w:rsidRPr="00BC3BD6">
              <w:rPr>
                <w:rFonts w:ascii="Times New Roman" w:hAnsi="Times New Roman" w:cs="Times New Roman"/>
                <w:sz w:val="20"/>
                <w:szCs w:val="20"/>
              </w:rPr>
              <w:t>)</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19</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44.9</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38.1</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47.5</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50.8</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250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250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Phosphate (PO</w:t>
            </w:r>
            <w:r w:rsidRPr="00BC3BD6">
              <w:rPr>
                <w:rFonts w:ascii="Times New Roman" w:hAnsi="Times New Roman" w:cs="Times New Roman"/>
                <w:sz w:val="20"/>
                <w:szCs w:val="20"/>
                <w:vertAlign w:val="subscript"/>
              </w:rPr>
              <w:t>4</w:t>
            </w:r>
            <w:r w:rsidRPr="00BC3BD6">
              <w:rPr>
                <w:rFonts w:ascii="Times New Roman" w:hAnsi="Times New Roman" w:cs="Times New Roman"/>
                <w:sz w:val="20"/>
                <w:szCs w:val="20"/>
              </w:rPr>
              <w:t>-P)</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17</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0.226</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0.321</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0.284</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0.662</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Manganese</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26</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1.90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1.76</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2.84</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0.400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Nitrite (NO</w:t>
            </w:r>
            <w:r w:rsidRPr="00BC3BD6">
              <w:rPr>
                <w:rFonts w:ascii="Times New Roman" w:hAnsi="Times New Roman" w:cs="Times New Roman"/>
                <w:sz w:val="20"/>
                <w:szCs w:val="20"/>
                <w:vertAlign w:val="subscript"/>
              </w:rPr>
              <w:t>2</w:t>
            </w:r>
            <w:r w:rsidRPr="00BC3BD6">
              <w:rPr>
                <w:rFonts w:ascii="Times New Roman" w:hAnsi="Times New Roman" w:cs="Times New Roman"/>
                <w:sz w:val="20"/>
                <w:szCs w:val="20"/>
              </w:rPr>
              <w:t>-N)</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14</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0.015</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0.019</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0.014</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0.099</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Nitrate (NO</w:t>
            </w:r>
            <w:r w:rsidRPr="00BC3BD6">
              <w:rPr>
                <w:rFonts w:ascii="Times New Roman" w:hAnsi="Times New Roman" w:cs="Times New Roman"/>
                <w:sz w:val="20"/>
                <w:szCs w:val="20"/>
                <w:vertAlign w:val="subscript"/>
              </w:rPr>
              <w:t>3</w:t>
            </w:r>
            <w:r w:rsidRPr="00BC3BD6">
              <w:rPr>
                <w:rFonts w:ascii="Times New Roman" w:hAnsi="Times New Roman" w:cs="Times New Roman"/>
                <w:sz w:val="20"/>
                <w:szCs w:val="20"/>
              </w:rPr>
              <w:t>-N)</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45</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0.101</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1.012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0.520</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0.841</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Total Hardness (as CaCO</w:t>
            </w:r>
            <w:r w:rsidRPr="00BC3BD6">
              <w:rPr>
                <w:rFonts w:ascii="Times New Roman" w:hAnsi="Times New Roman" w:cs="Times New Roman"/>
                <w:sz w:val="20"/>
                <w:szCs w:val="20"/>
                <w:vertAlign w:val="subscript"/>
              </w:rPr>
              <w:t>3</w:t>
            </w:r>
            <w:r w:rsidRPr="00BC3BD6">
              <w:rPr>
                <w:rFonts w:ascii="Times New Roman" w:hAnsi="Times New Roman" w:cs="Times New Roman"/>
                <w:sz w:val="20"/>
                <w:szCs w:val="20"/>
              </w:rPr>
              <w:t>)</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25</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160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181</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166</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187</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500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Total Alkalinity (as CaCO</w:t>
            </w:r>
            <w:r w:rsidRPr="00BC3BD6">
              <w:rPr>
                <w:rFonts w:ascii="Times New Roman" w:hAnsi="Times New Roman" w:cs="Times New Roman"/>
                <w:sz w:val="20"/>
                <w:szCs w:val="20"/>
                <w:vertAlign w:val="subscript"/>
              </w:rPr>
              <w:t>3</w:t>
            </w:r>
            <w:r w:rsidRPr="00BC3BD6">
              <w:rPr>
                <w:rFonts w:ascii="Times New Roman" w:hAnsi="Times New Roman" w:cs="Times New Roman"/>
                <w:sz w:val="20"/>
                <w:szCs w:val="20"/>
              </w:rPr>
              <w:t>)</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22</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387</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391</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399</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411</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Calcium Hardness (as CaCO</w:t>
            </w:r>
            <w:r w:rsidRPr="00BC3BD6">
              <w:rPr>
                <w:rFonts w:ascii="Times New Roman" w:hAnsi="Times New Roman" w:cs="Times New Roman"/>
                <w:sz w:val="20"/>
                <w:szCs w:val="20"/>
                <w:vertAlign w:val="subscript"/>
              </w:rPr>
              <w:t>3</w:t>
            </w:r>
            <w:r w:rsidRPr="00BC3BD6">
              <w:rPr>
                <w:rFonts w:ascii="Times New Roman" w:hAnsi="Times New Roman" w:cs="Times New Roman"/>
                <w:sz w:val="20"/>
                <w:szCs w:val="20"/>
              </w:rPr>
              <w:t>)</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23</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93.2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97.3</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94.9</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113.1</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Mag. Hardness (as CaCO</w:t>
            </w:r>
            <w:r w:rsidRPr="00BC3BD6">
              <w:rPr>
                <w:rFonts w:ascii="Times New Roman" w:hAnsi="Times New Roman" w:cs="Times New Roman"/>
                <w:sz w:val="20"/>
                <w:szCs w:val="20"/>
                <w:vertAlign w:val="subscript"/>
              </w:rPr>
              <w:t>3</w:t>
            </w:r>
            <w:r w:rsidRPr="00BC3BD6">
              <w:rPr>
                <w:rFonts w:ascii="Times New Roman" w:hAnsi="Times New Roman" w:cs="Times New Roman"/>
                <w:sz w:val="20"/>
                <w:szCs w:val="20"/>
              </w:rPr>
              <w:t>)</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26</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66.8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68.5</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67.0</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75.6</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Fluoride</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20</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0.350</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0.344</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0.414</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0.934</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1.50</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Bicarbonate (as CaCO</w:t>
            </w:r>
            <w:r w:rsidRPr="00BC3BD6">
              <w:rPr>
                <w:rFonts w:ascii="Times New Roman" w:hAnsi="Times New Roman" w:cs="Times New Roman"/>
                <w:sz w:val="20"/>
                <w:szCs w:val="20"/>
                <w:vertAlign w:val="subscript"/>
              </w:rPr>
              <w:t>3</w:t>
            </w:r>
            <w:r w:rsidRPr="00BC3BD6">
              <w:rPr>
                <w:rFonts w:ascii="Times New Roman" w:hAnsi="Times New Roman" w:cs="Times New Roman"/>
                <w:sz w:val="20"/>
                <w:szCs w:val="20"/>
              </w:rPr>
              <w:t>)</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22</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3.68</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3.85</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3.69</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4.85</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Carbonate</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22</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48.6</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40.9</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42.2</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58.1</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COD</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67.2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67.2</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71.0</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97.3</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250</w:t>
            </w:r>
          </w:p>
        </w:tc>
      </w:tr>
      <w:tr w:rsidR="000D2486" w:rsidRPr="000D2486" w:rsidTr="008F6803">
        <w:tc>
          <w:tcPr>
            <w:tcW w:w="2774" w:type="dxa"/>
          </w:tcPr>
          <w:p w:rsidR="000D2486" w:rsidRPr="00BC3BD6" w:rsidRDefault="000D2486" w:rsidP="000D2486">
            <w:pPr>
              <w:rPr>
                <w:rFonts w:ascii="Times New Roman" w:hAnsi="Times New Roman" w:cs="Times New Roman"/>
                <w:sz w:val="20"/>
                <w:szCs w:val="20"/>
              </w:rPr>
            </w:pPr>
            <w:r w:rsidRPr="00BC3BD6">
              <w:rPr>
                <w:rFonts w:ascii="Times New Roman" w:hAnsi="Times New Roman" w:cs="Times New Roman"/>
                <w:sz w:val="20"/>
                <w:szCs w:val="20"/>
              </w:rPr>
              <w:t>BOD</w:t>
            </w:r>
          </w:p>
        </w:tc>
        <w:tc>
          <w:tcPr>
            <w:tcW w:w="950"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796"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Mg/l</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10.9</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10.3</w:t>
            </w:r>
          </w:p>
        </w:tc>
        <w:tc>
          <w:tcPr>
            <w:tcW w:w="913"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11.4</w:t>
            </w:r>
          </w:p>
        </w:tc>
        <w:tc>
          <w:tcPr>
            <w:tcW w:w="917"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15.7</w:t>
            </w:r>
          </w:p>
        </w:tc>
        <w:tc>
          <w:tcPr>
            <w:tcW w:w="1855"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w:t>
            </w:r>
          </w:p>
        </w:tc>
        <w:tc>
          <w:tcPr>
            <w:tcW w:w="1219" w:type="dxa"/>
          </w:tcPr>
          <w:p w:rsidR="000D2486" w:rsidRPr="00BC3BD6" w:rsidRDefault="000D2486" w:rsidP="000D2486">
            <w:pPr>
              <w:jc w:val="center"/>
              <w:rPr>
                <w:rFonts w:ascii="Times New Roman" w:hAnsi="Times New Roman" w:cs="Times New Roman"/>
                <w:sz w:val="20"/>
                <w:szCs w:val="20"/>
              </w:rPr>
            </w:pPr>
            <w:r w:rsidRPr="00BC3BD6">
              <w:rPr>
                <w:rFonts w:ascii="Times New Roman" w:hAnsi="Times New Roman" w:cs="Times New Roman"/>
                <w:sz w:val="20"/>
                <w:szCs w:val="20"/>
              </w:rPr>
              <w:t>50</w:t>
            </w:r>
          </w:p>
        </w:tc>
      </w:tr>
    </w:tbl>
    <w:p w:rsidR="000D2486" w:rsidRPr="000D2486" w:rsidRDefault="000D2486" w:rsidP="000D2486">
      <w:pPr>
        <w:jc w:val="both"/>
        <w:rPr>
          <w:rFonts w:ascii="Times New Roman" w:hAnsi="Times New Roman" w:cs="Times New Roman"/>
          <w:b/>
          <w:bCs/>
          <w:sz w:val="24"/>
          <w:szCs w:val="24"/>
        </w:rPr>
      </w:pPr>
      <w:r w:rsidRPr="000D2486">
        <w:rPr>
          <w:rFonts w:ascii="Times New Roman" w:hAnsi="Times New Roman" w:cs="Times New Roman"/>
          <w:b/>
          <w:bCs/>
          <w:sz w:val="24"/>
          <w:szCs w:val="24"/>
        </w:rPr>
        <w:lastRenderedPageBreak/>
        <w:t>4.</w:t>
      </w:r>
      <w:r w:rsidR="00BC3BD6">
        <w:rPr>
          <w:rFonts w:ascii="Times New Roman" w:hAnsi="Times New Roman" w:cs="Times New Roman"/>
          <w:b/>
          <w:bCs/>
          <w:sz w:val="24"/>
          <w:szCs w:val="24"/>
        </w:rPr>
        <w:t>1</w:t>
      </w:r>
      <w:r w:rsidRPr="000D2486">
        <w:rPr>
          <w:rFonts w:ascii="Times New Roman" w:hAnsi="Times New Roman" w:cs="Times New Roman"/>
          <w:b/>
          <w:bCs/>
          <w:sz w:val="24"/>
          <w:szCs w:val="24"/>
        </w:rPr>
        <w:t>.</w:t>
      </w:r>
      <w:r w:rsidR="00BC3BD6">
        <w:rPr>
          <w:rFonts w:ascii="Times New Roman" w:hAnsi="Times New Roman" w:cs="Times New Roman"/>
          <w:b/>
          <w:bCs/>
          <w:sz w:val="24"/>
          <w:szCs w:val="24"/>
        </w:rPr>
        <w:t>3</w:t>
      </w:r>
      <w:r w:rsidRPr="000D2486">
        <w:rPr>
          <w:rFonts w:ascii="Times New Roman" w:hAnsi="Times New Roman" w:cs="Times New Roman"/>
          <w:b/>
          <w:bCs/>
          <w:sz w:val="24"/>
          <w:szCs w:val="24"/>
        </w:rPr>
        <w:t>. Chemical Pollutants</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All waste water collected from the 4 selected car wash centers were found to be turbid. The turbidity ranged from 26.3NTU to 48.3NTU, levels which are higher than the WHO recommended level of 5NTU. The relative clarity or cloudiness of water is measured by turbidity. Plankton and other microscopic creatures, silt, clay, and other suspended and colloidal debris, as well as finely divided organic and inorganic matter, are the main causes of turbidity in water. Because the particles can shield bacteria from UV and chlorine disinfection and serve as a food source for microorganisms, turbidity is regarded as a health-related characteristic (McCall, 2017).</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 xml:space="preserve">The </w:t>
      </w:r>
      <w:proofErr w:type="spellStart"/>
      <w:r w:rsidRPr="000D2486">
        <w:rPr>
          <w:rFonts w:ascii="Times New Roman" w:hAnsi="Times New Roman" w:cs="Times New Roman"/>
          <w:sz w:val="24"/>
          <w:szCs w:val="24"/>
        </w:rPr>
        <w:t>colour</w:t>
      </w:r>
      <w:proofErr w:type="spellEnd"/>
      <w:r w:rsidRPr="000D2486">
        <w:rPr>
          <w:rFonts w:ascii="Times New Roman" w:hAnsi="Times New Roman" w:cs="Times New Roman"/>
          <w:sz w:val="24"/>
          <w:szCs w:val="24"/>
        </w:rPr>
        <w:t xml:space="preserve"> of waste water samples from the selected car wash centers were seen to have </w:t>
      </w:r>
      <w:proofErr w:type="spellStart"/>
      <w:r w:rsidRPr="000D2486">
        <w:rPr>
          <w:rFonts w:ascii="Times New Roman" w:hAnsi="Times New Roman" w:cs="Times New Roman"/>
          <w:sz w:val="24"/>
          <w:szCs w:val="24"/>
        </w:rPr>
        <w:t>colour</w:t>
      </w:r>
      <w:proofErr w:type="spellEnd"/>
      <w:r w:rsidRPr="000D2486">
        <w:rPr>
          <w:rFonts w:ascii="Times New Roman" w:hAnsi="Times New Roman" w:cs="Times New Roman"/>
          <w:sz w:val="24"/>
          <w:szCs w:val="24"/>
        </w:rPr>
        <w:t xml:space="preserve"> exceeding the WHO guideline value of 15Hz but below Ghana EPA guideline value of 200Hz. The </w:t>
      </w:r>
      <w:proofErr w:type="spellStart"/>
      <w:r w:rsidRPr="000D2486">
        <w:rPr>
          <w:rFonts w:ascii="Times New Roman" w:hAnsi="Times New Roman" w:cs="Times New Roman"/>
          <w:sz w:val="24"/>
          <w:szCs w:val="24"/>
        </w:rPr>
        <w:t>colour</w:t>
      </w:r>
      <w:proofErr w:type="spellEnd"/>
      <w:r w:rsidRPr="000D2486">
        <w:rPr>
          <w:rFonts w:ascii="Times New Roman" w:hAnsi="Times New Roman" w:cs="Times New Roman"/>
          <w:sz w:val="24"/>
          <w:szCs w:val="24"/>
        </w:rPr>
        <w:t xml:space="preserve"> ranges were between 29.7 Hz to 36.6Hz. Color has no bearing on one's health. The presence of brightly colored industrial or agricultural wastes, colored organic materials, or metals like iron, manganese, and copper can all contribute to the color of drinking water. While the color of drinking water has no direct bearing on health, it can serve as a sign of pollution if the color of the water is observed to change. The waste water samples also contained some levels of suspended and dissolved solids.</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 xml:space="preserve">The waste water samples also had pH ranging between 8.58pH Units and 10.8pH Units, levels which almost exceeds the WHO recommended maximum level of 8.0pH Units. pH values indicate the acid or alkaline content of water. Water with a lower pH value is more acidic, and water with a higher pH value is more alkaline. Drinking water typically has a pH between 5.5 and 9.0. Water pipes may corrode at pH values below 6.5, releasing metals into the drinking water. </w:t>
      </w:r>
    </w:p>
    <w:p w:rsidR="000D2486" w:rsidRPr="00BC3BD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 xml:space="preserve">Electrical Conductivity ranged between 1,311 µS/cm to 1,670 µS/cm were observed across the water samples. The capacity of a body of water to carry an electric current is measured by its conductivity. It has to do with how many dissolved minerals are present in the water. Conductivity variations over time might suggest alterations in the quality of the water. </w:t>
      </w:r>
    </w:p>
    <w:p w:rsidR="000D2486" w:rsidRPr="000D2486" w:rsidRDefault="000D2486" w:rsidP="000D2486">
      <w:pPr>
        <w:jc w:val="both"/>
        <w:rPr>
          <w:rFonts w:ascii="Times New Roman" w:hAnsi="Times New Roman" w:cs="Times New Roman"/>
          <w:b/>
          <w:bCs/>
          <w:sz w:val="24"/>
          <w:szCs w:val="24"/>
        </w:rPr>
      </w:pPr>
      <w:r w:rsidRPr="000D2486">
        <w:rPr>
          <w:rFonts w:ascii="Times New Roman" w:hAnsi="Times New Roman" w:cs="Times New Roman"/>
          <w:b/>
          <w:bCs/>
          <w:sz w:val="24"/>
          <w:szCs w:val="24"/>
        </w:rPr>
        <w:t>4.</w:t>
      </w:r>
      <w:r w:rsidR="00BC3BD6">
        <w:rPr>
          <w:rFonts w:ascii="Times New Roman" w:hAnsi="Times New Roman" w:cs="Times New Roman"/>
          <w:b/>
          <w:bCs/>
          <w:sz w:val="24"/>
          <w:szCs w:val="24"/>
        </w:rPr>
        <w:t>1</w:t>
      </w:r>
      <w:r w:rsidRPr="000D2486">
        <w:rPr>
          <w:rFonts w:ascii="Times New Roman" w:hAnsi="Times New Roman" w:cs="Times New Roman"/>
          <w:b/>
          <w:bCs/>
          <w:sz w:val="24"/>
          <w:szCs w:val="24"/>
        </w:rPr>
        <w:t>.</w:t>
      </w:r>
      <w:r w:rsidR="00BC3BD6">
        <w:rPr>
          <w:rFonts w:ascii="Times New Roman" w:hAnsi="Times New Roman" w:cs="Times New Roman"/>
          <w:b/>
          <w:bCs/>
          <w:sz w:val="24"/>
          <w:szCs w:val="24"/>
        </w:rPr>
        <w:t>4</w:t>
      </w:r>
      <w:r w:rsidRPr="000D2486">
        <w:rPr>
          <w:rFonts w:ascii="Times New Roman" w:hAnsi="Times New Roman" w:cs="Times New Roman"/>
          <w:b/>
          <w:bCs/>
          <w:sz w:val="24"/>
          <w:szCs w:val="24"/>
        </w:rPr>
        <w:t xml:space="preserve"> Nutrient Pollutants</w:t>
      </w:r>
    </w:p>
    <w:p w:rsidR="000D2486" w:rsidRPr="00BC3BD6" w:rsidRDefault="000D2486" w:rsidP="00BC3BD6">
      <w:pPr>
        <w:jc w:val="both"/>
        <w:rPr>
          <w:rFonts w:ascii="Times New Roman" w:hAnsi="Times New Roman" w:cs="Times New Roman"/>
          <w:sz w:val="24"/>
          <w:szCs w:val="24"/>
        </w:rPr>
      </w:pPr>
      <w:r w:rsidRPr="000D2486">
        <w:rPr>
          <w:rFonts w:ascii="Times New Roman" w:hAnsi="Times New Roman" w:cs="Times New Roman"/>
          <w:sz w:val="24"/>
          <w:szCs w:val="24"/>
        </w:rPr>
        <w:t>The nutrient concentration of tested parameters varied between the 4 selected car wash centers. The samples contained various levels of mineral elements and ions such as Nitrites, nitrates, sodium, potassium, Magnesium, iron, Ammonium, Chloride, sulphate, phosphate, Manganese and fluoride. The laboratory analysis considered the values of each of the chemical parameters in Mg/l and compared to the World Health Organization (WHO) standards, and the Environmental Protection agency (EPA) standards. From the table each parameter has at least one of the standards in terms of permissibility. Elements such as Calcium Hardness (CaCO</w:t>
      </w:r>
      <w:r w:rsidRPr="000D2486">
        <w:rPr>
          <w:rFonts w:ascii="Times New Roman" w:hAnsi="Times New Roman" w:cs="Times New Roman"/>
          <w:sz w:val="24"/>
          <w:szCs w:val="24"/>
          <w:vertAlign w:val="subscript"/>
        </w:rPr>
        <w:t xml:space="preserve">3) </w:t>
      </w:r>
      <w:r w:rsidRPr="000D2486">
        <w:rPr>
          <w:rFonts w:ascii="Times New Roman" w:hAnsi="Times New Roman" w:cs="Times New Roman"/>
          <w:sz w:val="24"/>
          <w:szCs w:val="24"/>
        </w:rPr>
        <w:t>Bicarbonate and Carbonate were opened to permissible standards set by the WHO and EPA. All other elements are subjected to comparable standards to comply with.</w:t>
      </w:r>
    </w:p>
    <w:p w:rsidR="000D2486" w:rsidRPr="00BC3BD6" w:rsidRDefault="000D2486" w:rsidP="00BC3BD6">
      <w:pPr>
        <w:tabs>
          <w:tab w:val="left" w:pos="2685"/>
        </w:tabs>
        <w:ind w:left="540" w:hanging="540"/>
        <w:rPr>
          <w:rFonts w:ascii="Times New Roman" w:hAnsi="Times New Roman" w:cs="Times New Roman"/>
          <w:b/>
          <w:bCs/>
          <w:sz w:val="24"/>
          <w:szCs w:val="24"/>
        </w:rPr>
      </w:pPr>
      <w:r w:rsidRPr="000D2486">
        <w:rPr>
          <w:rFonts w:ascii="Times New Roman" w:hAnsi="Times New Roman" w:cs="Times New Roman"/>
          <w:b/>
          <w:bCs/>
          <w:sz w:val="24"/>
          <w:szCs w:val="24"/>
        </w:rPr>
        <w:t>4.</w:t>
      </w:r>
      <w:r w:rsidR="00BC3BD6">
        <w:rPr>
          <w:rFonts w:ascii="Times New Roman" w:hAnsi="Times New Roman" w:cs="Times New Roman"/>
          <w:b/>
          <w:bCs/>
          <w:sz w:val="24"/>
          <w:szCs w:val="24"/>
        </w:rPr>
        <w:t>2</w:t>
      </w:r>
      <w:r w:rsidRPr="000D2486">
        <w:rPr>
          <w:rFonts w:ascii="Times New Roman" w:hAnsi="Times New Roman" w:cs="Times New Roman"/>
          <w:b/>
          <w:bCs/>
          <w:sz w:val="24"/>
          <w:szCs w:val="24"/>
        </w:rPr>
        <w:t xml:space="preserve"> Potential health risks associated with contaminated water sources from car wash centers.</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 xml:space="preserve">The waste water samples collected from the 4 sampled car wash centers showed very varied levels of microbial, chemical and mineral elements and ions contaminants that have implications on the overall health of humans and aquatic life. Car wash centers observed in this study were seen to be sited along community drainage systems where effluent water leaks directly into nearby water bodies which serves as a drinking source of water for people in nearby communities. </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Effluent water from the studied car wash centers were found to contain very high levels of coliform, a range between 984 x 10</w:t>
      </w:r>
      <w:r w:rsidRPr="000D2486">
        <w:rPr>
          <w:rFonts w:ascii="Times New Roman" w:hAnsi="Times New Roman" w:cs="Times New Roman"/>
          <w:sz w:val="24"/>
          <w:szCs w:val="24"/>
          <w:vertAlign w:val="superscript"/>
        </w:rPr>
        <w:t xml:space="preserve">3 </w:t>
      </w:r>
      <w:r w:rsidRPr="000D2486">
        <w:rPr>
          <w:rFonts w:ascii="Times New Roman" w:hAnsi="Times New Roman" w:cs="Times New Roman"/>
          <w:sz w:val="24"/>
          <w:szCs w:val="24"/>
        </w:rPr>
        <w:t>and 2016 x 10</w:t>
      </w:r>
      <w:r w:rsidRPr="000D2486">
        <w:rPr>
          <w:rFonts w:ascii="Times New Roman" w:hAnsi="Times New Roman" w:cs="Times New Roman"/>
          <w:sz w:val="24"/>
          <w:szCs w:val="24"/>
          <w:vertAlign w:val="superscript"/>
        </w:rPr>
        <w:t>3</w:t>
      </w:r>
      <w:r w:rsidRPr="000D2486">
        <w:rPr>
          <w:rFonts w:ascii="Times New Roman" w:hAnsi="Times New Roman" w:cs="Times New Roman"/>
          <w:sz w:val="24"/>
          <w:szCs w:val="24"/>
        </w:rPr>
        <w:t xml:space="preserve"> </w:t>
      </w:r>
      <w:proofErr w:type="spellStart"/>
      <w:r w:rsidRPr="000D2486">
        <w:rPr>
          <w:rFonts w:ascii="Times New Roman" w:hAnsi="Times New Roman" w:cs="Times New Roman"/>
          <w:sz w:val="24"/>
          <w:szCs w:val="24"/>
        </w:rPr>
        <w:t>cfu</w:t>
      </w:r>
      <w:proofErr w:type="spellEnd"/>
      <w:r w:rsidRPr="000D2486">
        <w:rPr>
          <w:rFonts w:ascii="Times New Roman" w:hAnsi="Times New Roman" w:cs="Times New Roman"/>
          <w:sz w:val="24"/>
          <w:szCs w:val="24"/>
        </w:rPr>
        <w:t xml:space="preserve"> units, levels that are far higher that the EPA permissible level of 400cfu. The presence of coliform bacteria in drinking water increases the chance of getting sick from </w:t>
      </w:r>
      <w:r w:rsidRPr="000D2486">
        <w:rPr>
          <w:rFonts w:ascii="Times New Roman" w:hAnsi="Times New Roman" w:cs="Times New Roman"/>
          <w:sz w:val="24"/>
          <w:szCs w:val="24"/>
        </w:rPr>
        <w:lastRenderedPageBreak/>
        <w:t>a water-borne illness. Coliform bacteria can be dangerous. Even though sources other than feces can produce total coliforms, it's crucial to make sure your well is shut off and nothing is getting into it since this could be a cause of coliform contamination (McCall, 2017).</w:t>
      </w:r>
    </w:p>
    <w:p w:rsidR="000D2486" w:rsidRPr="000D2486" w:rsidRDefault="000D2486" w:rsidP="000D2486">
      <w:pPr>
        <w:jc w:val="both"/>
        <w:rPr>
          <w:rFonts w:ascii="Times New Roman" w:hAnsi="Times New Roman" w:cs="Times New Roman"/>
          <w:color w:val="000000"/>
          <w:sz w:val="24"/>
          <w:szCs w:val="24"/>
        </w:rPr>
      </w:pPr>
      <w:r w:rsidRPr="000D2486">
        <w:rPr>
          <w:rFonts w:ascii="Times New Roman" w:hAnsi="Times New Roman" w:cs="Times New Roman"/>
          <w:sz w:val="24"/>
          <w:szCs w:val="24"/>
        </w:rPr>
        <w:t xml:space="preserve">The samples also contain levels of </w:t>
      </w:r>
      <w:r w:rsidRPr="000D2486">
        <w:rPr>
          <w:rFonts w:ascii="Times New Roman" w:hAnsi="Times New Roman" w:cs="Times New Roman"/>
          <w:i/>
          <w:iCs/>
          <w:sz w:val="24"/>
          <w:szCs w:val="24"/>
        </w:rPr>
        <w:t xml:space="preserve">E-coli </w:t>
      </w:r>
      <w:r w:rsidRPr="000D2486">
        <w:rPr>
          <w:rFonts w:ascii="Times New Roman" w:hAnsi="Times New Roman" w:cs="Times New Roman"/>
          <w:sz w:val="24"/>
          <w:szCs w:val="24"/>
        </w:rPr>
        <w:t xml:space="preserve">higher than the permissible EPA Ghana levels. </w:t>
      </w:r>
      <w:r w:rsidRPr="000D2486">
        <w:rPr>
          <w:rFonts w:ascii="Times New Roman" w:hAnsi="Times New Roman" w:cs="Times New Roman"/>
          <w:i/>
          <w:iCs/>
          <w:color w:val="000000"/>
          <w:sz w:val="24"/>
          <w:szCs w:val="24"/>
        </w:rPr>
        <w:t>E-Coli</w:t>
      </w:r>
      <w:r w:rsidRPr="000D2486">
        <w:rPr>
          <w:rFonts w:ascii="Times New Roman" w:hAnsi="Times New Roman" w:cs="Times New Roman"/>
          <w:color w:val="000000"/>
          <w:sz w:val="24"/>
          <w:szCs w:val="24"/>
        </w:rPr>
        <w:t xml:space="preserve"> can be harmful to humans if found in water. </w:t>
      </w:r>
      <w:r w:rsidRPr="000D2486">
        <w:rPr>
          <w:rFonts w:ascii="Times New Roman" w:hAnsi="Times New Roman" w:cs="Times New Roman"/>
          <w:i/>
          <w:iCs/>
          <w:color w:val="000000"/>
          <w:sz w:val="24"/>
          <w:szCs w:val="24"/>
        </w:rPr>
        <w:t xml:space="preserve">E. coli </w:t>
      </w:r>
      <w:r w:rsidRPr="000D2486">
        <w:rPr>
          <w:rFonts w:ascii="Times New Roman" w:hAnsi="Times New Roman" w:cs="Times New Roman"/>
          <w:color w:val="000000"/>
          <w:sz w:val="24"/>
          <w:szCs w:val="24"/>
        </w:rPr>
        <w:t>in drinking water is one of</w:t>
      </w:r>
      <w:r w:rsidRPr="000D2486">
        <w:rPr>
          <w:rFonts w:ascii="Times New Roman" w:hAnsi="Times New Roman" w:cs="Times New Roman"/>
          <w:color w:val="000000"/>
          <w:sz w:val="24"/>
          <w:szCs w:val="24"/>
        </w:rPr>
        <w:br/>
        <w:t xml:space="preserve">hundreds of strains of the bacterium </w:t>
      </w:r>
      <w:r w:rsidRPr="000D2486">
        <w:rPr>
          <w:rFonts w:ascii="Times New Roman" w:hAnsi="Times New Roman" w:cs="Times New Roman"/>
          <w:i/>
          <w:iCs/>
          <w:color w:val="000000"/>
          <w:sz w:val="24"/>
          <w:szCs w:val="24"/>
        </w:rPr>
        <w:t>E. coli</w:t>
      </w:r>
      <w:r w:rsidRPr="000D2486">
        <w:rPr>
          <w:rFonts w:ascii="Times New Roman" w:hAnsi="Times New Roman" w:cs="Times New Roman"/>
          <w:color w:val="000000"/>
          <w:sz w:val="24"/>
          <w:szCs w:val="24"/>
        </w:rPr>
        <w:t xml:space="preserve">. This strain produces a powerful toxin and can cause severe illness. Infection often causes severe bloody diarrhea and abdominal cramps including non-bloody diarrhea. Frequently, no fever is present. If your water has 1 or more </w:t>
      </w:r>
      <w:r w:rsidRPr="000D2486">
        <w:rPr>
          <w:rFonts w:ascii="Times New Roman" w:hAnsi="Times New Roman" w:cs="Times New Roman"/>
          <w:i/>
          <w:iCs/>
          <w:color w:val="000000"/>
          <w:sz w:val="24"/>
          <w:szCs w:val="24"/>
        </w:rPr>
        <w:t>E. coli</w:t>
      </w:r>
      <w:r w:rsidRPr="000D2486">
        <w:rPr>
          <w:rFonts w:ascii="Times New Roman" w:hAnsi="Times New Roman" w:cs="Times New Roman"/>
          <w:color w:val="000000"/>
          <w:sz w:val="24"/>
          <w:szCs w:val="24"/>
        </w:rPr>
        <w:t xml:space="preserve"> present the water is NOT suitable for drinking (WHO).</w:t>
      </w:r>
    </w:p>
    <w:p w:rsidR="000D2486" w:rsidRPr="000D2486" w:rsidRDefault="000D2486" w:rsidP="000D2486">
      <w:pPr>
        <w:jc w:val="both"/>
        <w:rPr>
          <w:rFonts w:ascii="Times New Roman" w:hAnsi="Times New Roman" w:cs="Times New Roman"/>
          <w:sz w:val="24"/>
          <w:szCs w:val="24"/>
        </w:rPr>
      </w:pPr>
      <w:r w:rsidRPr="000D2486">
        <w:rPr>
          <w:rFonts w:ascii="Times New Roman" w:hAnsi="Times New Roman" w:cs="Times New Roman"/>
          <w:color w:val="000000"/>
          <w:sz w:val="24"/>
          <w:szCs w:val="24"/>
        </w:rPr>
        <w:t xml:space="preserve">The turbidity levels of the water samples exceeded the recommended WHO levels which is a great matter of concern to health. </w:t>
      </w:r>
      <w:r w:rsidRPr="000D2486">
        <w:rPr>
          <w:rFonts w:ascii="Times New Roman" w:hAnsi="Times New Roman" w:cs="Times New Roman"/>
          <w:sz w:val="24"/>
          <w:szCs w:val="24"/>
        </w:rPr>
        <w:t>Turbidity is regarded as a health-related metric since the particles can serve as a food source for microorganisms and shield pathogens from UV and chlorine treatment. McCall (2017) affirms that increased turbidity in water can lead to higher chlorine requirements for disinfection and raise the risk of water-borne illnesses. If there are any metals in the water, like iron, the turbidity level will also be high.</w:t>
      </w:r>
    </w:p>
    <w:p w:rsidR="000D2486" w:rsidRDefault="000D2486" w:rsidP="000D2486">
      <w:pPr>
        <w:jc w:val="both"/>
        <w:rPr>
          <w:rFonts w:ascii="Times New Roman" w:hAnsi="Times New Roman" w:cs="Times New Roman"/>
          <w:sz w:val="24"/>
          <w:szCs w:val="24"/>
        </w:rPr>
      </w:pPr>
      <w:r w:rsidRPr="000D2486">
        <w:rPr>
          <w:rFonts w:ascii="Times New Roman" w:hAnsi="Times New Roman" w:cs="Times New Roman"/>
          <w:sz w:val="24"/>
          <w:szCs w:val="24"/>
        </w:rPr>
        <w:t>Waste water samples from the selected washing bay centers were also seen to have varied contents of mineral elements and ions that may such as Nitrites, nitrates, sodium, potassium, Magnesium, iron, Ammonium, Chloride, sulphate, phosphate, Manganese and fluoride which have influence on the health of people. For instance, the level of sodium in all 4 samples ranged between 232mg/l to 297mg/l which is way higher than the WHO level of 200mg/l. While drinking water provides very little sodium on average compared to a typical diet, for those with hypertension or congestive heart failure, who may need to follow a sodium-restricted diet, the amount of sodium from this source could be substantial.</w:t>
      </w:r>
    </w:p>
    <w:p w:rsidR="00BC3BD6" w:rsidRPr="00BC3BD6" w:rsidRDefault="00BC3BD6" w:rsidP="000D2486">
      <w:pPr>
        <w:jc w:val="both"/>
        <w:rPr>
          <w:rFonts w:ascii="Times New Roman" w:hAnsi="Times New Roman" w:cs="Times New Roman"/>
          <w:b/>
          <w:bCs/>
          <w:sz w:val="24"/>
          <w:szCs w:val="24"/>
        </w:rPr>
      </w:pPr>
      <w:r w:rsidRPr="00BC3BD6">
        <w:rPr>
          <w:rFonts w:ascii="Times New Roman" w:hAnsi="Times New Roman" w:cs="Times New Roman"/>
          <w:b/>
          <w:bCs/>
          <w:sz w:val="24"/>
          <w:szCs w:val="24"/>
        </w:rPr>
        <w:t>5.0 DISCUSSIONS OF FINDINGS</w:t>
      </w:r>
    </w:p>
    <w:p w:rsidR="00BC3BD6" w:rsidRPr="00BC3BD6" w:rsidRDefault="00BC3BD6" w:rsidP="00BC3BD6">
      <w:pPr>
        <w:jc w:val="both"/>
        <w:rPr>
          <w:rFonts w:ascii="Times New Roman" w:hAnsi="Times New Roman" w:cs="Times New Roman"/>
          <w:color w:val="000000"/>
          <w:sz w:val="24"/>
          <w:szCs w:val="24"/>
        </w:rPr>
      </w:pPr>
      <w:r w:rsidRPr="00BC3BD6">
        <w:rPr>
          <w:rFonts w:ascii="Times New Roman" w:hAnsi="Times New Roman" w:cs="Times New Roman"/>
          <w:color w:val="000000"/>
          <w:sz w:val="24"/>
          <w:szCs w:val="24"/>
        </w:rPr>
        <w:t xml:space="preserve">The research shows that Koforidua car wash </w:t>
      </w:r>
      <w:proofErr w:type="spellStart"/>
      <w:r w:rsidRPr="00BC3BD6">
        <w:rPr>
          <w:rFonts w:ascii="Times New Roman" w:hAnsi="Times New Roman" w:cs="Times New Roman"/>
          <w:color w:val="000000"/>
          <w:sz w:val="24"/>
          <w:szCs w:val="24"/>
        </w:rPr>
        <w:t>centres'</w:t>
      </w:r>
      <w:proofErr w:type="spellEnd"/>
      <w:r w:rsidRPr="00BC3BD6">
        <w:rPr>
          <w:rFonts w:ascii="Times New Roman" w:hAnsi="Times New Roman" w:cs="Times New Roman"/>
          <w:color w:val="000000"/>
          <w:sz w:val="24"/>
          <w:szCs w:val="24"/>
        </w:rPr>
        <w:t xml:space="preserve"> wastewater has significant levels of physicochemical and microbiological contaminants, surpassing the WHO and Ghana EPA's allowable limits. This raises serious health issues for the general people, especially as wastewater frequently enters local waterways that are </w:t>
      </w:r>
      <w:proofErr w:type="spellStart"/>
      <w:r w:rsidRPr="00BC3BD6">
        <w:rPr>
          <w:rFonts w:ascii="Times New Roman" w:hAnsi="Times New Roman" w:cs="Times New Roman"/>
          <w:color w:val="000000"/>
          <w:sz w:val="24"/>
          <w:szCs w:val="24"/>
        </w:rPr>
        <w:t>utilised</w:t>
      </w:r>
      <w:proofErr w:type="spellEnd"/>
      <w:r w:rsidRPr="00BC3BD6">
        <w:rPr>
          <w:rFonts w:ascii="Times New Roman" w:hAnsi="Times New Roman" w:cs="Times New Roman"/>
          <w:color w:val="000000"/>
          <w:sz w:val="24"/>
          <w:szCs w:val="24"/>
        </w:rPr>
        <w:t xml:space="preserve"> for drinking.</w:t>
      </w:r>
    </w:p>
    <w:p w:rsidR="00BC3BD6" w:rsidRPr="00E96F25" w:rsidRDefault="00BC3BD6" w:rsidP="00BC3BD6">
      <w:pPr>
        <w:jc w:val="both"/>
        <w:rPr>
          <w:rFonts w:ascii="Times New Roman" w:hAnsi="Times New Roman" w:cs="Times New Roman"/>
          <w:sz w:val="24"/>
          <w:szCs w:val="24"/>
        </w:rPr>
      </w:pPr>
      <w:r w:rsidRPr="00E96F25">
        <w:rPr>
          <w:rFonts w:ascii="Times New Roman" w:hAnsi="Times New Roman" w:cs="Times New Roman"/>
          <w:sz w:val="24"/>
          <w:szCs w:val="24"/>
        </w:rPr>
        <w:t xml:space="preserve">Since the total coliform counts range from 984 x 10³ to 2016 x 10³ </w:t>
      </w:r>
      <w:proofErr w:type="spellStart"/>
      <w:r w:rsidRPr="00E96F25">
        <w:rPr>
          <w:rFonts w:ascii="Times New Roman" w:hAnsi="Times New Roman" w:cs="Times New Roman"/>
          <w:sz w:val="24"/>
          <w:szCs w:val="24"/>
        </w:rPr>
        <w:t>cfu</w:t>
      </w:r>
      <w:proofErr w:type="spellEnd"/>
      <w:r w:rsidRPr="00E96F25">
        <w:rPr>
          <w:rFonts w:ascii="Times New Roman" w:hAnsi="Times New Roman" w:cs="Times New Roman"/>
          <w:sz w:val="24"/>
          <w:szCs w:val="24"/>
        </w:rPr>
        <w:t xml:space="preserve">/100 ml, they significantly surpass the EPA Ghana limit of 400 </w:t>
      </w:r>
      <w:proofErr w:type="spellStart"/>
      <w:r w:rsidRPr="00E96F25">
        <w:rPr>
          <w:rFonts w:ascii="Times New Roman" w:hAnsi="Times New Roman" w:cs="Times New Roman"/>
          <w:sz w:val="24"/>
          <w:szCs w:val="24"/>
        </w:rPr>
        <w:t>cfu</w:t>
      </w:r>
      <w:proofErr w:type="spellEnd"/>
      <w:r w:rsidRPr="00E96F25">
        <w:rPr>
          <w:rFonts w:ascii="Times New Roman" w:hAnsi="Times New Roman" w:cs="Times New Roman"/>
          <w:sz w:val="24"/>
          <w:szCs w:val="24"/>
        </w:rPr>
        <w:t xml:space="preserve">/100 ml, indicating severe microbial contamination. Strong coliform counts are indicative of potential human or animal </w:t>
      </w:r>
      <w:proofErr w:type="spellStart"/>
      <w:r w:rsidRPr="00E96F25">
        <w:rPr>
          <w:rFonts w:ascii="Times New Roman" w:hAnsi="Times New Roman" w:cs="Times New Roman"/>
          <w:sz w:val="24"/>
          <w:szCs w:val="24"/>
        </w:rPr>
        <w:t>faecal</w:t>
      </w:r>
      <w:proofErr w:type="spellEnd"/>
      <w:r w:rsidRPr="00E96F25">
        <w:rPr>
          <w:rFonts w:ascii="Times New Roman" w:hAnsi="Times New Roman" w:cs="Times New Roman"/>
          <w:sz w:val="24"/>
          <w:szCs w:val="24"/>
        </w:rPr>
        <w:t xml:space="preserve"> contamination, which is in line with research showing that bacterial loads from human activity are frequently carried by urban runoff (McCall, 2017). Coliform contamination of water sources, especially at the quantities seen here, poses serious health risks. Since elevated total coliform counts are linked to a higher risk of waterborne infections, they offer a broad indication of the cleanliness of a water source (Younis et al., 2016).</w:t>
      </w:r>
    </w:p>
    <w:p w:rsidR="004E57A1" w:rsidRDefault="00BC3BD6" w:rsidP="00BC3BD6">
      <w:pPr>
        <w:jc w:val="both"/>
        <w:rPr>
          <w:rFonts w:ascii="Times New Roman" w:hAnsi="Times New Roman" w:cs="Times New Roman"/>
          <w:sz w:val="24"/>
          <w:szCs w:val="24"/>
        </w:rPr>
      </w:pPr>
      <w:r w:rsidRPr="00E96F25">
        <w:rPr>
          <w:rFonts w:ascii="Times New Roman" w:hAnsi="Times New Roman" w:cs="Times New Roman"/>
          <w:sz w:val="24"/>
          <w:szCs w:val="24"/>
        </w:rPr>
        <w:t xml:space="preserve">The presence of E. coli in the samples also suggests recent </w:t>
      </w:r>
      <w:proofErr w:type="spellStart"/>
      <w:r w:rsidRPr="00E96F25">
        <w:rPr>
          <w:rFonts w:ascii="Times New Roman" w:hAnsi="Times New Roman" w:cs="Times New Roman"/>
          <w:sz w:val="24"/>
          <w:szCs w:val="24"/>
        </w:rPr>
        <w:t>faecal</w:t>
      </w:r>
      <w:proofErr w:type="spellEnd"/>
      <w:r w:rsidRPr="00E96F25">
        <w:rPr>
          <w:rFonts w:ascii="Times New Roman" w:hAnsi="Times New Roman" w:cs="Times New Roman"/>
          <w:sz w:val="24"/>
          <w:szCs w:val="24"/>
        </w:rPr>
        <w:t xml:space="preserve"> contamination, which can cause infections and other major health problems, such as gastrointestinal disorders (Bartram &amp; Cairncross, 2010). E. coli levels in the samples ranged from 76 x 10³ to 114 x 10³ </w:t>
      </w:r>
      <w:proofErr w:type="spellStart"/>
      <w:r w:rsidRPr="00E96F25">
        <w:rPr>
          <w:rFonts w:ascii="Times New Roman" w:hAnsi="Times New Roman" w:cs="Times New Roman"/>
          <w:sz w:val="24"/>
          <w:szCs w:val="24"/>
        </w:rPr>
        <w:t>cfu</w:t>
      </w:r>
      <w:proofErr w:type="spellEnd"/>
      <w:r w:rsidRPr="00E96F25">
        <w:rPr>
          <w:rFonts w:ascii="Times New Roman" w:hAnsi="Times New Roman" w:cs="Times New Roman"/>
          <w:sz w:val="24"/>
          <w:szCs w:val="24"/>
        </w:rPr>
        <w:t xml:space="preserve">/100ml, which is much higher than the EPA's standard of 10 </w:t>
      </w:r>
      <w:proofErr w:type="spellStart"/>
      <w:r w:rsidRPr="00E96F25">
        <w:rPr>
          <w:rFonts w:ascii="Times New Roman" w:hAnsi="Times New Roman" w:cs="Times New Roman"/>
          <w:sz w:val="24"/>
          <w:szCs w:val="24"/>
        </w:rPr>
        <w:t>cfu</w:t>
      </w:r>
      <w:proofErr w:type="spellEnd"/>
      <w:r w:rsidRPr="00E96F25">
        <w:rPr>
          <w:rFonts w:ascii="Times New Roman" w:hAnsi="Times New Roman" w:cs="Times New Roman"/>
          <w:sz w:val="24"/>
          <w:szCs w:val="24"/>
        </w:rPr>
        <w:t xml:space="preserve">/100ml. This suggests that wastewater from vehicle washes has a significant role in </w:t>
      </w:r>
      <w:proofErr w:type="spellStart"/>
      <w:r w:rsidRPr="00E96F25">
        <w:rPr>
          <w:rFonts w:ascii="Times New Roman" w:hAnsi="Times New Roman" w:cs="Times New Roman"/>
          <w:sz w:val="24"/>
          <w:szCs w:val="24"/>
        </w:rPr>
        <w:t>faecal</w:t>
      </w:r>
      <w:proofErr w:type="spellEnd"/>
      <w:r w:rsidRPr="00E96F25">
        <w:rPr>
          <w:rFonts w:ascii="Times New Roman" w:hAnsi="Times New Roman" w:cs="Times New Roman"/>
          <w:sz w:val="24"/>
          <w:szCs w:val="24"/>
        </w:rPr>
        <w:t xml:space="preserve"> contamination. E. coli-contaminated water can have serious health consequences, including </w:t>
      </w:r>
      <w:proofErr w:type="spellStart"/>
      <w:r w:rsidRPr="00E96F25">
        <w:rPr>
          <w:rFonts w:ascii="Times New Roman" w:hAnsi="Times New Roman" w:cs="Times New Roman"/>
          <w:sz w:val="24"/>
          <w:szCs w:val="24"/>
        </w:rPr>
        <w:t>diarrhoea</w:t>
      </w:r>
      <w:proofErr w:type="spellEnd"/>
      <w:r w:rsidRPr="00E96F25">
        <w:rPr>
          <w:rFonts w:ascii="Times New Roman" w:hAnsi="Times New Roman" w:cs="Times New Roman"/>
          <w:sz w:val="24"/>
          <w:szCs w:val="24"/>
        </w:rPr>
        <w:t>, cramping in the abdomen, and in rare instances, even fatal illnesses, especially in young children, the elderly, and people with weakened immune systems (World Health Organisation, 2017). High levels of E. coli in these samples highlight how urgently appropriate wastewater management is required to reduce dangers to the public's health.</w:t>
      </w:r>
    </w:p>
    <w:p w:rsidR="00BC3BD6" w:rsidRPr="00E96F25" w:rsidRDefault="00BC3BD6" w:rsidP="00BC3BD6">
      <w:pPr>
        <w:jc w:val="both"/>
        <w:rPr>
          <w:rFonts w:ascii="Times New Roman" w:hAnsi="Times New Roman" w:cs="Times New Roman"/>
          <w:sz w:val="24"/>
          <w:szCs w:val="24"/>
        </w:rPr>
      </w:pPr>
      <w:r w:rsidRPr="00E96F25">
        <w:rPr>
          <w:rFonts w:ascii="Times New Roman" w:hAnsi="Times New Roman" w:cs="Times New Roman"/>
          <w:sz w:val="24"/>
          <w:szCs w:val="24"/>
        </w:rPr>
        <w:lastRenderedPageBreak/>
        <w:t>The water samples had significant turbidity levels, ranging from 26.3 to 48.3 NTU, which was higher than the WHO's suggested threshold of 5 NTU. High turbidity, which is brought on by suspended particles and organic matter, can protect dangerous germs from disinfection procedures like UV and chlorine treatment, which has consequences for public health (McCall, 2017). Additionally, research indicates that elevated turbidity can result in higher chlorine requirements, thereby affecting disinfection effectiveness and raising health hazards (Ahmed et al., 2019).</w:t>
      </w:r>
    </w:p>
    <w:p w:rsidR="00BC3BD6" w:rsidRPr="00BC3BD6" w:rsidRDefault="00BC3BD6" w:rsidP="00BC3BD6">
      <w:pPr>
        <w:jc w:val="both"/>
        <w:rPr>
          <w:rFonts w:ascii="Times New Roman" w:hAnsi="Times New Roman" w:cs="Times New Roman"/>
          <w:sz w:val="24"/>
          <w:szCs w:val="24"/>
        </w:rPr>
      </w:pPr>
      <w:r w:rsidRPr="00BC3BD6">
        <w:rPr>
          <w:rFonts w:ascii="Times New Roman" w:hAnsi="Times New Roman" w:cs="Times New Roman"/>
          <w:sz w:val="24"/>
          <w:szCs w:val="24"/>
        </w:rPr>
        <w:t>In terms of pH, values between 8.58 and 10.8 were recorded, which slightly exceed the WHO guideline of 8.0. High pH levels may increase water's corrosiveness, leading to metal leaching from pipes, which could potentially introduce additional toxic elements into the water (McCall, 2017). Electrical conductivity values ranged between 1,311 µS/cm and 1,670 µS/cm, reflecting high levels of dissolved ions, such as sodium, potassium, calcium, and magnesium. These findings align with previous studies that demonstrate car wash wastewater often contains elevated levels of dissolved solids and salts, which can alter the ionic balance of natural water bodies and disrupt aquatic ecosystems (</w:t>
      </w:r>
      <w:proofErr w:type="spellStart"/>
      <w:r w:rsidRPr="00BC3BD6">
        <w:rPr>
          <w:rFonts w:ascii="Times New Roman" w:hAnsi="Times New Roman" w:cs="Times New Roman"/>
          <w:sz w:val="24"/>
          <w:szCs w:val="24"/>
        </w:rPr>
        <w:t>Shiklomanov</w:t>
      </w:r>
      <w:proofErr w:type="spellEnd"/>
      <w:r w:rsidRPr="00BC3BD6">
        <w:rPr>
          <w:rFonts w:ascii="Times New Roman" w:hAnsi="Times New Roman" w:cs="Times New Roman"/>
          <w:sz w:val="24"/>
          <w:szCs w:val="24"/>
        </w:rPr>
        <w:t xml:space="preserve"> &amp; Rodda, 2003).</w:t>
      </w:r>
    </w:p>
    <w:p w:rsidR="004E57A1" w:rsidRDefault="00BC3BD6" w:rsidP="00BC3BD6">
      <w:pPr>
        <w:jc w:val="both"/>
        <w:rPr>
          <w:rFonts w:ascii="Times New Roman" w:hAnsi="Times New Roman" w:cs="Times New Roman"/>
          <w:sz w:val="24"/>
          <w:szCs w:val="24"/>
        </w:rPr>
      </w:pPr>
      <w:r w:rsidRPr="00E96F25">
        <w:rPr>
          <w:rFonts w:ascii="Times New Roman" w:hAnsi="Times New Roman" w:cs="Times New Roman"/>
          <w:sz w:val="24"/>
          <w:szCs w:val="24"/>
        </w:rPr>
        <w:t>All samples had high sodium levels (232–297 mg/l), which were higher than the WHO recommendation of 200 mg/l. For people with congestive heart failure or hypertension, who are usually on salt-restricted diets, too much sodium in drinking water might have negative consequences (WHO, 2017). Potential health hazards are also associated with elevated ammonium (NH4-N) levels, which varied from 8.37 to 9.22 mg/l. Excessive ammonium levels are frequently linked to waste contamination and can help produce toxic chloramines during disinfection, which can cause gastrointestinal and respiratory problems (WHO, 2017).</w:t>
      </w:r>
      <w:r w:rsidRPr="00BC3BD6">
        <w:rPr>
          <w:rFonts w:ascii="Times New Roman" w:hAnsi="Times New Roman" w:cs="Times New Roman"/>
          <w:sz w:val="24"/>
          <w:szCs w:val="24"/>
        </w:rPr>
        <w:t xml:space="preserve"> Additionally, the samples' levels of iron and manganese were higher than WHO guidelines. Manganese and iron levels, which range from 1.58 to 2.84 mg/l and 0.786 to 0.941 mg/l, respectively, might affect the taste, </w:t>
      </w:r>
      <w:proofErr w:type="spellStart"/>
      <w:r w:rsidRPr="00BC3BD6">
        <w:rPr>
          <w:rFonts w:ascii="Times New Roman" w:hAnsi="Times New Roman" w:cs="Times New Roman"/>
          <w:sz w:val="24"/>
          <w:szCs w:val="24"/>
        </w:rPr>
        <w:t>colour</w:t>
      </w:r>
      <w:proofErr w:type="spellEnd"/>
      <w:r w:rsidRPr="00BC3BD6">
        <w:rPr>
          <w:rFonts w:ascii="Times New Roman" w:hAnsi="Times New Roman" w:cs="Times New Roman"/>
          <w:sz w:val="24"/>
          <w:szCs w:val="24"/>
        </w:rPr>
        <w:t xml:space="preserve">, and </w:t>
      </w:r>
      <w:proofErr w:type="spellStart"/>
      <w:r w:rsidRPr="00BC3BD6">
        <w:rPr>
          <w:rFonts w:ascii="Times New Roman" w:hAnsi="Times New Roman" w:cs="Times New Roman"/>
          <w:sz w:val="24"/>
          <w:szCs w:val="24"/>
        </w:rPr>
        <w:t>odour</w:t>
      </w:r>
      <w:proofErr w:type="spellEnd"/>
      <w:r w:rsidRPr="00BC3BD6">
        <w:rPr>
          <w:rFonts w:ascii="Times New Roman" w:hAnsi="Times New Roman" w:cs="Times New Roman"/>
          <w:sz w:val="24"/>
          <w:szCs w:val="24"/>
        </w:rPr>
        <w:t xml:space="preserve"> of water, rendering it unfit for human consumption (WHO, 2017). If used frequently, these substances can have long-term consequences on kidney health even though they are not immediately harmful.</w:t>
      </w:r>
    </w:p>
    <w:p w:rsidR="00BC3BD6" w:rsidRPr="00BC3BD6" w:rsidRDefault="00BC3BD6" w:rsidP="00BC3BD6">
      <w:pPr>
        <w:jc w:val="both"/>
        <w:rPr>
          <w:rFonts w:ascii="Times New Roman" w:hAnsi="Times New Roman" w:cs="Times New Roman"/>
          <w:sz w:val="24"/>
          <w:szCs w:val="24"/>
        </w:rPr>
      </w:pPr>
      <w:r w:rsidRPr="00BC3BD6">
        <w:rPr>
          <w:rFonts w:ascii="Times New Roman" w:hAnsi="Times New Roman" w:cs="Times New Roman"/>
          <w:sz w:val="24"/>
          <w:szCs w:val="24"/>
        </w:rPr>
        <w:t>Nutrient pollutants such as nitrates, nitrites, phosphates, and sulfates were also detected at elevated levels in the wastewater samples. High nitrate levels, if present in drinking water, pose a risk of methemoglobinemia, or “blue baby syndrome,” in infants (Ward et al., 2018). Furthermore, elevated phosphate and sulfate levels may contribute to eutrophication in nearby water bodies, stimulating excessive algae growth that can deplete oxygen levels and endanger aquatic life (Conley et al., 2009).</w:t>
      </w:r>
    </w:p>
    <w:p w:rsidR="004E57A1" w:rsidRDefault="00BC3BD6" w:rsidP="00BC3BD6">
      <w:pPr>
        <w:jc w:val="both"/>
        <w:rPr>
          <w:rFonts w:ascii="Times New Roman" w:hAnsi="Times New Roman" w:cs="Times New Roman"/>
          <w:sz w:val="24"/>
          <w:szCs w:val="24"/>
        </w:rPr>
      </w:pPr>
      <w:r w:rsidRPr="00BC3BD6">
        <w:rPr>
          <w:rFonts w:ascii="Times New Roman" w:hAnsi="Times New Roman" w:cs="Times New Roman"/>
          <w:sz w:val="24"/>
          <w:szCs w:val="24"/>
        </w:rPr>
        <w:t xml:space="preserve">For Koforidua people, especially those who depend on tainted water supplies for drinking or household use, the combined presence of microbiological, chemical, and nutritional contaminants in wastewater from vehicle wash </w:t>
      </w:r>
      <w:proofErr w:type="spellStart"/>
      <w:r w:rsidRPr="00BC3BD6">
        <w:rPr>
          <w:rFonts w:ascii="Times New Roman" w:hAnsi="Times New Roman" w:cs="Times New Roman"/>
          <w:sz w:val="24"/>
          <w:szCs w:val="24"/>
        </w:rPr>
        <w:t>centres</w:t>
      </w:r>
      <w:proofErr w:type="spellEnd"/>
      <w:r w:rsidRPr="00BC3BD6">
        <w:rPr>
          <w:rFonts w:ascii="Times New Roman" w:hAnsi="Times New Roman" w:cs="Times New Roman"/>
          <w:sz w:val="24"/>
          <w:szCs w:val="24"/>
        </w:rPr>
        <w:t xml:space="preserve"> constitutes a serious health risk. The community may be at higher risk for gastrointestinal and waterborne illnesses due to elevated levels of coliform and E. coli, which could have more serious health consequences for susceptible groups. In underdeveloped countries, microbial pollution is the main cause of waterborne illnesses, according to studies that highlight the importance of clean drinking water (Bartram &amp; Cairncross, 2010).</w:t>
      </w:r>
    </w:p>
    <w:p w:rsidR="00BC3BD6" w:rsidRDefault="00BC3BD6" w:rsidP="004E57A1">
      <w:pPr>
        <w:jc w:val="both"/>
        <w:rPr>
          <w:rFonts w:ascii="Times New Roman" w:hAnsi="Times New Roman" w:cs="Times New Roman"/>
          <w:sz w:val="24"/>
          <w:szCs w:val="24"/>
        </w:rPr>
      </w:pPr>
      <w:r w:rsidRPr="00BC3BD6">
        <w:rPr>
          <w:rFonts w:ascii="Times New Roman" w:hAnsi="Times New Roman" w:cs="Times New Roman"/>
          <w:sz w:val="24"/>
          <w:szCs w:val="24"/>
        </w:rPr>
        <w:t>Turbidity, pH, sodium, ammonium, and high conductivity are examples of physicochemical and chemical contaminants that increase danger, especially for people who already have health issues. Because nutrient pollution can result in harmful biological changes like algal blooms, which lower biodiversity and impair water usability, the high nutrient content in the water samples also poses a hazard to the surrounding environment (Conley et al., 2009). The results are consistent with other studies showing that urban activities that are not properly regulated, such as vehicle washes, can have a significant negative influence on the environment and human health (</w:t>
      </w:r>
      <w:proofErr w:type="spellStart"/>
      <w:r w:rsidRPr="00BC3BD6">
        <w:rPr>
          <w:rFonts w:ascii="Times New Roman" w:hAnsi="Times New Roman" w:cs="Times New Roman"/>
          <w:sz w:val="24"/>
          <w:szCs w:val="24"/>
        </w:rPr>
        <w:t>Shiklomanov</w:t>
      </w:r>
      <w:proofErr w:type="spellEnd"/>
      <w:r w:rsidRPr="00BC3BD6">
        <w:rPr>
          <w:rFonts w:ascii="Times New Roman" w:hAnsi="Times New Roman" w:cs="Times New Roman"/>
          <w:sz w:val="24"/>
          <w:szCs w:val="24"/>
        </w:rPr>
        <w:t xml:space="preserve"> &amp; Rodda, 2003).</w:t>
      </w:r>
    </w:p>
    <w:p w:rsidR="004E57A1" w:rsidRDefault="004E57A1" w:rsidP="004E57A1">
      <w:pPr>
        <w:jc w:val="both"/>
        <w:rPr>
          <w:rFonts w:ascii="Times New Roman" w:hAnsi="Times New Roman" w:cs="Times New Roman"/>
          <w:b/>
          <w:bCs/>
          <w:sz w:val="24"/>
          <w:szCs w:val="24"/>
        </w:rPr>
      </w:pPr>
      <w:r w:rsidRPr="004E57A1">
        <w:rPr>
          <w:rFonts w:ascii="Times New Roman" w:hAnsi="Times New Roman" w:cs="Times New Roman"/>
          <w:b/>
          <w:bCs/>
          <w:sz w:val="24"/>
          <w:szCs w:val="24"/>
        </w:rPr>
        <w:lastRenderedPageBreak/>
        <w:t>6.0 CONCLUSION AND RECOMMENDATIONS</w:t>
      </w:r>
    </w:p>
    <w:p w:rsidR="004E57A1" w:rsidRPr="004E57A1" w:rsidRDefault="004E57A1" w:rsidP="004E57A1">
      <w:pPr>
        <w:jc w:val="both"/>
        <w:rPr>
          <w:rFonts w:ascii="Times New Roman" w:hAnsi="Times New Roman" w:cs="Times New Roman"/>
          <w:sz w:val="24"/>
          <w:szCs w:val="24"/>
          <w:lang/>
        </w:rPr>
      </w:pPr>
      <w:r w:rsidRPr="004E57A1">
        <w:rPr>
          <w:rFonts w:ascii="Times New Roman" w:hAnsi="Times New Roman" w:cs="Times New Roman"/>
          <w:sz w:val="24"/>
          <w:szCs w:val="24"/>
          <w:lang/>
        </w:rPr>
        <w:t>This study reveals that car wash centers in Koforidua, Ghana, significantly contribute to water quality degradation, with wastewater containing elevated levels of harmful chemicals and microbial contaminants that exceed permissible limits (Ahmed et al., 2019; Tekere et al., 2016). The implications of these contaminants are profound, as they not only threaten local ecosystems but also pose serious health risks to nearby communities reliant on water from streams, wells, and boreholes for daily use (Ward et al., 2018). The results underscore an urgent need to address water pollution stemming from car wash activities to protect public health and align with Sustainable Development Goal 6 on clean water and sanitation.</w:t>
      </w:r>
    </w:p>
    <w:p w:rsidR="004E57A1" w:rsidRPr="004E57A1" w:rsidRDefault="004E57A1" w:rsidP="004E57A1">
      <w:pPr>
        <w:jc w:val="both"/>
        <w:rPr>
          <w:rFonts w:ascii="Times New Roman" w:hAnsi="Times New Roman" w:cs="Times New Roman"/>
          <w:sz w:val="24"/>
          <w:szCs w:val="24"/>
          <w:lang/>
        </w:rPr>
      </w:pPr>
      <w:r w:rsidRPr="004E57A1">
        <w:rPr>
          <w:rFonts w:ascii="Times New Roman" w:hAnsi="Times New Roman" w:cs="Times New Roman"/>
          <w:b/>
          <w:bCs/>
          <w:sz w:val="24"/>
          <w:szCs w:val="24"/>
          <w:lang/>
        </w:rPr>
        <w:t>Recommendations</w:t>
      </w:r>
    </w:p>
    <w:p w:rsidR="004E57A1" w:rsidRPr="004E57A1" w:rsidRDefault="004E57A1" w:rsidP="004E57A1">
      <w:pPr>
        <w:jc w:val="both"/>
        <w:rPr>
          <w:rFonts w:ascii="Times New Roman" w:hAnsi="Times New Roman" w:cs="Times New Roman"/>
          <w:sz w:val="24"/>
          <w:szCs w:val="24"/>
          <w:lang/>
        </w:rPr>
      </w:pPr>
      <w:r w:rsidRPr="004E57A1">
        <w:rPr>
          <w:rFonts w:ascii="Times New Roman" w:hAnsi="Times New Roman" w:cs="Times New Roman"/>
          <w:sz w:val="24"/>
          <w:szCs w:val="24"/>
          <w:lang/>
        </w:rPr>
        <w:t>To mitigate the adverse effects of car wash wastewater on water quality and health, this study recommends the following actions:</w:t>
      </w:r>
    </w:p>
    <w:p w:rsidR="004E57A1" w:rsidRPr="004E57A1" w:rsidRDefault="004E57A1" w:rsidP="004E57A1">
      <w:pPr>
        <w:numPr>
          <w:ilvl w:val="0"/>
          <w:numId w:val="8"/>
        </w:numPr>
        <w:jc w:val="both"/>
        <w:rPr>
          <w:rFonts w:ascii="Times New Roman" w:hAnsi="Times New Roman" w:cs="Times New Roman"/>
          <w:sz w:val="24"/>
          <w:szCs w:val="24"/>
          <w:lang/>
        </w:rPr>
      </w:pPr>
      <w:r w:rsidRPr="004E57A1">
        <w:rPr>
          <w:rFonts w:ascii="Times New Roman" w:hAnsi="Times New Roman" w:cs="Times New Roman"/>
          <w:b/>
          <w:bCs/>
          <w:sz w:val="24"/>
          <w:szCs w:val="24"/>
          <w:lang/>
        </w:rPr>
        <w:t>Implementation of Regulatory Standards</w:t>
      </w:r>
      <w:r w:rsidRPr="004E57A1">
        <w:rPr>
          <w:rFonts w:ascii="Times New Roman" w:hAnsi="Times New Roman" w:cs="Times New Roman"/>
          <w:sz w:val="24"/>
          <w:szCs w:val="24"/>
          <w:lang/>
        </w:rPr>
        <w:t>: The Ghana Environmental Protection Agency (EPA) should establish and enforce strict wastewater discharge standards specific to car wash operations, similar to those recommended for industrial effluents (McCall, 2017; WHO, 2017). This will ensure wastewater treatment practices are adopted and monitored to prevent contaminants from entering water sources.</w:t>
      </w:r>
    </w:p>
    <w:p w:rsidR="004E57A1" w:rsidRPr="004E57A1" w:rsidRDefault="004E57A1" w:rsidP="004E57A1">
      <w:pPr>
        <w:numPr>
          <w:ilvl w:val="0"/>
          <w:numId w:val="8"/>
        </w:numPr>
        <w:jc w:val="both"/>
        <w:rPr>
          <w:rFonts w:ascii="Times New Roman" w:hAnsi="Times New Roman" w:cs="Times New Roman"/>
          <w:sz w:val="24"/>
          <w:szCs w:val="24"/>
          <w:lang/>
        </w:rPr>
      </w:pPr>
      <w:r w:rsidRPr="004E57A1">
        <w:rPr>
          <w:rFonts w:ascii="Times New Roman" w:hAnsi="Times New Roman" w:cs="Times New Roman"/>
          <w:b/>
          <w:bCs/>
          <w:sz w:val="24"/>
          <w:szCs w:val="24"/>
          <w:lang/>
        </w:rPr>
        <w:t>Adoption of Eco-Friendly Car Wash Practices</w:t>
      </w:r>
      <w:r w:rsidRPr="004E57A1">
        <w:rPr>
          <w:rFonts w:ascii="Times New Roman" w:hAnsi="Times New Roman" w:cs="Times New Roman"/>
          <w:sz w:val="24"/>
          <w:szCs w:val="24"/>
          <w:lang/>
        </w:rPr>
        <w:t>: Encouraging the use of biodegradable cleaning agents and efficient water recycling systems can reduce chemical and water waste (Ghaly et al., 2021). Such practices not only decrease contamination but also promote water conservation—a critical factor in regions facing water scarcity.</w:t>
      </w:r>
    </w:p>
    <w:p w:rsidR="004E57A1" w:rsidRPr="004E57A1" w:rsidRDefault="004E57A1" w:rsidP="004E57A1">
      <w:pPr>
        <w:numPr>
          <w:ilvl w:val="0"/>
          <w:numId w:val="8"/>
        </w:numPr>
        <w:jc w:val="both"/>
        <w:rPr>
          <w:rFonts w:ascii="Times New Roman" w:hAnsi="Times New Roman" w:cs="Times New Roman"/>
          <w:sz w:val="24"/>
          <w:szCs w:val="24"/>
          <w:lang/>
        </w:rPr>
      </w:pPr>
      <w:r w:rsidRPr="004E57A1">
        <w:rPr>
          <w:rFonts w:ascii="Times New Roman" w:hAnsi="Times New Roman" w:cs="Times New Roman"/>
          <w:b/>
          <w:bCs/>
          <w:sz w:val="24"/>
          <w:szCs w:val="24"/>
          <w:lang/>
        </w:rPr>
        <w:t>Periodic Monitoring and Community Engagement</w:t>
      </w:r>
      <w:r w:rsidRPr="004E57A1">
        <w:rPr>
          <w:rFonts w:ascii="Times New Roman" w:hAnsi="Times New Roman" w:cs="Times New Roman"/>
          <w:sz w:val="24"/>
          <w:szCs w:val="24"/>
          <w:lang/>
        </w:rPr>
        <w:t>: Regular testing of water sources near car wash centers should be conducted to track pollutant levels and guide interventions. Additionally, community awareness programs can educate the public on the potential health risks associated with polluted water and the importance of supporting sustainable car wash practices (Conley et al., 2009).</w:t>
      </w:r>
    </w:p>
    <w:p w:rsidR="004E57A1" w:rsidRPr="004E57A1" w:rsidRDefault="004E57A1" w:rsidP="004E57A1">
      <w:pPr>
        <w:numPr>
          <w:ilvl w:val="0"/>
          <w:numId w:val="8"/>
        </w:numPr>
        <w:jc w:val="both"/>
        <w:rPr>
          <w:rFonts w:ascii="Times New Roman" w:hAnsi="Times New Roman" w:cs="Times New Roman"/>
          <w:sz w:val="24"/>
          <w:szCs w:val="24"/>
          <w:lang/>
        </w:rPr>
      </w:pPr>
      <w:r w:rsidRPr="004E57A1">
        <w:rPr>
          <w:rFonts w:ascii="Times New Roman" w:hAnsi="Times New Roman" w:cs="Times New Roman"/>
          <w:b/>
          <w:bCs/>
          <w:sz w:val="24"/>
          <w:szCs w:val="24"/>
          <w:lang/>
        </w:rPr>
        <w:t>Investing in Research and Technology</w:t>
      </w:r>
      <w:r w:rsidRPr="004E57A1">
        <w:rPr>
          <w:rFonts w:ascii="Times New Roman" w:hAnsi="Times New Roman" w:cs="Times New Roman"/>
          <w:sz w:val="24"/>
          <w:szCs w:val="24"/>
          <w:lang/>
        </w:rPr>
        <w:t>: Continuous research on innovative, cost-effective wastewater treatment methods, such as electrocoagulation and filtration systems, can improve local capacity to manage wastewater sustainably (Kashefi Asl et al., 2014; Phungula, 2016). This will be essential in developing scalable solutions for both large and small car wash operations.</w:t>
      </w:r>
    </w:p>
    <w:p w:rsidR="004E57A1" w:rsidRPr="004E57A1" w:rsidRDefault="004E57A1" w:rsidP="004E57A1">
      <w:pPr>
        <w:jc w:val="both"/>
        <w:rPr>
          <w:rFonts w:ascii="Times New Roman" w:hAnsi="Times New Roman" w:cs="Times New Roman"/>
          <w:sz w:val="24"/>
          <w:szCs w:val="24"/>
          <w:lang/>
        </w:rPr>
      </w:pPr>
      <w:r w:rsidRPr="004E57A1">
        <w:rPr>
          <w:rFonts w:ascii="Times New Roman" w:hAnsi="Times New Roman" w:cs="Times New Roman"/>
          <w:sz w:val="24"/>
          <w:szCs w:val="24"/>
          <w:lang/>
        </w:rPr>
        <w:t>In summary, targeted regulations, sustainable practices, and public engagement are vital to reduce water contamination from car wash activities and safeguard community health. By implementing these recommendations, stakeholders can foster healthier urban environments and support Ghana’s progress toward sustainable water management.</w:t>
      </w:r>
    </w:p>
    <w:p w:rsidR="004E57A1" w:rsidRPr="004E57A1" w:rsidRDefault="004E57A1" w:rsidP="004E57A1">
      <w:pPr>
        <w:jc w:val="both"/>
        <w:rPr>
          <w:rFonts w:ascii="Times New Roman" w:hAnsi="Times New Roman" w:cs="Times New Roman"/>
          <w:sz w:val="24"/>
          <w:szCs w:val="24"/>
        </w:rPr>
      </w:pPr>
    </w:p>
    <w:p w:rsidR="004E57A1" w:rsidRDefault="004E57A1" w:rsidP="00BC3BD6">
      <w:pPr>
        <w:rPr>
          <w:rFonts w:ascii="Times New Roman" w:hAnsi="Times New Roman" w:cs="Times New Roman"/>
          <w:b/>
          <w:bCs/>
          <w:sz w:val="24"/>
          <w:szCs w:val="24"/>
        </w:rPr>
      </w:pPr>
    </w:p>
    <w:p w:rsidR="004E57A1" w:rsidRDefault="004E57A1" w:rsidP="00BC3BD6">
      <w:pPr>
        <w:rPr>
          <w:rFonts w:ascii="Times New Roman" w:hAnsi="Times New Roman" w:cs="Times New Roman"/>
          <w:b/>
          <w:bCs/>
          <w:sz w:val="24"/>
          <w:szCs w:val="24"/>
        </w:rPr>
      </w:pPr>
    </w:p>
    <w:p w:rsidR="004E57A1" w:rsidRDefault="004E57A1" w:rsidP="00BC3BD6">
      <w:pPr>
        <w:rPr>
          <w:rFonts w:ascii="Times New Roman" w:hAnsi="Times New Roman" w:cs="Times New Roman"/>
          <w:b/>
          <w:bCs/>
          <w:sz w:val="24"/>
          <w:szCs w:val="24"/>
        </w:rPr>
      </w:pPr>
    </w:p>
    <w:p w:rsidR="004E57A1" w:rsidRDefault="004E57A1" w:rsidP="00BC3BD6">
      <w:pPr>
        <w:rPr>
          <w:rFonts w:ascii="Times New Roman" w:hAnsi="Times New Roman" w:cs="Times New Roman"/>
          <w:b/>
          <w:bCs/>
          <w:sz w:val="24"/>
          <w:szCs w:val="24"/>
        </w:rPr>
      </w:pPr>
    </w:p>
    <w:p w:rsidR="00BC3BD6" w:rsidRPr="004E57A1" w:rsidRDefault="00BC3BD6" w:rsidP="00BC3BD6">
      <w:pPr>
        <w:rPr>
          <w:rFonts w:ascii="Times New Roman" w:hAnsi="Times New Roman" w:cs="Times New Roman"/>
          <w:b/>
          <w:bCs/>
          <w:sz w:val="24"/>
          <w:szCs w:val="24"/>
        </w:rPr>
      </w:pPr>
      <w:r w:rsidRPr="004E57A1">
        <w:rPr>
          <w:rFonts w:ascii="Times New Roman" w:hAnsi="Times New Roman" w:cs="Times New Roman"/>
          <w:b/>
          <w:bCs/>
          <w:sz w:val="24"/>
          <w:szCs w:val="24"/>
        </w:rPr>
        <w:lastRenderedPageBreak/>
        <w:t>REFERENCES</w:t>
      </w:r>
    </w:p>
    <w:p w:rsidR="0031278A" w:rsidRDefault="0031278A" w:rsidP="0031278A">
      <w:pPr>
        <w:pStyle w:val="NormalWeb"/>
        <w:rPr>
          <w:color w:val="000000"/>
        </w:rPr>
      </w:pPr>
      <w:r>
        <w:rPr>
          <w:color w:val="000000"/>
        </w:rPr>
        <w:t>Ahmed, W., Hughes, B., Harwood, V. J., &amp; Veal, D. A. (2019). Influence of environmental parameters on the persistence of bacterial indicators and pathogens in the environment.</w:t>
      </w:r>
      <w:r>
        <w:rPr>
          <w:rStyle w:val="apple-converted-space"/>
          <w:color w:val="000000"/>
        </w:rPr>
        <w:t> </w:t>
      </w:r>
      <w:r>
        <w:rPr>
          <w:rStyle w:val="Emphasis"/>
          <w:color w:val="000000"/>
        </w:rPr>
        <w:t>Journal of Applied Microbiology, 126</w:t>
      </w:r>
      <w:r>
        <w:rPr>
          <w:color w:val="000000"/>
        </w:rPr>
        <w:t>(4), 1119–1128.</w:t>
      </w:r>
    </w:p>
    <w:p w:rsidR="0031278A" w:rsidRDefault="0031278A" w:rsidP="0031278A">
      <w:pPr>
        <w:pStyle w:val="NormalWeb"/>
        <w:rPr>
          <w:color w:val="000000"/>
        </w:rPr>
      </w:pPr>
      <w:proofErr w:type="spellStart"/>
      <w:r>
        <w:rPr>
          <w:color w:val="000000"/>
        </w:rPr>
        <w:t>Aikins</w:t>
      </w:r>
      <w:proofErr w:type="spellEnd"/>
      <w:r>
        <w:rPr>
          <w:color w:val="000000"/>
        </w:rPr>
        <w:t xml:space="preserve">, S., &amp; Boakye, D. O. (2015). Carwash wastewater characterization and effect on surface water quality: A case study of washing bays sited on Oda and </w:t>
      </w:r>
      <w:proofErr w:type="spellStart"/>
      <w:r>
        <w:rPr>
          <w:color w:val="000000"/>
        </w:rPr>
        <w:t>Daban</w:t>
      </w:r>
      <w:proofErr w:type="spellEnd"/>
      <w:r>
        <w:rPr>
          <w:color w:val="000000"/>
        </w:rPr>
        <w:t xml:space="preserve"> streams in Kumasi, Ghana.</w:t>
      </w:r>
      <w:r>
        <w:rPr>
          <w:rStyle w:val="apple-converted-space"/>
          <w:color w:val="000000"/>
        </w:rPr>
        <w:t> </w:t>
      </w:r>
      <w:r>
        <w:rPr>
          <w:rStyle w:val="Emphasis"/>
          <w:color w:val="000000"/>
        </w:rPr>
        <w:t>ARPN Journal of Science and Technology, 5</w:t>
      </w:r>
      <w:r>
        <w:rPr>
          <w:color w:val="000000"/>
        </w:rPr>
        <w:t>(4), 190–197.</w:t>
      </w:r>
    </w:p>
    <w:p w:rsidR="0031278A" w:rsidRDefault="0031278A" w:rsidP="0031278A">
      <w:pPr>
        <w:pStyle w:val="NormalWeb"/>
        <w:rPr>
          <w:color w:val="000000"/>
        </w:rPr>
      </w:pPr>
      <w:proofErr w:type="spellStart"/>
      <w:r>
        <w:rPr>
          <w:color w:val="000000"/>
        </w:rPr>
        <w:t>Akpakpavi</w:t>
      </w:r>
      <w:proofErr w:type="spellEnd"/>
      <w:r>
        <w:rPr>
          <w:color w:val="000000"/>
        </w:rPr>
        <w:t>, M. (2015). Used oil storage and disposal practices in automobile repair garages in Ghana.</w:t>
      </w:r>
      <w:r>
        <w:rPr>
          <w:rStyle w:val="apple-converted-space"/>
          <w:color w:val="000000"/>
        </w:rPr>
        <w:t> </w:t>
      </w:r>
      <w:r>
        <w:rPr>
          <w:rStyle w:val="Emphasis"/>
          <w:color w:val="000000"/>
        </w:rPr>
        <w:t>International Journal of Science, Technology, and Society, 3</w:t>
      </w:r>
      <w:r>
        <w:rPr>
          <w:color w:val="000000"/>
        </w:rPr>
        <w:t>(4), 191–201.</w:t>
      </w:r>
    </w:p>
    <w:p w:rsidR="0031278A" w:rsidRDefault="0031278A" w:rsidP="0031278A">
      <w:pPr>
        <w:pStyle w:val="NormalWeb"/>
        <w:rPr>
          <w:color w:val="000000"/>
        </w:rPr>
      </w:pPr>
      <w:r>
        <w:rPr>
          <w:color w:val="000000"/>
        </w:rPr>
        <w:t xml:space="preserve">Almeida, C., Borges, D. G., Bonilla, S. H., &amp; </w:t>
      </w:r>
      <w:proofErr w:type="spellStart"/>
      <w:r>
        <w:rPr>
          <w:color w:val="000000"/>
        </w:rPr>
        <w:t>Giannetti</w:t>
      </w:r>
      <w:proofErr w:type="spellEnd"/>
      <w:r>
        <w:rPr>
          <w:color w:val="000000"/>
        </w:rPr>
        <w:t>, B. F. (2010). Identifying improvements in water management of bus-washing stations in Brazil.</w:t>
      </w:r>
      <w:r>
        <w:rPr>
          <w:rStyle w:val="apple-converted-space"/>
          <w:color w:val="000000"/>
        </w:rPr>
        <w:t> </w:t>
      </w:r>
      <w:r>
        <w:rPr>
          <w:rStyle w:val="Emphasis"/>
          <w:color w:val="000000"/>
        </w:rPr>
        <w:t>Resources, Conservation and Recycling, 54</w:t>
      </w:r>
      <w:r>
        <w:rPr>
          <w:color w:val="000000"/>
        </w:rPr>
        <w:t>(11), 821–831.</w:t>
      </w:r>
      <w:r>
        <w:rPr>
          <w:rStyle w:val="apple-converted-space"/>
          <w:color w:val="000000"/>
        </w:rPr>
        <w:t> </w:t>
      </w:r>
      <w:hyperlink r:id="rId7" w:tgtFrame="_new" w:history="1">
        <w:r>
          <w:rPr>
            <w:rStyle w:val="Hyperlink"/>
          </w:rPr>
          <w:t>https://doi.org/10.1016/j.resconrec.2010.01.001</w:t>
        </w:r>
      </w:hyperlink>
    </w:p>
    <w:p w:rsidR="0031278A" w:rsidRDefault="0031278A" w:rsidP="0031278A">
      <w:pPr>
        <w:pStyle w:val="NormalWeb"/>
        <w:rPr>
          <w:color w:val="000000"/>
        </w:rPr>
      </w:pPr>
      <w:r>
        <w:rPr>
          <w:color w:val="000000"/>
        </w:rPr>
        <w:t xml:space="preserve">Amoako, C., &amp; </w:t>
      </w:r>
      <w:proofErr w:type="spellStart"/>
      <w:r>
        <w:rPr>
          <w:color w:val="000000"/>
        </w:rPr>
        <w:t>Asiedu</w:t>
      </w:r>
      <w:proofErr w:type="spellEnd"/>
      <w:r>
        <w:rPr>
          <w:color w:val="000000"/>
        </w:rPr>
        <w:t xml:space="preserve">, A. B. (2012). Managing physical development in peri-urban areas of Kumasi, Ghana: A case of </w:t>
      </w:r>
      <w:proofErr w:type="spellStart"/>
      <w:r>
        <w:rPr>
          <w:color w:val="000000"/>
        </w:rPr>
        <w:t>Abuakwa</w:t>
      </w:r>
      <w:proofErr w:type="spellEnd"/>
      <w:r>
        <w:rPr>
          <w:color w:val="000000"/>
        </w:rPr>
        <w:t>.</w:t>
      </w:r>
      <w:r>
        <w:rPr>
          <w:rStyle w:val="apple-converted-space"/>
          <w:color w:val="000000"/>
        </w:rPr>
        <w:t> </w:t>
      </w:r>
      <w:r>
        <w:rPr>
          <w:rStyle w:val="Emphasis"/>
          <w:color w:val="000000"/>
        </w:rPr>
        <w:t>Journal of Urban and Regional Analysis, 4</w:t>
      </w:r>
      <w:r>
        <w:rPr>
          <w:color w:val="000000"/>
        </w:rPr>
        <w:t>(2), 119–130.</w:t>
      </w:r>
    </w:p>
    <w:p w:rsidR="0031278A" w:rsidRDefault="0031278A" w:rsidP="0031278A">
      <w:pPr>
        <w:pStyle w:val="NormalWeb"/>
        <w:rPr>
          <w:color w:val="000000"/>
        </w:rPr>
      </w:pPr>
      <w:proofErr w:type="spellStart"/>
      <w:r>
        <w:rPr>
          <w:color w:val="000000"/>
        </w:rPr>
        <w:t>Amuakwa</w:t>
      </w:r>
      <w:proofErr w:type="spellEnd"/>
      <w:r>
        <w:rPr>
          <w:color w:val="000000"/>
        </w:rPr>
        <w:t>-Mensah, F., &amp; Asante, F. A. (2015). Climate change and variability in Ghana: Stocktaking.</w:t>
      </w:r>
      <w:r>
        <w:rPr>
          <w:rStyle w:val="apple-converted-space"/>
          <w:color w:val="000000"/>
        </w:rPr>
        <w:t> </w:t>
      </w:r>
      <w:r>
        <w:rPr>
          <w:rStyle w:val="Emphasis"/>
          <w:color w:val="000000"/>
        </w:rPr>
        <w:t>Climate, 3</w:t>
      </w:r>
      <w:r>
        <w:rPr>
          <w:color w:val="000000"/>
        </w:rPr>
        <w:t>, 78–99.</w:t>
      </w:r>
    </w:p>
    <w:p w:rsidR="0031278A" w:rsidRDefault="0031278A" w:rsidP="0031278A">
      <w:pPr>
        <w:pStyle w:val="NormalWeb"/>
        <w:rPr>
          <w:color w:val="000000"/>
        </w:rPr>
      </w:pPr>
      <w:proofErr w:type="spellStart"/>
      <w:r>
        <w:rPr>
          <w:color w:val="000000"/>
        </w:rPr>
        <w:t>Andama</w:t>
      </w:r>
      <w:proofErr w:type="spellEnd"/>
      <w:r>
        <w:rPr>
          <w:color w:val="000000"/>
        </w:rPr>
        <w:t xml:space="preserve">, E., </w:t>
      </w:r>
      <w:proofErr w:type="spellStart"/>
      <w:r>
        <w:rPr>
          <w:color w:val="000000"/>
        </w:rPr>
        <w:t>Turyahabwe</w:t>
      </w:r>
      <w:proofErr w:type="spellEnd"/>
      <w:r>
        <w:rPr>
          <w:color w:val="000000"/>
        </w:rPr>
        <w:t xml:space="preserve">, R., </w:t>
      </w:r>
      <w:proofErr w:type="spellStart"/>
      <w:r>
        <w:rPr>
          <w:color w:val="000000"/>
        </w:rPr>
        <w:t>Masaba</w:t>
      </w:r>
      <w:proofErr w:type="spellEnd"/>
      <w:r>
        <w:rPr>
          <w:color w:val="000000"/>
        </w:rPr>
        <w:t xml:space="preserve">, S., &amp; </w:t>
      </w:r>
      <w:proofErr w:type="spellStart"/>
      <w:r>
        <w:rPr>
          <w:color w:val="000000"/>
        </w:rPr>
        <w:t>Makoba</w:t>
      </w:r>
      <w:proofErr w:type="spellEnd"/>
      <w:r>
        <w:rPr>
          <w:color w:val="000000"/>
        </w:rPr>
        <w:t xml:space="preserve">, P. G. (2022). Impact of commercial car washing bay on water quality of River </w:t>
      </w:r>
      <w:proofErr w:type="spellStart"/>
      <w:r>
        <w:rPr>
          <w:color w:val="000000"/>
        </w:rPr>
        <w:t>Nakiyanja</w:t>
      </w:r>
      <w:proofErr w:type="spellEnd"/>
      <w:r>
        <w:rPr>
          <w:color w:val="000000"/>
        </w:rPr>
        <w:t xml:space="preserve"> in central Uganda.</w:t>
      </w:r>
      <w:r>
        <w:rPr>
          <w:rStyle w:val="apple-converted-space"/>
          <w:color w:val="000000"/>
        </w:rPr>
        <w:t> </w:t>
      </w:r>
      <w:r>
        <w:rPr>
          <w:rStyle w:val="Emphasis"/>
          <w:color w:val="000000"/>
        </w:rPr>
        <w:t>Journal of Applied Science and Environmental Management, 26</w:t>
      </w:r>
      <w:r>
        <w:rPr>
          <w:color w:val="000000"/>
        </w:rPr>
        <w:t>(6), 1173–1177.</w:t>
      </w:r>
      <w:r>
        <w:rPr>
          <w:rStyle w:val="apple-converted-space"/>
          <w:color w:val="000000"/>
        </w:rPr>
        <w:t> </w:t>
      </w:r>
      <w:hyperlink r:id="rId8" w:tgtFrame="_new" w:history="1">
        <w:r>
          <w:rPr>
            <w:rStyle w:val="Hyperlink"/>
          </w:rPr>
          <w:t>https://doi.org/10.4314/jasem.v26i6.26</w:t>
        </w:r>
      </w:hyperlink>
    </w:p>
    <w:p w:rsidR="0031278A" w:rsidRDefault="0031278A" w:rsidP="0031278A">
      <w:pPr>
        <w:pStyle w:val="NormalWeb"/>
        <w:rPr>
          <w:color w:val="000000"/>
        </w:rPr>
      </w:pPr>
      <w:proofErr w:type="spellStart"/>
      <w:r>
        <w:rPr>
          <w:color w:val="000000"/>
        </w:rPr>
        <w:t>Baral</w:t>
      </w:r>
      <w:proofErr w:type="spellEnd"/>
      <w:r>
        <w:rPr>
          <w:color w:val="000000"/>
        </w:rPr>
        <w:t xml:space="preserve">, S., </w:t>
      </w:r>
      <w:proofErr w:type="spellStart"/>
      <w:r>
        <w:rPr>
          <w:color w:val="000000"/>
        </w:rPr>
        <w:t>Paudel</w:t>
      </w:r>
      <w:proofErr w:type="spellEnd"/>
      <w:r>
        <w:rPr>
          <w:color w:val="000000"/>
        </w:rPr>
        <w:t xml:space="preserve">, K., &amp; </w:t>
      </w:r>
      <w:proofErr w:type="spellStart"/>
      <w:r>
        <w:rPr>
          <w:color w:val="000000"/>
        </w:rPr>
        <w:t>Rijal</w:t>
      </w:r>
      <w:proofErr w:type="spellEnd"/>
      <w:r>
        <w:rPr>
          <w:color w:val="000000"/>
        </w:rPr>
        <w:t>, J. (2018). Impact of car wash wastewater on water bodies and human health.</w:t>
      </w:r>
      <w:r>
        <w:rPr>
          <w:rStyle w:val="apple-converted-space"/>
          <w:color w:val="000000"/>
        </w:rPr>
        <w:t> </w:t>
      </w:r>
      <w:r>
        <w:rPr>
          <w:rStyle w:val="Emphasis"/>
          <w:color w:val="000000"/>
        </w:rPr>
        <w:t>Environmental Health Research, 14</w:t>
      </w:r>
      <w:r>
        <w:rPr>
          <w:color w:val="000000"/>
        </w:rPr>
        <w:t>(2), 122–133.</w:t>
      </w:r>
    </w:p>
    <w:p w:rsidR="0031278A" w:rsidRDefault="0031278A" w:rsidP="0031278A">
      <w:pPr>
        <w:pStyle w:val="NormalWeb"/>
        <w:rPr>
          <w:color w:val="000000"/>
        </w:rPr>
      </w:pPr>
      <w:proofErr w:type="spellStart"/>
      <w:r>
        <w:rPr>
          <w:color w:val="000000"/>
        </w:rPr>
        <w:t>Barau</w:t>
      </w:r>
      <w:proofErr w:type="spellEnd"/>
      <w:r>
        <w:rPr>
          <w:color w:val="000000"/>
        </w:rPr>
        <w:t xml:space="preserve">, A. S., Stringer, L. C., &amp; </w:t>
      </w:r>
      <w:proofErr w:type="spellStart"/>
      <w:r>
        <w:rPr>
          <w:color w:val="000000"/>
        </w:rPr>
        <w:t>Adamu</w:t>
      </w:r>
      <w:proofErr w:type="spellEnd"/>
      <w:r>
        <w:rPr>
          <w:color w:val="000000"/>
        </w:rPr>
        <w:t>, A. U. (2016). Environmental ethics and future-oriented transformation to sustainability in Sub-Saharan Africa.</w:t>
      </w:r>
      <w:r>
        <w:rPr>
          <w:rStyle w:val="apple-converted-space"/>
          <w:color w:val="000000"/>
        </w:rPr>
        <w:t> </w:t>
      </w:r>
      <w:r>
        <w:rPr>
          <w:rStyle w:val="Emphasis"/>
          <w:color w:val="000000"/>
        </w:rPr>
        <w:t>Journal of Cleaner Production, 135</w:t>
      </w:r>
      <w:r>
        <w:rPr>
          <w:color w:val="000000"/>
        </w:rPr>
        <w:t>, 1539–1547.</w:t>
      </w:r>
      <w:r>
        <w:rPr>
          <w:rStyle w:val="apple-converted-space"/>
          <w:color w:val="000000"/>
        </w:rPr>
        <w:t> </w:t>
      </w:r>
      <w:hyperlink r:id="rId9" w:tgtFrame="_new" w:history="1">
        <w:r>
          <w:rPr>
            <w:rStyle w:val="Hyperlink"/>
          </w:rPr>
          <w:t>https://doi.org/10.1016/j.jclepro.2016.03.053</w:t>
        </w:r>
      </w:hyperlink>
    </w:p>
    <w:p w:rsidR="0031278A" w:rsidRDefault="0031278A" w:rsidP="0031278A">
      <w:pPr>
        <w:pStyle w:val="NormalWeb"/>
        <w:rPr>
          <w:color w:val="000000"/>
        </w:rPr>
      </w:pPr>
      <w:r>
        <w:rPr>
          <w:color w:val="000000"/>
        </w:rPr>
        <w:t xml:space="preserve">Bartram, J., &amp; </w:t>
      </w:r>
      <w:proofErr w:type="spellStart"/>
      <w:r>
        <w:rPr>
          <w:color w:val="000000"/>
        </w:rPr>
        <w:t>Cairncross</w:t>
      </w:r>
      <w:proofErr w:type="spellEnd"/>
      <w:r>
        <w:rPr>
          <w:color w:val="000000"/>
        </w:rPr>
        <w:t>, S. (2010). Hygiene, sanitation, and water: Forgotten foundations of health.</w:t>
      </w:r>
      <w:r>
        <w:rPr>
          <w:rStyle w:val="apple-converted-space"/>
          <w:color w:val="000000"/>
        </w:rPr>
        <w:t> </w:t>
      </w:r>
      <w:proofErr w:type="spellStart"/>
      <w:r>
        <w:rPr>
          <w:rStyle w:val="Emphasis"/>
          <w:color w:val="000000"/>
        </w:rPr>
        <w:t>PLoS</w:t>
      </w:r>
      <w:proofErr w:type="spellEnd"/>
      <w:r>
        <w:rPr>
          <w:rStyle w:val="Emphasis"/>
          <w:color w:val="000000"/>
        </w:rPr>
        <w:t xml:space="preserve"> Medicine, 7</w:t>
      </w:r>
      <w:r>
        <w:rPr>
          <w:color w:val="000000"/>
        </w:rPr>
        <w:t>(11), e1000367.</w:t>
      </w:r>
    </w:p>
    <w:p w:rsidR="0031278A" w:rsidRDefault="0031278A" w:rsidP="0031278A">
      <w:pPr>
        <w:pStyle w:val="NormalWeb"/>
        <w:rPr>
          <w:color w:val="000000"/>
        </w:rPr>
      </w:pPr>
      <w:r>
        <w:rPr>
          <w:color w:val="000000"/>
        </w:rPr>
        <w:t xml:space="preserve">Conley, D. J., </w:t>
      </w:r>
      <w:proofErr w:type="spellStart"/>
      <w:r>
        <w:rPr>
          <w:color w:val="000000"/>
        </w:rPr>
        <w:t>Paerl</w:t>
      </w:r>
      <w:proofErr w:type="spellEnd"/>
      <w:r>
        <w:rPr>
          <w:color w:val="000000"/>
        </w:rPr>
        <w:t xml:space="preserve">, H. W., </w:t>
      </w:r>
      <w:proofErr w:type="spellStart"/>
      <w:r>
        <w:rPr>
          <w:color w:val="000000"/>
        </w:rPr>
        <w:t>Howarth</w:t>
      </w:r>
      <w:proofErr w:type="spellEnd"/>
      <w:r>
        <w:rPr>
          <w:color w:val="000000"/>
        </w:rPr>
        <w:t>, R. W., et al. (2009). Controlling eutrophication: Nitrogen and phosphorus.</w:t>
      </w:r>
      <w:r>
        <w:rPr>
          <w:rStyle w:val="apple-converted-space"/>
          <w:color w:val="000000"/>
        </w:rPr>
        <w:t> </w:t>
      </w:r>
      <w:r>
        <w:rPr>
          <w:rStyle w:val="Emphasis"/>
          <w:color w:val="000000"/>
        </w:rPr>
        <w:t>Science, 323</w:t>
      </w:r>
      <w:r>
        <w:rPr>
          <w:color w:val="000000"/>
        </w:rPr>
        <w:t>(5917), 1014–1015.</w:t>
      </w:r>
    </w:p>
    <w:p w:rsidR="0031278A" w:rsidRDefault="0031278A" w:rsidP="0031278A">
      <w:pPr>
        <w:pStyle w:val="NormalWeb"/>
        <w:rPr>
          <w:color w:val="000000"/>
        </w:rPr>
      </w:pPr>
      <w:proofErr w:type="spellStart"/>
      <w:r>
        <w:rPr>
          <w:color w:val="000000"/>
        </w:rPr>
        <w:t>Ghaly</w:t>
      </w:r>
      <w:proofErr w:type="spellEnd"/>
      <w:r>
        <w:rPr>
          <w:color w:val="000000"/>
        </w:rPr>
        <w:t xml:space="preserve">, A. E., Mahmoud, N. S., Ibrahim, M. M., Mostafa, E. A., Abdelrahman, E. N., </w:t>
      </w:r>
      <w:proofErr w:type="spellStart"/>
      <w:r>
        <w:rPr>
          <w:color w:val="000000"/>
        </w:rPr>
        <w:t>Emam</w:t>
      </w:r>
      <w:proofErr w:type="spellEnd"/>
      <w:r>
        <w:rPr>
          <w:color w:val="000000"/>
        </w:rPr>
        <w:t>, R. H., Kassem, M. A., &amp; Hatem. (2021). Water use, wastewater characteristics, best management practices and reclaimed water criteria in the carwash industry: A review.</w:t>
      </w:r>
      <w:r>
        <w:rPr>
          <w:rStyle w:val="apple-converted-space"/>
          <w:color w:val="000000"/>
        </w:rPr>
        <w:t> </w:t>
      </w:r>
      <w:r>
        <w:rPr>
          <w:rStyle w:val="Emphasis"/>
          <w:color w:val="000000"/>
        </w:rPr>
        <w:t>International Journal of Bioprocess &amp; Biotechnological Advancements, 7</w:t>
      </w:r>
      <w:r>
        <w:rPr>
          <w:color w:val="000000"/>
        </w:rPr>
        <w:t>(1), 240–261.</w:t>
      </w:r>
    </w:p>
    <w:p w:rsidR="0031278A" w:rsidRDefault="0031278A" w:rsidP="0031278A">
      <w:pPr>
        <w:pStyle w:val="NormalWeb"/>
        <w:rPr>
          <w:color w:val="000000"/>
        </w:rPr>
      </w:pPr>
      <w:r>
        <w:rPr>
          <w:color w:val="000000"/>
        </w:rPr>
        <w:t>Ghana Statistical Service. (2021).</w:t>
      </w:r>
      <w:r>
        <w:rPr>
          <w:rStyle w:val="apple-converted-space"/>
          <w:color w:val="000000"/>
        </w:rPr>
        <w:t> </w:t>
      </w:r>
      <w:r>
        <w:rPr>
          <w:rStyle w:val="Emphasis"/>
          <w:color w:val="000000"/>
        </w:rPr>
        <w:t>2021 Population and Housing Census General Report</w:t>
      </w:r>
      <w:r>
        <w:rPr>
          <w:color w:val="000000"/>
        </w:rPr>
        <w:t>. Accra, Ghana: Author.</w:t>
      </w:r>
    </w:p>
    <w:p w:rsidR="0031278A" w:rsidRDefault="0031278A" w:rsidP="0031278A">
      <w:pPr>
        <w:pStyle w:val="NormalWeb"/>
        <w:rPr>
          <w:color w:val="000000"/>
        </w:rPr>
      </w:pPr>
      <w:proofErr w:type="spellStart"/>
      <w:r>
        <w:rPr>
          <w:color w:val="000000"/>
        </w:rPr>
        <w:t>Haimene</w:t>
      </w:r>
      <w:proofErr w:type="spellEnd"/>
      <w:r>
        <w:rPr>
          <w:color w:val="000000"/>
        </w:rPr>
        <w:t>, P. (2016).</w:t>
      </w:r>
      <w:r>
        <w:rPr>
          <w:rStyle w:val="apple-converted-space"/>
          <w:color w:val="000000"/>
        </w:rPr>
        <w:t> </w:t>
      </w:r>
      <w:r>
        <w:rPr>
          <w:rStyle w:val="Emphasis"/>
          <w:color w:val="000000"/>
        </w:rPr>
        <w:t>Effects of the car wash industry on water quantity and quality: A case study of the city of Windhoek, Namibia</w:t>
      </w:r>
      <w:r>
        <w:rPr>
          <w:color w:val="000000"/>
        </w:rPr>
        <w:t>.</w:t>
      </w:r>
    </w:p>
    <w:p w:rsidR="0031278A" w:rsidRDefault="0031278A" w:rsidP="0031278A">
      <w:pPr>
        <w:pStyle w:val="NormalWeb"/>
        <w:rPr>
          <w:color w:val="000000"/>
        </w:rPr>
      </w:pPr>
      <w:proofErr w:type="spellStart"/>
      <w:r>
        <w:rPr>
          <w:color w:val="000000"/>
        </w:rPr>
        <w:t>Hashim</w:t>
      </w:r>
      <w:proofErr w:type="spellEnd"/>
      <w:r>
        <w:rPr>
          <w:color w:val="000000"/>
        </w:rPr>
        <w:t xml:space="preserve">, N. H., &amp; </w:t>
      </w:r>
      <w:proofErr w:type="spellStart"/>
      <w:r>
        <w:rPr>
          <w:color w:val="000000"/>
        </w:rPr>
        <w:t>Zayadi</w:t>
      </w:r>
      <w:proofErr w:type="spellEnd"/>
      <w:r>
        <w:rPr>
          <w:color w:val="000000"/>
        </w:rPr>
        <w:t>, N. (2016). Pollutants characterization of car wash wastewater.</w:t>
      </w:r>
      <w:r>
        <w:rPr>
          <w:rStyle w:val="apple-converted-space"/>
          <w:color w:val="000000"/>
        </w:rPr>
        <w:t> </w:t>
      </w:r>
      <w:r>
        <w:rPr>
          <w:rStyle w:val="Emphasis"/>
          <w:color w:val="000000"/>
        </w:rPr>
        <w:t>MATEC Web of Conferences, 47</w:t>
      </w:r>
      <w:r>
        <w:rPr>
          <w:color w:val="000000"/>
        </w:rPr>
        <w:t>, 05008.</w:t>
      </w:r>
      <w:r>
        <w:rPr>
          <w:rStyle w:val="apple-converted-space"/>
          <w:color w:val="000000"/>
        </w:rPr>
        <w:t> </w:t>
      </w:r>
      <w:hyperlink r:id="rId10" w:tgtFrame="_new" w:history="1">
        <w:r>
          <w:rPr>
            <w:rStyle w:val="Hyperlink"/>
          </w:rPr>
          <w:t>https://doi.org/10.1051/matecconf/20164705008</w:t>
        </w:r>
      </w:hyperlink>
    </w:p>
    <w:p w:rsidR="0031278A" w:rsidRDefault="0031278A" w:rsidP="0031278A">
      <w:pPr>
        <w:pStyle w:val="NormalWeb"/>
        <w:rPr>
          <w:color w:val="000000"/>
        </w:rPr>
      </w:pPr>
      <w:proofErr w:type="spellStart"/>
      <w:r>
        <w:rPr>
          <w:color w:val="000000"/>
        </w:rPr>
        <w:lastRenderedPageBreak/>
        <w:t>Huibers</w:t>
      </w:r>
      <w:proofErr w:type="spellEnd"/>
      <w:r>
        <w:rPr>
          <w:color w:val="000000"/>
        </w:rPr>
        <w:t xml:space="preserve">, F. P., </w:t>
      </w:r>
      <w:proofErr w:type="spellStart"/>
      <w:r>
        <w:rPr>
          <w:color w:val="000000"/>
        </w:rPr>
        <w:t>Seghezzo</w:t>
      </w:r>
      <w:proofErr w:type="spellEnd"/>
      <w:r>
        <w:rPr>
          <w:color w:val="000000"/>
        </w:rPr>
        <w:t xml:space="preserve">, L., &amp; </w:t>
      </w:r>
      <w:proofErr w:type="spellStart"/>
      <w:r>
        <w:rPr>
          <w:color w:val="000000"/>
        </w:rPr>
        <w:t>Mels</w:t>
      </w:r>
      <w:proofErr w:type="spellEnd"/>
      <w:r>
        <w:rPr>
          <w:color w:val="000000"/>
        </w:rPr>
        <w:t>, A. (2006). Wastewater and irrigated agriculture: Lessons learned and possible applications in Africa.</w:t>
      </w:r>
      <w:r>
        <w:rPr>
          <w:rStyle w:val="apple-converted-space"/>
          <w:color w:val="000000"/>
        </w:rPr>
        <w:t> </w:t>
      </w:r>
      <w:r>
        <w:rPr>
          <w:rStyle w:val="Emphasis"/>
          <w:color w:val="000000"/>
        </w:rPr>
        <w:t>ATPS Special Paper Series, 23</w:t>
      </w:r>
      <w:r>
        <w:rPr>
          <w:color w:val="000000"/>
        </w:rPr>
        <w:t>, 1–10.</w:t>
      </w:r>
    </w:p>
    <w:p w:rsidR="0031278A" w:rsidRDefault="0031278A" w:rsidP="0031278A">
      <w:pPr>
        <w:pStyle w:val="NormalWeb"/>
        <w:rPr>
          <w:color w:val="000000"/>
        </w:rPr>
      </w:pPr>
      <w:proofErr w:type="spellStart"/>
      <w:r>
        <w:rPr>
          <w:color w:val="000000"/>
        </w:rPr>
        <w:t>Kashefi</w:t>
      </w:r>
      <w:proofErr w:type="spellEnd"/>
      <w:r>
        <w:rPr>
          <w:color w:val="000000"/>
        </w:rPr>
        <w:t xml:space="preserve"> </w:t>
      </w:r>
      <w:proofErr w:type="spellStart"/>
      <w:r>
        <w:rPr>
          <w:color w:val="000000"/>
        </w:rPr>
        <w:t>Asl</w:t>
      </w:r>
      <w:proofErr w:type="spellEnd"/>
      <w:r>
        <w:rPr>
          <w:color w:val="000000"/>
        </w:rPr>
        <w:t xml:space="preserve">, M., </w:t>
      </w:r>
      <w:proofErr w:type="spellStart"/>
      <w:r>
        <w:rPr>
          <w:color w:val="000000"/>
        </w:rPr>
        <w:t>Moshtaghib</w:t>
      </w:r>
      <w:proofErr w:type="spellEnd"/>
      <w:r>
        <w:rPr>
          <w:color w:val="000000"/>
        </w:rPr>
        <w:t xml:space="preserve">, M., &amp; </w:t>
      </w:r>
      <w:proofErr w:type="spellStart"/>
      <w:r>
        <w:rPr>
          <w:color w:val="000000"/>
        </w:rPr>
        <w:t>Hassani</w:t>
      </w:r>
      <w:proofErr w:type="spellEnd"/>
      <w:r>
        <w:rPr>
          <w:color w:val="000000"/>
        </w:rPr>
        <w:t>, A. H. (2014). Efficiency evaluation of electrocoagulation process for removal of chromium (heavy metal) from municipal and industrial wastewater.</w:t>
      </w:r>
      <w:r>
        <w:rPr>
          <w:rStyle w:val="apple-converted-space"/>
          <w:color w:val="000000"/>
        </w:rPr>
        <w:t> </w:t>
      </w:r>
      <w:r>
        <w:rPr>
          <w:rStyle w:val="Emphasis"/>
          <w:color w:val="000000"/>
        </w:rPr>
        <w:t>Indian Journal of Science Research, 7</w:t>
      </w:r>
      <w:r>
        <w:rPr>
          <w:color w:val="000000"/>
        </w:rPr>
        <w:t>, 1258–1268.</w:t>
      </w:r>
    </w:p>
    <w:p w:rsidR="0031278A" w:rsidRDefault="0031278A" w:rsidP="0031278A">
      <w:pPr>
        <w:pStyle w:val="NormalWeb"/>
        <w:rPr>
          <w:color w:val="000000"/>
        </w:rPr>
      </w:pPr>
      <w:proofErr w:type="spellStart"/>
      <w:r>
        <w:rPr>
          <w:color w:val="000000"/>
        </w:rPr>
        <w:t>Mantey</w:t>
      </w:r>
      <w:proofErr w:type="spellEnd"/>
      <w:r>
        <w:rPr>
          <w:color w:val="000000"/>
        </w:rPr>
        <w:t>, S. (2017, March 22). Galamsey, pollution destroying water bodies in Ghana—Water Company.</w:t>
      </w:r>
    </w:p>
    <w:p w:rsidR="0031278A" w:rsidRDefault="0031278A" w:rsidP="0031278A">
      <w:pPr>
        <w:pStyle w:val="NormalWeb"/>
        <w:rPr>
          <w:color w:val="000000"/>
        </w:rPr>
      </w:pPr>
      <w:r>
        <w:rPr>
          <w:color w:val="000000"/>
        </w:rPr>
        <w:t>McCall, D. (2017).</w:t>
      </w:r>
      <w:r>
        <w:rPr>
          <w:rStyle w:val="apple-converted-space"/>
          <w:color w:val="000000"/>
        </w:rPr>
        <w:t> </w:t>
      </w:r>
      <w:r>
        <w:rPr>
          <w:rStyle w:val="Emphasis"/>
          <w:color w:val="000000"/>
        </w:rPr>
        <w:t>Water quality standards and contamination sources</w:t>
      </w:r>
      <w:r>
        <w:rPr>
          <w:color w:val="000000"/>
        </w:rPr>
        <w:t>. Environmental Science Publications.</w:t>
      </w:r>
    </w:p>
    <w:p w:rsidR="0031278A" w:rsidRDefault="0031278A" w:rsidP="0031278A">
      <w:pPr>
        <w:pStyle w:val="NormalWeb"/>
        <w:rPr>
          <w:color w:val="000000"/>
        </w:rPr>
      </w:pPr>
      <w:r>
        <w:rPr>
          <w:color w:val="000000"/>
        </w:rPr>
        <w:t xml:space="preserve">Merriam, S. B., &amp; </w:t>
      </w:r>
      <w:proofErr w:type="spellStart"/>
      <w:r>
        <w:rPr>
          <w:color w:val="000000"/>
        </w:rPr>
        <w:t>Tisdell</w:t>
      </w:r>
      <w:proofErr w:type="spellEnd"/>
      <w:r>
        <w:rPr>
          <w:color w:val="000000"/>
        </w:rPr>
        <w:t>, E. J. (2015).</w:t>
      </w:r>
      <w:r>
        <w:rPr>
          <w:rStyle w:val="apple-converted-space"/>
          <w:color w:val="000000"/>
        </w:rPr>
        <w:t> </w:t>
      </w:r>
      <w:r>
        <w:rPr>
          <w:rStyle w:val="Emphasis"/>
          <w:color w:val="000000"/>
        </w:rPr>
        <w:t>Qualitative research: A guide to design and implementation</w:t>
      </w:r>
      <w:r>
        <w:rPr>
          <w:color w:val="000000"/>
        </w:rPr>
        <w:t>. John Wiley &amp; Sons.</w:t>
      </w:r>
    </w:p>
    <w:p w:rsidR="0031278A" w:rsidRDefault="0031278A" w:rsidP="0031278A">
      <w:pPr>
        <w:pStyle w:val="NormalWeb"/>
        <w:rPr>
          <w:color w:val="000000"/>
        </w:rPr>
      </w:pPr>
      <w:proofErr w:type="spellStart"/>
      <w:r>
        <w:rPr>
          <w:color w:val="000000"/>
        </w:rPr>
        <w:t>Monney</w:t>
      </w:r>
      <w:proofErr w:type="spellEnd"/>
      <w:r>
        <w:rPr>
          <w:color w:val="000000"/>
        </w:rPr>
        <w:t xml:space="preserve">, I., Donkor, E. A., &amp; </w:t>
      </w:r>
      <w:proofErr w:type="spellStart"/>
      <w:r>
        <w:rPr>
          <w:color w:val="000000"/>
        </w:rPr>
        <w:t>Buamah</w:t>
      </w:r>
      <w:proofErr w:type="spellEnd"/>
      <w:r>
        <w:rPr>
          <w:color w:val="000000"/>
        </w:rPr>
        <w:t>, R. (2020). Clean vehicles, polluted waters: Empirical estimates of water consumption and pollution loads of the carwash industry.</w:t>
      </w:r>
      <w:r>
        <w:rPr>
          <w:rStyle w:val="apple-converted-space"/>
          <w:color w:val="000000"/>
        </w:rPr>
        <w:t> </w:t>
      </w:r>
      <w:proofErr w:type="spellStart"/>
      <w:r>
        <w:rPr>
          <w:rStyle w:val="Emphasis"/>
          <w:color w:val="000000"/>
        </w:rPr>
        <w:t>Heliyon</w:t>
      </w:r>
      <w:proofErr w:type="spellEnd"/>
      <w:r>
        <w:rPr>
          <w:rStyle w:val="Emphasis"/>
          <w:color w:val="000000"/>
        </w:rPr>
        <w:t>, 6</w:t>
      </w:r>
      <w:r>
        <w:rPr>
          <w:color w:val="000000"/>
        </w:rPr>
        <w:t>(5), e03952.</w:t>
      </w:r>
      <w:r>
        <w:rPr>
          <w:rStyle w:val="apple-converted-space"/>
          <w:color w:val="000000"/>
        </w:rPr>
        <w:t> </w:t>
      </w:r>
      <w:hyperlink r:id="rId11" w:tgtFrame="_new" w:history="1">
        <w:r>
          <w:rPr>
            <w:rStyle w:val="Hyperlink"/>
          </w:rPr>
          <w:t>https://doi.org/10.1016/j.heliyon.2020.e03952</w:t>
        </w:r>
      </w:hyperlink>
    </w:p>
    <w:p w:rsidR="0031278A" w:rsidRDefault="0031278A" w:rsidP="0031278A">
      <w:pPr>
        <w:pStyle w:val="NormalWeb"/>
        <w:rPr>
          <w:color w:val="000000"/>
        </w:rPr>
      </w:pPr>
      <w:r>
        <w:rPr>
          <w:color w:val="000000"/>
        </w:rPr>
        <w:t xml:space="preserve">Nsubuga, F. N. W., </w:t>
      </w:r>
      <w:proofErr w:type="spellStart"/>
      <w:r>
        <w:rPr>
          <w:color w:val="000000"/>
        </w:rPr>
        <w:t>Namutebi</w:t>
      </w:r>
      <w:proofErr w:type="spellEnd"/>
      <w:r>
        <w:rPr>
          <w:color w:val="000000"/>
        </w:rPr>
        <w:t>, E. T., &amp; Nsubuga-</w:t>
      </w:r>
      <w:proofErr w:type="spellStart"/>
      <w:r>
        <w:rPr>
          <w:color w:val="000000"/>
        </w:rPr>
        <w:t>Ssenfuma</w:t>
      </w:r>
      <w:proofErr w:type="spellEnd"/>
      <w:r>
        <w:rPr>
          <w:color w:val="000000"/>
        </w:rPr>
        <w:t>, M. (2014). Water resources of Uganda: An assessment and review.</w:t>
      </w:r>
      <w:r>
        <w:rPr>
          <w:rStyle w:val="apple-converted-space"/>
          <w:color w:val="000000"/>
        </w:rPr>
        <w:t> </w:t>
      </w:r>
      <w:r>
        <w:rPr>
          <w:rStyle w:val="Emphasis"/>
          <w:color w:val="000000"/>
        </w:rPr>
        <w:t>Journal of Water Resource and Protection, 6</w:t>
      </w:r>
      <w:r>
        <w:rPr>
          <w:color w:val="000000"/>
        </w:rPr>
        <w:t>, 1297–1315.</w:t>
      </w:r>
    </w:p>
    <w:p w:rsidR="0031278A" w:rsidRDefault="0031278A" w:rsidP="0031278A">
      <w:pPr>
        <w:pStyle w:val="NormalWeb"/>
        <w:rPr>
          <w:color w:val="000000"/>
        </w:rPr>
      </w:pPr>
      <w:proofErr w:type="spellStart"/>
      <w:r>
        <w:rPr>
          <w:color w:val="000000"/>
        </w:rPr>
        <w:t>Perkowski</w:t>
      </w:r>
      <w:proofErr w:type="spellEnd"/>
      <w:r>
        <w:rPr>
          <w:color w:val="000000"/>
        </w:rPr>
        <w:t xml:space="preserve">, J., </w:t>
      </w:r>
      <w:proofErr w:type="spellStart"/>
      <w:r>
        <w:rPr>
          <w:color w:val="000000"/>
        </w:rPr>
        <w:t>Bzdon</w:t>
      </w:r>
      <w:proofErr w:type="spellEnd"/>
      <w:r>
        <w:rPr>
          <w:color w:val="000000"/>
        </w:rPr>
        <w:t xml:space="preserve">, S., </w:t>
      </w:r>
      <w:proofErr w:type="spellStart"/>
      <w:r>
        <w:rPr>
          <w:color w:val="000000"/>
        </w:rPr>
        <w:t>Bulska</w:t>
      </w:r>
      <w:proofErr w:type="spellEnd"/>
      <w:r>
        <w:rPr>
          <w:color w:val="000000"/>
        </w:rPr>
        <w:t xml:space="preserve">, A., &amp; </w:t>
      </w:r>
      <w:proofErr w:type="spellStart"/>
      <w:r>
        <w:rPr>
          <w:color w:val="000000"/>
        </w:rPr>
        <w:t>Jóźwiak</w:t>
      </w:r>
      <w:proofErr w:type="spellEnd"/>
      <w:r>
        <w:rPr>
          <w:color w:val="000000"/>
        </w:rPr>
        <w:t xml:space="preserve">, W. K. (2006). Decomposition of detergents present in car-wash sewage by </w:t>
      </w:r>
      <w:proofErr w:type="spellStart"/>
      <w:r>
        <w:rPr>
          <w:color w:val="000000"/>
        </w:rPr>
        <w:t>titania</w:t>
      </w:r>
      <w:proofErr w:type="spellEnd"/>
      <w:r>
        <w:rPr>
          <w:color w:val="000000"/>
        </w:rPr>
        <w:t xml:space="preserve"> photo-assisted oxidation.</w:t>
      </w:r>
      <w:r>
        <w:rPr>
          <w:rStyle w:val="apple-converted-space"/>
          <w:color w:val="000000"/>
        </w:rPr>
        <w:t> </w:t>
      </w:r>
      <w:r>
        <w:rPr>
          <w:rStyle w:val="Emphasis"/>
          <w:color w:val="000000"/>
        </w:rPr>
        <w:t>Polish Journal of Environmental Studies, 15</w:t>
      </w:r>
      <w:r>
        <w:rPr>
          <w:color w:val="000000"/>
        </w:rPr>
        <w:t>(3).</w:t>
      </w:r>
    </w:p>
    <w:p w:rsidR="0031278A" w:rsidRDefault="0031278A" w:rsidP="0031278A">
      <w:pPr>
        <w:pStyle w:val="NormalWeb"/>
        <w:rPr>
          <w:color w:val="000000"/>
        </w:rPr>
      </w:pPr>
      <w:proofErr w:type="spellStart"/>
      <w:r>
        <w:rPr>
          <w:color w:val="000000"/>
        </w:rPr>
        <w:t>Phungula</w:t>
      </w:r>
      <w:proofErr w:type="spellEnd"/>
      <w:r>
        <w:rPr>
          <w:color w:val="000000"/>
        </w:rPr>
        <w:t>, S. P. (2016).</w:t>
      </w:r>
      <w:r>
        <w:rPr>
          <w:rStyle w:val="apple-converted-space"/>
          <w:color w:val="000000"/>
        </w:rPr>
        <w:t> </w:t>
      </w:r>
      <w:r>
        <w:rPr>
          <w:rStyle w:val="Emphasis"/>
          <w:color w:val="000000"/>
        </w:rPr>
        <w:t>An evaluation of the water quality and toxicity of wastewater at selected car wash facilities in Tshwane, Gauteng</w:t>
      </w:r>
      <w:r>
        <w:rPr>
          <w:rStyle w:val="apple-converted-space"/>
          <w:color w:val="000000"/>
        </w:rPr>
        <w:t> </w:t>
      </w:r>
      <w:r>
        <w:rPr>
          <w:color w:val="000000"/>
        </w:rPr>
        <w:t>(Doctoral dissertation, University of South Africa).</w:t>
      </w:r>
    </w:p>
    <w:p w:rsidR="0031278A" w:rsidRDefault="0031278A" w:rsidP="0031278A">
      <w:pPr>
        <w:pStyle w:val="NormalWeb"/>
        <w:rPr>
          <w:color w:val="000000"/>
        </w:rPr>
      </w:pPr>
      <w:r>
        <w:rPr>
          <w:color w:val="000000"/>
        </w:rPr>
        <w:t xml:space="preserve">Qamar, Z., Khan, S., Khan, A., </w:t>
      </w:r>
      <w:proofErr w:type="spellStart"/>
      <w:r>
        <w:rPr>
          <w:color w:val="000000"/>
        </w:rPr>
        <w:t>Aamir</w:t>
      </w:r>
      <w:proofErr w:type="spellEnd"/>
      <w:r>
        <w:rPr>
          <w:color w:val="000000"/>
        </w:rPr>
        <w:t>, M., Nawab, J., &amp; Waqas, M. (2017). Appraisement, source apportionment and health risk of polycyclic aromatic hydrocarbons (PAHs) in vehicle-wash wastewater, Pakistan.</w:t>
      </w:r>
      <w:r>
        <w:rPr>
          <w:rStyle w:val="apple-converted-space"/>
          <w:color w:val="000000"/>
        </w:rPr>
        <w:t> </w:t>
      </w:r>
      <w:r>
        <w:rPr>
          <w:rStyle w:val="Emphasis"/>
          <w:color w:val="000000"/>
        </w:rPr>
        <w:t>Science of the Total Environment, 605–606</w:t>
      </w:r>
      <w:r>
        <w:rPr>
          <w:color w:val="000000"/>
        </w:rPr>
        <w:t>, 106–113.</w:t>
      </w:r>
      <w:r>
        <w:rPr>
          <w:rStyle w:val="apple-converted-space"/>
          <w:color w:val="000000"/>
        </w:rPr>
        <w:t> </w:t>
      </w:r>
      <w:hyperlink r:id="rId12" w:tgtFrame="_new" w:history="1">
        <w:r>
          <w:rPr>
            <w:rStyle w:val="Hyperlink"/>
          </w:rPr>
          <w:t>https://doi.org/10.1016/j.scitotenv.2017.06.152</w:t>
        </w:r>
      </w:hyperlink>
    </w:p>
    <w:p w:rsidR="0031278A" w:rsidRDefault="0031278A" w:rsidP="0031278A">
      <w:pPr>
        <w:pStyle w:val="NormalWeb"/>
        <w:rPr>
          <w:color w:val="000000"/>
        </w:rPr>
      </w:pPr>
      <w:r>
        <w:rPr>
          <w:color w:val="000000"/>
        </w:rPr>
        <w:t xml:space="preserve">Rai, R., Sharma, S., Gurung, D. B., </w:t>
      </w:r>
      <w:proofErr w:type="spellStart"/>
      <w:r>
        <w:rPr>
          <w:color w:val="000000"/>
        </w:rPr>
        <w:t>Sitaula</w:t>
      </w:r>
      <w:proofErr w:type="spellEnd"/>
      <w:r>
        <w:rPr>
          <w:color w:val="000000"/>
        </w:rPr>
        <w:t xml:space="preserve">, B. K., &amp; Shah, R. D. T. (2020). Assessing the impacts of vehicle wash wastewater on surface water quality through </w:t>
      </w:r>
      <w:proofErr w:type="spellStart"/>
      <w:r>
        <w:rPr>
          <w:color w:val="000000"/>
        </w:rPr>
        <w:t>physico</w:t>
      </w:r>
      <w:proofErr w:type="spellEnd"/>
      <w:r>
        <w:rPr>
          <w:color w:val="000000"/>
        </w:rPr>
        <w:t>-chemical and benthic macroinvertebrates analyses.</w:t>
      </w:r>
      <w:r>
        <w:rPr>
          <w:rStyle w:val="apple-converted-space"/>
          <w:color w:val="000000"/>
        </w:rPr>
        <w:t> </w:t>
      </w:r>
      <w:r>
        <w:rPr>
          <w:rStyle w:val="Emphasis"/>
          <w:color w:val="000000"/>
        </w:rPr>
        <w:t>Water Science, 34</w:t>
      </w:r>
      <w:r>
        <w:rPr>
          <w:color w:val="000000"/>
        </w:rPr>
        <w:t>(1), 39–49.</w:t>
      </w:r>
    </w:p>
    <w:p w:rsidR="0031278A" w:rsidRDefault="0031278A" w:rsidP="0031278A">
      <w:pPr>
        <w:pStyle w:val="NormalWeb"/>
        <w:rPr>
          <w:color w:val="000000"/>
        </w:rPr>
      </w:pPr>
      <w:proofErr w:type="spellStart"/>
      <w:r>
        <w:rPr>
          <w:color w:val="000000"/>
        </w:rPr>
        <w:t>Shete</w:t>
      </w:r>
      <w:proofErr w:type="spellEnd"/>
      <w:r>
        <w:rPr>
          <w:color w:val="000000"/>
        </w:rPr>
        <w:t xml:space="preserve">, B. S., &amp; </w:t>
      </w:r>
      <w:proofErr w:type="spellStart"/>
      <w:r>
        <w:rPr>
          <w:color w:val="000000"/>
        </w:rPr>
        <w:t>Shinkar</w:t>
      </w:r>
      <w:proofErr w:type="spellEnd"/>
      <w:r>
        <w:rPr>
          <w:color w:val="000000"/>
        </w:rPr>
        <w:t>, N. P. (2014). Use of membrane to treat car wash wastewater.</w:t>
      </w:r>
      <w:r>
        <w:rPr>
          <w:rStyle w:val="apple-converted-space"/>
          <w:color w:val="000000"/>
        </w:rPr>
        <w:t> </w:t>
      </w:r>
      <w:r>
        <w:rPr>
          <w:rStyle w:val="Emphasis"/>
          <w:color w:val="000000"/>
        </w:rPr>
        <w:t>International Journal of Research in Science and Advanced Technologies, 3</w:t>
      </w:r>
      <w:r>
        <w:rPr>
          <w:color w:val="000000"/>
        </w:rPr>
        <w:t>(1), 13–19.</w:t>
      </w:r>
    </w:p>
    <w:p w:rsidR="0031278A" w:rsidRDefault="0031278A" w:rsidP="0031278A">
      <w:pPr>
        <w:pStyle w:val="NormalWeb"/>
        <w:rPr>
          <w:color w:val="000000"/>
        </w:rPr>
      </w:pPr>
      <w:proofErr w:type="spellStart"/>
      <w:r>
        <w:rPr>
          <w:color w:val="000000"/>
        </w:rPr>
        <w:t>Shiklomanov</w:t>
      </w:r>
      <w:proofErr w:type="spellEnd"/>
      <w:r>
        <w:rPr>
          <w:color w:val="000000"/>
        </w:rPr>
        <w:t>, I. A., &amp; Rodda, J. C. (2003).</w:t>
      </w:r>
      <w:r>
        <w:rPr>
          <w:rStyle w:val="apple-converted-space"/>
          <w:color w:val="000000"/>
        </w:rPr>
        <w:t> </w:t>
      </w:r>
      <w:r>
        <w:rPr>
          <w:rStyle w:val="Emphasis"/>
          <w:color w:val="000000"/>
        </w:rPr>
        <w:t>World water resources at the beginning of the twenty-first century</w:t>
      </w:r>
      <w:r>
        <w:rPr>
          <w:color w:val="000000"/>
        </w:rPr>
        <w:t>. Cambridge University Press.</w:t>
      </w:r>
    </w:p>
    <w:p w:rsidR="0031278A" w:rsidRDefault="0031278A" w:rsidP="0031278A">
      <w:pPr>
        <w:pStyle w:val="NormalWeb"/>
        <w:rPr>
          <w:color w:val="000000"/>
        </w:rPr>
      </w:pPr>
      <w:proofErr w:type="spellStart"/>
      <w:r>
        <w:rPr>
          <w:color w:val="000000"/>
        </w:rPr>
        <w:t>Tekere</w:t>
      </w:r>
      <w:proofErr w:type="spellEnd"/>
      <w:r>
        <w:rPr>
          <w:color w:val="000000"/>
        </w:rPr>
        <w:t xml:space="preserve">, M., Sibanda, T., &amp; </w:t>
      </w:r>
      <w:proofErr w:type="spellStart"/>
      <w:r>
        <w:rPr>
          <w:color w:val="000000"/>
        </w:rPr>
        <w:t>Maphangwa</w:t>
      </w:r>
      <w:proofErr w:type="spellEnd"/>
      <w:r>
        <w:rPr>
          <w:color w:val="000000"/>
        </w:rPr>
        <w:t>, K. W. (2016). An assessment of the physicochemical properties and toxicity potential of carwash effluents from professional carwash outlets in Gauteng Province, South Africa.</w:t>
      </w:r>
      <w:r>
        <w:rPr>
          <w:rStyle w:val="apple-converted-space"/>
          <w:color w:val="000000"/>
        </w:rPr>
        <w:t> </w:t>
      </w:r>
      <w:r>
        <w:rPr>
          <w:rStyle w:val="Emphasis"/>
          <w:color w:val="000000"/>
        </w:rPr>
        <w:t>Environmental Science and Pollution Research, 23</w:t>
      </w:r>
      <w:r>
        <w:rPr>
          <w:color w:val="000000"/>
        </w:rPr>
        <w:t>(12), 11876–11884.</w:t>
      </w:r>
      <w:r>
        <w:rPr>
          <w:rStyle w:val="apple-converted-space"/>
          <w:color w:val="000000"/>
        </w:rPr>
        <w:t> </w:t>
      </w:r>
      <w:hyperlink r:id="rId13" w:tgtFrame="_new" w:history="1">
        <w:r>
          <w:rPr>
            <w:rStyle w:val="Hyperlink"/>
          </w:rPr>
          <w:t>https://doi.org/10.1007/s11356-016-6370-5</w:t>
        </w:r>
      </w:hyperlink>
    </w:p>
    <w:p w:rsidR="0031278A" w:rsidRDefault="0031278A" w:rsidP="0031278A">
      <w:pPr>
        <w:pStyle w:val="NormalWeb"/>
        <w:rPr>
          <w:color w:val="000000"/>
        </w:rPr>
      </w:pPr>
      <w:proofErr w:type="spellStart"/>
      <w:r>
        <w:rPr>
          <w:color w:val="000000"/>
        </w:rPr>
        <w:t>Tongco</w:t>
      </w:r>
      <w:proofErr w:type="spellEnd"/>
      <w:r>
        <w:rPr>
          <w:color w:val="000000"/>
        </w:rPr>
        <w:t>, M. D. C. (2007). Purposive sampling as a tool for informant selection.</w:t>
      </w:r>
      <w:r>
        <w:rPr>
          <w:rStyle w:val="apple-converted-space"/>
          <w:color w:val="000000"/>
        </w:rPr>
        <w:t> </w:t>
      </w:r>
      <w:r>
        <w:rPr>
          <w:rStyle w:val="Emphasis"/>
          <w:color w:val="000000"/>
        </w:rPr>
        <w:t>Ethnobotany Research and Applications, 5</w:t>
      </w:r>
      <w:r>
        <w:rPr>
          <w:color w:val="000000"/>
        </w:rPr>
        <w:t>, 147–158.</w:t>
      </w:r>
    </w:p>
    <w:p w:rsidR="0031278A" w:rsidRDefault="0031278A" w:rsidP="0031278A">
      <w:pPr>
        <w:pStyle w:val="NormalWeb"/>
        <w:rPr>
          <w:color w:val="000000"/>
        </w:rPr>
      </w:pPr>
      <w:r>
        <w:rPr>
          <w:color w:val="000000"/>
        </w:rPr>
        <w:t xml:space="preserve">Ward, M. H., Jones, R. R., </w:t>
      </w:r>
      <w:proofErr w:type="spellStart"/>
      <w:r>
        <w:rPr>
          <w:color w:val="000000"/>
        </w:rPr>
        <w:t>Brender</w:t>
      </w:r>
      <w:proofErr w:type="spellEnd"/>
      <w:r>
        <w:rPr>
          <w:color w:val="000000"/>
        </w:rPr>
        <w:t>, J. D., et al. (2018). Drinking water nitrate and human health: An updated review.</w:t>
      </w:r>
      <w:r>
        <w:rPr>
          <w:rStyle w:val="apple-converted-space"/>
          <w:color w:val="000000"/>
        </w:rPr>
        <w:t> </w:t>
      </w:r>
      <w:r>
        <w:rPr>
          <w:rStyle w:val="Emphasis"/>
          <w:color w:val="000000"/>
        </w:rPr>
        <w:t>International Journal of Environmental Research and Public Health, 15</w:t>
      </w:r>
      <w:r>
        <w:rPr>
          <w:color w:val="000000"/>
        </w:rPr>
        <w:t>(7), 1557.</w:t>
      </w:r>
    </w:p>
    <w:p w:rsidR="0031278A" w:rsidRDefault="0031278A" w:rsidP="0031278A">
      <w:pPr>
        <w:pStyle w:val="NormalWeb"/>
        <w:rPr>
          <w:color w:val="000000"/>
        </w:rPr>
      </w:pPr>
      <w:r>
        <w:rPr>
          <w:color w:val="000000"/>
        </w:rPr>
        <w:lastRenderedPageBreak/>
        <w:t>World Health Organization. (2017).</w:t>
      </w:r>
      <w:r>
        <w:rPr>
          <w:rStyle w:val="apple-converted-space"/>
          <w:color w:val="000000"/>
        </w:rPr>
        <w:t> </w:t>
      </w:r>
      <w:r>
        <w:rPr>
          <w:rStyle w:val="Emphasis"/>
          <w:color w:val="000000"/>
        </w:rPr>
        <w:t>Guidelines for drinking-water quality</w:t>
      </w:r>
      <w:r>
        <w:rPr>
          <w:rStyle w:val="apple-converted-space"/>
          <w:color w:val="000000"/>
        </w:rPr>
        <w:t> </w:t>
      </w:r>
      <w:r>
        <w:rPr>
          <w:color w:val="000000"/>
        </w:rPr>
        <w:t>(4th ed., incorporating the first addendum). World Health Organization.</w:t>
      </w:r>
    </w:p>
    <w:p w:rsidR="0031278A" w:rsidRDefault="0031278A" w:rsidP="0031278A">
      <w:pPr>
        <w:rPr>
          <w:color w:val="000000"/>
        </w:rPr>
      </w:pPr>
    </w:p>
    <w:p w:rsidR="005A39D8" w:rsidRDefault="005A39D8" w:rsidP="00606362">
      <w:pPr>
        <w:jc w:val="center"/>
      </w:pPr>
    </w:p>
    <w:sectPr w:rsidR="005A39D8" w:rsidSect="000D2486">
      <w:footerReference w:type="even" r:id="rId14"/>
      <w:footerReference w:type="default" r:id="rId15"/>
      <w:pgSz w:w="11906" w:h="16838"/>
      <w:pgMar w:top="922" w:right="827" w:bottom="808" w:left="1014" w:header="708"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1FC" w:rsidRDefault="00D541FC" w:rsidP="005718F9">
      <w:pPr>
        <w:spacing w:after="0" w:line="240" w:lineRule="auto"/>
      </w:pPr>
      <w:r>
        <w:separator/>
      </w:r>
    </w:p>
  </w:endnote>
  <w:endnote w:type="continuationSeparator" w:id="0">
    <w:p w:rsidR="00D541FC" w:rsidRDefault="00D541FC" w:rsidP="0057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3129631"/>
      <w:docPartObj>
        <w:docPartGallery w:val="Page Numbers (Bottom of Page)"/>
        <w:docPartUnique/>
      </w:docPartObj>
    </w:sdtPr>
    <w:sdtEndPr>
      <w:rPr>
        <w:rStyle w:val="PageNumber"/>
      </w:rPr>
    </w:sdtEndPr>
    <w:sdtContent>
      <w:p w:rsidR="005718F9" w:rsidRDefault="005718F9" w:rsidP="00384F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718F9" w:rsidRDefault="0057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4172458"/>
      <w:docPartObj>
        <w:docPartGallery w:val="Page Numbers (Bottom of Page)"/>
        <w:docPartUnique/>
      </w:docPartObj>
    </w:sdtPr>
    <w:sdtEndPr>
      <w:rPr>
        <w:rStyle w:val="PageNumber"/>
      </w:rPr>
    </w:sdtEndPr>
    <w:sdtContent>
      <w:p w:rsidR="005718F9" w:rsidRDefault="005718F9" w:rsidP="00384FC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718F9" w:rsidRDefault="0057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1FC" w:rsidRDefault="00D541FC" w:rsidP="005718F9">
      <w:pPr>
        <w:spacing w:after="0" w:line="240" w:lineRule="auto"/>
      </w:pPr>
      <w:r>
        <w:separator/>
      </w:r>
    </w:p>
  </w:footnote>
  <w:footnote w:type="continuationSeparator" w:id="0">
    <w:p w:rsidR="00D541FC" w:rsidRDefault="00D541FC" w:rsidP="00571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A7E87"/>
    <w:multiLevelType w:val="multilevel"/>
    <w:tmpl w:val="C3D68A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0195127"/>
    <w:multiLevelType w:val="multilevel"/>
    <w:tmpl w:val="0224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B66E2"/>
    <w:multiLevelType w:val="hybridMultilevel"/>
    <w:tmpl w:val="558A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F245A"/>
    <w:multiLevelType w:val="multilevel"/>
    <w:tmpl w:val="B8D09DD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2D4F9D"/>
    <w:multiLevelType w:val="hybridMultilevel"/>
    <w:tmpl w:val="0DD0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02D71"/>
    <w:multiLevelType w:val="hybridMultilevel"/>
    <w:tmpl w:val="F968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C71BE8"/>
    <w:multiLevelType w:val="multilevel"/>
    <w:tmpl w:val="7A72C4AC"/>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4850672"/>
    <w:multiLevelType w:val="hybridMultilevel"/>
    <w:tmpl w:val="0922AC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D8"/>
    <w:rsid w:val="00093F1C"/>
    <w:rsid w:val="000D2486"/>
    <w:rsid w:val="00110787"/>
    <w:rsid w:val="00231FEB"/>
    <w:rsid w:val="0030678D"/>
    <w:rsid w:val="0031278A"/>
    <w:rsid w:val="0045666B"/>
    <w:rsid w:val="004E57A1"/>
    <w:rsid w:val="005718F9"/>
    <w:rsid w:val="005A39D8"/>
    <w:rsid w:val="005B05EF"/>
    <w:rsid w:val="005E4543"/>
    <w:rsid w:val="00606362"/>
    <w:rsid w:val="006E51D5"/>
    <w:rsid w:val="00725D89"/>
    <w:rsid w:val="00726DD5"/>
    <w:rsid w:val="00735B77"/>
    <w:rsid w:val="0074547F"/>
    <w:rsid w:val="0089086C"/>
    <w:rsid w:val="008F0794"/>
    <w:rsid w:val="008F41F0"/>
    <w:rsid w:val="009715AA"/>
    <w:rsid w:val="00AF7223"/>
    <w:rsid w:val="00BC3BD6"/>
    <w:rsid w:val="00BE3F10"/>
    <w:rsid w:val="00C03851"/>
    <w:rsid w:val="00CE58F3"/>
    <w:rsid w:val="00D057D7"/>
    <w:rsid w:val="00D51683"/>
    <w:rsid w:val="00D541FC"/>
    <w:rsid w:val="00EA5E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A8BFF82"/>
  <w15:chartTrackingRefBased/>
  <w15:docId w15:val="{4621D411-6AF8-F44C-ABC3-839BDA05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1D5"/>
    <w:pPr>
      <w:spacing w:after="200" w:line="276"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1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8F9"/>
    <w:rPr>
      <w:kern w:val="0"/>
      <w:sz w:val="22"/>
      <w:szCs w:val="22"/>
      <w:lang w:val="en-US"/>
      <w14:ligatures w14:val="none"/>
    </w:rPr>
  </w:style>
  <w:style w:type="character" w:styleId="PageNumber">
    <w:name w:val="page number"/>
    <w:basedOn w:val="DefaultParagraphFont"/>
    <w:uiPriority w:val="99"/>
    <w:semiHidden/>
    <w:unhideWhenUsed/>
    <w:rsid w:val="005718F9"/>
  </w:style>
  <w:style w:type="paragraph" w:styleId="ListParagraph">
    <w:name w:val="List Paragraph"/>
    <w:basedOn w:val="Normal"/>
    <w:uiPriority w:val="34"/>
    <w:qFormat/>
    <w:rsid w:val="005718F9"/>
    <w:pPr>
      <w:ind w:left="720"/>
      <w:contextualSpacing/>
    </w:pPr>
  </w:style>
  <w:style w:type="paragraph" w:styleId="Header">
    <w:name w:val="header"/>
    <w:basedOn w:val="Normal"/>
    <w:link w:val="HeaderChar"/>
    <w:uiPriority w:val="99"/>
    <w:unhideWhenUsed/>
    <w:rsid w:val="000D2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486"/>
    <w:rPr>
      <w:kern w:val="0"/>
      <w:sz w:val="22"/>
      <w:szCs w:val="22"/>
      <w:lang w:val="en-US"/>
      <w14:ligatures w14:val="none"/>
    </w:rPr>
  </w:style>
  <w:style w:type="table" w:styleId="TableGrid">
    <w:name w:val="Table Grid"/>
    <w:basedOn w:val="TableNormal"/>
    <w:uiPriority w:val="59"/>
    <w:unhideWhenUsed/>
    <w:rsid w:val="000D2486"/>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D2486"/>
    <w:pPr>
      <w:spacing w:line="240" w:lineRule="auto"/>
    </w:pPr>
    <w:rPr>
      <w:rFonts w:ascii="Times New Roman" w:eastAsia="Times New Roman" w:hAnsi="Times New Roman" w:cs="Times New Roman"/>
      <w:i/>
      <w:iCs/>
      <w:color w:val="44546A" w:themeColor="text2"/>
      <w:sz w:val="18"/>
      <w:szCs w:val="18"/>
      <w:lang w:eastAsia="en-GB"/>
    </w:rPr>
  </w:style>
  <w:style w:type="character" w:styleId="Hyperlink">
    <w:name w:val="Hyperlink"/>
    <w:basedOn w:val="DefaultParagraphFont"/>
    <w:uiPriority w:val="99"/>
    <w:unhideWhenUsed/>
    <w:rsid w:val="00BC3BD6"/>
    <w:rPr>
      <w:color w:val="0563C1" w:themeColor="hyperlink"/>
      <w:u w:val="single"/>
    </w:rPr>
  </w:style>
  <w:style w:type="character" w:styleId="UnresolvedMention">
    <w:name w:val="Unresolved Mention"/>
    <w:basedOn w:val="DefaultParagraphFont"/>
    <w:uiPriority w:val="99"/>
    <w:semiHidden/>
    <w:unhideWhenUsed/>
    <w:rsid w:val="004E57A1"/>
    <w:rPr>
      <w:color w:val="605E5C"/>
      <w:shd w:val="clear" w:color="auto" w:fill="E1DFDD"/>
    </w:rPr>
  </w:style>
  <w:style w:type="paragraph" w:styleId="NormalWeb">
    <w:name w:val="Normal (Web)"/>
    <w:basedOn w:val="Normal"/>
    <w:uiPriority w:val="99"/>
    <w:semiHidden/>
    <w:unhideWhenUsed/>
    <w:rsid w:val="003127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278A"/>
  </w:style>
  <w:style w:type="character" w:styleId="Emphasis">
    <w:name w:val="Emphasis"/>
    <w:basedOn w:val="DefaultParagraphFont"/>
    <w:uiPriority w:val="20"/>
    <w:qFormat/>
    <w:rsid w:val="003127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19561">
      <w:bodyDiv w:val="1"/>
      <w:marLeft w:val="0"/>
      <w:marRight w:val="0"/>
      <w:marTop w:val="0"/>
      <w:marBottom w:val="0"/>
      <w:divBdr>
        <w:top w:val="none" w:sz="0" w:space="0" w:color="auto"/>
        <w:left w:val="none" w:sz="0" w:space="0" w:color="auto"/>
        <w:bottom w:val="none" w:sz="0" w:space="0" w:color="auto"/>
        <w:right w:val="none" w:sz="0" w:space="0" w:color="auto"/>
      </w:divBdr>
    </w:div>
    <w:div w:id="1035161475">
      <w:bodyDiv w:val="1"/>
      <w:marLeft w:val="0"/>
      <w:marRight w:val="0"/>
      <w:marTop w:val="0"/>
      <w:marBottom w:val="0"/>
      <w:divBdr>
        <w:top w:val="none" w:sz="0" w:space="0" w:color="auto"/>
        <w:left w:val="none" w:sz="0" w:space="0" w:color="auto"/>
        <w:bottom w:val="none" w:sz="0" w:space="0" w:color="auto"/>
        <w:right w:val="none" w:sz="0" w:space="0" w:color="auto"/>
      </w:divBdr>
    </w:div>
    <w:div w:id="1137650286">
      <w:bodyDiv w:val="1"/>
      <w:marLeft w:val="0"/>
      <w:marRight w:val="0"/>
      <w:marTop w:val="0"/>
      <w:marBottom w:val="0"/>
      <w:divBdr>
        <w:top w:val="none" w:sz="0" w:space="0" w:color="auto"/>
        <w:left w:val="none" w:sz="0" w:space="0" w:color="auto"/>
        <w:bottom w:val="none" w:sz="0" w:space="0" w:color="auto"/>
        <w:right w:val="none" w:sz="0" w:space="0" w:color="auto"/>
      </w:divBdr>
    </w:div>
    <w:div w:id="1367221380">
      <w:bodyDiv w:val="1"/>
      <w:marLeft w:val="0"/>
      <w:marRight w:val="0"/>
      <w:marTop w:val="0"/>
      <w:marBottom w:val="0"/>
      <w:divBdr>
        <w:top w:val="none" w:sz="0" w:space="0" w:color="auto"/>
        <w:left w:val="none" w:sz="0" w:space="0" w:color="auto"/>
        <w:bottom w:val="none" w:sz="0" w:space="0" w:color="auto"/>
        <w:right w:val="none" w:sz="0" w:space="0" w:color="auto"/>
      </w:divBdr>
    </w:div>
    <w:div w:id="1747649062">
      <w:bodyDiv w:val="1"/>
      <w:marLeft w:val="0"/>
      <w:marRight w:val="0"/>
      <w:marTop w:val="0"/>
      <w:marBottom w:val="0"/>
      <w:divBdr>
        <w:top w:val="none" w:sz="0" w:space="0" w:color="auto"/>
        <w:left w:val="none" w:sz="0" w:space="0" w:color="auto"/>
        <w:bottom w:val="none" w:sz="0" w:space="0" w:color="auto"/>
        <w:right w:val="none" w:sz="0" w:space="0" w:color="auto"/>
      </w:divBdr>
    </w:div>
    <w:div w:id="1755473365">
      <w:bodyDiv w:val="1"/>
      <w:marLeft w:val="0"/>
      <w:marRight w:val="0"/>
      <w:marTop w:val="0"/>
      <w:marBottom w:val="0"/>
      <w:divBdr>
        <w:top w:val="none" w:sz="0" w:space="0" w:color="auto"/>
        <w:left w:val="none" w:sz="0" w:space="0" w:color="auto"/>
        <w:bottom w:val="none" w:sz="0" w:space="0" w:color="auto"/>
        <w:right w:val="none" w:sz="0" w:space="0" w:color="auto"/>
      </w:divBdr>
    </w:div>
    <w:div w:id="2117869935">
      <w:bodyDiv w:val="1"/>
      <w:marLeft w:val="0"/>
      <w:marRight w:val="0"/>
      <w:marTop w:val="0"/>
      <w:marBottom w:val="0"/>
      <w:divBdr>
        <w:top w:val="none" w:sz="0" w:space="0" w:color="auto"/>
        <w:left w:val="none" w:sz="0" w:space="0" w:color="auto"/>
        <w:bottom w:val="none" w:sz="0" w:space="0" w:color="auto"/>
        <w:right w:val="none" w:sz="0" w:space="0" w:color="auto"/>
      </w:divBdr>
      <w:divsChild>
        <w:div w:id="2104374963">
          <w:marLeft w:val="0"/>
          <w:marRight w:val="0"/>
          <w:marTop w:val="0"/>
          <w:marBottom w:val="0"/>
          <w:divBdr>
            <w:top w:val="none" w:sz="0" w:space="0" w:color="auto"/>
            <w:left w:val="none" w:sz="0" w:space="0" w:color="auto"/>
            <w:bottom w:val="none" w:sz="0" w:space="0" w:color="auto"/>
            <w:right w:val="none" w:sz="0" w:space="0" w:color="auto"/>
          </w:divBdr>
          <w:divsChild>
            <w:div w:id="2018657241">
              <w:marLeft w:val="0"/>
              <w:marRight w:val="0"/>
              <w:marTop w:val="0"/>
              <w:marBottom w:val="0"/>
              <w:divBdr>
                <w:top w:val="none" w:sz="0" w:space="0" w:color="auto"/>
                <w:left w:val="none" w:sz="0" w:space="0" w:color="auto"/>
                <w:bottom w:val="none" w:sz="0" w:space="0" w:color="auto"/>
                <w:right w:val="none" w:sz="0" w:space="0" w:color="auto"/>
              </w:divBdr>
              <w:divsChild>
                <w:div w:id="471170570">
                  <w:marLeft w:val="0"/>
                  <w:marRight w:val="0"/>
                  <w:marTop w:val="0"/>
                  <w:marBottom w:val="0"/>
                  <w:divBdr>
                    <w:top w:val="none" w:sz="0" w:space="0" w:color="auto"/>
                    <w:left w:val="none" w:sz="0" w:space="0" w:color="auto"/>
                    <w:bottom w:val="none" w:sz="0" w:space="0" w:color="auto"/>
                    <w:right w:val="none" w:sz="0" w:space="0" w:color="auto"/>
                  </w:divBdr>
                  <w:divsChild>
                    <w:div w:id="160044141">
                      <w:marLeft w:val="0"/>
                      <w:marRight w:val="0"/>
                      <w:marTop w:val="0"/>
                      <w:marBottom w:val="0"/>
                      <w:divBdr>
                        <w:top w:val="none" w:sz="0" w:space="0" w:color="auto"/>
                        <w:left w:val="none" w:sz="0" w:space="0" w:color="auto"/>
                        <w:bottom w:val="none" w:sz="0" w:space="0" w:color="auto"/>
                        <w:right w:val="none" w:sz="0" w:space="0" w:color="auto"/>
                      </w:divBdr>
                      <w:divsChild>
                        <w:div w:id="867448572">
                          <w:marLeft w:val="0"/>
                          <w:marRight w:val="0"/>
                          <w:marTop w:val="0"/>
                          <w:marBottom w:val="0"/>
                          <w:divBdr>
                            <w:top w:val="none" w:sz="0" w:space="0" w:color="auto"/>
                            <w:left w:val="none" w:sz="0" w:space="0" w:color="auto"/>
                            <w:bottom w:val="none" w:sz="0" w:space="0" w:color="auto"/>
                            <w:right w:val="none" w:sz="0" w:space="0" w:color="auto"/>
                          </w:divBdr>
                          <w:divsChild>
                            <w:div w:id="2125611027">
                              <w:marLeft w:val="0"/>
                              <w:marRight w:val="0"/>
                              <w:marTop w:val="0"/>
                              <w:marBottom w:val="0"/>
                              <w:divBdr>
                                <w:top w:val="none" w:sz="0" w:space="0" w:color="auto"/>
                                <w:left w:val="none" w:sz="0" w:space="0" w:color="auto"/>
                                <w:bottom w:val="none" w:sz="0" w:space="0" w:color="auto"/>
                                <w:right w:val="none" w:sz="0" w:space="0" w:color="auto"/>
                              </w:divBdr>
                              <w:divsChild>
                                <w:div w:id="1880974736">
                                  <w:marLeft w:val="0"/>
                                  <w:marRight w:val="0"/>
                                  <w:marTop w:val="0"/>
                                  <w:marBottom w:val="0"/>
                                  <w:divBdr>
                                    <w:top w:val="none" w:sz="0" w:space="0" w:color="auto"/>
                                    <w:left w:val="none" w:sz="0" w:space="0" w:color="auto"/>
                                    <w:bottom w:val="none" w:sz="0" w:space="0" w:color="auto"/>
                                    <w:right w:val="none" w:sz="0" w:space="0" w:color="auto"/>
                                  </w:divBdr>
                                  <w:divsChild>
                                    <w:div w:id="286278870">
                                      <w:marLeft w:val="0"/>
                                      <w:marRight w:val="0"/>
                                      <w:marTop w:val="0"/>
                                      <w:marBottom w:val="0"/>
                                      <w:divBdr>
                                        <w:top w:val="none" w:sz="0" w:space="0" w:color="auto"/>
                                        <w:left w:val="none" w:sz="0" w:space="0" w:color="auto"/>
                                        <w:bottom w:val="none" w:sz="0" w:space="0" w:color="auto"/>
                                        <w:right w:val="none" w:sz="0" w:space="0" w:color="auto"/>
                                      </w:divBdr>
                                      <w:divsChild>
                                        <w:div w:id="1297374668">
                                          <w:marLeft w:val="0"/>
                                          <w:marRight w:val="0"/>
                                          <w:marTop w:val="0"/>
                                          <w:marBottom w:val="0"/>
                                          <w:divBdr>
                                            <w:top w:val="none" w:sz="0" w:space="0" w:color="auto"/>
                                            <w:left w:val="none" w:sz="0" w:space="0" w:color="auto"/>
                                            <w:bottom w:val="none" w:sz="0" w:space="0" w:color="auto"/>
                                            <w:right w:val="none" w:sz="0" w:space="0" w:color="auto"/>
                                          </w:divBdr>
                                          <w:divsChild>
                                            <w:div w:id="11358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739821">
          <w:marLeft w:val="0"/>
          <w:marRight w:val="0"/>
          <w:marTop w:val="0"/>
          <w:marBottom w:val="0"/>
          <w:divBdr>
            <w:top w:val="none" w:sz="0" w:space="0" w:color="auto"/>
            <w:left w:val="none" w:sz="0" w:space="0" w:color="auto"/>
            <w:bottom w:val="none" w:sz="0" w:space="0" w:color="auto"/>
            <w:right w:val="none" w:sz="0" w:space="0" w:color="auto"/>
          </w:divBdr>
          <w:divsChild>
            <w:div w:id="125702596">
              <w:marLeft w:val="0"/>
              <w:marRight w:val="0"/>
              <w:marTop w:val="0"/>
              <w:marBottom w:val="0"/>
              <w:divBdr>
                <w:top w:val="none" w:sz="0" w:space="0" w:color="auto"/>
                <w:left w:val="none" w:sz="0" w:space="0" w:color="auto"/>
                <w:bottom w:val="none" w:sz="0" w:space="0" w:color="auto"/>
                <w:right w:val="none" w:sz="0" w:space="0" w:color="auto"/>
              </w:divBdr>
              <w:divsChild>
                <w:div w:id="66148582">
                  <w:marLeft w:val="0"/>
                  <w:marRight w:val="0"/>
                  <w:marTop w:val="0"/>
                  <w:marBottom w:val="0"/>
                  <w:divBdr>
                    <w:top w:val="none" w:sz="0" w:space="0" w:color="auto"/>
                    <w:left w:val="none" w:sz="0" w:space="0" w:color="auto"/>
                    <w:bottom w:val="none" w:sz="0" w:space="0" w:color="auto"/>
                    <w:right w:val="none" w:sz="0" w:space="0" w:color="auto"/>
                  </w:divBdr>
                  <w:divsChild>
                    <w:div w:id="2035232891">
                      <w:marLeft w:val="0"/>
                      <w:marRight w:val="0"/>
                      <w:marTop w:val="0"/>
                      <w:marBottom w:val="0"/>
                      <w:divBdr>
                        <w:top w:val="none" w:sz="0" w:space="0" w:color="auto"/>
                        <w:left w:val="none" w:sz="0" w:space="0" w:color="auto"/>
                        <w:bottom w:val="none" w:sz="0" w:space="0" w:color="auto"/>
                        <w:right w:val="none" w:sz="0" w:space="0" w:color="auto"/>
                      </w:divBdr>
                      <w:divsChild>
                        <w:div w:id="1401369547">
                          <w:marLeft w:val="0"/>
                          <w:marRight w:val="0"/>
                          <w:marTop w:val="0"/>
                          <w:marBottom w:val="0"/>
                          <w:divBdr>
                            <w:top w:val="none" w:sz="0" w:space="0" w:color="auto"/>
                            <w:left w:val="none" w:sz="0" w:space="0" w:color="auto"/>
                            <w:bottom w:val="none" w:sz="0" w:space="0" w:color="auto"/>
                            <w:right w:val="none" w:sz="0" w:space="0" w:color="auto"/>
                          </w:divBdr>
                          <w:divsChild>
                            <w:div w:id="1534924040">
                              <w:marLeft w:val="0"/>
                              <w:marRight w:val="0"/>
                              <w:marTop w:val="0"/>
                              <w:marBottom w:val="0"/>
                              <w:divBdr>
                                <w:top w:val="none" w:sz="0" w:space="0" w:color="auto"/>
                                <w:left w:val="none" w:sz="0" w:space="0" w:color="auto"/>
                                <w:bottom w:val="none" w:sz="0" w:space="0" w:color="auto"/>
                                <w:right w:val="none" w:sz="0" w:space="0" w:color="auto"/>
                              </w:divBdr>
                              <w:divsChild>
                                <w:div w:id="1232233838">
                                  <w:marLeft w:val="0"/>
                                  <w:marRight w:val="0"/>
                                  <w:marTop w:val="0"/>
                                  <w:marBottom w:val="0"/>
                                  <w:divBdr>
                                    <w:top w:val="none" w:sz="0" w:space="0" w:color="auto"/>
                                    <w:left w:val="none" w:sz="0" w:space="0" w:color="auto"/>
                                    <w:bottom w:val="none" w:sz="0" w:space="0" w:color="auto"/>
                                    <w:right w:val="none" w:sz="0" w:space="0" w:color="auto"/>
                                  </w:divBdr>
                                  <w:divsChild>
                                    <w:div w:id="107704516">
                                      <w:marLeft w:val="0"/>
                                      <w:marRight w:val="0"/>
                                      <w:marTop w:val="0"/>
                                      <w:marBottom w:val="0"/>
                                      <w:divBdr>
                                        <w:top w:val="none" w:sz="0" w:space="0" w:color="auto"/>
                                        <w:left w:val="none" w:sz="0" w:space="0" w:color="auto"/>
                                        <w:bottom w:val="none" w:sz="0" w:space="0" w:color="auto"/>
                                        <w:right w:val="none" w:sz="0" w:space="0" w:color="auto"/>
                                      </w:divBdr>
                                      <w:divsChild>
                                        <w:div w:id="883715990">
                                          <w:marLeft w:val="0"/>
                                          <w:marRight w:val="0"/>
                                          <w:marTop w:val="0"/>
                                          <w:marBottom w:val="0"/>
                                          <w:divBdr>
                                            <w:top w:val="none" w:sz="0" w:space="0" w:color="auto"/>
                                            <w:left w:val="none" w:sz="0" w:space="0" w:color="auto"/>
                                            <w:bottom w:val="none" w:sz="0" w:space="0" w:color="auto"/>
                                            <w:right w:val="none" w:sz="0" w:space="0" w:color="auto"/>
                                          </w:divBdr>
                                          <w:divsChild>
                                            <w:div w:id="928390144">
                                              <w:marLeft w:val="0"/>
                                              <w:marRight w:val="0"/>
                                              <w:marTop w:val="0"/>
                                              <w:marBottom w:val="0"/>
                                              <w:divBdr>
                                                <w:top w:val="none" w:sz="0" w:space="0" w:color="auto"/>
                                                <w:left w:val="none" w:sz="0" w:space="0" w:color="auto"/>
                                                <w:bottom w:val="none" w:sz="0" w:space="0" w:color="auto"/>
                                                <w:right w:val="none" w:sz="0" w:space="0" w:color="auto"/>
                                              </w:divBdr>
                                              <w:divsChild>
                                                <w:div w:id="1251502502">
                                                  <w:marLeft w:val="0"/>
                                                  <w:marRight w:val="0"/>
                                                  <w:marTop w:val="0"/>
                                                  <w:marBottom w:val="0"/>
                                                  <w:divBdr>
                                                    <w:top w:val="none" w:sz="0" w:space="0" w:color="auto"/>
                                                    <w:left w:val="none" w:sz="0" w:space="0" w:color="auto"/>
                                                    <w:bottom w:val="none" w:sz="0" w:space="0" w:color="auto"/>
                                                    <w:right w:val="none" w:sz="0" w:space="0" w:color="auto"/>
                                                  </w:divBdr>
                                                  <w:divsChild>
                                                    <w:div w:id="977951906">
                                                      <w:marLeft w:val="0"/>
                                                      <w:marRight w:val="0"/>
                                                      <w:marTop w:val="0"/>
                                                      <w:marBottom w:val="0"/>
                                                      <w:divBdr>
                                                        <w:top w:val="none" w:sz="0" w:space="0" w:color="auto"/>
                                                        <w:left w:val="none" w:sz="0" w:space="0" w:color="auto"/>
                                                        <w:bottom w:val="none" w:sz="0" w:space="0" w:color="auto"/>
                                                        <w:right w:val="none" w:sz="0" w:space="0" w:color="auto"/>
                                                      </w:divBdr>
                                                      <w:divsChild>
                                                        <w:div w:id="110362672">
                                                          <w:marLeft w:val="0"/>
                                                          <w:marRight w:val="0"/>
                                                          <w:marTop w:val="0"/>
                                                          <w:marBottom w:val="0"/>
                                                          <w:divBdr>
                                                            <w:top w:val="none" w:sz="0" w:space="0" w:color="auto"/>
                                                            <w:left w:val="none" w:sz="0" w:space="0" w:color="auto"/>
                                                            <w:bottom w:val="none" w:sz="0" w:space="0" w:color="auto"/>
                                                            <w:right w:val="none" w:sz="0" w:space="0" w:color="auto"/>
                                                          </w:divBdr>
                                                          <w:divsChild>
                                                            <w:div w:id="2890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jasem.v26i6.26" TargetMode="External"/><Relationship Id="rId13" Type="http://schemas.openxmlformats.org/officeDocument/2006/relationships/hyperlink" Target="https://doi.org/10.1007/s11356-016-6370-5" TargetMode="External"/><Relationship Id="rId3" Type="http://schemas.openxmlformats.org/officeDocument/2006/relationships/settings" Target="settings.xml"/><Relationship Id="rId7" Type="http://schemas.openxmlformats.org/officeDocument/2006/relationships/hyperlink" Target="https://doi.org/10.1016/j.resconrec.2010.01.001" TargetMode="External"/><Relationship Id="rId12" Type="http://schemas.openxmlformats.org/officeDocument/2006/relationships/hyperlink" Target="https://doi.org/10.1016/j.scitotenv.2017.06.15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heliyon.2020.e0395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51/matecconf/20164705008" TargetMode="External"/><Relationship Id="rId4" Type="http://schemas.openxmlformats.org/officeDocument/2006/relationships/webSettings" Target="webSettings.xml"/><Relationship Id="rId9" Type="http://schemas.openxmlformats.org/officeDocument/2006/relationships/hyperlink" Target="https://doi.org/10.1016/j.jclepro.2016.03.05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7413</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King Arthur</dc:creator>
  <cp:keywords/>
  <dc:description/>
  <cp:lastModifiedBy>Arthur Wilfred King</cp:lastModifiedBy>
  <cp:revision>5</cp:revision>
  <dcterms:created xsi:type="dcterms:W3CDTF">2024-11-07T13:35:00Z</dcterms:created>
  <dcterms:modified xsi:type="dcterms:W3CDTF">2026-06-11T04:42:00Z</dcterms:modified>
</cp:coreProperties>
</file>