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9003" w14:textId="33DF8242" w:rsidR="008930FE" w:rsidRPr="002F4FCC" w:rsidRDefault="008930FE" w:rsidP="001F3483">
      <w:pPr>
        <w:spacing w:before="240" w:after="240" w:line="240" w:lineRule="auto"/>
        <w:jc w:val="center"/>
        <w:rPr>
          <w:rFonts w:ascii="Times New Roman" w:eastAsia="MS Mincho" w:hAnsi="Times New Roman" w:cs="Times New Roman"/>
          <w:b/>
          <w:bCs/>
          <w:noProof/>
          <w:color w:val="000000" w:themeColor="text1"/>
          <w:sz w:val="40"/>
          <w:szCs w:val="40"/>
        </w:rPr>
      </w:pPr>
      <w:r w:rsidRPr="002F4FCC">
        <w:rPr>
          <w:rFonts w:ascii="Times New Roman" w:eastAsia="MS Mincho" w:hAnsi="Times New Roman" w:cs="Times New Roman"/>
          <w:b/>
          <w:bCs/>
          <w:noProof/>
          <w:color w:val="000000" w:themeColor="text1"/>
          <w:sz w:val="40"/>
          <w:szCs w:val="40"/>
        </w:rPr>
        <w:t>Unveiling the Landscape of Learning Analytics in Education</w:t>
      </w:r>
    </w:p>
    <w:p w14:paraId="1EF28EA6" w14:textId="77777777" w:rsidR="00265160" w:rsidRPr="002F4FCC" w:rsidRDefault="00265160" w:rsidP="001F3483">
      <w:pPr>
        <w:spacing w:before="240" w:after="240" w:line="240" w:lineRule="auto"/>
        <w:jc w:val="center"/>
        <w:rPr>
          <w:rFonts w:ascii="Times New Roman" w:hAnsi="Times New Roman" w:cs="Times New Roman"/>
          <w:b/>
          <w:bCs/>
          <w:sz w:val="24"/>
          <w:szCs w:val="24"/>
        </w:rPr>
      </w:pPr>
      <w:r w:rsidRPr="002F4FCC">
        <w:rPr>
          <w:rFonts w:ascii="Times New Roman" w:hAnsi="Times New Roman" w:cs="Times New Roman"/>
          <w:b/>
          <w:bCs/>
          <w:sz w:val="24"/>
          <w:szCs w:val="24"/>
        </w:rPr>
        <w:t>Nelly Rose C. Leono</w:t>
      </w:r>
    </w:p>
    <w:p w14:paraId="67D45CCB" w14:textId="77777777" w:rsidR="00265160" w:rsidRPr="002F4FCC" w:rsidRDefault="00265160" w:rsidP="001F3483">
      <w:pPr>
        <w:spacing w:before="240" w:after="240" w:line="240" w:lineRule="auto"/>
        <w:jc w:val="center"/>
        <w:rPr>
          <w:rFonts w:ascii="Times New Roman" w:hAnsi="Times New Roman" w:cs="Times New Roman"/>
          <w:b/>
          <w:bCs/>
          <w:sz w:val="24"/>
          <w:szCs w:val="24"/>
        </w:rPr>
      </w:pPr>
      <w:r w:rsidRPr="002F4FCC">
        <w:rPr>
          <w:rFonts w:ascii="Times New Roman" w:hAnsi="Times New Roman" w:cs="Times New Roman"/>
          <w:b/>
          <w:bCs/>
          <w:sz w:val="24"/>
          <w:szCs w:val="24"/>
        </w:rPr>
        <w:t>College of Education, Bukidnon State University</w:t>
      </w:r>
    </w:p>
    <w:p w14:paraId="58F8BB06" w14:textId="77777777" w:rsidR="00265160" w:rsidRPr="002F4FCC" w:rsidRDefault="00265160" w:rsidP="001F3483">
      <w:pPr>
        <w:spacing w:before="240" w:after="240" w:line="240" w:lineRule="auto"/>
        <w:jc w:val="center"/>
        <w:rPr>
          <w:rFonts w:ascii="Times New Roman" w:hAnsi="Times New Roman" w:cs="Times New Roman"/>
          <w:b/>
          <w:bCs/>
          <w:sz w:val="24"/>
          <w:szCs w:val="24"/>
        </w:rPr>
      </w:pPr>
      <w:r w:rsidRPr="002F4FCC">
        <w:rPr>
          <w:rFonts w:ascii="Times New Roman" w:hAnsi="Times New Roman" w:cs="Times New Roman"/>
          <w:b/>
          <w:bCs/>
          <w:sz w:val="24"/>
          <w:szCs w:val="24"/>
        </w:rPr>
        <w:t>Malaybalay City, Bukidnon, Philippines</w:t>
      </w:r>
    </w:p>
    <w:p w14:paraId="53AA745E" w14:textId="53993947" w:rsidR="002F4FCC" w:rsidRPr="002F4FCC" w:rsidRDefault="002C4E18" w:rsidP="00752540">
      <w:pPr>
        <w:spacing w:before="240" w:after="240" w:line="240" w:lineRule="auto"/>
        <w:jc w:val="center"/>
        <w:rPr>
          <w:rFonts w:ascii="Times New Roman" w:hAnsi="Times New Roman" w:cs="Times New Roman"/>
          <w:sz w:val="24"/>
          <w:szCs w:val="24"/>
        </w:rPr>
      </w:pPr>
      <w:hyperlink r:id="rId7" w:history="1">
        <w:r w:rsidR="00265160" w:rsidRPr="002F4FCC">
          <w:rPr>
            <w:rStyle w:val="Hyperlink"/>
            <w:rFonts w:ascii="Times New Roman" w:hAnsi="Times New Roman" w:cs="Times New Roman"/>
            <w:sz w:val="24"/>
            <w:szCs w:val="24"/>
          </w:rPr>
          <w:t>2201110737@student.buksu.edu.ph</w:t>
        </w:r>
      </w:hyperlink>
    </w:p>
    <w:p w14:paraId="4D3F17CF" w14:textId="77777777"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ABSTRACT</w:t>
      </w:r>
    </w:p>
    <w:p w14:paraId="08813BFD" w14:textId="7942F49F"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In the dynamic landscape of education, integrating learning analytics, a transformative force in education, revolutionizes established models by providing a profound understanding of the learning process through data gathering, analysis, and interpretation. </w:t>
      </w:r>
      <w:r w:rsidR="00752540" w:rsidRPr="002F4FCC">
        <w:rPr>
          <w:rFonts w:ascii="Times New Roman" w:hAnsi="Times New Roman" w:cs="Times New Roman"/>
          <w:sz w:val="24"/>
          <w:szCs w:val="24"/>
        </w:rPr>
        <w:t>The review covered all scholarly, open-access, and relevant literature from 2013 to 2023.</w:t>
      </w:r>
      <w:r w:rsidRPr="002F4FCC">
        <w:rPr>
          <w:rFonts w:ascii="Times New Roman" w:hAnsi="Times New Roman" w:cs="Times New Roman"/>
          <w:sz w:val="24"/>
          <w:szCs w:val="24"/>
        </w:rPr>
        <w:t xml:space="preserve"> The study examined 50 peer-reviewed scientific sources from credible journals</w:t>
      </w:r>
      <w:r w:rsidR="00752540">
        <w:rPr>
          <w:rFonts w:ascii="Times New Roman" w:hAnsi="Times New Roman" w:cs="Times New Roman"/>
          <w:sz w:val="24"/>
          <w:szCs w:val="24"/>
        </w:rPr>
        <w:t xml:space="preserve"> and </w:t>
      </w:r>
      <w:r w:rsidRPr="002F4FCC">
        <w:rPr>
          <w:rFonts w:ascii="Times New Roman" w:hAnsi="Times New Roman" w:cs="Times New Roman"/>
          <w:sz w:val="24"/>
          <w:szCs w:val="24"/>
        </w:rPr>
        <w:t>comprehensive</w:t>
      </w:r>
      <w:r w:rsidR="00752540">
        <w:rPr>
          <w:rFonts w:ascii="Times New Roman" w:hAnsi="Times New Roman" w:cs="Times New Roman"/>
          <w:sz w:val="24"/>
          <w:szCs w:val="24"/>
        </w:rPr>
        <w:t>ly</w:t>
      </w:r>
      <w:r w:rsidRPr="002F4FCC">
        <w:rPr>
          <w:rFonts w:ascii="Times New Roman" w:hAnsi="Times New Roman" w:cs="Times New Roman"/>
          <w:sz w:val="24"/>
          <w:szCs w:val="24"/>
        </w:rPr>
        <w:t xml:space="preserve"> explores the multifaceted landscape of learning analytics in education by </w:t>
      </w:r>
      <w:r w:rsidR="00752540">
        <w:rPr>
          <w:rFonts w:ascii="Times New Roman" w:hAnsi="Times New Roman" w:cs="Times New Roman"/>
          <w:sz w:val="24"/>
          <w:szCs w:val="24"/>
        </w:rPr>
        <w:t xml:space="preserve">employing thematic analysis. </w:t>
      </w:r>
      <w:r w:rsidRPr="002F4FCC">
        <w:rPr>
          <w:rFonts w:ascii="Times New Roman" w:hAnsi="Times New Roman" w:cs="Times New Roman"/>
          <w:sz w:val="24"/>
          <w:szCs w:val="24"/>
        </w:rPr>
        <w:t>The inquiry focuses on three main themes: Educational Challenges, Trends in Learning Analytics, and Benefits of Learning Analytics in Education. The study emphasizes the importance of learning analytics in tackling academic challenges, employing data-driven observations to anticipate and overcome barriers, and improving the learning process.</w:t>
      </w:r>
      <w:r>
        <w:rPr>
          <w:rFonts w:ascii="Times New Roman" w:hAnsi="Times New Roman" w:cs="Times New Roman"/>
          <w:sz w:val="24"/>
          <w:szCs w:val="24"/>
        </w:rPr>
        <w:t xml:space="preserve"> </w:t>
      </w:r>
      <w:r w:rsidRPr="002F4FCC">
        <w:rPr>
          <w:rFonts w:ascii="Times New Roman" w:hAnsi="Times New Roman" w:cs="Times New Roman"/>
          <w:sz w:val="24"/>
          <w:szCs w:val="24"/>
        </w:rPr>
        <w:t>The use of learning analytics across various educational settings and highlights their benefits, including improved student performance, data-informed decision-making, and personalized educational support. Benefits include early identification of at-risk students and the provision of personalized, motivational interventions. Data-driven strategies guide interventions, allocate resources effectively, and enhance educational practices.</w:t>
      </w:r>
      <w:r w:rsidR="00941A4A">
        <w:rPr>
          <w:rFonts w:ascii="Times New Roman" w:hAnsi="Times New Roman" w:cs="Times New Roman"/>
          <w:sz w:val="24"/>
          <w:szCs w:val="24"/>
        </w:rPr>
        <w:t xml:space="preserve"> T</w:t>
      </w:r>
      <w:r w:rsidR="00941A4A" w:rsidRPr="00941A4A">
        <w:rPr>
          <w:rFonts w:ascii="Times New Roman" w:hAnsi="Times New Roman" w:cs="Times New Roman"/>
          <w:sz w:val="24"/>
          <w:szCs w:val="24"/>
        </w:rPr>
        <w:t>his review highlights the significant impact of learning analytics on student performance and achievement. It emphasizes the importance of early intervention, personalized strategies, and feedback mechanisms in enhancing academic success. The study also highlights the diverse uses of learning analytics, such as informing educators' decision-making, predictive modeling, and providing personalized educational support. It emphasizes the international effort to use learning analytics to improve student learning and achievements globally. The research provides insights into the challenges and opportunities of using learning analytics to enhance student learning and achievement.</w:t>
      </w:r>
    </w:p>
    <w:p w14:paraId="60E71FF1" w14:textId="1AA1037B" w:rsid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i/>
          <w:iCs/>
          <w:sz w:val="24"/>
          <w:szCs w:val="24"/>
        </w:rPr>
        <w:t>Keywords</w:t>
      </w:r>
      <w:r w:rsidRPr="002F4FCC">
        <w:rPr>
          <w:rFonts w:ascii="Times New Roman" w:hAnsi="Times New Roman" w:cs="Times New Roman"/>
          <w:sz w:val="24"/>
          <w:szCs w:val="24"/>
        </w:rPr>
        <w:t>: Learning Analytics, Educational Challenges, Trends, Benefits, Systematic Literature Review</w:t>
      </w:r>
    </w:p>
    <w:p w14:paraId="2E0F44B3" w14:textId="77777777" w:rsidR="002F4FCC" w:rsidRPr="002F4FCC" w:rsidRDefault="002F4FCC" w:rsidP="002F4FCC">
      <w:pPr>
        <w:spacing w:before="240" w:after="240" w:line="240" w:lineRule="auto"/>
        <w:jc w:val="both"/>
        <w:rPr>
          <w:rFonts w:ascii="Times New Roman" w:hAnsi="Times New Roman" w:cs="Times New Roman"/>
          <w:sz w:val="24"/>
          <w:szCs w:val="24"/>
        </w:rPr>
      </w:pPr>
    </w:p>
    <w:p w14:paraId="1DC141E3" w14:textId="77777777"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INTRODUCTION</w:t>
      </w:r>
    </w:p>
    <w:p w14:paraId="1A095312"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Technology integration has become a fundamental element in revolutionizing traditional teaching methods in the ever-changing field of education. Learning analytics emerges as a powerful catalyst, revolutionizing established models and providing an unparalleled understanding of the learning process. Learning analytics involves gathering, analyzing, and interpreting data on learners and learners' environments. It has become increasingly important due to its ability to address challenges, monitor emerging developments, and leverage significant advantages worldwide (Siemens &amp; Long, 2011). This paper explores the complex field of learning analytics in education, highlighting the issues it addresses, the global trends it reveals, and the benefits it offers to educational practice.</w:t>
      </w:r>
    </w:p>
    <w:p w14:paraId="72C49674"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global implementation of learning analytics has ushered in a new era of educational progress, signaling a fundamental shift in tackling ongoing challenges. The primary research inquiry guiding this examination is: What educational challenges are effectively addressed by the global implementation of learning analytics? This study explored the precise ways in which learning analytics can help address the various challenges that education systems face, such as personalized learning and retention rates. It provides customized solutions that improve the educational experience for both learners and educators.</w:t>
      </w:r>
    </w:p>
    <w:p w14:paraId="7ACCD3D4"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lastRenderedPageBreak/>
        <w:t>As the use of learning analytics increases, examining patterns in global education is crucial. The second research question explores global trends in learning analytics in education, focusing on the changing nature of learning analytics applications and their influence on teaching and learning methods. By examining current patterns, we aim to provide a thorough understanding of the technological paths that shape the field of education, stimulating discussion of the possible consequences and opportunities these trends may offer.</w:t>
      </w:r>
    </w:p>
    <w:p w14:paraId="1EE7573E"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Incorporating learning analytics into global education practices addresses challenges, monitors trends, and offers many benefits. The third research question focuses on pointing out the advantages that arise from using learning analytics in global education practices. It seeks to reveal the benefits and profound impacts of learning analytics on educational systems, elucidating the advantages of informed decision-making, customized learning experiences, and overall improvements in educational outcomes.</w:t>
      </w:r>
    </w:p>
    <w:p w14:paraId="2C0A964E"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This systematic review adds to the academic discourse and provides insights for policy-making and practice by exploring the field of learning analytics in education. Our goal is to comprehensively understand how learning analytics will impact the future of education worldwide by addressing challenges, monitoring trends, and leveraging its advantages. This research enhances comprehension of the impact of learning analytics on global educational practices by examining these dimensions.</w:t>
      </w:r>
    </w:p>
    <w:p w14:paraId="692306FE" w14:textId="77777777" w:rsidR="002F4FCC" w:rsidRDefault="002F4FCC" w:rsidP="002F4FCC">
      <w:pPr>
        <w:spacing w:before="240" w:after="240" w:line="240" w:lineRule="auto"/>
        <w:jc w:val="both"/>
        <w:rPr>
          <w:rFonts w:ascii="Times New Roman" w:hAnsi="Times New Roman" w:cs="Times New Roman"/>
          <w:b/>
          <w:bCs/>
          <w:sz w:val="28"/>
          <w:szCs w:val="28"/>
        </w:rPr>
      </w:pPr>
    </w:p>
    <w:p w14:paraId="2D34EB54" w14:textId="25D4A0A1"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METHODOLOGY</w:t>
      </w:r>
    </w:p>
    <w:p w14:paraId="6234C9CF"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This paper utilized a thematic approach in conducting a systematic literature review. This review offers a methodical and straightforward approach to collecting, combining, and evaluating discoveries on a particular subject or inquiry. The objective is to reduce the prejudice associated with individual studies and non-systematic reviews" (Sweet et al., 2007). In addition, according to </w:t>
      </w:r>
      <w:proofErr w:type="spellStart"/>
      <w:r w:rsidRPr="002F4FCC">
        <w:rPr>
          <w:rFonts w:ascii="Times New Roman" w:hAnsi="Times New Roman" w:cs="Times New Roman"/>
          <w:sz w:val="24"/>
          <w:szCs w:val="24"/>
        </w:rPr>
        <w:t>Gaogoses</w:t>
      </w:r>
      <w:proofErr w:type="spellEnd"/>
      <w:r w:rsidRPr="002F4FCC">
        <w:rPr>
          <w:rFonts w:ascii="Times New Roman" w:hAnsi="Times New Roman" w:cs="Times New Roman"/>
          <w:sz w:val="24"/>
          <w:szCs w:val="24"/>
        </w:rPr>
        <w:t xml:space="preserve"> and Koglin (2020), a thematic analysis entails systematically generating summaries of significant and recurring themes found in the articles. This paper executes the following steps:</w:t>
      </w:r>
    </w:p>
    <w:p w14:paraId="1E2EF14E"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Step 1: Searching for literature.</w:t>
      </w:r>
    </w:p>
    <w:p w14:paraId="09EBEE6B"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It searched literature from Google and ResearchGate using keywords such as Learning Analytics, Education, Global, and High School.</w:t>
      </w:r>
    </w:p>
    <w:p w14:paraId="3B263160"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Step 2: Screen and select literature from the results.</w:t>
      </w:r>
    </w:p>
    <w:p w14:paraId="4340F3AF" w14:textId="57F3B409"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Downloaded and evaluated online articles are kept in the same folders at this level. In selecting articles, the article relates to Learning Analytics, Predictive Analytics, Machine learning, or Data mining. The review covered all scholarly, open-access, and relevant literature from 2013 to 2023.</w:t>
      </w:r>
    </w:p>
    <w:p w14:paraId="2DD1692D"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Step 3: Evaluating selected literature via predetermined criteria for inclusion and removal.                    </w:t>
      </w:r>
    </w:p>
    <w:p w14:paraId="55BCACB4"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Every article is published in open-access, respectable, and peer-reviewed journals. Included were theses and dissertations. This literature may consist of either empirical or theoretical articles. The term "former" refers to research conducted in a specific domain using original data or sources. Simultaneously, the latter refers to articles based on secondary data that serve as data for theoretical papers, such as reviews and meta-analyses. The bibliographies of the articles that met the criteria underwent inspection. The literature included was carefully evaluated and chosen based on the same criteria. The titles selected relate to learning analytics. The article's published timeframe was 2013 to 2023.</w:t>
      </w:r>
    </w:p>
    <w:p w14:paraId="423A4890"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Step 4: Extracting data.</w:t>
      </w:r>
    </w:p>
    <w:p w14:paraId="50FE879D"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researcher retrieves remarks, information, or excerpts from each article at this stage. During this phase, the researcher reads extensively to identify the connection to existing knowledge on learning analytics. By engaging in this process, the researcher categorizes similarities and differences, discerns patterns, and evaluates the caliber and technique of the contribution. The final stage themes were derived.</w:t>
      </w:r>
    </w:p>
    <w:p w14:paraId="4FA580EE"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lastRenderedPageBreak/>
        <w:t>Step 5:  Synthesizing information.</w:t>
      </w:r>
    </w:p>
    <w:p w14:paraId="1B4FFDB5" w14:textId="11B12305" w:rsidR="002F4FCC" w:rsidRDefault="00752540" w:rsidP="002F4FCC">
      <w:pPr>
        <w:spacing w:before="240" w:after="240" w:line="240" w:lineRule="auto"/>
        <w:jc w:val="both"/>
        <w:rPr>
          <w:rFonts w:ascii="Times New Roman" w:hAnsi="Times New Roman" w:cs="Times New Roman"/>
          <w:sz w:val="28"/>
          <w:szCs w:val="28"/>
        </w:rPr>
      </w:pPr>
      <w:r>
        <w:rPr>
          <w:rFonts w:ascii="Times New Roman" w:hAnsi="Times New Roman" w:cs="Times New Roman"/>
          <w:sz w:val="24"/>
          <w:szCs w:val="24"/>
        </w:rPr>
        <w:t>T</w:t>
      </w:r>
      <w:r w:rsidR="002F4FCC" w:rsidRPr="002F4FCC">
        <w:rPr>
          <w:rFonts w:ascii="Times New Roman" w:hAnsi="Times New Roman" w:cs="Times New Roman"/>
          <w:sz w:val="24"/>
          <w:szCs w:val="24"/>
        </w:rPr>
        <w:t>he researcher employed a comprehensive analysis, focusing on the underlying topics. The conclusion restates the synthesis by summarizing the key themes of the review</w:t>
      </w:r>
      <w:r w:rsidR="002F4FCC" w:rsidRPr="002F4FCC">
        <w:rPr>
          <w:rFonts w:ascii="Times New Roman" w:hAnsi="Times New Roman" w:cs="Times New Roman"/>
          <w:sz w:val="28"/>
          <w:szCs w:val="28"/>
        </w:rPr>
        <w:t>.</w:t>
      </w:r>
    </w:p>
    <w:p w14:paraId="05EE663B" w14:textId="77777777" w:rsidR="002F4FCC" w:rsidRPr="002F4FCC" w:rsidRDefault="002F4FCC" w:rsidP="002F4FCC">
      <w:pPr>
        <w:spacing w:before="240" w:after="240" w:line="240" w:lineRule="auto"/>
        <w:jc w:val="both"/>
        <w:rPr>
          <w:rFonts w:ascii="Times New Roman" w:hAnsi="Times New Roman" w:cs="Times New Roman"/>
          <w:sz w:val="28"/>
          <w:szCs w:val="28"/>
        </w:rPr>
      </w:pPr>
    </w:p>
    <w:p w14:paraId="66C4DB06" w14:textId="77777777"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LITERATURE SEARCH RESULT</w:t>
      </w:r>
    </w:p>
    <w:p w14:paraId="29135FF4"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Google search yielded around 306,000,000 results, while the ResearchGate search yielded 6,669 results. The study chose articles based on these numbers.</w:t>
      </w:r>
    </w:p>
    <w:p w14:paraId="6754E742"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At first, 53 studies passed the screening process. The appraisal process included inclusion and exclusion criteria, qualified 41 articles from Google, and nine (9) papers from ResearchGate. This study examined 50 peer-reviewed scientific sources from credible journals. The discussion of the data revolved around three research topics: Educational Obstacles, Learning Analytics Trends, and the Benefits of Learning Analytics in Education.</w:t>
      </w:r>
    </w:p>
    <w:p w14:paraId="72898508" w14:textId="77777777" w:rsidR="002F4FCC" w:rsidRDefault="002F4FCC" w:rsidP="002F4FCC">
      <w:pPr>
        <w:spacing w:before="240" w:after="240" w:line="240" w:lineRule="auto"/>
        <w:jc w:val="both"/>
        <w:rPr>
          <w:rFonts w:ascii="Times New Roman" w:hAnsi="Times New Roman" w:cs="Times New Roman"/>
          <w:sz w:val="28"/>
          <w:szCs w:val="28"/>
        </w:rPr>
      </w:pPr>
    </w:p>
    <w:p w14:paraId="3F38C417" w14:textId="7FD03B8D"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RESULT AND DISCUSSIONS</w:t>
      </w:r>
    </w:p>
    <w:p w14:paraId="7FC77C85"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This section presents the key findings of the research. The analysis revealed that learning analytics significantly improves educational outcomes by addressing academic challenges, highlighting emerging trends, and offering clear benefits such as informed decision-making, personalized learning, and enhanced educational effectiveness. The discussion interprets these results and explains their implications for educational practice and policy.</w:t>
      </w:r>
    </w:p>
    <w:p w14:paraId="4E03D4F4" w14:textId="77777777" w:rsidR="00752540" w:rsidRDefault="00752540" w:rsidP="002F4FCC">
      <w:pPr>
        <w:spacing w:before="240" w:after="240" w:line="240" w:lineRule="auto"/>
        <w:jc w:val="both"/>
        <w:rPr>
          <w:rFonts w:ascii="Times New Roman" w:hAnsi="Times New Roman" w:cs="Times New Roman"/>
          <w:b/>
          <w:bCs/>
          <w:sz w:val="24"/>
          <w:szCs w:val="24"/>
        </w:rPr>
      </w:pPr>
    </w:p>
    <w:p w14:paraId="2300F62D" w14:textId="7F0DC321"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A. Educational Obstacles</w:t>
      </w:r>
    </w:p>
    <w:p w14:paraId="76F0D990" w14:textId="040D7A2C" w:rsid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Worldwide usage of learning analytics solves educational issues. Learning analytics can assist educational institutions in decision-making, improving instruction, and addressing issues such as individualized learning, student performance gaps, and resource optimization (LAK Conference, 2020). Data-driven insights allow educators and institutions to adapt interventions, identify at-risk students, leverage global educational resources, and create a more efficient and fair educational system. In this section, we determine the educational obstacles effectively addressed by the global implementation of learning analytics and categorize them into three overarching themes that summarize these obstacles.</w:t>
      </w:r>
    </w:p>
    <w:p w14:paraId="1414A22F" w14:textId="77777777" w:rsidR="00752540" w:rsidRPr="002F4FCC" w:rsidRDefault="00752540" w:rsidP="002F4FCC">
      <w:pPr>
        <w:spacing w:before="240" w:after="240" w:line="240" w:lineRule="auto"/>
        <w:jc w:val="both"/>
        <w:rPr>
          <w:rFonts w:ascii="Times New Roman" w:hAnsi="Times New Roman" w:cs="Times New Roman"/>
          <w:sz w:val="24"/>
          <w:szCs w:val="24"/>
        </w:rPr>
      </w:pPr>
    </w:p>
    <w:p w14:paraId="10D75284"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1: Academic Performance Challenges</w:t>
      </w:r>
    </w:p>
    <w:p w14:paraId="2F854654"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Learning analytics is crucial for understanding and addressing the complex issues of academic achievement in education. It is a guiding light, enabling educational institutions to actively recognize and remove obstacles that impede students' academic progress. </w:t>
      </w:r>
    </w:p>
    <w:p w14:paraId="28193CEE" w14:textId="14A54F9F"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Learning analytics is the systematic collection, analysis, and interpretation of data on student learning and academic achievement, yielding a comprehensive understanding of many aspects of the educational process. </w:t>
      </w:r>
      <w:proofErr w:type="spellStart"/>
      <w:r w:rsidRPr="002F4FCC">
        <w:rPr>
          <w:rFonts w:ascii="Times New Roman" w:hAnsi="Times New Roman" w:cs="Times New Roman"/>
          <w:sz w:val="24"/>
          <w:szCs w:val="24"/>
        </w:rPr>
        <w:t>Blikstein</w:t>
      </w:r>
      <w:proofErr w:type="spellEnd"/>
      <w:r w:rsidRPr="002F4FCC">
        <w:rPr>
          <w:rFonts w:ascii="Times New Roman" w:hAnsi="Times New Roman" w:cs="Times New Roman"/>
          <w:sz w:val="24"/>
          <w:szCs w:val="24"/>
        </w:rPr>
        <w:t xml:space="preserve"> and Worsley (2016) demonstrate the ability to collect data effortlessly from various sources at regular intervals, highlighting the significant impact of advanced technologies. It uses state-of-the-art machine learning tools to reveal complex student learning paths, particularly in activities that involve developing unique, personalized learning objects. Yang et al. (2018) demonstrated the effectiveness of learning analytics approaches by predicting students' academic performance, addressing the pressing need for efficient knowledge management, and deepening learning delivery methodologies. In addition, the importance of learning analytics is </w:t>
      </w:r>
      <w:proofErr w:type="gramStart"/>
      <w:r w:rsidRPr="002F4FCC">
        <w:rPr>
          <w:rFonts w:ascii="Times New Roman" w:hAnsi="Times New Roman" w:cs="Times New Roman"/>
          <w:sz w:val="24"/>
          <w:szCs w:val="24"/>
        </w:rPr>
        <w:t>underscored  by</w:t>
      </w:r>
      <w:proofErr w:type="gramEnd"/>
      <w:r w:rsidRPr="002F4FCC">
        <w:rPr>
          <w:rFonts w:ascii="Times New Roman" w:hAnsi="Times New Roman" w:cs="Times New Roman"/>
          <w:sz w:val="24"/>
          <w:szCs w:val="24"/>
        </w:rPr>
        <w:t xml:space="preserve"> Dindar et al. (2021) and Sense et al. (2021), who highlight the pivotal role of machine learning algorithms. When combined with learning analytics, these algorithms effectively forecast test scores, optimize </w:t>
      </w:r>
      <w:r w:rsidRPr="002F4FCC">
        <w:rPr>
          <w:rFonts w:ascii="Times New Roman" w:hAnsi="Times New Roman" w:cs="Times New Roman"/>
          <w:sz w:val="24"/>
          <w:szCs w:val="24"/>
        </w:rPr>
        <w:lastRenderedPageBreak/>
        <w:t xml:space="preserve">the allocation of study time, and customize learning experiences to individual needs. Adaptive learning systems are a practical approach to improving study time, filling in knowledge gaps, and increasing trust in the effectiveness of learning analytics. The "Educational Data Mining Challenge" conducted by Stamper and </w:t>
      </w:r>
      <w:proofErr w:type="spellStart"/>
      <w:r w:rsidRPr="002F4FCC">
        <w:rPr>
          <w:rFonts w:ascii="Times New Roman" w:hAnsi="Times New Roman" w:cs="Times New Roman"/>
          <w:sz w:val="24"/>
          <w:szCs w:val="24"/>
        </w:rPr>
        <w:t>Pardos</w:t>
      </w:r>
      <w:proofErr w:type="spellEnd"/>
      <w:r w:rsidRPr="002F4FCC">
        <w:rPr>
          <w:rFonts w:ascii="Times New Roman" w:hAnsi="Times New Roman" w:cs="Times New Roman"/>
          <w:sz w:val="24"/>
          <w:szCs w:val="24"/>
        </w:rPr>
        <w:t xml:space="preserve"> (2016) focuses on the prediction accuracy of student replies in Intelligent Tutoring Systems. Furthermore, Cloude et al. (2021) explore the challenges of promoting reflection in a game-based learning environment, offering valuable insights into the optimal timing and methods for facilitating reflection in these dynamic contexts. </w:t>
      </w:r>
      <w:proofErr w:type="spellStart"/>
      <w:r w:rsidRPr="002F4FCC">
        <w:rPr>
          <w:rFonts w:ascii="Times New Roman" w:hAnsi="Times New Roman" w:cs="Times New Roman"/>
          <w:sz w:val="24"/>
          <w:szCs w:val="24"/>
        </w:rPr>
        <w:t>Jääskelä</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Heilala</w:t>
      </w:r>
      <w:proofErr w:type="spellEnd"/>
      <w:r w:rsidRPr="002F4FCC">
        <w:rPr>
          <w:rFonts w:ascii="Times New Roman" w:hAnsi="Times New Roman" w:cs="Times New Roman"/>
          <w:sz w:val="24"/>
          <w:szCs w:val="24"/>
        </w:rPr>
        <w:t xml:space="preserve">, Häkkinen, and Kärkkäinen (2021), along with Reyes (2018), utilize learning analytics to understand and improve students' performance in online education programs. Substantially contribute to comprehension and improving performance in remote education by identifying vital attributes such as demographic information, previous academic experiences, learner readiness, and learning behavior. In a study on computer programming among high school students, </w:t>
      </w:r>
      <w:proofErr w:type="spellStart"/>
      <w:r w:rsidRPr="002F4FCC">
        <w:rPr>
          <w:rFonts w:ascii="Times New Roman" w:hAnsi="Times New Roman" w:cs="Times New Roman"/>
          <w:sz w:val="24"/>
          <w:szCs w:val="24"/>
        </w:rPr>
        <w:t>Samngamjan</w:t>
      </w:r>
      <w:proofErr w:type="spellEnd"/>
      <w:r w:rsidRPr="002F4FCC">
        <w:rPr>
          <w:rFonts w:ascii="Times New Roman" w:hAnsi="Times New Roman" w:cs="Times New Roman"/>
          <w:sz w:val="24"/>
          <w:szCs w:val="24"/>
        </w:rPr>
        <w:t xml:space="preserve">, Philuek, and </w:t>
      </w:r>
      <w:proofErr w:type="spellStart"/>
      <w:r w:rsidRPr="002F4FCC">
        <w:rPr>
          <w:rFonts w:ascii="Times New Roman" w:hAnsi="Times New Roman" w:cs="Times New Roman"/>
          <w:sz w:val="24"/>
          <w:szCs w:val="24"/>
        </w:rPr>
        <w:t>Malangpoo</w:t>
      </w:r>
      <w:proofErr w:type="spellEnd"/>
      <w:r w:rsidRPr="002F4FCC">
        <w:rPr>
          <w:rFonts w:ascii="Times New Roman" w:hAnsi="Times New Roman" w:cs="Times New Roman"/>
          <w:sz w:val="24"/>
          <w:szCs w:val="24"/>
        </w:rPr>
        <w:t xml:space="preserve"> (2021) examine several factors, including teachers, learning environments, media, and students themselves, and found that it enhances our understanding of the obstacles inherent in these crucial elements, offering valuable perspectives for educators and institutions. Kim et al. (2016) and Khan and Al-</w:t>
      </w:r>
      <w:proofErr w:type="spellStart"/>
      <w:r w:rsidRPr="002F4FCC">
        <w:rPr>
          <w:rFonts w:ascii="Times New Roman" w:hAnsi="Times New Roman" w:cs="Times New Roman"/>
          <w:sz w:val="24"/>
          <w:szCs w:val="24"/>
        </w:rPr>
        <w:t>Zubaidy</w:t>
      </w:r>
      <w:proofErr w:type="spellEnd"/>
      <w:r w:rsidRPr="002F4FCC">
        <w:rPr>
          <w:rFonts w:ascii="Times New Roman" w:hAnsi="Times New Roman" w:cs="Times New Roman"/>
          <w:sz w:val="24"/>
          <w:szCs w:val="24"/>
        </w:rPr>
        <w:t xml:space="preserve"> (2017) emphasize the crucial use of learning analytics in monitoring educational platforms and carefully analyzing changes in academic performance.</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 xml:space="preserve">It demonstrates the importance of learning analytics in addressing various educational challenges, ultimately enhancing a comprehensive learning experience. Learning analytics is important beyond only making predictions. </w:t>
      </w:r>
    </w:p>
    <w:p w14:paraId="3EA25BA2" w14:textId="77777777" w:rsidR="00752540" w:rsidRDefault="00752540" w:rsidP="002F4FCC">
      <w:pPr>
        <w:spacing w:before="240" w:after="240" w:line="240" w:lineRule="auto"/>
        <w:jc w:val="both"/>
        <w:rPr>
          <w:rFonts w:ascii="Times New Roman" w:hAnsi="Times New Roman" w:cs="Times New Roman"/>
          <w:b/>
          <w:bCs/>
          <w:sz w:val="24"/>
          <w:szCs w:val="24"/>
        </w:rPr>
      </w:pPr>
    </w:p>
    <w:p w14:paraId="6B43492E" w14:textId="769EA163"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2: Student Engagement and Well-being</w:t>
      </w:r>
    </w:p>
    <w:p w14:paraId="464CE32E" w14:textId="0EB42D29" w:rsidR="00752540"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One of the common objectives of modern educational research is to improve student involvement, foster well-being, and ensure long-term retention in educational settings. The challenges of e-learning participation, identifying mental health vulnerabilities, and providing timely interventions for at-risk students have become more prominent, especially during the shift to remote learning and the complex challenges of technology-enhanced educational platforms. </w:t>
      </w:r>
    </w:p>
    <w:p w14:paraId="3E4926CB" w14:textId="2D523876"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Many research projects have used learning analytics to address complex challenges and make significant educational breakthroughs. Queiroga et al. (2020) and </w:t>
      </w:r>
      <w:proofErr w:type="spellStart"/>
      <w:r w:rsidRPr="002F4FCC">
        <w:rPr>
          <w:rFonts w:ascii="Times New Roman" w:hAnsi="Times New Roman" w:cs="Times New Roman"/>
          <w:sz w:val="24"/>
          <w:szCs w:val="24"/>
        </w:rPr>
        <w:t>Markdy</w:t>
      </w:r>
      <w:proofErr w:type="spellEnd"/>
      <w:r w:rsidRPr="002F4FCC">
        <w:rPr>
          <w:rFonts w:ascii="Times New Roman" w:hAnsi="Times New Roman" w:cs="Times New Roman"/>
          <w:sz w:val="24"/>
          <w:szCs w:val="24"/>
        </w:rPr>
        <w:t xml:space="preserve"> Y. </w:t>
      </w:r>
      <w:proofErr w:type="spellStart"/>
      <w:r w:rsidRPr="002F4FCC">
        <w:rPr>
          <w:rFonts w:ascii="Times New Roman" w:hAnsi="Times New Roman" w:cs="Times New Roman"/>
          <w:sz w:val="24"/>
          <w:szCs w:val="24"/>
        </w:rPr>
        <w:t>Orong</w:t>
      </w:r>
      <w:proofErr w:type="spellEnd"/>
      <w:r w:rsidRPr="002F4FCC">
        <w:rPr>
          <w:rFonts w:ascii="Times New Roman" w:hAnsi="Times New Roman" w:cs="Times New Roman"/>
          <w:sz w:val="24"/>
          <w:szCs w:val="24"/>
        </w:rPr>
        <w:t xml:space="preserve"> et al. (2020) focused on student attrition to examine the impact of student involvement, well-being, and retention. It was found that employing learning analytics can predict and actively prevent student attrition, and that the use </w:t>
      </w:r>
      <w:proofErr w:type="gramStart"/>
      <w:r w:rsidRPr="002F4FCC">
        <w:rPr>
          <w:rFonts w:ascii="Times New Roman" w:hAnsi="Times New Roman" w:cs="Times New Roman"/>
          <w:sz w:val="24"/>
          <w:szCs w:val="24"/>
        </w:rPr>
        <w:t>of  predictive</w:t>
      </w:r>
      <w:proofErr w:type="gramEnd"/>
      <w:r w:rsidRPr="002F4FCC">
        <w:rPr>
          <w:rFonts w:ascii="Times New Roman" w:hAnsi="Times New Roman" w:cs="Times New Roman"/>
          <w:sz w:val="24"/>
          <w:szCs w:val="24"/>
        </w:rPr>
        <w:t xml:space="preserve"> analytics can reveal the elements contributing to student attrition in Higher Education Institutions (HEIs).</w:t>
      </w:r>
    </w:p>
    <w:p w14:paraId="176211B7"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On the other hand, </w:t>
      </w:r>
      <w:proofErr w:type="spellStart"/>
      <w:r w:rsidRPr="002F4FCC">
        <w:rPr>
          <w:rFonts w:ascii="Times New Roman" w:hAnsi="Times New Roman" w:cs="Times New Roman"/>
          <w:sz w:val="24"/>
          <w:szCs w:val="24"/>
        </w:rPr>
        <w:t>Macarini</w:t>
      </w:r>
      <w:proofErr w:type="spellEnd"/>
      <w:r w:rsidRPr="002F4FCC">
        <w:rPr>
          <w:rFonts w:ascii="Times New Roman" w:hAnsi="Times New Roman" w:cs="Times New Roman"/>
          <w:sz w:val="24"/>
          <w:szCs w:val="24"/>
        </w:rPr>
        <w:t xml:space="preserve"> et al. (2019) propose incorporating machine learning to identify students likely to withdraw early. Then, Prieto L.P., </w:t>
      </w:r>
      <w:proofErr w:type="spellStart"/>
      <w:r w:rsidRPr="002F4FCC">
        <w:rPr>
          <w:rFonts w:ascii="Times New Roman" w:hAnsi="Times New Roman" w:cs="Times New Roman"/>
          <w:sz w:val="24"/>
          <w:szCs w:val="24"/>
        </w:rPr>
        <w:t>Pishtari</w:t>
      </w:r>
      <w:proofErr w:type="spellEnd"/>
      <w:r w:rsidRPr="002F4FCC">
        <w:rPr>
          <w:rFonts w:ascii="Times New Roman" w:hAnsi="Times New Roman" w:cs="Times New Roman"/>
          <w:sz w:val="24"/>
          <w:szCs w:val="24"/>
        </w:rPr>
        <w:t xml:space="preserve"> G., Dimitriadis Y., Rodríguez-Triana M.J., and Ley T. (2023) </w:t>
      </w:r>
      <w:proofErr w:type="gramStart"/>
      <w:r w:rsidRPr="002F4FCC">
        <w:rPr>
          <w:rFonts w:ascii="Times New Roman" w:hAnsi="Times New Roman" w:cs="Times New Roman"/>
          <w:sz w:val="24"/>
          <w:szCs w:val="24"/>
        </w:rPr>
        <w:t>used  analytics</w:t>
      </w:r>
      <w:proofErr w:type="gramEnd"/>
      <w:r w:rsidRPr="002F4FCC">
        <w:rPr>
          <w:rFonts w:ascii="Times New Roman" w:hAnsi="Times New Roman" w:cs="Times New Roman"/>
          <w:sz w:val="24"/>
          <w:szCs w:val="24"/>
        </w:rPr>
        <w:t xml:space="preserve"> to address high dropout rates in undergraduate algorithms and programming courses and discovered that students were leaving doctoral studies in large numbers due to mental health challenges.</w:t>
      </w:r>
    </w:p>
    <w:p w14:paraId="284E5666"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Krishnan et al. (2022) focus on the challenges posed by the COVID-19 pandemic and investigate how Learning Analytics (LA) could enhance Learning Management Systems (LMS) to improve the quality of online education. Lower et al. (2018) investigate students' learning behavior in e-learning environments by analyzing data from Learning Management Systems (LMS) and YouTube analytics. Pereira et al. (2020) propose a comprehensive approach to data collection in computer science (CS) classes and suggest using the CodeBench Online Judge to address challenges in studying student behavior. </w:t>
      </w:r>
    </w:p>
    <w:p w14:paraId="60555461"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Fahd et al. (2021) suggest incorporating machine learning models to analyze student interactions in blended learning environments. The goal is to detect and support students at risk of academic failure. </w:t>
      </w:r>
      <w:proofErr w:type="spellStart"/>
      <w:r w:rsidRPr="002F4FCC">
        <w:rPr>
          <w:rFonts w:ascii="Times New Roman" w:hAnsi="Times New Roman" w:cs="Times New Roman"/>
          <w:sz w:val="24"/>
          <w:szCs w:val="24"/>
        </w:rPr>
        <w:t>Herodotou</w:t>
      </w:r>
      <w:proofErr w:type="spellEnd"/>
      <w:r w:rsidRPr="002F4FCC">
        <w:rPr>
          <w:rFonts w:ascii="Times New Roman" w:hAnsi="Times New Roman" w:cs="Times New Roman"/>
          <w:sz w:val="24"/>
          <w:szCs w:val="24"/>
        </w:rPr>
        <w:t xml:space="preserve"> et al. (2020) explore the field of predictive learning analytics (PLAs), emphasizing its effectiveness in identifying higher-education students at risk and noting the lack of studies demonstrating successful PLA implementations.</w:t>
      </w:r>
    </w:p>
    <w:p w14:paraId="4492F876"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Nevertheless, Slade et al. (2023) shed light on a significant undercurrent of apprehension, highlighting a widespread absence of confidence in learning analytics. The lack of trust concerns privacy, prejudice, transparency, and the apparent commercialization of education. Examining fairness in more detail, Heiser et al. </w:t>
      </w:r>
      <w:r w:rsidRPr="002F4FCC">
        <w:rPr>
          <w:rFonts w:ascii="Times New Roman" w:hAnsi="Times New Roman" w:cs="Times New Roman"/>
          <w:sz w:val="24"/>
          <w:szCs w:val="24"/>
        </w:rPr>
        <w:lastRenderedPageBreak/>
        <w:t xml:space="preserve">(2023) analyze bias in the use of learner data in higher education institutions. The research emphasizes the varying levels of knowledge and understanding of data among the participants. Retes et al. (2021) highlight a gap in research on Learning Analytics Dashboards (LADs), particularly the insufficient attention to learners' needs. </w:t>
      </w:r>
      <w:proofErr w:type="spellStart"/>
      <w:r w:rsidRPr="002F4FCC">
        <w:rPr>
          <w:rFonts w:ascii="Times New Roman" w:hAnsi="Times New Roman" w:cs="Times New Roman"/>
          <w:sz w:val="24"/>
          <w:szCs w:val="24"/>
        </w:rPr>
        <w:t>Šmitienė</w:t>
      </w:r>
      <w:proofErr w:type="spellEnd"/>
      <w:r w:rsidRPr="002F4FCC">
        <w:rPr>
          <w:rFonts w:ascii="Times New Roman" w:hAnsi="Times New Roman" w:cs="Times New Roman"/>
          <w:sz w:val="24"/>
          <w:szCs w:val="24"/>
        </w:rPr>
        <w:t xml:space="preserve"> et al. (2021) provide valuable insights into the uncertainty and practical challenges of using learning analytics in selecting tools, using systems, and assessing the advantages for learners. Swauger and Kalir (2023) advocate for the abolition of learning analytics and emphasize the need for careful consideration and deliberate confusion in its development and implementation.</w:t>
      </w:r>
    </w:p>
    <w:p w14:paraId="5D81B636" w14:textId="63405DD3"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Furthermore, the scope of inquiry encompasses specific academic obstacles as well as more general difficulties encountered by educational institutions. In the study, </w:t>
      </w:r>
      <w:proofErr w:type="spellStart"/>
      <w:r w:rsidRPr="002F4FCC">
        <w:rPr>
          <w:rFonts w:ascii="Times New Roman" w:hAnsi="Times New Roman" w:cs="Times New Roman"/>
          <w:sz w:val="24"/>
          <w:szCs w:val="24"/>
        </w:rPr>
        <w:t>Arinto</w:t>
      </w:r>
      <w:proofErr w:type="spellEnd"/>
      <w:r w:rsidRPr="002F4FCC">
        <w:rPr>
          <w:rFonts w:ascii="Times New Roman" w:hAnsi="Times New Roman" w:cs="Times New Roman"/>
          <w:sz w:val="24"/>
          <w:szCs w:val="24"/>
        </w:rPr>
        <w:t xml:space="preserve"> (2016) investigates the challenges open universities face in the Philippines towards remote learning and the intricate nature of technology-enhanced learning. The author proposes integrating open learning principles, distance education teaching methodologies, and e-learning technologies. Bordoloi et al. (2021) examine the importance of online/blended learning during crises, investigating people's views and difficulties, specifically in the Indian setting during and after the COVID-19 pandemic. Nunes et al. (2019) address the difficulties in teacher education in Brazil and suggest using learning analytics as a practical approach to addressing low graduation rates in undergraduate teacher education programs. Sahni (2023) examines the impact of rapid advances in information technology on educational systems, specifically emphasizing student engagement in online learning environments. In addition, </w:t>
      </w:r>
      <w:proofErr w:type="spellStart"/>
      <w:r w:rsidRPr="002F4FCC">
        <w:rPr>
          <w:rFonts w:ascii="Times New Roman" w:hAnsi="Times New Roman" w:cs="Times New Roman"/>
          <w:sz w:val="24"/>
          <w:szCs w:val="24"/>
        </w:rPr>
        <w:t>Qazdar</w:t>
      </w:r>
      <w:proofErr w:type="spellEnd"/>
      <w:r w:rsidRPr="002F4FCC">
        <w:rPr>
          <w:rFonts w:ascii="Times New Roman" w:hAnsi="Times New Roman" w:cs="Times New Roman"/>
          <w:sz w:val="24"/>
          <w:szCs w:val="24"/>
        </w:rPr>
        <w:t xml:space="preserve"> et al. (2022) examine the rapid digitization of education and training amid the pandemic, acknowledging the widespread use of Learning Management Systems (LMS) and acknowledging shortcomings in monitoring instructional progress.</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 xml:space="preserve">It provides a complete understanding of the various and complex educational difficulties. The versatile uses of learning analytics are efficient in tackling issues such as student attrition, dropout rates, technical support, and the varied needs of learners. </w:t>
      </w:r>
    </w:p>
    <w:p w14:paraId="6BD85647" w14:textId="77777777" w:rsidR="00752540" w:rsidRDefault="00752540" w:rsidP="002F4FCC">
      <w:pPr>
        <w:spacing w:before="240" w:after="240" w:line="240" w:lineRule="auto"/>
        <w:jc w:val="both"/>
        <w:rPr>
          <w:rFonts w:ascii="Times New Roman" w:hAnsi="Times New Roman" w:cs="Times New Roman"/>
          <w:b/>
          <w:bCs/>
          <w:sz w:val="24"/>
          <w:szCs w:val="24"/>
        </w:rPr>
      </w:pPr>
    </w:p>
    <w:p w14:paraId="54380E08" w14:textId="75A23BAD"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3: Extending Learning Analytics to Diverse Educational Levels</w:t>
      </w:r>
    </w:p>
    <w:p w14:paraId="057F2FA3"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The study of learning analytics is a fundamental aspect of modern educational research, demonstrating its widespread impact across educational contexts and effectively addressing challenges in higher education, K-12 classrooms, and technology-enhanced learning environments. </w:t>
      </w:r>
    </w:p>
    <w:p w14:paraId="74BFFE37" w14:textId="4417E54C" w:rsid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Wiley, Dimitriadis, and Linn (2023) lead this discussion by introducing the Human-Centered Learning Analytics (HCLA) design technique, a versatile methodology that is easy to apply in K-12 classrooms.</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Liu et al. (2022) stress the importance of studying the learning paths of middle school students participating in digital learning games and how K -12 learning analytics can enhance educational experiences at fundamental levels by examining behavioral patterns.</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The study by Friedl, Ebner, and Ebner (2020) showcases the revolutionary capacity of learning analytics. The research adeptly enhances teacher-student interactions by integrating digital media into educational instruction. The development of a mobile application prototype, carefully built using learning analytics metrics provided by experts, demonstrates the effectiveness of learning analytics in creating customized solutions that meet the individual needs of each learner.</w:t>
      </w:r>
      <w:r w:rsidR="00752540">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Rudhumbu</w:t>
      </w:r>
      <w:proofErr w:type="spellEnd"/>
      <w:r w:rsidRPr="002F4FCC">
        <w:rPr>
          <w:rFonts w:ascii="Times New Roman" w:hAnsi="Times New Roman" w:cs="Times New Roman"/>
          <w:sz w:val="24"/>
          <w:szCs w:val="24"/>
        </w:rPr>
        <w:t xml:space="preserve"> (2022) explores the adoption of blended learning in Zimbabwean institutions using the Unified Theory of Acceptance and Use of Technology 2 (UTAUT2) and illuminates the readiness of higher education institutions for the Fourth Industrial Revolution (4IR), emphasizing the crucial role of Learning Management Systems (LMS) in this period of transformation.</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 xml:space="preserve">The worldwide adoption of learning analytics is a powerful solution to various educational challenges. Grimm et al. (2023) are the first to make significant progress in cultivating STEM identity by promoting learning analytics as a contemporary approach to customizing STEM learning environments. </w:t>
      </w:r>
      <w:proofErr w:type="spellStart"/>
      <w:r w:rsidRPr="002F4FCC">
        <w:rPr>
          <w:rFonts w:ascii="Times New Roman" w:hAnsi="Times New Roman" w:cs="Times New Roman"/>
          <w:sz w:val="24"/>
          <w:szCs w:val="24"/>
        </w:rPr>
        <w:t>Srimadhaven</w:t>
      </w:r>
      <w:proofErr w:type="spellEnd"/>
      <w:r w:rsidRPr="002F4FCC">
        <w:rPr>
          <w:rFonts w:ascii="Times New Roman" w:hAnsi="Times New Roman" w:cs="Times New Roman"/>
          <w:sz w:val="24"/>
          <w:szCs w:val="24"/>
        </w:rPr>
        <w:t xml:space="preserve"> et al. (2020) propose integrating Virtual Reality (VR) into higher education programming courses to improve teaching methods and increase student engagement through immersive experiences.</w:t>
      </w:r>
      <w:r w:rsidR="00752540">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Knobbout</w:t>
      </w:r>
      <w:proofErr w:type="spellEnd"/>
      <w:r w:rsidRPr="002F4FCC">
        <w:rPr>
          <w:rFonts w:ascii="Times New Roman" w:hAnsi="Times New Roman" w:cs="Times New Roman"/>
          <w:sz w:val="24"/>
          <w:szCs w:val="24"/>
        </w:rPr>
        <w:t xml:space="preserve"> et al. (2023) provide valuable insights on the low implementation of learning analytics in higher education institutions. The research elucidates the complex nature of this issue and underscores the importance of cultivating organizational capabilities for effective implementation. Rodriguez-Triana et al. (2021) focus on coordinating inquiry-based learning (IBL) using learning analytics. The research provides essential assistance to teachers and improves the structure of teaching.</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 xml:space="preserve">It emphasizes the extensive impact of learning analytics in many educational settings. Learning analytics is a powerful tool that effectively addresses challenges across many educational settings, </w:t>
      </w:r>
      <w:r w:rsidRPr="002F4FCC">
        <w:rPr>
          <w:rFonts w:ascii="Times New Roman" w:hAnsi="Times New Roman" w:cs="Times New Roman"/>
          <w:sz w:val="24"/>
          <w:szCs w:val="24"/>
        </w:rPr>
        <w:lastRenderedPageBreak/>
        <w:t>including K-12 classrooms, higher education, and technology-enhanced learning environments. Learning analytics is a powerful force transforming education's future by embracing various opinions, innovative methods, and a global outlook.</w:t>
      </w:r>
    </w:p>
    <w:p w14:paraId="63C45C17" w14:textId="77777777" w:rsidR="00752540" w:rsidRPr="002F4FCC" w:rsidRDefault="00752540" w:rsidP="002F4FCC">
      <w:pPr>
        <w:spacing w:before="240" w:after="240" w:line="240" w:lineRule="auto"/>
        <w:jc w:val="both"/>
        <w:rPr>
          <w:rFonts w:ascii="Times New Roman" w:hAnsi="Times New Roman" w:cs="Times New Roman"/>
          <w:sz w:val="24"/>
          <w:szCs w:val="24"/>
        </w:rPr>
      </w:pPr>
    </w:p>
    <w:p w14:paraId="04887A4C"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B. Learning Analytics Trends in Education</w:t>
      </w:r>
    </w:p>
    <w:p w14:paraId="02C861E5"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Learning analytics trends change with technology and pedagogy. Artificial intelligence, machine learning, and predictive modeling are crucial to the development and application of learning analytics in many educational settings (</w:t>
      </w:r>
      <w:proofErr w:type="spellStart"/>
      <w:r w:rsidRPr="002F4FCC">
        <w:rPr>
          <w:rFonts w:ascii="Times New Roman" w:hAnsi="Times New Roman" w:cs="Times New Roman"/>
          <w:sz w:val="24"/>
          <w:szCs w:val="24"/>
        </w:rPr>
        <w:t>Dyckhoff</w:t>
      </w:r>
      <w:proofErr w:type="spellEnd"/>
      <w:r w:rsidRPr="002F4FCC">
        <w:rPr>
          <w:rFonts w:ascii="Times New Roman" w:hAnsi="Times New Roman" w:cs="Times New Roman"/>
          <w:sz w:val="24"/>
          <w:szCs w:val="24"/>
        </w:rPr>
        <w:t xml:space="preserve"> et al., 2013). Educators, policymakers, and stakeholders must understand these tendencies to navigate the global digital education transformation. </w:t>
      </w:r>
    </w:p>
    <w:p w14:paraId="02355252" w14:textId="77777777" w:rsidR="00752540" w:rsidRDefault="00752540" w:rsidP="002F4FCC">
      <w:pPr>
        <w:spacing w:before="240" w:after="240" w:line="240" w:lineRule="auto"/>
        <w:jc w:val="both"/>
        <w:rPr>
          <w:rFonts w:ascii="Times New Roman" w:hAnsi="Times New Roman" w:cs="Times New Roman"/>
          <w:b/>
          <w:bCs/>
          <w:sz w:val="24"/>
          <w:szCs w:val="24"/>
        </w:rPr>
      </w:pPr>
    </w:p>
    <w:p w14:paraId="5C604F14" w14:textId="6572DA80"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1: Advancements in Machine Learning and Predictive Analytics</w:t>
      </w:r>
    </w:p>
    <w:p w14:paraId="75C697A5"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The investigation of progress in machine learning and predictive analytics in educational research demonstrates a praiseworthy attempt to utilize state-of-the-art technology for improved data analysis. The prevailing trend is the application of advanced algorithms, specifically Gradient Boosting Decision Trees (GBDT) and Predictive Learning Analytics (PLAs), to analyze massive datasets. Stamper and </w:t>
      </w:r>
      <w:proofErr w:type="spellStart"/>
      <w:r w:rsidRPr="002F4FCC">
        <w:rPr>
          <w:rFonts w:ascii="Times New Roman" w:hAnsi="Times New Roman" w:cs="Times New Roman"/>
          <w:sz w:val="24"/>
          <w:szCs w:val="24"/>
        </w:rPr>
        <w:t>Pardos</w:t>
      </w:r>
      <w:proofErr w:type="spellEnd"/>
      <w:r w:rsidRPr="002F4FCC">
        <w:rPr>
          <w:rFonts w:ascii="Times New Roman" w:hAnsi="Times New Roman" w:cs="Times New Roman"/>
          <w:sz w:val="24"/>
          <w:szCs w:val="24"/>
        </w:rPr>
        <w:t xml:space="preserve"> (2016) emphasize the importance of large datasets and competitions in advancing learning analytics, particularly for predicting student performance in Intelligent Tutoring Systems. On the other hand, </w:t>
      </w:r>
      <w:proofErr w:type="spellStart"/>
      <w:r w:rsidRPr="002F4FCC">
        <w:rPr>
          <w:rFonts w:ascii="Times New Roman" w:hAnsi="Times New Roman" w:cs="Times New Roman"/>
          <w:sz w:val="24"/>
          <w:szCs w:val="24"/>
        </w:rPr>
        <w:t>Herodotou</w:t>
      </w:r>
      <w:proofErr w:type="spellEnd"/>
      <w:r w:rsidRPr="002F4FCC">
        <w:rPr>
          <w:rFonts w:ascii="Times New Roman" w:hAnsi="Times New Roman" w:cs="Times New Roman"/>
          <w:sz w:val="24"/>
          <w:szCs w:val="24"/>
        </w:rPr>
        <w:t xml:space="preserve"> et al. (2020) examine the application of Predictive Learning Analytics (PLAs) to develop motivational interventions to improve student retention and completion rates, and present the Student Probabilities Model (SPM) as a predictive tool to guide these interventions.</w:t>
      </w:r>
    </w:p>
    <w:p w14:paraId="4D1BA89B" w14:textId="2BD4B7E3" w:rsidR="002F4FCC" w:rsidRPr="002F4FCC" w:rsidRDefault="002F4FCC" w:rsidP="002F4FCC">
      <w:p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Samngamjan</w:t>
      </w:r>
      <w:proofErr w:type="spellEnd"/>
      <w:r w:rsidRPr="002F4FCC">
        <w:rPr>
          <w:rFonts w:ascii="Times New Roman" w:hAnsi="Times New Roman" w:cs="Times New Roman"/>
          <w:sz w:val="24"/>
          <w:szCs w:val="24"/>
        </w:rPr>
        <w:t xml:space="preserve"> et al. (2021) make a valuable contribution by using diverse machine learning techniques to examine the factors that influence the development of computer programming skills in elementary school students. The research conducted by </w:t>
      </w:r>
      <w:proofErr w:type="spellStart"/>
      <w:r w:rsidRPr="002F4FCC">
        <w:rPr>
          <w:rFonts w:ascii="Times New Roman" w:hAnsi="Times New Roman" w:cs="Times New Roman"/>
          <w:sz w:val="24"/>
          <w:szCs w:val="24"/>
        </w:rPr>
        <w:t>Macarini</w:t>
      </w:r>
      <w:proofErr w:type="spellEnd"/>
      <w:r w:rsidRPr="002F4FCC">
        <w:rPr>
          <w:rFonts w:ascii="Times New Roman" w:hAnsi="Times New Roman" w:cs="Times New Roman"/>
          <w:sz w:val="24"/>
          <w:szCs w:val="24"/>
        </w:rPr>
        <w:t xml:space="preserve"> et al. (2019) offers, as an illustrative example, the use of machine learning methods to detect students likely to face difficulties in beginning courses, and recognizes the significance of comparative analysis in enhancing prediction accuracy by thoroughly examining the difficulties and constraints linked to these approaches. Fahd et al. (2021) examine the use of machine learning models to address student attrition in blended learning settings. Dindar et al. (2021) suggest using Gradient Boosting Decision Trees (GBDT) as the preferred strategy for forecasting university final exam results. The work conducted by Prieto et al. (2023) presents a novel approach that utilizes recent breakthroughs in machine learning and natural language processing to enhance PhD education. The focus on individualized learning analytics is groundbreaking. It emphasized the prevailing pattern of integrating machine learning and predictive analytics techniques in educational research.</w:t>
      </w:r>
    </w:p>
    <w:p w14:paraId="6F9EF332" w14:textId="77777777" w:rsidR="00752540" w:rsidRDefault="00752540" w:rsidP="002F4FCC">
      <w:pPr>
        <w:spacing w:before="240" w:after="240" w:line="240" w:lineRule="auto"/>
        <w:jc w:val="both"/>
        <w:rPr>
          <w:rFonts w:ascii="Times New Roman" w:hAnsi="Times New Roman" w:cs="Times New Roman"/>
          <w:b/>
          <w:bCs/>
          <w:sz w:val="24"/>
          <w:szCs w:val="24"/>
        </w:rPr>
      </w:pPr>
    </w:p>
    <w:p w14:paraId="39202BA9" w14:textId="52A3C3E4"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2: Integration of Learning Analytics into Game-Based Learning</w:t>
      </w:r>
    </w:p>
    <w:p w14:paraId="2237B4B5"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The theme examines the incorporation of learning analytics into game-based learning (GBL) environments, emphasizing a prominent pattern in current educational research. </w:t>
      </w:r>
    </w:p>
    <w:p w14:paraId="4E1C5414"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Liu, M., Cai, Y., Han, S., &amp; Shao, P. (2022) investigated the educational progressions of middle school students in a digital learning game and found out the positive relationships between tool use and performance indicators are informative, a more thorough examination of potential biases and limitations in assessing behavioral patterns and correlations across a diverse middle school population would enhance the study's credibility. Hence, Lu, W., Griffin, J., Sadler, T. D., Laffey, J., &amp; Goggins, S. P. (2023) have developed a specialized learning analytics system for a serious game, which is a significant contribution. However, it is essential to consider the ethical ramifications of incorporating learning analytics for treatments to facilitate a more comprehensive discourse. </w:t>
      </w:r>
    </w:p>
    <w:p w14:paraId="2302F904" w14:textId="59958D7E" w:rsidR="00752540"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lastRenderedPageBreak/>
        <w:t>Conversely, the study by Ramli ISM, Maat SM, and Khalid (2022) recognized the influence of the Fourth Industrial Revolution and the COVID-19 pandemic on the teaching and learning process and was concerned about the need for a more explicit discussion of the limitations and potential challenges of incorporating learning analytics into game-based learning in digital and remote settings. In addition, it would be advantageous for the study to include specific examples of how learning analytics precisely enhance learning outcomes. In addition, Cloude, E., Carpenter, D., Dever, D. A., Lester, J., &amp; Azevedo, R. (2021) highlight the need to employ learning analytics to support reflection in game-based learning settings, and it would be beneficial to conduct a more thorough investigation into how knowledge gained from learning analytics can enhance reflection and ultimately improve student learning outcomes.</w:t>
      </w:r>
      <w:r w:rsidR="00752540">
        <w:rPr>
          <w:rFonts w:ascii="Times New Roman" w:hAnsi="Times New Roman" w:cs="Times New Roman"/>
          <w:sz w:val="24"/>
          <w:szCs w:val="24"/>
        </w:rPr>
        <w:t xml:space="preserve"> </w:t>
      </w:r>
    </w:p>
    <w:p w14:paraId="59620FF6" w14:textId="77777777" w:rsidR="00752540" w:rsidRPr="002F4FCC" w:rsidRDefault="00752540" w:rsidP="002F4FCC">
      <w:pPr>
        <w:spacing w:before="240" w:after="240" w:line="240" w:lineRule="auto"/>
        <w:jc w:val="both"/>
        <w:rPr>
          <w:rFonts w:ascii="Times New Roman" w:hAnsi="Times New Roman" w:cs="Times New Roman"/>
          <w:sz w:val="24"/>
          <w:szCs w:val="24"/>
        </w:rPr>
      </w:pPr>
    </w:p>
    <w:p w14:paraId="445A07EE"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3: Development of Adaptive Learning Systems and Personalized Approaches</w:t>
      </w:r>
    </w:p>
    <w:p w14:paraId="4CEF099B"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theme offers insights into the growing trend toward the development of adaptive learning systems and individualized approaches driven by learning analytics.</w:t>
      </w:r>
    </w:p>
    <w:p w14:paraId="0950587A"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Prieto L.P., </w:t>
      </w:r>
      <w:proofErr w:type="spellStart"/>
      <w:r w:rsidRPr="002F4FCC">
        <w:rPr>
          <w:rFonts w:ascii="Times New Roman" w:hAnsi="Times New Roman" w:cs="Times New Roman"/>
          <w:sz w:val="24"/>
          <w:szCs w:val="24"/>
        </w:rPr>
        <w:t>Pishtari</w:t>
      </w:r>
      <w:proofErr w:type="spellEnd"/>
      <w:r w:rsidRPr="002F4FCC">
        <w:rPr>
          <w:rFonts w:ascii="Times New Roman" w:hAnsi="Times New Roman" w:cs="Times New Roman"/>
          <w:sz w:val="24"/>
          <w:szCs w:val="24"/>
        </w:rPr>
        <w:t xml:space="preserve"> G., Dimitriadis Y., Rodríguez-Triana M.J., and Ley T. (2023) make a substantial contribution by investigating advanced computational techniques for supporting individualized doctoral education through learning analytics. </w:t>
      </w:r>
      <w:proofErr w:type="spellStart"/>
      <w:r w:rsidRPr="002F4FCC">
        <w:rPr>
          <w:rFonts w:ascii="Times New Roman" w:hAnsi="Times New Roman" w:cs="Times New Roman"/>
          <w:sz w:val="24"/>
          <w:szCs w:val="24"/>
        </w:rPr>
        <w:t>Šmitienė</w:t>
      </w:r>
      <w:proofErr w:type="spellEnd"/>
      <w:r w:rsidRPr="002F4FCC">
        <w:rPr>
          <w:rFonts w:ascii="Times New Roman" w:hAnsi="Times New Roman" w:cs="Times New Roman"/>
          <w:sz w:val="24"/>
          <w:szCs w:val="24"/>
        </w:rPr>
        <w:t xml:space="preserve"> et al. (2021) emphasize the growing emphasis on learning analytics technologies in science and mathematics education. Retes et al. (2021) analyze specific attributes of Learning Analytics Dashboards (LADs) to contribute to the existing knowledge on the subject. Bordoloi et al. (2021) tackle the difficulties posed by the COVID-19 pandemic and the importance of online/blended learning systems. The research conducted by ÇAKIROĞLU and KAHYAR (2022), Yang et al. (2018), and </w:t>
      </w:r>
      <w:proofErr w:type="spellStart"/>
      <w:r w:rsidRPr="002F4FCC">
        <w:rPr>
          <w:rFonts w:ascii="Times New Roman" w:hAnsi="Times New Roman" w:cs="Times New Roman"/>
          <w:sz w:val="24"/>
          <w:szCs w:val="24"/>
        </w:rPr>
        <w:t>Markdy</w:t>
      </w:r>
      <w:proofErr w:type="spellEnd"/>
      <w:r w:rsidRPr="002F4FCC">
        <w:rPr>
          <w:rFonts w:ascii="Times New Roman" w:hAnsi="Times New Roman" w:cs="Times New Roman"/>
          <w:sz w:val="24"/>
          <w:szCs w:val="24"/>
        </w:rPr>
        <w:t xml:space="preserve"> Y. </w:t>
      </w:r>
      <w:proofErr w:type="spellStart"/>
      <w:r w:rsidRPr="002F4FCC">
        <w:rPr>
          <w:rFonts w:ascii="Times New Roman" w:hAnsi="Times New Roman" w:cs="Times New Roman"/>
          <w:sz w:val="24"/>
          <w:szCs w:val="24"/>
        </w:rPr>
        <w:t>Orong</w:t>
      </w:r>
      <w:proofErr w:type="spellEnd"/>
      <w:r w:rsidRPr="002F4FCC">
        <w:rPr>
          <w:rFonts w:ascii="Times New Roman" w:hAnsi="Times New Roman" w:cs="Times New Roman"/>
          <w:sz w:val="24"/>
          <w:szCs w:val="24"/>
        </w:rPr>
        <w:t xml:space="preserve"> et al. (2020) demonstrates a wide variety of approaches used in the field of learning analytics. </w:t>
      </w:r>
      <w:proofErr w:type="spellStart"/>
      <w:r w:rsidRPr="002F4FCC">
        <w:rPr>
          <w:rFonts w:ascii="Times New Roman" w:hAnsi="Times New Roman" w:cs="Times New Roman"/>
          <w:sz w:val="24"/>
          <w:szCs w:val="24"/>
        </w:rPr>
        <w:t>Chomunorwa</w:t>
      </w:r>
      <w:proofErr w:type="spellEnd"/>
      <w:r w:rsidRPr="002F4FCC">
        <w:rPr>
          <w:rFonts w:ascii="Times New Roman" w:hAnsi="Times New Roman" w:cs="Times New Roman"/>
          <w:sz w:val="24"/>
          <w:szCs w:val="24"/>
        </w:rPr>
        <w:t xml:space="preserve"> and van den Berg (2023) accurately highlight the growing reliance on learning analytics in education. </w:t>
      </w:r>
    </w:p>
    <w:p w14:paraId="589BE0B1" w14:textId="77777777" w:rsidR="002F4FCC" w:rsidRPr="002F4FCC" w:rsidRDefault="002F4FCC" w:rsidP="002F4FCC">
      <w:pPr>
        <w:spacing w:before="240" w:after="240" w:line="240" w:lineRule="auto"/>
        <w:jc w:val="both"/>
        <w:rPr>
          <w:rFonts w:ascii="Times New Roman" w:hAnsi="Times New Roman" w:cs="Times New Roman"/>
          <w:sz w:val="24"/>
          <w:szCs w:val="24"/>
        </w:rPr>
      </w:pPr>
    </w:p>
    <w:p w14:paraId="6F07D784"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C. Benefits of Learning Analytics in Education</w:t>
      </w:r>
    </w:p>
    <w:p w14:paraId="1AE3CE67"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Learning analytics provides several benefits beyond traditional assessments in education. It boosts student performance, adaptability, and institutional effectiveness (Picciano, 2012). This section explores the benefits of learning analytics and how it may change education, categorizing them into three overarching themes.</w:t>
      </w:r>
    </w:p>
    <w:p w14:paraId="254FF789" w14:textId="77777777" w:rsidR="00752540" w:rsidRDefault="00752540" w:rsidP="002F4FCC">
      <w:pPr>
        <w:spacing w:before="240" w:after="240" w:line="240" w:lineRule="auto"/>
        <w:jc w:val="both"/>
        <w:rPr>
          <w:rFonts w:ascii="Times New Roman" w:hAnsi="Times New Roman" w:cs="Times New Roman"/>
          <w:sz w:val="24"/>
          <w:szCs w:val="24"/>
        </w:rPr>
      </w:pPr>
    </w:p>
    <w:p w14:paraId="30720B2D" w14:textId="220B4482"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1: Enhanced Student Performance and Success.</w:t>
      </w:r>
    </w:p>
    <w:p w14:paraId="22239B4F"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Multiple studies emphasize the significant impact of learning analytics on enhancing student performance and promoting success. </w:t>
      </w:r>
    </w:p>
    <w:p w14:paraId="4B09F6FF"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For instance, Sahni (2023) explores a comprehensive comprehension of student involvement and achievement in the context of online education. According to the research by Ramli ISM, Maat SM, and Khalid (2022), learning math through digital games is more effective. The study also shows how learning analytics predict the effects of interventions on students' performance. Additionally, the 2016 study by Dong </w:t>
      </w:r>
      <w:proofErr w:type="spellStart"/>
      <w:r w:rsidRPr="002F4FCC">
        <w:rPr>
          <w:rFonts w:ascii="Times New Roman" w:hAnsi="Times New Roman" w:cs="Times New Roman"/>
          <w:sz w:val="24"/>
          <w:szCs w:val="24"/>
        </w:rPr>
        <w:t>Ryool</w:t>
      </w:r>
      <w:proofErr w:type="spellEnd"/>
      <w:r w:rsidRPr="002F4FCC">
        <w:rPr>
          <w:rFonts w:ascii="Times New Roman" w:hAnsi="Times New Roman" w:cs="Times New Roman"/>
          <w:sz w:val="24"/>
          <w:szCs w:val="24"/>
        </w:rPr>
        <w:t xml:space="preserve"> Kim, Jeong-Phil Hue, and Seung-Soo Shin examines the connection between student involvement and academic success. The study suggests that these findings can be applied to many topics and have implications for worldwide educational methods. </w:t>
      </w:r>
      <w:proofErr w:type="spellStart"/>
      <w:r w:rsidRPr="002F4FCC">
        <w:rPr>
          <w:rFonts w:ascii="Times New Roman" w:hAnsi="Times New Roman" w:cs="Times New Roman"/>
          <w:sz w:val="24"/>
          <w:szCs w:val="24"/>
        </w:rPr>
        <w:t>Dawam</w:t>
      </w:r>
      <w:proofErr w:type="spellEnd"/>
      <w:r w:rsidRPr="002F4FCC">
        <w:rPr>
          <w:rFonts w:ascii="Times New Roman" w:hAnsi="Times New Roman" w:cs="Times New Roman"/>
          <w:sz w:val="24"/>
          <w:szCs w:val="24"/>
        </w:rPr>
        <w:t xml:space="preserve"> Dwi </w:t>
      </w:r>
      <w:proofErr w:type="spellStart"/>
      <w:r w:rsidRPr="002F4FCC">
        <w:rPr>
          <w:rFonts w:ascii="Times New Roman" w:hAnsi="Times New Roman" w:cs="Times New Roman"/>
          <w:sz w:val="24"/>
          <w:szCs w:val="24"/>
        </w:rPr>
        <w:t>Jatmiko</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Suwawi</w:t>
      </w:r>
      <w:proofErr w:type="spellEnd"/>
      <w:r w:rsidRPr="002F4FCC">
        <w:rPr>
          <w:rFonts w:ascii="Times New Roman" w:hAnsi="Times New Roman" w:cs="Times New Roman"/>
          <w:sz w:val="24"/>
          <w:szCs w:val="24"/>
        </w:rPr>
        <w:t xml:space="preserve">, Hafizh Jihaad Husni, and Kusuma Ayu </w:t>
      </w:r>
      <w:proofErr w:type="spellStart"/>
      <w:r w:rsidRPr="002F4FCC">
        <w:rPr>
          <w:rFonts w:ascii="Times New Roman" w:hAnsi="Times New Roman" w:cs="Times New Roman"/>
          <w:sz w:val="24"/>
          <w:szCs w:val="24"/>
        </w:rPr>
        <w:t>Laksitowening</w:t>
      </w:r>
      <w:proofErr w:type="spellEnd"/>
      <w:r w:rsidRPr="002F4FCC">
        <w:rPr>
          <w:rFonts w:ascii="Times New Roman" w:hAnsi="Times New Roman" w:cs="Times New Roman"/>
          <w:sz w:val="24"/>
          <w:szCs w:val="24"/>
        </w:rPr>
        <w:t xml:space="preserve"> (2021) provide valuable insights into how increased access to cafes is associated with higher academic scores, indicating the effectiveness of this approach across several fields of study.</w:t>
      </w:r>
    </w:p>
    <w:p w14:paraId="5855718C"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In addition to academic accomplishments, </w:t>
      </w:r>
      <w:proofErr w:type="spellStart"/>
      <w:r w:rsidRPr="002F4FCC">
        <w:rPr>
          <w:rFonts w:ascii="Times New Roman" w:hAnsi="Times New Roman" w:cs="Times New Roman"/>
          <w:sz w:val="24"/>
          <w:szCs w:val="24"/>
        </w:rPr>
        <w:t>Markdy</w:t>
      </w:r>
      <w:proofErr w:type="spellEnd"/>
      <w:r w:rsidRPr="002F4FCC">
        <w:rPr>
          <w:rFonts w:ascii="Times New Roman" w:hAnsi="Times New Roman" w:cs="Times New Roman"/>
          <w:sz w:val="24"/>
          <w:szCs w:val="24"/>
        </w:rPr>
        <w:t xml:space="preserve"> Y. </w:t>
      </w:r>
      <w:proofErr w:type="spellStart"/>
      <w:r w:rsidRPr="002F4FCC">
        <w:rPr>
          <w:rFonts w:ascii="Times New Roman" w:hAnsi="Times New Roman" w:cs="Times New Roman"/>
          <w:sz w:val="24"/>
          <w:szCs w:val="24"/>
        </w:rPr>
        <w:t>Orong</w:t>
      </w:r>
      <w:proofErr w:type="spellEnd"/>
      <w:r w:rsidRPr="002F4FCC">
        <w:rPr>
          <w:rFonts w:ascii="Times New Roman" w:hAnsi="Times New Roman" w:cs="Times New Roman"/>
          <w:sz w:val="24"/>
          <w:szCs w:val="24"/>
        </w:rPr>
        <w:t xml:space="preserve"> and colleagues' (2020) study offers administrators valuable guidance on effectively addressing student attrition. Furthermore, it suggests improving retention rates and overall student success. The study by Yang et al. (2018) offers insight into how learning analytics </w:t>
      </w:r>
      <w:r w:rsidRPr="002F4FCC">
        <w:rPr>
          <w:rFonts w:ascii="Times New Roman" w:hAnsi="Times New Roman" w:cs="Times New Roman"/>
          <w:sz w:val="24"/>
          <w:szCs w:val="24"/>
        </w:rPr>
        <w:lastRenderedPageBreak/>
        <w:t xml:space="preserve">methodologies can precisely predict students' academic achievement. This research offers educators and institutions information to improve learning outcomes. Moreover, </w:t>
      </w:r>
      <w:proofErr w:type="spellStart"/>
      <w:r w:rsidRPr="002F4FCC">
        <w:rPr>
          <w:rFonts w:ascii="Times New Roman" w:hAnsi="Times New Roman" w:cs="Times New Roman"/>
          <w:sz w:val="24"/>
          <w:szCs w:val="24"/>
        </w:rPr>
        <w:t>Arinto's</w:t>
      </w:r>
      <w:proofErr w:type="spellEnd"/>
      <w:r w:rsidRPr="002F4FCC">
        <w:rPr>
          <w:rFonts w:ascii="Times New Roman" w:hAnsi="Times New Roman" w:cs="Times New Roman"/>
          <w:sz w:val="24"/>
          <w:szCs w:val="24"/>
        </w:rPr>
        <w:t xml:space="preserve"> (2016) research highlights the significance of early intervention and mentorship in a military academy context, demonstrating the versatility of learning analytics in many educational settings. </w:t>
      </w:r>
      <w:proofErr w:type="spellStart"/>
      <w:r w:rsidRPr="002F4FCC">
        <w:rPr>
          <w:rFonts w:ascii="Times New Roman" w:hAnsi="Times New Roman" w:cs="Times New Roman"/>
          <w:sz w:val="24"/>
          <w:szCs w:val="24"/>
        </w:rPr>
        <w:t>Rudhumbu</w:t>
      </w:r>
      <w:proofErr w:type="spellEnd"/>
      <w:r w:rsidRPr="002F4FCC">
        <w:rPr>
          <w:rFonts w:ascii="Times New Roman" w:hAnsi="Times New Roman" w:cs="Times New Roman"/>
          <w:sz w:val="24"/>
          <w:szCs w:val="24"/>
        </w:rPr>
        <w:t xml:space="preserve"> (2022) provides valuable insights into the determinants that impact students' acceptance of blended learning. The study offers guidance on practical measures universities can take to improve their information and communication technology (ICT) infrastructure and develop students' ICT skills.</w:t>
      </w:r>
    </w:p>
    <w:p w14:paraId="3BC5522E" w14:textId="07D8011D"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The studies conducted by </w:t>
      </w:r>
      <w:proofErr w:type="spellStart"/>
      <w:r w:rsidRPr="002F4FCC">
        <w:rPr>
          <w:rFonts w:ascii="Times New Roman" w:hAnsi="Times New Roman" w:cs="Times New Roman"/>
          <w:sz w:val="24"/>
          <w:szCs w:val="24"/>
        </w:rPr>
        <w:t>Jääskelä</w:t>
      </w:r>
      <w:proofErr w:type="spellEnd"/>
      <w:r w:rsidRPr="002F4FCC">
        <w:rPr>
          <w:rFonts w:ascii="Times New Roman" w:hAnsi="Times New Roman" w:cs="Times New Roman"/>
          <w:sz w:val="24"/>
          <w:szCs w:val="24"/>
        </w:rPr>
        <w:t xml:space="preserve"> et al. (2021), Reyes (2018), and Ramli, I. M., Maat, S. M., &amp; Khalid, F. (2022) focus on enhancing comprehension and constructing prediction models of the factors that impact student achievement. Brass et al. (2023) </w:t>
      </w:r>
      <w:proofErr w:type="gramStart"/>
      <w:r w:rsidRPr="002F4FCC">
        <w:rPr>
          <w:rFonts w:ascii="Times New Roman" w:hAnsi="Times New Roman" w:cs="Times New Roman"/>
          <w:sz w:val="24"/>
          <w:szCs w:val="24"/>
        </w:rPr>
        <w:t>present</w:t>
      </w:r>
      <w:proofErr w:type="gramEnd"/>
      <w:r w:rsidRPr="002F4FCC">
        <w:rPr>
          <w:rFonts w:ascii="Times New Roman" w:hAnsi="Times New Roman" w:cs="Times New Roman"/>
          <w:sz w:val="24"/>
          <w:szCs w:val="24"/>
        </w:rPr>
        <w:t xml:space="preserve"> a metacognitive paradigm that cultivates career self-efficacy in students, providing them with essential abilities for career success. The study by </w:t>
      </w:r>
      <w:proofErr w:type="spellStart"/>
      <w:r w:rsidRPr="002F4FCC">
        <w:rPr>
          <w:rFonts w:ascii="Times New Roman" w:hAnsi="Times New Roman" w:cs="Times New Roman"/>
          <w:sz w:val="24"/>
          <w:szCs w:val="24"/>
        </w:rPr>
        <w:t>Qazdar</w:t>
      </w:r>
      <w:proofErr w:type="spellEnd"/>
      <w:r w:rsidRPr="002F4FCC">
        <w:rPr>
          <w:rFonts w:ascii="Times New Roman" w:hAnsi="Times New Roman" w:cs="Times New Roman"/>
          <w:sz w:val="24"/>
          <w:szCs w:val="24"/>
        </w:rPr>
        <w:t xml:space="preserve"> et al. (2022) elucidates the targeted use of learning analytics to enhance student success rates and overall learning effectiveness. Liu et al. (2022) offer valuable insights into students' navigation patterns and the factors that contribute to their success. Chango, Cerezo, and Romero (2021) investigate the integration of several sources and modes of data to forecast academic achievement in university courses that combine online and in-person learning. </w:t>
      </w:r>
      <w:proofErr w:type="spellStart"/>
      <w:r w:rsidRPr="002F4FCC">
        <w:rPr>
          <w:rFonts w:ascii="Times New Roman" w:hAnsi="Times New Roman" w:cs="Times New Roman"/>
          <w:sz w:val="24"/>
          <w:szCs w:val="24"/>
        </w:rPr>
        <w:t>Herodotou</w:t>
      </w:r>
      <w:proofErr w:type="spellEnd"/>
      <w:r w:rsidRPr="002F4FCC">
        <w:rPr>
          <w:rFonts w:ascii="Times New Roman" w:hAnsi="Times New Roman" w:cs="Times New Roman"/>
          <w:sz w:val="24"/>
          <w:szCs w:val="24"/>
        </w:rPr>
        <w:t xml:space="preserve"> et al. (2020) use effective interventions rooted in PLAs to enhance student retention. </w:t>
      </w:r>
      <w:proofErr w:type="spellStart"/>
      <w:r w:rsidRPr="002F4FCC">
        <w:rPr>
          <w:rFonts w:ascii="Times New Roman" w:hAnsi="Times New Roman" w:cs="Times New Roman"/>
          <w:sz w:val="24"/>
          <w:szCs w:val="24"/>
        </w:rPr>
        <w:t>Srimadhaven</w:t>
      </w:r>
      <w:proofErr w:type="spellEnd"/>
      <w:r w:rsidRPr="002F4FCC">
        <w:rPr>
          <w:rFonts w:ascii="Times New Roman" w:hAnsi="Times New Roman" w:cs="Times New Roman"/>
          <w:sz w:val="24"/>
          <w:szCs w:val="24"/>
        </w:rPr>
        <w:t xml:space="preserve"> et al. (2020) demonstrate the capabilities of mobile virtual reality games to increase student involvement. These games engage them in dynamic and demanding </w:t>
      </w:r>
      <w:proofErr w:type="spellStart"/>
      <w:proofErr w:type="gramStart"/>
      <w:r w:rsidRPr="002F4FCC">
        <w:rPr>
          <w:rFonts w:ascii="Times New Roman" w:hAnsi="Times New Roman" w:cs="Times New Roman"/>
          <w:sz w:val="24"/>
          <w:szCs w:val="24"/>
        </w:rPr>
        <w:t>tasks.It</w:t>
      </w:r>
      <w:proofErr w:type="spellEnd"/>
      <w:proofErr w:type="gramEnd"/>
      <w:r w:rsidRPr="002F4FCC">
        <w:rPr>
          <w:rFonts w:ascii="Times New Roman" w:hAnsi="Times New Roman" w:cs="Times New Roman"/>
          <w:sz w:val="24"/>
          <w:szCs w:val="24"/>
        </w:rPr>
        <w:t xml:space="preserve"> presents a wide array of research that provides a detailed understanding of interventions, methods, and techniques that all contribute to the primary goal of improving student performance and achievement. </w:t>
      </w:r>
    </w:p>
    <w:p w14:paraId="1BEE8C4D"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2. Data-Informed Decision-Making for Educators and Administrators</w:t>
      </w:r>
    </w:p>
    <w:p w14:paraId="2989146E"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Learning analytics is a powerful educational tool that provides educators and administrators with vital information to guide decision-making. This theme explores how learning analytics can help guide interventions, allocate resources, and improve educational practices overall. Learning analytics uses predictive models and data-driven strategies to anticipate student needs and proactively customize interventions. </w:t>
      </w:r>
    </w:p>
    <w:p w14:paraId="0AE18B1E"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Lu et al. (2023) and Liu et al. (2022) demonstrate the usefulness of the theme by introducing indicators that instructors can use to intervene based on student progress, providing empirical evidence that supports integrating learning analytics into game-based learning practices in K-12 education, and emphasizing the concrete results obtained by using data wisely. </w:t>
      </w:r>
      <w:proofErr w:type="spellStart"/>
      <w:r w:rsidRPr="002F4FCC">
        <w:rPr>
          <w:rFonts w:ascii="Times New Roman" w:hAnsi="Times New Roman" w:cs="Times New Roman"/>
          <w:sz w:val="24"/>
          <w:szCs w:val="24"/>
        </w:rPr>
        <w:t>Blikstein</w:t>
      </w:r>
      <w:proofErr w:type="spellEnd"/>
      <w:r w:rsidRPr="002F4FCC">
        <w:rPr>
          <w:rFonts w:ascii="Times New Roman" w:hAnsi="Times New Roman" w:cs="Times New Roman"/>
          <w:sz w:val="24"/>
          <w:szCs w:val="24"/>
        </w:rPr>
        <w:t xml:space="preserve"> and Worsley (2016) investigate the use of multimodal learning analytics in intricate and open-ended settings, expanding the range of educational uses, and show that learning analytics goes beyond conventional online courses and cognitive tutors.</w:t>
      </w:r>
    </w:p>
    <w:p w14:paraId="09A2B87F"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Grimm et al.'s (2023) theoretical framework highlights the importance of policy informatics and demonstrates how learning analytics inform political decision-making in STEM education, and emphasizes the tool's impact on policy and its role in ensuring fair opportunities to form STEM identity. The study conducted by Bordoloi et al. (2021) highlights the significance of learning analytics as a crucial solution in crises, emphasizes its role in improving access to educational resources, and demonstrates its transformative effect in challenging circumstances.</w:t>
      </w:r>
    </w:p>
    <w:p w14:paraId="428C9543"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The study conducted by </w:t>
      </w:r>
      <w:proofErr w:type="spellStart"/>
      <w:r w:rsidRPr="002F4FCC">
        <w:rPr>
          <w:rFonts w:ascii="Times New Roman" w:hAnsi="Times New Roman" w:cs="Times New Roman"/>
          <w:sz w:val="24"/>
          <w:szCs w:val="24"/>
        </w:rPr>
        <w:t>Šmitienė</w:t>
      </w:r>
      <w:proofErr w:type="spellEnd"/>
      <w:r w:rsidRPr="002F4FCC">
        <w:rPr>
          <w:rFonts w:ascii="Times New Roman" w:hAnsi="Times New Roman" w:cs="Times New Roman"/>
          <w:sz w:val="24"/>
          <w:szCs w:val="24"/>
        </w:rPr>
        <w:t xml:space="preserve"> et al. (2021) examines the capacity of learning analytics to detect deficiencies, customize instruction, and stimulate students' intellectual and emotional involvement, and presents a sophisticated method for cultivating a dynamic, tailored learning environment. Slade et al. (2023) and Friedl et al. (2020) investigate the concept of trust and user experience in the context of learning analytics and found that it gives a more comprehensive understanding of trust in this field and emphasizes the importance of a pleasant user experience in driving further advancements and adoption in educational environments.</w:t>
      </w:r>
    </w:p>
    <w:p w14:paraId="0C5F75BE" w14:textId="04AF6DCF"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The HCLA design approach by Wiley et al. (2023) achieves a harmonious balance between contextual appropriateness and scalability in learning analytics dashboards, efficiently serving a wide range of K-12 educational settings and helping teachers meet students' learning needs. Heiser et al.'s (2023) analysis highlights the significance of fairness, openness, and responsibility in implementing proactive strategies in higher education institutions. The research underlines the need for stakeholder participation and ongoing enhancement. </w:t>
      </w:r>
      <w:proofErr w:type="gramStart"/>
      <w:r w:rsidRPr="002F4FCC">
        <w:rPr>
          <w:rFonts w:ascii="Times New Roman" w:hAnsi="Times New Roman" w:cs="Times New Roman"/>
          <w:sz w:val="24"/>
          <w:szCs w:val="24"/>
        </w:rPr>
        <w:lastRenderedPageBreak/>
        <w:t>Moreover,  incorporates</w:t>
      </w:r>
      <w:proofErr w:type="gramEnd"/>
      <w:r w:rsidRPr="002F4FCC">
        <w:rPr>
          <w:rFonts w:ascii="Times New Roman" w:hAnsi="Times New Roman" w:cs="Times New Roman"/>
          <w:sz w:val="24"/>
          <w:szCs w:val="24"/>
        </w:rPr>
        <w:t xml:space="preserve"> innovative teaching strategies, such as </w:t>
      </w:r>
      <w:proofErr w:type="spellStart"/>
      <w:r w:rsidRPr="002F4FCC">
        <w:rPr>
          <w:rFonts w:ascii="Times New Roman" w:hAnsi="Times New Roman" w:cs="Times New Roman"/>
          <w:sz w:val="24"/>
          <w:szCs w:val="24"/>
        </w:rPr>
        <w:t>Srimadhaven</w:t>
      </w:r>
      <w:proofErr w:type="spellEnd"/>
      <w:r w:rsidRPr="002F4FCC">
        <w:rPr>
          <w:rFonts w:ascii="Times New Roman" w:hAnsi="Times New Roman" w:cs="Times New Roman"/>
          <w:sz w:val="24"/>
          <w:szCs w:val="24"/>
        </w:rPr>
        <w:t xml:space="preserve"> et al.'s (2020) use of virtual reality in programming courses and Ramli et al.'s (2022) use of learning analytics in game-based learning. Swauger and Kalir (2023) propose using equity-oriented LA design and speculative approaches to create more fair and unbiased educational futures. It contributes to a progressive narrative in data-informed decision-making by emphasizing the importance of social justice, learner autonomy, and rethinking language arts as a tool for learning and emancipation. It emphasizes that learning analytics is not merely a tool but a powerful force reshaping educational methods, policies, and experiences to create a fairer, student-centered future.</w:t>
      </w:r>
    </w:p>
    <w:p w14:paraId="4534AA21" w14:textId="77777777" w:rsidR="002F4FCC" w:rsidRPr="002F4FCC" w:rsidRDefault="002F4FCC" w:rsidP="002F4FCC">
      <w:pPr>
        <w:spacing w:before="240" w:after="240" w:line="240" w:lineRule="auto"/>
        <w:jc w:val="both"/>
        <w:rPr>
          <w:rFonts w:ascii="Times New Roman" w:hAnsi="Times New Roman" w:cs="Times New Roman"/>
          <w:sz w:val="24"/>
          <w:szCs w:val="24"/>
        </w:rPr>
      </w:pPr>
    </w:p>
    <w:p w14:paraId="106F7EFF"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3: Tailored and Proactive Educational Support</w:t>
      </w:r>
    </w:p>
    <w:p w14:paraId="2067A94C"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theme explores the profound influence of learning analytics in delivering tailored, proactive assistance to students, effectively addressing their unique requirements and obstacles.</w:t>
      </w:r>
    </w:p>
    <w:p w14:paraId="43D685FA"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Multiple studies, including Nunes et al. (2019), highlight the potential to identify at-risk students early, enabling timely interventions to enhance completion rates in teacher education programs. Brass et al. (2023) </w:t>
      </w:r>
      <w:proofErr w:type="gramStart"/>
      <w:r w:rsidRPr="002F4FCC">
        <w:rPr>
          <w:rFonts w:ascii="Times New Roman" w:hAnsi="Times New Roman" w:cs="Times New Roman"/>
          <w:sz w:val="24"/>
          <w:szCs w:val="24"/>
        </w:rPr>
        <w:t>expand</w:t>
      </w:r>
      <w:proofErr w:type="gramEnd"/>
      <w:r w:rsidRPr="002F4FCC">
        <w:rPr>
          <w:rFonts w:ascii="Times New Roman" w:hAnsi="Times New Roman" w:cs="Times New Roman"/>
          <w:sz w:val="24"/>
          <w:szCs w:val="24"/>
        </w:rPr>
        <w:t xml:space="preserve"> the application of learning analytics to career development by identifying particular cognitive and affective variables to provide individualized insights. The studies by Lu et al. (2018) and Zhou et al. (2014) demonstrate the effectiveness of learning analytics in forecasting academic achievement and delivering immediate analytical outcomes, emphasizing its adaptability for personalized data analysis.</w:t>
      </w:r>
    </w:p>
    <w:p w14:paraId="17DE9899"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Grimm et al. (2023) elucidate the significance of responsible learning analytics in guaranteeing equitable opportunities for forming STEM identity, specifically for marginalized students. Çakiroğlu and </w:t>
      </w:r>
      <w:proofErr w:type="spellStart"/>
      <w:r w:rsidRPr="002F4FCC">
        <w:rPr>
          <w:rFonts w:ascii="Times New Roman" w:hAnsi="Times New Roman" w:cs="Times New Roman"/>
          <w:sz w:val="24"/>
          <w:szCs w:val="24"/>
        </w:rPr>
        <w:t>Kahyar</w:t>
      </w:r>
      <w:proofErr w:type="spellEnd"/>
      <w:r w:rsidRPr="002F4FCC">
        <w:rPr>
          <w:rFonts w:ascii="Times New Roman" w:hAnsi="Times New Roman" w:cs="Times New Roman"/>
          <w:sz w:val="24"/>
          <w:szCs w:val="24"/>
        </w:rPr>
        <w:t xml:space="preserve"> (2022) analyze the cognitive presence and interaction patterns, suggesting developing a support system that considers learner traits and academic habits.</w:t>
      </w:r>
    </w:p>
    <w:p w14:paraId="5190D1B7"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Research conducted by Ramli et al. (2022) and Friedl et al. (2020) confirms the importance and involvement of learning analytics-integrated apps, highlighting the significance of personalized learning experiences. In this study, Fahd et al. (2021) utilize machine learning algorithms to detect students who are at risk, showcasing the ability of these algorithms to improve academic performance by providing timely interventions.</w:t>
      </w:r>
    </w:p>
    <w:p w14:paraId="3BCA32CC" w14:textId="77777777" w:rsidR="002F4FCC" w:rsidRPr="002F4FCC" w:rsidRDefault="002F4FCC" w:rsidP="002F4FCC">
      <w:p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Jääskelä</w:t>
      </w:r>
      <w:proofErr w:type="spellEnd"/>
      <w:r w:rsidRPr="002F4FCC">
        <w:rPr>
          <w:rFonts w:ascii="Times New Roman" w:hAnsi="Times New Roman" w:cs="Times New Roman"/>
          <w:sz w:val="24"/>
          <w:szCs w:val="24"/>
        </w:rPr>
        <w:t xml:space="preserve"> et al. (2021) suggest a student assistance system that relies on learner characteristics, whereas </w:t>
      </w:r>
      <w:proofErr w:type="spellStart"/>
      <w:r w:rsidRPr="002F4FCC">
        <w:rPr>
          <w:rFonts w:ascii="Times New Roman" w:hAnsi="Times New Roman" w:cs="Times New Roman"/>
          <w:sz w:val="24"/>
          <w:szCs w:val="24"/>
        </w:rPr>
        <w:t>Srimadhaven</w:t>
      </w:r>
      <w:proofErr w:type="spellEnd"/>
      <w:r w:rsidRPr="002F4FCC">
        <w:rPr>
          <w:rFonts w:ascii="Times New Roman" w:hAnsi="Times New Roman" w:cs="Times New Roman"/>
          <w:sz w:val="24"/>
          <w:szCs w:val="24"/>
        </w:rPr>
        <w:t xml:space="preserve"> et al. (2020) utilize reinforcement learning methods to identify and assist slow learners. In his 2018 study, Reyes introduces a customized support system designed to optimize the academic achievements of students enrolled in the AA program.</w:t>
      </w:r>
    </w:p>
    <w:p w14:paraId="570B835D"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The studies conducted by </w:t>
      </w:r>
      <w:proofErr w:type="spellStart"/>
      <w:r w:rsidRPr="002F4FCC">
        <w:rPr>
          <w:rFonts w:ascii="Times New Roman" w:hAnsi="Times New Roman" w:cs="Times New Roman"/>
          <w:sz w:val="24"/>
          <w:szCs w:val="24"/>
        </w:rPr>
        <w:t>Chomunorwa</w:t>
      </w:r>
      <w:proofErr w:type="spellEnd"/>
      <w:r w:rsidRPr="002F4FCC">
        <w:rPr>
          <w:rFonts w:ascii="Times New Roman" w:hAnsi="Times New Roman" w:cs="Times New Roman"/>
          <w:sz w:val="24"/>
          <w:szCs w:val="24"/>
        </w:rPr>
        <w:t xml:space="preserve"> and van den Berg (2023), Prieto et al. (2023), and Retes et al. (2021) have broadened the focus by examining the preparedness of institutions, delivering individualized insights in doctorate education, and presenting tailored study recommendations using Learning Analytics Dashboards (LADs).</w:t>
      </w:r>
    </w:p>
    <w:p w14:paraId="6FBB7D05"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Stamper and </w:t>
      </w:r>
      <w:proofErr w:type="spellStart"/>
      <w:r w:rsidRPr="002F4FCC">
        <w:rPr>
          <w:rFonts w:ascii="Times New Roman" w:hAnsi="Times New Roman" w:cs="Times New Roman"/>
          <w:sz w:val="24"/>
          <w:szCs w:val="24"/>
        </w:rPr>
        <w:t>Pardos</w:t>
      </w:r>
      <w:proofErr w:type="spellEnd"/>
      <w:r w:rsidRPr="002F4FCC">
        <w:rPr>
          <w:rFonts w:ascii="Times New Roman" w:hAnsi="Times New Roman" w:cs="Times New Roman"/>
          <w:sz w:val="24"/>
          <w:szCs w:val="24"/>
        </w:rPr>
        <w:t xml:space="preserve"> (2016) highlight the need to make competition datasets more visible and cited, as this helps to create a lively community and promote the progress of educational data mining. Pereira et al. (2020) enhance understanding of student behavior in CS courses and offer practical insights for coaching students to improve learning performance.</w:t>
      </w:r>
    </w:p>
    <w:p w14:paraId="06B81AC9"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Lower et al. (2018) examine Learning Management Systems (LMS) and YouTube analytics data to provide educators with a better knowledge of student learning behavior and recommendations to increase student engagement in e-learning. </w:t>
      </w:r>
      <w:proofErr w:type="spellStart"/>
      <w:r w:rsidRPr="002F4FCC">
        <w:rPr>
          <w:rFonts w:ascii="Times New Roman" w:hAnsi="Times New Roman" w:cs="Times New Roman"/>
          <w:sz w:val="24"/>
          <w:szCs w:val="24"/>
        </w:rPr>
        <w:t>Arinto</w:t>
      </w:r>
      <w:proofErr w:type="spellEnd"/>
      <w:r w:rsidRPr="002F4FCC">
        <w:rPr>
          <w:rFonts w:ascii="Times New Roman" w:hAnsi="Times New Roman" w:cs="Times New Roman"/>
          <w:sz w:val="24"/>
          <w:szCs w:val="24"/>
        </w:rPr>
        <w:t xml:space="preserve"> (2016) highlights the need to implement timely intervention and mentorship programs within the context of a military academy.</w:t>
      </w:r>
    </w:p>
    <w:p w14:paraId="5FE84F22"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Queiroga et al. (2020) improve the capacity to promptly identify at-risk pupils by utilizing interaction data, especially when access to demographic data is limited. Jovanovic et al. (2021) suggest enhancing student support and assessment of learning progress by incorporating learning analytics into primary and secondary education methodologies.</w:t>
      </w:r>
    </w:p>
    <w:p w14:paraId="6E30BB71"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lastRenderedPageBreak/>
        <w:t>Moreover, the studies conducted by Chango et al. (2019) and Dindar et al. (2021) demonstrate enhanced predictive ability for students' academic performance and the early detection of students who need extra support. The studies around predicting students at risk of dropping out or failing. Sense et al. (2021) present evidence of enhanced accuracy in predicting exam performance, identifying early indicators for students at risk, providing customized feedback, and assessing the overall effectiveness of adaptive learning systems.</w:t>
      </w:r>
    </w:p>
    <w:p w14:paraId="5E93D410"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In Sahni's (2023) study, the author investigates the capacity of learning analytics to assist instructors in identifying at-risk students and providing prompt feedback. </w:t>
      </w:r>
      <w:proofErr w:type="spellStart"/>
      <w:r w:rsidRPr="002F4FCC">
        <w:rPr>
          <w:rFonts w:ascii="Times New Roman" w:hAnsi="Times New Roman" w:cs="Times New Roman"/>
          <w:sz w:val="24"/>
          <w:szCs w:val="24"/>
        </w:rPr>
        <w:t>Macarini</w:t>
      </w:r>
      <w:proofErr w:type="spellEnd"/>
      <w:r w:rsidRPr="002F4FCC">
        <w:rPr>
          <w:rFonts w:ascii="Times New Roman" w:hAnsi="Times New Roman" w:cs="Times New Roman"/>
          <w:sz w:val="24"/>
          <w:szCs w:val="24"/>
        </w:rPr>
        <w:t xml:space="preserve"> et al. (2019) identified crucial indicators to predict students at risk in programming classes. The research demonstrates that these at-risk students can be detected as early as the first week of the course using machine learning techniques. The study by </w:t>
      </w:r>
      <w:proofErr w:type="spellStart"/>
      <w:r w:rsidRPr="002F4FCC">
        <w:rPr>
          <w:rFonts w:ascii="Times New Roman" w:hAnsi="Times New Roman" w:cs="Times New Roman"/>
          <w:sz w:val="24"/>
          <w:szCs w:val="24"/>
        </w:rPr>
        <w:t>Samngamjan</w:t>
      </w:r>
      <w:proofErr w:type="spellEnd"/>
      <w:r w:rsidRPr="002F4FCC">
        <w:rPr>
          <w:rFonts w:ascii="Times New Roman" w:hAnsi="Times New Roman" w:cs="Times New Roman"/>
          <w:sz w:val="24"/>
          <w:szCs w:val="24"/>
        </w:rPr>
        <w:t xml:space="preserve"> et al. (2021) offers valuable insights into factors that affect learning outcomes. The research also utilizes machine learning techniques to provide precise predictions regarding gender and level of study. These predictions have the potential to assist in the development of individualized educational approaches.</w:t>
      </w:r>
    </w:p>
    <w:p w14:paraId="683B46F2"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wide range of ways in which learning analytics provides educational support including creating adaptive learning systems, early warning systems, and targeted interventions based on predictive analytics. It demonstrates the potential of learning analytics to revolutionize education by offering proactive and individualized interventions for students on different academic paths.</w:t>
      </w:r>
    </w:p>
    <w:p w14:paraId="0290A70E" w14:textId="77777777" w:rsidR="00E13EB7" w:rsidRDefault="00E13EB7" w:rsidP="002F4FCC">
      <w:pPr>
        <w:spacing w:before="240" w:after="240" w:line="240" w:lineRule="auto"/>
        <w:jc w:val="both"/>
        <w:rPr>
          <w:rFonts w:ascii="Times New Roman" w:hAnsi="Times New Roman" w:cs="Times New Roman"/>
          <w:b/>
          <w:bCs/>
          <w:sz w:val="28"/>
          <w:szCs w:val="28"/>
        </w:rPr>
      </w:pPr>
    </w:p>
    <w:p w14:paraId="451DA9A6" w14:textId="23DD79A6"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SUMMARY</w:t>
      </w:r>
    </w:p>
    <w:p w14:paraId="1E022930"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This paper explores the role of learning analytics in education, focusing on its challenges, global trends, and benefits. The primary research inquiry is to understand how learning analytics can effectively address educational challenges such as personalized learning and retention rates. The study also examines patterns in global education and trends in global learning analytics, focusing on the changing nature of learning analytics applications and their influence on teaching and learning methods.</w:t>
      </w:r>
    </w:p>
    <w:p w14:paraId="53F2CEC8"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systematic literature review used a thematic approach, which involved searching Google and ResearchGate for literature using keywords such as Learning Analytics, Education, Global, and High School. The review covered all scholarly, open-access, and relevant literature from 2013 to 2023. The selected articles were analyzed using inclusion and exclusion criteria, and the extracted data were analyzed to identify similarities and differences, discern patterns, and evaluate the caliber and technique of the contributions.</w:t>
      </w:r>
    </w:p>
    <w:p w14:paraId="24F3BF47"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literature search yielded approximately 306,000,000 results on Google and 6,669 on ResearchGate. The study examined 50 peer-reviewed scientific sources from credible journals, focusing on three research topics: Educational Obstacles, Learning Analytics Trends, and the Benefits of Learning Analytics in Education. The findings provide insights for policy-making and practice by exploring the field of learning analytics in education, tackling difficulties, monitoring trends, and leveraging its advantages.</w:t>
      </w:r>
    </w:p>
    <w:p w14:paraId="35FDBA7F"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review highlights the significance of learning analytics in predicting academic success and student learning trajectories. It discusses three main themes: addressing academic performance challenges, enhancing student engagement and well-being, and expanding learning analytics to diverse educational levels. Academic performance challenges involve predicting student performance, identifying factors influencing success, and tailoring interventions for at-risk students. Enhancing student engagement and well-being involves e-learning engagement, mental health risks, and early identification of at-risk students. The field's adaptability contributes to improved educational outcomes.</w:t>
      </w:r>
    </w:p>
    <w:p w14:paraId="61E85A59"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shift to online learning and the Fourth Industrial Revolution has necessitated innovative strategies to tackle student involvement, mental health issues, and reliance on learning analytics. Three main trends in learning analytics include advanced machine learning techniques, integrating learning analytics into game-based learning, and developing adaptive learning systems. These techniques analyze educational data, predict student performance, and understand educational environments. Adaptive learning systems use cognitive models to tailor educational experiences to individual learners.</w:t>
      </w:r>
    </w:p>
    <w:p w14:paraId="29DEFBB9"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lastRenderedPageBreak/>
        <w:t>The research explores the use of learning analytics across various educational settings and highlights their benefits, including improved student performance, data-informed decision-making, and personalized educational support. Benefits include early identification of at-risk students and the provision of personalized, motivational interventions. Data-driven strategies guide interventions, allocate resources effectively, and enhance educational practices. Integrating learning analytics into educational practices improves student outcomes, data-driven decision-making, and tailored learner support.</w:t>
      </w:r>
    </w:p>
    <w:p w14:paraId="6A6BB78E" w14:textId="77777777" w:rsidR="002F4FCC" w:rsidRPr="002F4FCC" w:rsidRDefault="002F4FCC" w:rsidP="002F4FCC">
      <w:pPr>
        <w:spacing w:before="240" w:after="240" w:line="240" w:lineRule="auto"/>
        <w:jc w:val="both"/>
        <w:rPr>
          <w:rFonts w:ascii="Times New Roman" w:hAnsi="Times New Roman" w:cs="Times New Roman"/>
          <w:sz w:val="24"/>
          <w:szCs w:val="24"/>
        </w:rPr>
      </w:pPr>
    </w:p>
    <w:p w14:paraId="416DAA23" w14:textId="77777777"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CONCLUSION</w:t>
      </w:r>
    </w:p>
    <w:p w14:paraId="2724DB9B"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review emphasizes the importance of learning analytics in education, particularly in predicting academic success and guiding student learning. It highlights three main themes: addressing academic performance challenges, enhancing student engagement, and expanding learning analytics across different educational levels. The shift to online learning and the Fourth Industrial Revolution necessitates innovative strategies, with learning analytics emerging as a crucial tool for addressing student involvement, mental health, and the evolving educational landscape. The research spans K-12 classrooms to higher education, highlighting benefits like enhanced performance, data-informed decision-making, and personalized educational support.</w:t>
      </w:r>
    </w:p>
    <w:p w14:paraId="24EAC6D6" w14:textId="02657E16"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Therefore, this review highlights the significant impact of learning analytics on student performance and achievement. It emphasizes the importance of early intervention, personalized strategies, and feedback mechanisms in enhancing academic success. The study also highlights the diverse uses of learning analytics, such as informing educators' decision-making, predictive modeling, and providing personalized educational support. It emphasizes the international effort to use learning analytics to improve student learning and achievements globally. The research provides insights into the challenges and opportunities of using learning analytics to enhance student learning and achievement.</w:t>
      </w:r>
    </w:p>
    <w:p w14:paraId="39894290" w14:textId="77777777" w:rsidR="00615EF1" w:rsidRPr="002F4FCC" w:rsidRDefault="00615EF1" w:rsidP="00615EF1">
      <w:pPr>
        <w:spacing w:before="240" w:after="240" w:line="240" w:lineRule="auto"/>
        <w:jc w:val="both"/>
        <w:rPr>
          <w:rFonts w:ascii="Times New Roman" w:hAnsi="Times New Roman" w:cs="Times New Roman"/>
          <w:sz w:val="24"/>
          <w:szCs w:val="24"/>
        </w:rPr>
      </w:pPr>
    </w:p>
    <w:p w14:paraId="6EC60809" w14:textId="77777777" w:rsidR="008930FE" w:rsidRPr="002F4FCC" w:rsidRDefault="008930FE" w:rsidP="00615EF1">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REFERENCES</w:t>
      </w:r>
    </w:p>
    <w:p w14:paraId="6DC9BC14" w14:textId="60F8C113"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Arinto</w:t>
      </w:r>
      <w:proofErr w:type="spellEnd"/>
      <w:r w:rsidRPr="002F4FCC">
        <w:rPr>
          <w:rFonts w:ascii="Times New Roman" w:hAnsi="Times New Roman" w:cs="Times New Roman"/>
          <w:sz w:val="24"/>
          <w:szCs w:val="24"/>
        </w:rPr>
        <w:t>, Patricia. (2016). Issues and Challenges in Open and Distance e-Learning: Perspectives from the Philippines. The International Review of Research in Open and Distributed Learning. 17. 10.19173/</w:t>
      </w:r>
      <w:proofErr w:type="gramStart"/>
      <w:r w:rsidRPr="002F4FCC">
        <w:rPr>
          <w:rFonts w:ascii="Times New Roman" w:hAnsi="Times New Roman" w:cs="Times New Roman"/>
          <w:sz w:val="24"/>
          <w:szCs w:val="24"/>
        </w:rPr>
        <w:t>irrodl.v</w:t>
      </w:r>
      <w:proofErr w:type="gramEnd"/>
      <w:r w:rsidRPr="002F4FCC">
        <w:rPr>
          <w:rFonts w:ascii="Times New Roman" w:hAnsi="Times New Roman" w:cs="Times New Roman"/>
          <w:sz w:val="24"/>
          <w:szCs w:val="24"/>
        </w:rPr>
        <w:t>17i2.1913.</w:t>
      </w:r>
    </w:p>
    <w:p w14:paraId="33361797" w14:textId="674442DC"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Blikstein</w:t>
      </w:r>
      <w:proofErr w:type="spellEnd"/>
      <w:r w:rsidRPr="002F4FCC">
        <w:rPr>
          <w:rFonts w:ascii="Times New Roman" w:hAnsi="Times New Roman" w:cs="Times New Roman"/>
          <w:sz w:val="24"/>
          <w:szCs w:val="24"/>
        </w:rPr>
        <w:t xml:space="preserve">, P &amp; Worsley, M (2016). Multimodal learning analytics and education data mining: Using computational technologies to measure complex learning tasks. Journal of Learning Analytics, 3(2), 220–238. </w:t>
      </w:r>
      <w:hyperlink r:id="rId8" w:history="1">
        <w:r w:rsidRPr="002F4FCC">
          <w:rPr>
            <w:rStyle w:val="Hyperlink"/>
            <w:rFonts w:ascii="Times New Roman" w:hAnsi="Times New Roman" w:cs="Times New Roman"/>
            <w:sz w:val="24"/>
            <w:szCs w:val="24"/>
          </w:rPr>
          <w:t>http://dx.doi.org/10.18608/jla.2016.32.11</w:t>
        </w:r>
      </w:hyperlink>
    </w:p>
    <w:p w14:paraId="087760E4" w14:textId="483BDCEC"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Bordoloi, R. et al. (2021). Perception towards online/blended learning during the Covid-19 pandemic: academic analytics in the Indian context. Asian Association of Open Universities Journal. Vol. 16 No. 1, pp. 41-60. DOI 10.1108/AAOUJ-09-2020-0079 </w:t>
      </w:r>
      <w:hyperlink r:id="rId9" w:history="1">
        <w:r w:rsidRPr="002F4FCC">
          <w:rPr>
            <w:rStyle w:val="Hyperlink"/>
            <w:rFonts w:ascii="Times New Roman" w:hAnsi="Times New Roman" w:cs="Times New Roman"/>
            <w:sz w:val="24"/>
            <w:szCs w:val="24"/>
          </w:rPr>
          <w:t>https://www.emerald.com/insight/2414-6994.htm</w:t>
        </w:r>
      </w:hyperlink>
    </w:p>
    <w:p w14:paraId="5945B5A4" w14:textId="3344852A"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Brass T, Kennedy J, Gabriel F, Neill B, Devis D and Leonard SN (2023) Learning analytics for lifelong career development: a framework to support sustainable formative assessment and self-reflection in programs developing career self-efficacy. Front. </w:t>
      </w:r>
      <w:proofErr w:type="spellStart"/>
      <w:r w:rsidRPr="002F4FCC">
        <w:rPr>
          <w:rFonts w:ascii="Times New Roman" w:hAnsi="Times New Roman" w:cs="Times New Roman"/>
          <w:sz w:val="24"/>
          <w:szCs w:val="24"/>
        </w:rPr>
        <w:t>Artif</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Intell</w:t>
      </w:r>
      <w:proofErr w:type="spellEnd"/>
      <w:r w:rsidRPr="002F4FCC">
        <w:rPr>
          <w:rFonts w:ascii="Times New Roman" w:hAnsi="Times New Roman" w:cs="Times New Roman"/>
          <w:sz w:val="24"/>
          <w:szCs w:val="24"/>
        </w:rPr>
        <w:t xml:space="preserve">. 6:1173099. </w:t>
      </w:r>
      <w:proofErr w:type="spellStart"/>
      <w:r w:rsidRPr="002F4FCC">
        <w:rPr>
          <w:rFonts w:ascii="Times New Roman" w:hAnsi="Times New Roman" w:cs="Times New Roman"/>
          <w:sz w:val="24"/>
          <w:szCs w:val="24"/>
        </w:rPr>
        <w:t>doi</w:t>
      </w:r>
      <w:proofErr w:type="spellEnd"/>
      <w:r w:rsidRPr="002F4FCC">
        <w:rPr>
          <w:rFonts w:ascii="Times New Roman" w:hAnsi="Times New Roman" w:cs="Times New Roman"/>
          <w:sz w:val="24"/>
          <w:szCs w:val="24"/>
        </w:rPr>
        <w:t>: 10.3389/frai.2023.1173099</w:t>
      </w:r>
    </w:p>
    <w:p w14:paraId="23785FEB" w14:textId="5A2F127A"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ÇAKIROĞLU, Ü., KAHYAR, S. Modelling online community constructs through interaction data: A learning analytics-based Approach. Educ Inf Technol 27, 8311–8328 (2022). </w:t>
      </w:r>
      <w:hyperlink r:id="rId10" w:history="1">
        <w:r w:rsidRPr="002F4FCC">
          <w:rPr>
            <w:rStyle w:val="Hyperlink"/>
            <w:rFonts w:ascii="Times New Roman" w:hAnsi="Times New Roman" w:cs="Times New Roman"/>
            <w:sz w:val="24"/>
            <w:szCs w:val="24"/>
          </w:rPr>
          <w:t>https://doi.org/10.1007/s10639-022-10950-8</w:t>
        </w:r>
      </w:hyperlink>
    </w:p>
    <w:p w14:paraId="346687EE" w14:textId="2435523C"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Chango, W., Cerezo, R., &amp; Romero, C. (2019). Predicting the academic performance of university students from multi-sources data in blended learning. Proceedings of the Second International Conference on Data Science, E-Learning and Information Systems. </w:t>
      </w:r>
      <w:hyperlink r:id="rId11" w:history="1">
        <w:r w:rsidRPr="002F4FCC">
          <w:rPr>
            <w:rStyle w:val="Hyperlink"/>
            <w:rFonts w:ascii="Times New Roman" w:hAnsi="Times New Roman" w:cs="Times New Roman"/>
            <w:sz w:val="24"/>
            <w:szCs w:val="24"/>
          </w:rPr>
          <w:t>https://doi.org/10.1145/3368691.3368694</w:t>
        </w:r>
      </w:hyperlink>
    </w:p>
    <w:p w14:paraId="3F27C6E3" w14:textId="1D114A8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Chango, W., Cerezo, R., &amp; Romero, C. (2021). Multi-source and multimodal data fusion for predicting academic performance in blended learning university courses. </w:t>
      </w:r>
      <w:proofErr w:type="spellStart"/>
      <w:r w:rsidRPr="002F4FCC">
        <w:rPr>
          <w:rFonts w:ascii="Times New Roman" w:hAnsi="Times New Roman" w:cs="Times New Roman"/>
          <w:sz w:val="24"/>
          <w:szCs w:val="24"/>
        </w:rPr>
        <w:t>Comput</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Electr</w:t>
      </w:r>
      <w:proofErr w:type="spellEnd"/>
      <w:r w:rsidRPr="002F4FCC">
        <w:rPr>
          <w:rFonts w:ascii="Times New Roman" w:hAnsi="Times New Roman" w:cs="Times New Roman"/>
          <w:sz w:val="24"/>
          <w:szCs w:val="24"/>
        </w:rPr>
        <w:t xml:space="preserve">. Eng., 89, 106908. </w:t>
      </w:r>
      <w:hyperlink r:id="rId12" w:history="1">
        <w:r w:rsidRPr="002F4FCC">
          <w:rPr>
            <w:rStyle w:val="Hyperlink"/>
            <w:rFonts w:ascii="Times New Roman" w:hAnsi="Times New Roman" w:cs="Times New Roman"/>
            <w:sz w:val="24"/>
            <w:szCs w:val="24"/>
          </w:rPr>
          <w:t>https://doi.org/10.1016/j.compeleceng.2020.106908</w:t>
        </w:r>
      </w:hyperlink>
      <w:r w:rsidRPr="002F4FCC">
        <w:rPr>
          <w:rFonts w:ascii="Times New Roman" w:hAnsi="Times New Roman" w:cs="Times New Roman"/>
          <w:sz w:val="24"/>
          <w:szCs w:val="24"/>
        </w:rPr>
        <w:t>.</w:t>
      </w:r>
    </w:p>
    <w:p w14:paraId="1ADAFC46" w14:textId="3ECF1F7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lastRenderedPageBreak/>
        <w:t xml:space="preserve">Cloude, E., Carpenter, D., Dever, D. A., Lester, J., &amp; Azevedo, R. (2021). Game-Based Learning Analytics for Supporting Adolescents' Reflection. Journal of Learning Analytics, 8(2), 51-72. </w:t>
      </w:r>
      <w:hyperlink r:id="rId13" w:history="1">
        <w:r w:rsidRPr="002F4FCC">
          <w:rPr>
            <w:rStyle w:val="Hyperlink"/>
            <w:rFonts w:ascii="Times New Roman" w:hAnsi="Times New Roman" w:cs="Times New Roman"/>
            <w:sz w:val="24"/>
            <w:szCs w:val="24"/>
          </w:rPr>
          <w:t>https://doi.org/10.18608/jla.2021.7371</w:t>
        </w:r>
      </w:hyperlink>
    </w:p>
    <w:p w14:paraId="5E0CC1B3"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Dawam</w:t>
      </w:r>
      <w:proofErr w:type="spellEnd"/>
      <w:r w:rsidRPr="002F4FCC">
        <w:rPr>
          <w:rFonts w:ascii="Times New Roman" w:hAnsi="Times New Roman" w:cs="Times New Roman"/>
          <w:sz w:val="24"/>
          <w:szCs w:val="24"/>
        </w:rPr>
        <w:t xml:space="preserve"> Dwi </w:t>
      </w:r>
      <w:proofErr w:type="spellStart"/>
      <w:r w:rsidRPr="002F4FCC">
        <w:rPr>
          <w:rFonts w:ascii="Times New Roman" w:hAnsi="Times New Roman" w:cs="Times New Roman"/>
          <w:sz w:val="24"/>
          <w:szCs w:val="24"/>
        </w:rPr>
        <w:t>Jatmiko</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Suwawi</w:t>
      </w:r>
      <w:proofErr w:type="spellEnd"/>
      <w:r w:rsidRPr="002F4FCC">
        <w:rPr>
          <w:rFonts w:ascii="Times New Roman" w:hAnsi="Times New Roman" w:cs="Times New Roman"/>
          <w:sz w:val="24"/>
          <w:szCs w:val="24"/>
        </w:rPr>
        <w:t xml:space="preserve">, Hafizh Jihaad Husni, Kusuma Ayu </w:t>
      </w:r>
      <w:proofErr w:type="spellStart"/>
      <w:r w:rsidRPr="002F4FCC">
        <w:rPr>
          <w:rFonts w:ascii="Times New Roman" w:hAnsi="Times New Roman" w:cs="Times New Roman"/>
          <w:sz w:val="24"/>
          <w:szCs w:val="24"/>
        </w:rPr>
        <w:t>Laksitowening</w:t>
      </w:r>
      <w:proofErr w:type="spellEnd"/>
      <w:r w:rsidRPr="002F4FCC">
        <w:rPr>
          <w:rFonts w:ascii="Times New Roman" w:hAnsi="Times New Roman" w:cs="Times New Roman"/>
          <w:sz w:val="24"/>
          <w:szCs w:val="24"/>
        </w:rPr>
        <w:t xml:space="preserve"> (2021), Analysis of Student Performance Based on LMS Activities with Learning Analytics Approach. JURIKOM </w:t>
      </w:r>
    </w:p>
    <w:p w14:paraId="2A6FD9AE"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w:t>
      </w:r>
      <w:proofErr w:type="spellStart"/>
      <w:r w:rsidRPr="002F4FCC">
        <w:rPr>
          <w:rFonts w:ascii="Times New Roman" w:hAnsi="Times New Roman" w:cs="Times New Roman"/>
          <w:sz w:val="24"/>
          <w:szCs w:val="24"/>
        </w:rPr>
        <w:t>Jurnal</w:t>
      </w:r>
      <w:proofErr w:type="spellEnd"/>
      <w:r w:rsidRPr="002F4FCC">
        <w:rPr>
          <w:rFonts w:ascii="Times New Roman" w:hAnsi="Times New Roman" w:cs="Times New Roman"/>
          <w:sz w:val="24"/>
          <w:szCs w:val="24"/>
        </w:rPr>
        <w:t xml:space="preserve"> Riset </w:t>
      </w:r>
      <w:proofErr w:type="spellStart"/>
      <w:r w:rsidRPr="002F4FCC">
        <w:rPr>
          <w:rFonts w:ascii="Times New Roman" w:hAnsi="Times New Roman" w:cs="Times New Roman"/>
          <w:sz w:val="24"/>
          <w:szCs w:val="24"/>
        </w:rPr>
        <w:t>Komputer</w:t>
      </w:r>
      <w:proofErr w:type="spellEnd"/>
      <w:r w:rsidRPr="002F4FCC">
        <w:rPr>
          <w:rFonts w:ascii="Times New Roman" w:hAnsi="Times New Roman" w:cs="Times New Roman"/>
          <w:sz w:val="24"/>
          <w:szCs w:val="24"/>
        </w:rPr>
        <w:t>), Vol. 8 No. 6. DOI 10.30865/</w:t>
      </w:r>
      <w:proofErr w:type="gramStart"/>
      <w:r w:rsidRPr="002F4FCC">
        <w:rPr>
          <w:rFonts w:ascii="Times New Roman" w:hAnsi="Times New Roman" w:cs="Times New Roman"/>
          <w:sz w:val="24"/>
          <w:szCs w:val="24"/>
        </w:rPr>
        <w:t>jurikom.v</w:t>
      </w:r>
      <w:proofErr w:type="gramEnd"/>
      <w:r w:rsidRPr="002F4FCC">
        <w:rPr>
          <w:rFonts w:ascii="Times New Roman" w:hAnsi="Times New Roman" w:cs="Times New Roman"/>
          <w:sz w:val="24"/>
          <w:szCs w:val="24"/>
        </w:rPr>
        <w:t>8i6.3721</w:t>
      </w:r>
    </w:p>
    <w:p w14:paraId="1FFEA009"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Dindar, Mikaeel &amp; Ahmed, Falah &amp; Mohsin Abdulazeez, Adnan &amp; </w:t>
      </w:r>
      <w:proofErr w:type="spellStart"/>
      <w:r w:rsidRPr="002F4FCC">
        <w:rPr>
          <w:rFonts w:ascii="Times New Roman" w:hAnsi="Times New Roman" w:cs="Times New Roman"/>
          <w:sz w:val="24"/>
          <w:szCs w:val="24"/>
        </w:rPr>
        <w:t>Zeebaree</w:t>
      </w:r>
      <w:proofErr w:type="spellEnd"/>
      <w:r w:rsidRPr="002F4FCC">
        <w:rPr>
          <w:rFonts w:ascii="Times New Roman" w:hAnsi="Times New Roman" w:cs="Times New Roman"/>
          <w:sz w:val="24"/>
          <w:szCs w:val="24"/>
        </w:rPr>
        <w:t xml:space="preserve">, Diyar &amp; Falah, Yusur &amp; </w:t>
      </w:r>
      <w:proofErr w:type="spellStart"/>
      <w:r w:rsidRPr="002F4FCC">
        <w:rPr>
          <w:rFonts w:ascii="Times New Roman" w:hAnsi="Times New Roman" w:cs="Times New Roman"/>
          <w:sz w:val="24"/>
          <w:szCs w:val="24"/>
        </w:rPr>
        <w:t>Zeebaree</w:t>
      </w:r>
      <w:proofErr w:type="spellEnd"/>
      <w:r w:rsidRPr="002F4FCC">
        <w:rPr>
          <w:rFonts w:ascii="Times New Roman" w:hAnsi="Times New Roman" w:cs="Times New Roman"/>
          <w:sz w:val="24"/>
          <w:szCs w:val="24"/>
        </w:rPr>
        <w:t xml:space="preserve">, Diyar. (2021). Predicting University's Students' Performance Based on Machine Learning Techniques. </w:t>
      </w:r>
      <w:hyperlink r:id="rId14" w:history="1">
        <w:r w:rsidRPr="002F4FCC">
          <w:rPr>
            <w:rStyle w:val="Hyperlink"/>
            <w:rFonts w:ascii="Times New Roman" w:hAnsi="Times New Roman" w:cs="Times New Roman"/>
            <w:sz w:val="24"/>
            <w:szCs w:val="24"/>
          </w:rPr>
          <w:t>https://www.researchgate.net/publication/353906374</w:t>
        </w:r>
      </w:hyperlink>
    </w:p>
    <w:p w14:paraId="064E391D" w14:textId="77777777" w:rsidR="008930FE" w:rsidRPr="002F4FCC" w:rsidRDefault="008930FE" w:rsidP="00615EF1">
      <w:pPr>
        <w:spacing w:before="240" w:after="240" w:line="240" w:lineRule="auto"/>
        <w:jc w:val="both"/>
        <w:rPr>
          <w:rFonts w:ascii="Times New Roman" w:hAnsi="Times New Roman" w:cs="Times New Roman"/>
          <w:sz w:val="24"/>
          <w:szCs w:val="24"/>
        </w:rPr>
      </w:pPr>
    </w:p>
    <w:p w14:paraId="3121F1CD" w14:textId="713F09F1"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Dong </w:t>
      </w:r>
      <w:proofErr w:type="spellStart"/>
      <w:r w:rsidRPr="002F4FCC">
        <w:rPr>
          <w:rFonts w:ascii="Times New Roman" w:hAnsi="Times New Roman" w:cs="Times New Roman"/>
          <w:sz w:val="24"/>
          <w:szCs w:val="24"/>
        </w:rPr>
        <w:t>Ryool</w:t>
      </w:r>
      <w:proofErr w:type="spellEnd"/>
      <w:r w:rsidRPr="002F4FCC">
        <w:rPr>
          <w:rFonts w:ascii="Times New Roman" w:hAnsi="Times New Roman" w:cs="Times New Roman"/>
          <w:sz w:val="24"/>
          <w:szCs w:val="24"/>
        </w:rPr>
        <w:t xml:space="preserve"> Kim, Jeong-Phil Hue, and Seung-Soo Shin (2016). Application of Learning Analytics in University Mathematics </w:t>
      </w:r>
      <w:proofErr w:type="spellStart"/>
      <w:r w:rsidRPr="002F4FCC">
        <w:rPr>
          <w:rFonts w:ascii="Times New Roman" w:hAnsi="Times New Roman" w:cs="Times New Roman"/>
          <w:sz w:val="24"/>
          <w:szCs w:val="24"/>
        </w:rPr>
        <w:t>Education.Indian</w:t>
      </w:r>
      <w:proofErr w:type="spellEnd"/>
      <w:r w:rsidRPr="002F4FCC">
        <w:rPr>
          <w:rFonts w:ascii="Times New Roman" w:hAnsi="Times New Roman" w:cs="Times New Roman"/>
          <w:sz w:val="24"/>
          <w:szCs w:val="24"/>
        </w:rPr>
        <w:t xml:space="preserve"> Journal of Science and Technology, Vol 9(46), DOI: 10.17485/</w:t>
      </w:r>
      <w:proofErr w:type="spellStart"/>
      <w:r w:rsidRPr="002F4FCC">
        <w:rPr>
          <w:rFonts w:ascii="Times New Roman" w:hAnsi="Times New Roman" w:cs="Times New Roman"/>
          <w:sz w:val="24"/>
          <w:szCs w:val="24"/>
        </w:rPr>
        <w:t>ijst</w:t>
      </w:r>
      <w:proofErr w:type="spellEnd"/>
      <w:r w:rsidRPr="002F4FCC">
        <w:rPr>
          <w:rFonts w:ascii="Times New Roman" w:hAnsi="Times New Roman" w:cs="Times New Roman"/>
          <w:sz w:val="24"/>
          <w:szCs w:val="24"/>
        </w:rPr>
        <w:t>/2016/v9i46/107193</w:t>
      </w:r>
    </w:p>
    <w:p w14:paraId="5F329684" w14:textId="3B1D86D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Dyckhoff</w:t>
      </w:r>
      <w:proofErr w:type="spellEnd"/>
      <w:r w:rsidRPr="002F4FCC">
        <w:rPr>
          <w:rFonts w:ascii="Times New Roman" w:hAnsi="Times New Roman" w:cs="Times New Roman"/>
          <w:sz w:val="24"/>
          <w:szCs w:val="24"/>
        </w:rPr>
        <w:t xml:space="preserve">, A. L., Zielke, D., </w:t>
      </w:r>
      <w:proofErr w:type="spellStart"/>
      <w:r w:rsidRPr="002F4FCC">
        <w:rPr>
          <w:rFonts w:ascii="Times New Roman" w:hAnsi="Times New Roman" w:cs="Times New Roman"/>
          <w:sz w:val="24"/>
          <w:szCs w:val="24"/>
        </w:rPr>
        <w:t>Bültmann</w:t>
      </w:r>
      <w:proofErr w:type="spellEnd"/>
      <w:r w:rsidRPr="002F4FCC">
        <w:rPr>
          <w:rFonts w:ascii="Times New Roman" w:hAnsi="Times New Roman" w:cs="Times New Roman"/>
          <w:sz w:val="24"/>
          <w:szCs w:val="24"/>
        </w:rPr>
        <w:t xml:space="preserve">, M., </w:t>
      </w:r>
      <w:proofErr w:type="spellStart"/>
      <w:r w:rsidRPr="002F4FCC">
        <w:rPr>
          <w:rFonts w:ascii="Times New Roman" w:hAnsi="Times New Roman" w:cs="Times New Roman"/>
          <w:sz w:val="24"/>
          <w:szCs w:val="24"/>
        </w:rPr>
        <w:t>Chatti</w:t>
      </w:r>
      <w:proofErr w:type="spellEnd"/>
      <w:r w:rsidRPr="002F4FCC">
        <w:rPr>
          <w:rFonts w:ascii="Times New Roman" w:hAnsi="Times New Roman" w:cs="Times New Roman"/>
          <w:sz w:val="24"/>
          <w:szCs w:val="24"/>
        </w:rPr>
        <w:t>, M. A., &amp; Schroeder, U. (2013). Design and Implementation of a Learning Analytics Toolkit for Teachers. Educational Technology &amp; Society, 16(2), 58-76.</w:t>
      </w:r>
    </w:p>
    <w:p w14:paraId="53DF4CB0" w14:textId="3FF79EA4"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Fahd, K., Miah, S.J., &amp; Ahmed, K. (2021). Predicting student performance in a blended learning environment using learning management system and interaction data. Applied Computing and Informatics. Emerald /Publishing Limited. 38(2), 123-137. DOI: 10.1108/ACI-06-2021-0150. </w:t>
      </w:r>
      <w:hyperlink r:id="rId15" w:history="1">
        <w:r w:rsidRPr="002F4FCC">
          <w:rPr>
            <w:rStyle w:val="Hyperlink"/>
            <w:rFonts w:ascii="Times New Roman" w:hAnsi="Times New Roman" w:cs="Times New Roman"/>
            <w:sz w:val="24"/>
            <w:szCs w:val="24"/>
          </w:rPr>
          <w:t>https://www.emerald.com/insight/content/doi/10.1108/ACI-06-2021-0150/full/html</w:t>
        </w:r>
      </w:hyperlink>
    </w:p>
    <w:p w14:paraId="346BC3AC" w14:textId="5E72B26A"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Friedl, M., Ebner, M., &amp; Ebner, M. (2020). Mobile Learning Applications for Android and iOS for German Language Acquisition Based on Learning Analytics Measurements. International Journal of Learning Analytics and Artificial Intelligence for Education (</w:t>
      </w:r>
      <w:proofErr w:type="spellStart"/>
      <w:r w:rsidRPr="002F4FCC">
        <w:rPr>
          <w:rFonts w:ascii="Times New Roman" w:hAnsi="Times New Roman" w:cs="Times New Roman"/>
          <w:sz w:val="24"/>
          <w:szCs w:val="24"/>
        </w:rPr>
        <w:t>iJAI</w:t>
      </w:r>
      <w:proofErr w:type="spellEnd"/>
      <w:r w:rsidRPr="002F4FCC">
        <w:rPr>
          <w:rFonts w:ascii="Times New Roman" w:hAnsi="Times New Roman" w:cs="Times New Roman"/>
          <w:sz w:val="24"/>
          <w:szCs w:val="24"/>
        </w:rPr>
        <w:t xml:space="preserve">), 2(1), pp. 4–13. </w:t>
      </w:r>
      <w:hyperlink r:id="rId16" w:history="1">
        <w:r w:rsidRPr="002F4FCC">
          <w:rPr>
            <w:rStyle w:val="Hyperlink"/>
            <w:rFonts w:ascii="Times New Roman" w:hAnsi="Times New Roman" w:cs="Times New Roman"/>
            <w:sz w:val="24"/>
            <w:szCs w:val="24"/>
          </w:rPr>
          <w:t>https://doi.org/10.3991/ijai.v2i1.12317</w:t>
        </w:r>
      </w:hyperlink>
    </w:p>
    <w:p w14:paraId="67F60283" w14:textId="347DE95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Gaogoses</w:t>
      </w:r>
      <w:proofErr w:type="spellEnd"/>
      <w:r w:rsidRPr="002F4FCC">
        <w:rPr>
          <w:rFonts w:ascii="Times New Roman" w:hAnsi="Times New Roman" w:cs="Times New Roman"/>
          <w:sz w:val="24"/>
          <w:szCs w:val="24"/>
        </w:rPr>
        <w:t xml:space="preserve">, N., &amp; Koglin, U. (2020). The Role </w:t>
      </w:r>
      <w:proofErr w:type="gramStart"/>
      <w:r w:rsidRPr="002F4FCC">
        <w:rPr>
          <w:rFonts w:ascii="Times New Roman" w:hAnsi="Times New Roman" w:cs="Times New Roman"/>
          <w:sz w:val="24"/>
          <w:szCs w:val="24"/>
        </w:rPr>
        <w:t>of  Social</w:t>
      </w:r>
      <w:proofErr w:type="gramEnd"/>
      <w:r w:rsidRPr="002F4FCC">
        <w:rPr>
          <w:rFonts w:ascii="Times New Roman" w:hAnsi="Times New Roman" w:cs="Times New Roman"/>
          <w:sz w:val="24"/>
          <w:szCs w:val="24"/>
        </w:rPr>
        <w:t xml:space="preserve"> Goals in Academic Success: Recounting the  Process of Conducting Systematic Literature Review.  In Ritcher, O. Z., </w:t>
      </w:r>
      <w:proofErr w:type="spellStart"/>
      <w:r w:rsidRPr="002F4FCC">
        <w:rPr>
          <w:rFonts w:ascii="Times New Roman" w:hAnsi="Times New Roman" w:cs="Times New Roman"/>
          <w:sz w:val="24"/>
          <w:szCs w:val="24"/>
        </w:rPr>
        <w:t>Kerres</w:t>
      </w:r>
      <w:proofErr w:type="spellEnd"/>
      <w:r w:rsidRPr="002F4FCC">
        <w:rPr>
          <w:rFonts w:ascii="Times New Roman" w:hAnsi="Times New Roman" w:cs="Times New Roman"/>
          <w:sz w:val="24"/>
          <w:szCs w:val="24"/>
        </w:rPr>
        <w:t xml:space="preserve">, M., </w:t>
      </w:r>
      <w:proofErr w:type="spellStart"/>
      <w:r w:rsidRPr="002F4FCC">
        <w:rPr>
          <w:rFonts w:ascii="Times New Roman" w:hAnsi="Times New Roman" w:cs="Times New Roman"/>
          <w:sz w:val="24"/>
          <w:szCs w:val="24"/>
        </w:rPr>
        <w:t>Bedenlier</w:t>
      </w:r>
      <w:proofErr w:type="spellEnd"/>
      <w:r w:rsidRPr="002F4FCC">
        <w:rPr>
          <w:rFonts w:ascii="Times New Roman" w:hAnsi="Times New Roman" w:cs="Times New Roman"/>
          <w:sz w:val="24"/>
          <w:szCs w:val="24"/>
        </w:rPr>
        <w:t>, S., Bond, M.</w:t>
      </w:r>
      <w:proofErr w:type="gramStart"/>
      <w:r w:rsidRPr="002F4FCC">
        <w:rPr>
          <w:rFonts w:ascii="Times New Roman" w:hAnsi="Times New Roman" w:cs="Times New Roman"/>
          <w:sz w:val="24"/>
          <w:szCs w:val="24"/>
        </w:rPr>
        <w:t>,  &amp;</w:t>
      </w:r>
      <w:proofErr w:type="gramEnd"/>
      <w:r w:rsidRPr="002F4FCC">
        <w:rPr>
          <w:rFonts w:ascii="Times New Roman" w:hAnsi="Times New Roman" w:cs="Times New Roman"/>
          <w:sz w:val="24"/>
          <w:szCs w:val="24"/>
        </w:rPr>
        <w:t xml:space="preserve"> Buntins, K. (Eds.). (2020). Systematic Reviews </w:t>
      </w:r>
      <w:proofErr w:type="gramStart"/>
      <w:r w:rsidRPr="002F4FCC">
        <w:rPr>
          <w:rFonts w:ascii="Times New Roman" w:hAnsi="Times New Roman" w:cs="Times New Roman"/>
          <w:sz w:val="24"/>
          <w:szCs w:val="24"/>
        </w:rPr>
        <w:t>in  Educational</w:t>
      </w:r>
      <w:proofErr w:type="gramEnd"/>
      <w:r w:rsidRPr="002F4FCC">
        <w:rPr>
          <w:rFonts w:ascii="Times New Roman" w:hAnsi="Times New Roman" w:cs="Times New Roman"/>
          <w:sz w:val="24"/>
          <w:szCs w:val="24"/>
        </w:rPr>
        <w:t xml:space="preserve"> Research: Methodology, Perspectives, and  Application. Springer VS. </w:t>
      </w:r>
      <w:hyperlink r:id="rId17" w:history="1">
        <w:r w:rsidRPr="002F4FCC">
          <w:rPr>
            <w:rStyle w:val="Hyperlink"/>
            <w:rFonts w:ascii="Times New Roman" w:hAnsi="Times New Roman" w:cs="Times New Roman"/>
            <w:sz w:val="24"/>
            <w:szCs w:val="24"/>
          </w:rPr>
          <w:t>https://bit.ly/2JowOQz</w:t>
        </w:r>
      </w:hyperlink>
      <w:r w:rsidRPr="002F4FCC">
        <w:rPr>
          <w:rFonts w:ascii="Times New Roman" w:hAnsi="Times New Roman" w:cs="Times New Roman"/>
          <w:sz w:val="24"/>
          <w:szCs w:val="24"/>
        </w:rPr>
        <w:t xml:space="preserve"> </w:t>
      </w:r>
    </w:p>
    <w:p w14:paraId="09E99F4E" w14:textId="7C24764C"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Grimm A, </w:t>
      </w:r>
      <w:proofErr w:type="spellStart"/>
      <w:r w:rsidRPr="002F4FCC">
        <w:rPr>
          <w:rFonts w:ascii="Times New Roman" w:hAnsi="Times New Roman" w:cs="Times New Roman"/>
          <w:sz w:val="24"/>
          <w:szCs w:val="24"/>
        </w:rPr>
        <w:t>Steegh</w:t>
      </w:r>
      <w:proofErr w:type="spellEnd"/>
      <w:r w:rsidRPr="002F4FCC">
        <w:rPr>
          <w:rFonts w:ascii="Times New Roman" w:hAnsi="Times New Roman" w:cs="Times New Roman"/>
          <w:sz w:val="24"/>
          <w:szCs w:val="24"/>
        </w:rPr>
        <w:t xml:space="preserve"> A, Çolakoğlu J, Kubsch M and Neumann K (2023). Positioning responsible learning analytics in the context of STEM identities of underserved students. Front. Educ. 7:1082748. DOI: 10.3389/feduc.2022.1082748</w:t>
      </w:r>
    </w:p>
    <w:p w14:paraId="73A7E0F5" w14:textId="46F72318"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Heiser, R., Dello </w:t>
      </w:r>
      <w:proofErr w:type="spellStart"/>
      <w:r w:rsidRPr="002F4FCC">
        <w:rPr>
          <w:rFonts w:ascii="Times New Roman" w:hAnsi="Times New Roman" w:cs="Times New Roman"/>
          <w:sz w:val="24"/>
          <w:szCs w:val="24"/>
        </w:rPr>
        <w:t>Stritto</w:t>
      </w:r>
      <w:proofErr w:type="spellEnd"/>
      <w:r w:rsidRPr="002F4FCC">
        <w:rPr>
          <w:rFonts w:ascii="Times New Roman" w:hAnsi="Times New Roman" w:cs="Times New Roman"/>
          <w:sz w:val="24"/>
          <w:szCs w:val="24"/>
        </w:rPr>
        <w:t xml:space="preserve">, M. E., Brown, </w:t>
      </w:r>
      <w:proofErr w:type="gramStart"/>
      <w:r w:rsidRPr="002F4FCC">
        <w:rPr>
          <w:rFonts w:ascii="Times New Roman" w:hAnsi="Times New Roman" w:cs="Times New Roman"/>
          <w:sz w:val="24"/>
          <w:szCs w:val="24"/>
        </w:rPr>
        <w:t>A. .</w:t>
      </w:r>
      <w:proofErr w:type="gramEnd"/>
      <w:r w:rsidRPr="002F4FCC">
        <w:rPr>
          <w:rFonts w:ascii="Times New Roman" w:hAnsi="Times New Roman" w:cs="Times New Roman"/>
          <w:sz w:val="24"/>
          <w:szCs w:val="24"/>
        </w:rPr>
        <w:t xml:space="preserve">, &amp; Croft, B. (2023). Amplifying Student and Administrator Perspectives on Equity and Bias in Learning Analytics: Alone Together in Higher Education. Journal of Learning Analytics, 10(1), 8-23. </w:t>
      </w:r>
      <w:hyperlink r:id="rId18" w:history="1">
        <w:r w:rsidRPr="002F4FCC">
          <w:rPr>
            <w:rStyle w:val="Hyperlink"/>
            <w:rFonts w:ascii="Times New Roman" w:hAnsi="Times New Roman" w:cs="Times New Roman"/>
            <w:sz w:val="24"/>
            <w:szCs w:val="24"/>
          </w:rPr>
          <w:t>https://doi.org/10.18608/jla.2023.7775</w:t>
        </w:r>
      </w:hyperlink>
    </w:p>
    <w:p w14:paraId="0A6E188F"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Herodotou</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Christothea</w:t>
      </w:r>
      <w:proofErr w:type="spellEnd"/>
      <w:r w:rsidRPr="002F4FCC">
        <w:rPr>
          <w:rFonts w:ascii="Times New Roman" w:hAnsi="Times New Roman" w:cs="Times New Roman"/>
          <w:sz w:val="24"/>
          <w:szCs w:val="24"/>
        </w:rPr>
        <w:t xml:space="preserve"> &amp; </w:t>
      </w:r>
      <w:proofErr w:type="spellStart"/>
      <w:r w:rsidRPr="002F4FCC">
        <w:rPr>
          <w:rFonts w:ascii="Times New Roman" w:hAnsi="Times New Roman" w:cs="Times New Roman"/>
          <w:sz w:val="24"/>
          <w:szCs w:val="24"/>
        </w:rPr>
        <w:t>Naydenova</w:t>
      </w:r>
      <w:proofErr w:type="spellEnd"/>
      <w:r w:rsidRPr="002F4FCC">
        <w:rPr>
          <w:rFonts w:ascii="Times New Roman" w:hAnsi="Times New Roman" w:cs="Times New Roman"/>
          <w:sz w:val="24"/>
          <w:szCs w:val="24"/>
        </w:rPr>
        <w:t xml:space="preserve">, Galina &amp; </w:t>
      </w:r>
      <w:proofErr w:type="spellStart"/>
      <w:r w:rsidRPr="002F4FCC">
        <w:rPr>
          <w:rFonts w:ascii="Times New Roman" w:hAnsi="Times New Roman" w:cs="Times New Roman"/>
          <w:sz w:val="24"/>
          <w:szCs w:val="24"/>
        </w:rPr>
        <w:t>Boroowa</w:t>
      </w:r>
      <w:proofErr w:type="spellEnd"/>
      <w:r w:rsidRPr="002F4FCC">
        <w:rPr>
          <w:rFonts w:ascii="Times New Roman" w:hAnsi="Times New Roman" w:cs="Times New Roman"/>
          <w:sz w:val="24"/>
          <w:szCs w:val="24"/>
        </w:rPr>
        <w:t xml:space="preserve">, Avinash &amp; Gilmour, Alison &amp; </w:t>
      </w:r>
      <w:proofErr w:type="spellStart"/>
      <w:r w:rsidRPr="002F4FCC">
        <w:rPr>
          <w:rFonts w:ascii="Times New Roman" w:hAnsi="Times New Roman" w:cs="Times New Roman"/>
          <w:sz w:val="24"/>
          <w:szCs w:val="24"/>
        </w:rPr>
        <w:t>Rienties</w:t>
      </w:r>
      <w:proofErr w:type="spellEnd"/>
      <w:r w:rsidRPr="002F4FCC">
        <w:rPr>
          <w:rFonts w:ascii="Times New Roman" w:hAnsi="Times New Roman" w:cs="Times New Roman"/>
          <w:sz w:val="24"/>
          <w:szCs w:val="24"/>
        </w:rPr>
        <w:t xml:space="preserve">, Bart. (2020). How Can Predictive Learning Analytics and Motivational Interventions Increase Student Retention and Enhance Administrative Support in Distance Education? Journal of Learning Analytics. 7. 10.18608/jla.2020.72.4. </w:t>
      </w:r>
      <w:hyperlink r:id="rId19" w:history="1">
        <w:r w:rsidRPr="002F4FCC">
          <w:rPr>
            <w:rStyle w:val="Hyperlink"/>
            <w:rFonts w:ascii="Times New Roman" w:hAnsi="Times New Roman" w:cs="Times New Roman"/>
            <w:sz w:val="24"/>
            <w:szCs w:val="24"/>
          </w:rPr>
          <w:t>https://www.researchgate.net/publication/345246787</w:t>
        </w:r>
      </w:hyperlink>
    </w:p>
    <w:p w14:paraId="67E83863" w14:textId="678E2A0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gramStart"/>
      <w:r w:rsidRPr="002F4FCC">
        <w:rPr>
          <w:rFonts w:ascii="Times New Roman" w:hAnsi="Times New Roman" w:cs="Times New Roman"/>
          <w:sz w:val="24"/>
          <w:szCs w:val="24"/>
        </w:rPr>
        <w:t>Jääskelä,P.</w:t>
      </w:r>
      <w:proofErr w:type="gramEnd"/>
      <w:r w:rsidRPr="002F4FCC">
        <w:rPr>
          <w:rFonts w:ascii="Times New Roman" w:hAnsi="Times New Roman" w:cs="Times New Roman"/>
          <w:sz w:val="24"/>
          <w:szCs w:val="24"/>
        </w:rPr>
        <w:t>,Heilala,V.,Häkkinen,P.,</w:t>
      </w:r>
      <w:proofErr w:type="spellStart"/>
      <w:r w:rsidRPr="002F4FCC">
        <w:rPr>
          <w:rFonts w:ascii="Times New Roman" w:hAnsi="Times New Roman" w:cs="Times New Roman"/>
          <w:sz w:val="24"/>
          <w:szCs w:val="24"/>
        </w:rPr>
        <w:t>andKärkkäinen,T.Student</w:t>
      </w:r>
      <w:proofErr w:type="spellEnd"/>
      <w:r w:rsidRPr="002F4FCC">
        <w:rPr>
          <w:rFonts w:ascii="Times New Roman" w:hAnsi="Times New Roman" w:cs="Times New Roman"/>
          <w:sz w:val="24"/>
          <w:szCs w:val="24"/>
        </w:rPr>
        <w:t xml:space="preserve"> Agency Analytics: Learning Analytics as a Tool for Analyzing Student Agency in Higher Education. Behavior and Information Technology, 40(8),2021.</w:t>
      </w:r>
    </w:p>
    <w:p w14:paraId="634708CF" w14:textId="2005E031"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Khan, Wasi &amp; Al-</w:t>
      </w:r>
      <w:proofErr w:type="spellStart"/>
      <w:r w:rsidRPr="002F4FCC">
        <w:rPr>
          <w:rFonts w:ascii="Times New Roman" w:hAnsi="Times New Roman" w:cs="Times New Roman"/>
          <w:sz w:val="24"/>
          <w:szCs w:val="24"/>
        </w:rPr>
        <w:t>Zubaidy</w:t>
      </w:r>
      <w:proofErr w:type="spellEnd"/>
      <w:r w:rsidRPr="002F4FCC">
        <w:rPr>
          <w:rFonts w:ascii="Times New Roman" w:hAnsi="Times New Roman" w:cs="Times New Roman"/>
          <w:sz w:val="24"/>
          <w:szCs w:val="24"/>
        </w:rPr>
        <w:t>, Sarim. (2017). Prediction of Student Performance in Academic and Military Learning Environment: Use of Multiple Linear Regression Predictive Model and Hypothesis Testing. International Journal of Higher Education. 6. 152. 10.5430/</w:t>
      </w:r>
      <w:proofErr w:type="gramStart"/>
      <w:r w:rsidRPr="002F4FCC">
        <w:rPr>
          <w:rFonts w:ascii="Times New Roman" w:hAnsi="Times New Roman" w:cs="Times New Roman"/>
          <w:sz w:val="24"/>
          <w:szCs w:val="24"/>
        </w:rPr>
        <w:t>ijhe.v</w:t>
      </w:r>
      <w:proofErr w:type="gramEnd"/>
      <w:r w:rsidRPr="002F4FCC">
        <w:rPr>
          <w:rFonts w:ascii="Times New Roman" w:hAnsi="Times New Roman" w:cs="Times New Roman"/>
          <w:sz w:val="24"/>
          <w:szCs w:val="24"/>
        </w:rPr>
        <w:t>6n4p152.</w:t>
      </w:r>
    </w:p>
    <w:p w14:paraId="5DD3221B" w14:textId="02A289C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Knobbout</w:t>
      </w:r>
      <w:proofErr w:type="spellEnd"/>
      <w:r w:rsidRPr="002F4FCC">
        <w:rPr>
          <w:rFonts w:ascii="Times New Roman" w:hAnsi="Times New Roman" w:cs="Times New Roman"/>
          <w:sz w:val="24"/>
          <w:szCs w:val="24"/>
        </w:rPr>
        <w:t xml:space="preserve">, Justian &amp; van der </w:t>
      </w:r>
      <w:proofErr w:type="spellStart"/>
      <w:r w:rsidRPr="002F4FCC">
        <w:rPr>
          <w:rFonts w:ascii="Times New Roman" w:hAnsi="Times New Roman" w:cs="Times New Roman"/>
          <w:sz w:val="24"/>
          <w:szCs w:val="24"/>
        </w:rPr>
        <w:t>Stappen</w:t>
      </w:r>
      <w:proofErr w:type="spellEnd"/>
      <w:r w:rsidRPr="002F4FCC">
        <w:rPr>
          <w:rFonts w:ascii="Times New Roman" w:hAnsi="Times New Roman" w:cs="Times New Roman"/>
          <w:sz w:val="24"/>
          <w:szCs w:val="24"/>
        </w:rPr>
        <w:t xml:space="preserve">, Esther &amp; </w:t>
      </w:r>
      <w:proofErr w:type="spellStart"/>
      <w:r w:rsidRPr="002F4FCC">
        <w:rPr>
          <w:rFonts w:ascii="Times New Roman" w:hAnsi="Times New Roman" w:cs="Times New Roman"/>
          <w:sz w:val="24"/>
          <w:szCs w:val="24"/>
        </w:rPr>
        <w:t>Versendaal</w:t>
      </w:r>
      <w:proofErr w:type="spellEnd"/>
      <w:r w:rsidRPr="002F4FCC">
        <w:rPr>
          <w:rFonts w:ascii="Times New Roman" w:hAnsi="Times New Roman" w:cs="Times New Roman"/>
          <w:sz w:val="24"/>
          <w:szCs w:val="24"/>
        </w:rPr>
        <w:t xml:space="preserve">, Johan &amp; van de </w:t>
      </w:r>
      <w:proofErr w:type="spellStart"/>
      <w:r w:rsidRPr="002F4FCC">
        <w:rPr>
          <w:rFonts w:ascii="Times New Roman" w:hAnsi="Times New Roman" w:cs="Times New Roman"/>
          <w:sz w:val="24"/>
          <w:szCs w:val="24"/>
        </w:rPr>
        <w:t>Wetering</w:t>
      </w:r>
      <w:proofErr w:type="spellEnd"/>
      <w:r w:rsidRPr="002F4FCC">
        <w:rPr>
          <w:rFonts w:ascii="Times New Roman" w:hAnsi="Times New Roman" w:cs="Times New Roman"/>
          <w:sz w:val="24"/>
          <w:szCs w:val="24"/>
        </w:rPr>
        <w:t xml:space="preserve">, Rogier. (2023). Supporting Learning Analytics Adoption: Evaluating the Learning Analytics Capability Model in a Real-World Setting. Applied Sciences. 13. 3236.10.3390/app13053236. </w:t>
      </w:r>
      <w:hyperlink r:id="rId20" w:history="1">
        <w:r w:rsidRPr="002F4FCC">
          <w:rPr>
            <w:rStyle w:val="Hyperlink"/>
            <w:rFonts w:ascii="Times New Roman" w:hAnsi="Times New Roman" w:cs="Times New Roman"/>
            <w:sz w:val="24"/>
            <w:szCs w:val="24"/>
          </w:rPr>
          <w:t>https://www.researchgate.net/publication/369003256</w:t>
        </w:r>
      </w:hyperlink>
    </w:p>
    <w:p w14:paraId="5EE0EA0A" w14:textId="209D5C48"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Kovanovic</w:t>
      </w:r>
      <w:proofErr w:type="spellEnd"/>
      <w:r w:rsidRPr="002F4FCC">
        <w:rPr>
          <w:rFonts w:ascii="Times New Roman" w:hAnsi="Times New Roman" w:cs="Times New Roman"/>
          <w:sz w:val="24"/>
          <w:szCs w:val="24"/>
        </w:rPr>
        <w:t xml:space="preserve">, V., Mazziotti, C., &amp; Lodge, J. (2021). Learning Analytics for Primary and Secondary Schools. Journal of Learning Analytics, 8(2), 1-5. </w:t>
      </w:r>
      <w:hyperlink r:id="rId21" w:history="1">
        <w:r w:rsidRPr="002F4FCC">
          <w:rPr>
            <w:rStyle w:val="Hyperlink"/>
            <w:rFonts w:ascii="Times New Roman" w:hAnsi="Times New Roman" w:cs="Times New Roman"/>
            <w:sz w:val="24"/>
            <w:szCs w:val="24"/>
          </w:rPr>
          <w:t>https://doi.org/10.18608/jla.2021.7543</w:t>
        </w:r>
      </w:hyperlink>
    </w:p>
    <w:p w14:paraId="33C22D29" w14:textId="2A88F7B1"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LAK Conference. (2020). Learning Analytics and Knowledge Conference. </w:t>
      </w:r>
      <w:hyperlink r:id="rId22" w:history="1">
        <w:r w:rsidRPr="002F4FCC">
          <w:rPr>
            <w:rStyle w:val="Hyperlink"/>
            <w:rFonts w:ascii="Times New Roman" w:hAnsi="Times New Roman" w:cs="Times New Roman"/>
            <w:sz w:val="24"/>
            <w:szCs w:val="24"/>
          </w:rPr>
          <w:t>https://www.solaresearch.org/events/lak/</w:t>
        </w:r>
      </w:hyperlink>
    </w:p>
    <w:p w14:paraId="55578E9F" w14:textId="2FDEEEAA"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lastRenderedPageBreak/>
        <w:t xml:space="preserve">Liu, M., Cai, Y., Han, </w:t>
      </w:r>
      <w:proofErr w:type="gramStart"/>
      <w:r w:rsidRPr="002F4FCC">
        <w:rPr>
          <w:rFonts w:ascii="Times New Roman" w:hAnsi="Times New Roman" w:cs="Times New Roman"/>
          <w:sz w:val="24"/>
          <w:szCs w:val="24"/>
        </w:rPr>
        <w:t>S. .</w:t>
      </w:r>
      <w:proofErr w:type="gramEnd"/>
      <w:r w:rsidRPr="002F4FCC">
        <w:rPr>
          <w:rFonts w:ascii="Times New Roman" w:hAnsi="Times New Roman" w:cs="Times New Roman"/>
          <w:sz w:val="24"/>
          <w:szCs w:val="24"/>
        </w:rPr>
        <w:t xml:space="preserve">, &amp; Shao, P. . (2022). Understanding Student Navigation Patterns in Game-Based Learning. Journal of Learning Analytics, 9(3), 50-74. </w:t>
      </w:r>
      <w:hyperlink r:id="rId23" w:history="1">
        <w:r w:rsidRPr="002F4FCC">
          <w:rPr>
            <w:rStyle w:val="Hyperlink"/>
            <w:rFonts w:ascii="Times New Roman" w:hAnsi="Times New Roman" w:cs="Times New Roman"/>
            <w:sz w:val="24"/>
            <w:szCs w:val="24"/>
          </w:rPr>
          <w:t>https://doi.org/10.18608/jla.2022.763</w:t>
        </w:r>
      </w:hyperlink>
    </w:p>
    <w:p w14:paraId="02FDE27F" w14:textId="1EC1BF38"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Lower, Michael &amp; Cheung, Sonia &amp; Hodgson, Paula. (2018). Student engagement: Learning analytics beyond LMS.</w:t>
      </w:r>
    </w:p>
    <w:p w14:paraId="14472692" w14:textId="33E583B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Lu, O., Huang, A., Huang, J., Lin, A., Ogata, H., &amp; Yang, S. (2018). Applying Learning Analytics for the Early Prediction of Students' Academic Performance in Blended Learning. J. Educ. Technol. Soc., 21, 220-232. </w:t>
      </w:r>
      <w:hyperlink r:id="rId24" w:history="1">
        <w:r w:rsidRPr="002F4FCC">
          <w:rPr>
            <w:rStyle w:val="Hyperlink"/>
            <w:rFonts w:ascii="Times New Roman" w:hAnsi="Times New Roman" w:cs="Times New Roman"/>
            <w:sz w:val="24"/>
            <w:szCs w:val="24"/>
          </w:rPr>
          <w:t>https://www.jstor.org/stable/26388400</w:t>
        </w:r>
      </w:hyperlink>
    </w:p>
    <w:p w14:paraId="089F7CF8"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Lu, W., Griffin, J., Sadler, T. D., Laffey, J., &amp; Goggins, S. P. (2023). Serious Game Analytics by Design: Feature Generation and Selection Using Game Telemetry and Game Metrics: Toward Predictive Model Construction. Journal of Learning Analytics, 10(1), 168-188. </w:t>
      </w:r>
      <w:hyperlink r:id="rId25" w:history="1">
        <w:r w:rsidRPr="002F4FCC">
          <w:rPr>
            <w:rStyle w:val="Hyperlink"/>
            <w:rFonts w:ascii="Times New Roman" w:hAnsi="Times New Roman" w:cs="Times New Roman"/>
            <w:sz w:val="24"/>
            <w:szCs w:val="24"/>
          </w:rPr>
          <w:t>https://doi.org/10.18608/jla.2023.7681</w:t>
        </w:r>
      </w:hyperlink>
    </w:p>
    <w:p w14:paraId="6989E5F9" w14:textId="77777777" w:rsidR="008930FE" w:rsidRPr="002F4FCC" w:rsidRDefault="008930FE" w:rsidP="00615EF1">
      <w:pPr>
        <w:spacing w:before="240" w:after="240" w:line="240" w:lineRule="auto"/>
        <w:jc w:val="both"/>
        <w:rPr>
          <w:rFonts w:ascii="Times New Roman" w:hAnsi="Times New Roman" w:cs="Times New Roman"/>
          <w:sz w:val="24"/>
          <w:szCs w:val="24"/>
        </w:rPr>
      </w:pPr>
    </w:p>
    <w:p w14:paraId="6A485DEB"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Macarini</w:t>
      </w:r>
      <w:proofErr w:type="spellEnd"/>
      <w:r w:rsidRPr="002F4FCC">
        <w:rPr>
          <w:rFonts w:ascii="Times New Roman" w:hAnsi="Times New Roman" w:cs="Times New Roman"/>
          <w:sz w:val="24"/>
          <w:szCs w:val="24"/>
        </w:rPr>
        <w:t xml:space="preserve">, Luiz &amp; </w:t>
      </w:r>
      <w:proofErr w:type="spellStart"/>
      <w:r w:rsidRPr="002F4FCC">
        <w:rPr>
          <w:rFonts w:ascii="Times New Roman" w:hAnsi="Times New Roman" w:cs="Times New Roman"/>
          <w:sz w:val="24"/>
          <w:szCs w:val="24"/>
        </w:rPr>
        <w:t>Cechinel</w:t>
      </w:r>
      <w:proofErr w:type="spellEnd"/>
      <w:r w:rsidRPr="002F4FCC">
        <w:rPr>
          <w:rFonts w:ascii="Times New Roman" w:hAnsi="Times New Roman" w:cs="Times New Roman"/>
          <w:sz w:val="24"/>
          <w:szCs w:val="24"/>
        </w:rPr>
        <w:t xml:space="preserve">, Cristian &amp; Machado, Matheus &amp; Ramos, Vinicius &amp; Munoz, Roberto. (2019). Predicting Students' Success in Blended Learning-Evaluating Different Interactions Inside Learning Management Systems. Applied Sciences. 9. 5523. 10.3390/app9245523. </w:t>
      </w:r>
      <w:hyperlink r:id="rId26" w:history="1">
        <w:r w:rsidRPr="002F4FCC">
          <w:rPr>
            <w:rStyle w:val="Hyperlink"/>
            <w:rFonts w:ascii="Times New Roman" w:hAnsi="Times New Roman" w:cs="Times New Roman"/>
            <w:sz w:val="24"/>
            <w:szCs w:val="24"/>
          </w:rPr>
          <w:t>https://www.researchgate.net/publication/337937724_Predicting_Students_Success_in_Blended_Learning-Evaluating_Different_Interactions_Inside_Learning_Management_Systems</w:t>
        </w:r>
      </w:hyperlink>
    </w:p>
    <w:p w14:paraId="615FD1B8" w14:textId="1A01BB50"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Markdy</w:t>
      </w:r>
      <w:proofErr w:type="spellEnd"/>
      <w:r w:rsidRPr="002F4FCC">
        <w:rPr>
          <w:rFonts w:ascii="Times New Roman" w:hAnsi="Times New Roman" w:cs="Times New Roman"/>
          <w:sz w:val="24"/>
          <w:szCs w:val="24"/>
        </w:rPr>
        <w:t xml:space="preserve"> Y. </w:t>
      </w:r>
      <w:proofErr w:type="spellStart"/>
      <w:r w:rsidRPr="002F4FCC">
        <w:rPr>
          <w:rFonts w:ascii="Times New Roman" w:hAnsi="Times New Roman" w:cs="Times New Roman"/>
          <w:sz w:val="24"/>
          <w:szCs w:val="24"/>
        </w:rPr>
        <w:t>Orong</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Roseclaremath</w:t>
      </w:r>
      <w:proofErr w:type="spellEnd"/>
      <w:r w:rsidRPr="002F4FCC">
        <w:rPr>
          <w:rFonts w:ascii="Times New Roman" w:hAnsi="Times New Roman" w:cs="Times New Roman"/>
          <w:sz w:val="24"/>
          <w:szCs w:val="24"/>
        </w:rPr>
        <w:t xml:space="preserve"> A. </w:t>
      </w:r>
      <w:proofErr w:type="spellStart"/>
      <w:r w:rsidRPr="002F4FCC">
        <w:rPr>
          <w:rFonts w:ascii="Times New Roman" w:hAnsi="Times New Roman" w:cs="Times New Roman"/>
          <w:sz w:val="24"/>
          <w:szCs w:val="24"/>
        </w:rPr>
        <w:t>Caroro</w:t>
      </w:r>
      <w:proofErr w:type="spellEnd"/>
      <w:r w:rsidRPr="002F4FCC">
        <w:rPr>
          <w:rFonts w:ascii="Times New Roman" w:hAnsi="Times New Roman" w:cs="Times New Roman"/>
          <w:sz w:val="24"/>
          <w:szCs w:val="24"/>
        </w:rPr>
        <w:t xml:space="preserve">, Geraldine D. Durias, Joey A. Cabrera, </w:t>
      </w:r>
      <w:proofErr w:type="spellStart"/>
      <w:r w:rsidRPr="002F4FCC">
        <w:rPr>
          <w:rFonts w:ascii="Times New Roman" w:hAnsi="Times New Roman" w:cs="Times New Roman"/>
          <w:sz w:val="24"/>
          <w:szCs w:val="24"/>
        </w:rPr>
        <w:t>Herwina</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Lonzon</w:t>
      </w:r>
      <w:proofErr w:type="spellEnd"/>
      <w:r w:rsidRPr="002F4FCC">
        <w:rPr>
          <w:rFonts w:ascii="Times New Roman" w:hAnsi="Times New Roman" w:cs="Times New Roman"/>
          <w:sz w:val="24"/>
          <w:szCs w:val="24"/>
        </w:rPr>
        <w:t xml:space="preserve">, and Gretel T. Ricalde. 2020. A Predictive Analytics Approach in Determining the Predictors of Student Attrition in the Higher Education Institutions in the Philippines. In Proceedings of the 3rd International Conference on Software Engineering and Information Management (ICSIM '20). Association for Computing Machinery, New York, NY, USA, 222–225. </w:t>
      </w:r>
      <w:hyperlink r:id="rId27" w:history="1">
        <w:r w:rsidRPr="002F4FCC">
          <w:rPr>
            <w:rStyle w:val="Hyperlink"/>
            <w:rFonts w:ascii="Times New Roman" w:hAnsi="Times New Roman" w:cs="Times New Roman"/>
            <w:sz w:val="24"/>
            <w:szCs w:val="24"/>
          </w:rPr>
          <w:t>https://doi.org/10.1145/3378936.3378956</w:t>
        </w:r>
      </w:hyperlink>
    </w:p>
    <w:p w14:paraId="199FDDAA" w14:textId="49B22D99"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Nunes, João &amp; Sales, Viviani &amp; Chaves, João. (2019). Learning Analytics in Mathematics Teacher Education at the </w:t>
      </w:r>
      <w:proofErr w:type="spellStart"/>
      <w:r w:rsidRPr="002F4FCC">
        <w:rPr>
          <w:rFonts w:ascii="Times New Roman" w:hAnsi="Times New Roman" w:cs="Times New Roman"/>
          <w:sz w:val="24"/>
          <w:szCs w:val="24"/>
        </w:rPr>
        <w:t>Ceará</w:t>
      </w:r>
      <w:proofErr w:type="spellEnd"/>
      <w:r w:rsidRPr="002F4FCC">
        <w:rPr>
          <w:rFonts w:ascii="Times New Roman" w:hAnsi="Times New Roman" w:cs="Times New Roman"/>
          <w:sz w:val="24"/>
          <w:szCs w:val="24"/>
        </w:rPr>
        <w:t xml:space="preserve"> State University. </w:t>
      </w:r>
      <w:hyperlink r:id="rId28" w:history="1">
        <w:r w:rsidRPr="002F4FCC">
          <w:rPr>
            <w:rStyle w:val="Hyperlink"/>
            <w:rFonts w:ascii="Times New Roman" w:hAnsi="Times New Roman" w:cs="Times New Roman"/>
            <w:sz w:val="24"/>
            <w:szCs w:val="24"/>
          </w:rPr>
          <w:t>https://www.researchgate.net/publication/335101731</w:t>
        </w:r>
      </w:hyperlink>
    </w:p>
    <w:p w14:paraId="2963F813" w14:textId="1A6D5A1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Pereira, Filipe &amp; Teixeira de Oliveira, Elaine &amp; de Oliveira, David &amp; Cristea, Alexandra &amp; Carvalho, Leandro &amp; Fonseca, Samuel &amp; Toda, Armando &amp; </w:t>
      </w:r>
      <w:proofErr w:type="spellStart"/>
      <w:r w:rsidRPr="002F4FCC">
        <w:rPr>
          <w:rFonts w:ascii="Times New Roman" w:hAnsi="Times New Roman" w:cs="Times New Roman"/>
          <w:sz w:val="24"/>
          <w:szCs w:val="24"/>
        </w:rPr>
        <w:t>Isotani</w:t>
      </w:r>
      <w:proofErr w:type="spellEnd"/>
      <w:r w:rsidRPr="002F4FCC">
        <w:rPr>
          <w:rFonts w:ascii="Times New Roman" w:hAnsi="Times New Roman" w:cs="Times New Roman"/>
          <w:sz w:val="24"/>
          <w:szCs w:val="24"/>
        </w:rPr>
        <w:t>, Seiji. (2020). Using learning analytics in the Amazonas: understanding students' behavior in introductory programming. British Journal of Educational Technology. 51. 10.1111/bjet.12953.</w:t>
      </w:r>
    </w:p>
    <w:p w14:paraId="18B3BA26" w14:textId="72E2CD0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Picciano, A. G. (2012). The Evolution of Big Data and Learning Analytics in American Higher Education. Journal of Asynchronous Learning Networks, 16(3), 9-20.</w:t>
      </w:r>
    </w:p>
    <w:p w14:paraId="0824CBF8" w14:textId="38B2245B"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Prieto L.P., </w:t>
      </w:r>
      <w:proofErr w:type="spellStart"/>
      <w:r w:rsidRPr="002F4FCC">
        <w:rPr>
          <w:rFonts w:ascii="Times New Roman" w:hAnsi="Times New Roman" w:cs="Times New Roman"/>
          <w:sz w:val="24"/>
          <w:szCs w:val="24"/>
        </w:rPr>
        <w:t>Pishtari</w:t>
      </w:r>
      <w:proofErr w:type="spellEnd"/>
      <w:r w:rsidRPr="002F4FCC">
        <w:rPr>
          <w:rFonts w:ascii="Times New Roman" w:hAnsi="Times New Roman" w:cs="Times New Roman"/>
          <w:sz w:val="24"/>
          <w:szCs w:val="24"/>
        </w:rPr>
        <w:t xml:space="preserve"> G., Dimitriadis Y., Rodríguez-Triana M.J., Ley T. (2023), Single-case learning analytics: Feasibility of a human-centered analytics approach to support doctoral education. Journal of Universal Computer Science, vol. 29, no. 9 1033-1068</w:t>
      </w:r>
    </w:p>
    <w:p w14:paraId="669CA109" w14:textId="554979BD"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Qazdar</w:t>
      </w:r>
      <w:proofErr w:type="spellEnd"/>
      <w:r w:rsidRPr="002F4FCC">
        <w:rPr>
          <w:rFonts w:ascii="Times New Roman" w:hAnsi="Times New Roman" w:cs="Times New Roman"/>
          <w:sz w:val="24"/>
          <w:szCs w:val="24"/>
        </w:rPr>
        <w:t xml:space="preserve">, Aimad &amp; Qassimi, Sara &amp; </w:t>
      </w:r>
      <w:proofErr w:type="spellStart"/>
      <w:r w:rsidRPr="002F4FCC">
        <w:rPr>
          <w:rFonts w:ascii="Times New Roman" w:hAnsi="Times New Roman" w:cs="Times New Roman"/>
          <w:sz w:val="24"/>
          <w:szCs w:val="24"/>
        </w:rPr>
        <w:t>Hasidi</w:t>
      </w:r>
      <w:proofErr w:type="spellEnd"/>
      <w:r w:rsidRPr="002F4FCC">
        <w:rPr>
          <w:rFonts w:ascii="Times New Roman" w:hAnsi="Times New Roman" w:cs="Times New Roman"/>
          <w:sz w:val="24"/>
          <w:szCs w:val="24"/>
        </w:rPr>
        <w:t xml:space="preserve">, Oussama &amp; Hafidi, Meriem &amp; Abdelwahed, El Hassan &amp; MELK, Youssef. (2022). Learning Analytics for Tracking Student Progress in LMS. 10.21203/rs.3.rs-1505417/v1. </w:t>
      </w:r>
      <w:hyperlink r:id="rId29" w:history="1">
        <w:r w:rsidRPr="002F4FCC">
          <w:rPr>
            <w:rStyle w:val="Hyperlink"/>
            <w:rFonts w:ascii="Times New Roman" w:hAnsi="Times New Roman" w:cs="Times New Roman"/>
            <w:sz w:val="24"/>
            <w:szCs w:val="24"/>
          </w:rPr>
          <w:t>https://www.researchgate.net/publication/359727047_Learning_Analytics_for_Tracking_Student_Progress_in_LMS/citations</w:t>
        </w:r>
      </w:hyperlink>
    </w:p>
    <w:p w14:paraId="62EFB6CD" w14:textId="58766DD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Queiroga, E.M.; Lopes, J.L.; Kappel, K.; Aguiar, M.; Araújo, R.M.; Munoz, R.; Villarroel, R.; </w:t>
      </w:r>
      <w:proofErr w:type="spellStart"/>
      <w:r w:rsidRPr="002F4FCC">
        <w:rPr>
          <w:rFonts w:ascii="Times New Roman" w:hAnsi="Times New Roman" w:cs="Times New Roman"/>
          <w:sz w:val="24"/>
          <w:szCs w:val="24"/>
        </w:rPr>
        <w:t>Cechinel</w:t>
      </w:r>
      <w:proofErr w:type="spellEnd"/>
      <w:r w:rsidRPr="002F4FCC">
        <w:rPr>
          <w:rFonts w:ascii="Times New Roman" w:hAnsi="Times New Roman" w:cs="Times New Roman"/>
          <w:sz w:val="24"/>
          <w:szCs w:val="24"/>
        </w:rPr>
        <w:t xml:space="preserve">, C. A Learning Analytics Approach to Identify Students at Risk of Dropout: A Case Study with a Technical Distance Education Course. Appl. Sci. 2020, 10, 3998. </w:t>
      </w:r>
      <w:hyperlink r:id="rId30" w:history="1">
        <w:r w:rsidRPr="002F4FCC">
          <w:rPr>
            <w:rStyle w:val="Hyperlink"/>
            <w:rFonts w:ascii="Times New Roman" w:hAnsi="Times New Roman" w:cs="Times New Roman"/>
            <w:sz w:val="24"/>
            <w:szCs w:val="24"/>
          </w:rPr>
          <w:t>https://doi.org/10.3390/app10113998</w:t>
        </w:r>
      </w:hyperlink>
    </w:p>
    <w:p w14:paraId="64D06BDA" w14:textId="500D35B9"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Ramli ISM, Maat SM, Khalid (2022). Digital Game-based Learning and Learning Analytics in Mathematics. </w:t>
      </w:r>
      <w:proofErr w:type="spellStart"/>
      <w:r w:rsidRPr="002F4FCC">
        <w:rPr>
          <w:rFonts w:ascii="Times New Roman" w:hAnsi="Times New Roman" w:cs="Times New Roman"/>
          <w:sz w:val="24"/>
          <w:szCs w:val="24"/>
        </w:rPr>
        <w:t>Pegem</w:t>
      </w:r>
      <w:proofErr w:type="spellEnd"/>
      <w:r w:rsidRPr="002F4FCC">
        <w:rPr>
          <w:rFonts w:ascii="Times New Roman" w:hAnsi="Times New Roman" w:cs="Times New Roman"/>
          <w:sz w:val="24"/>
          <w:szCs w:val="24"/>
        </w:rPr>
        <w:t xml:space="preserve"> Journal of Education and Instruction, Vol. 13, No. 1, 2022,168-176. 10.47750/pegegog.13.01.19 </w:t>
      </w:r>
      <w:hyperlink r:id="rId31" w:history="1">
        <w:r w:rsidRPr="002F4FCC">
          <w:rPr>
            <w:rStyle w:val="Hyperlink"/>
            <w:rFonts w:ascii="Times New Roman" w:hAnsi="Times New Roman" w:cs="Times New Roman"/>
            <w:sz w:val="24"/>
            <w:szCs w:val="24"/>
          </w:rPr>
          <w:t>https://doi.org/10.47750/pegegog.13.01.19</w:t>
        </w:r>
      </w:hyperlink>
    </w:p>
    <w:p w14:paraId="2AC66FBA"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Ramli, I, S, M., Maat, S. M. &amp; Khalid, F. (2022). The design of game-based learning and learning analytics. Cypriot Journal of Educational Science. 17(5), 1742-1759. </w:t>
      </w:r>
      <w:hyperlink r:id="rId32" w:history="1">
        <w:r w:rsidRPr="002F4FCC">
          <w:rPr>
            <w:rStyle w:val="Hyperlink"/>
            <w:rFonts w:ascii="Times New Roman" w:hAnsi="Times New Roman" w:cs="Times New Roman"/>
            <w:sz w:val="24"/>
            <w:szCs w:val="24"/>
          </w:rPr>
          <w:t>https://doi.org/10.18844/cjes.v17i5.7326</w:t>
        </w:r>
      </w:hyperlink>
    </w:p>
    <w:p w14:paraId="661343E2" w14:textId="539B3A29"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Reshmy</w:t>
      </w:r>
      <w:proofErr w:type="spellEnd"/>
      <w:r w:rsidRPr="002F4FCC">
        <w:rPr>
          <w:rFonts w:ascii="Times New Roman" w:hAnsi="Times New Roman" w:cs="Times New Roman"/>
          <w:sz w:val="24"/>
          <w:szCs w:val="24"/>
        </w:rPr>
        <w:t xml:space="preserve"> Krishnan &amp; </w:t>
      </w:r>
      <w:proofErr w:type="spellStart"/>
      <w:r w:rsidRPr="002F4FCC">
        <w:rPr>
          <w:rFonts w:ascii="Times New Roman" w:hAnsi="Times New Roman" w:cs="Times New Roman"/>
          <w:sz w:val="24"/>
          <w:szCs w:val="24"/>
        </w:rPr>
        <w:t>Sarachandran</w:t>
      </w:r>
      <w:proofErr w:type="spellEnd"/>
      <w:r w:rsidRPr="002F4FCC">
        <w:rPr>
          <w:rFonts w:ascii="Times New Roman" w:hAnsi="Times New Roman" w:cs="Times New Roman"/>
          <w:sz w:val="24"/>
          <w:szCs w:val="24"/>
        </w:rPr>
        <w:t xml:space="preserve"> Nair &amp; Baby Sam Saamuel &amp; Sheeba Justin &amp; Celestine </w:t>
      </w:r>
      <w:proofErr w:type="spellStart"/>
      <w:r w:rsidRPr="002F4FCC">
        <w:rPr>
          <w:rFonts w:ascii="Times New Roman" w:hAnsi="Times New Roman" w:cs="Times New Roman"/>
          <w:sz w:val="24"/>
          <w:szCs w:val="24"/>
        </w:rPr>
        <w:t>Iwendi</w:t>
      </w:r>
      <w:proofErr w:type="spellEnd"/>
      <w:r w:rsidRPr="002F4FCC">
        <w:rPr>
          <w:rFonts w:ascii="Times New Roman" w:hAnsi="Times New Roman" w:cs="Times New Roman"/>
          <w:sz w:val="24"/>
          <w:szCs w:val="24"/>
        </w:rPr>
        <w:t xml:space="preserve"> &amp; </w:t>
      </w:r>
      <w:proofErr w:type="spellStart"/>
      <w:r w:rsidRPr="002F4FCC">
        <w:rPr>
          <w:rFonts w:ascii="Times New Roman" w:hAnsi="Times New Roman" w:cs="Times New Roman"/>
          <w:sz w:val="24"/>
          <w:szCs w:val="24"/>
        </w:rPr>
        <w:t>Cresantus</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Biamba</w:t>
      </w:r>
      <w:proofErr w:type="spellEnd"/>
      <w:r w:rsidRPr="002F4FCC">
        <w:rPr>
          <w:rFonts w:ascii="Times New Roman" w:hAnsi="Times New Roman" w:cs="Times New Roman"/>
          <w:sz w:val="24"/>
          <w:szCs w:val="24"/>
        </w:rPr>
        <w:t xml:space="preserve"> &amp; Ebuka </w:t>
      </w:r>
      <w:proofErr w:type="spellStart"/>
      <w:r w:rsidRPr="002F4FCC">
        <w:rPr>
          <w:rFonts w:ascii="Times New Roman" w:hAnsi="Times New Roman" w:cs="Times New Roman"/>
          <w:sz w:val="24"/>
          <w:szCs w:val="24"/>
        </w:rPr>
        <w:t>Ibeke</w:t>
      </w:r>
      <w:proofErr w:type="spellEnd"/>
      <w:r w:rsidRPr="002F4FCC">
        <w:rPr>
          <w:rFonts w:ascii="Times New Roman" w:hAnsi="Times New Roman" w:cs="Times New Roman"/>
          <w:sz w:val="24"/>
          <w:szCs w:val="24"/>
        </w:rPr>
        <w:t>, 2022. "Smart Analysis of Learners Performance Using Learning Analytics for Improving Academic Progression: A Case Study Model," Sustainability, MDPI, vol. 14(6), pages 1-13, March.</w:t>
      </w:r>
    </w:p>
    <w:p w14:paraId="462ED69C" w14:textId="70027CE3"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Retes et al. (2021). Exploring critical factors of the perceived usefulness of a learning analytics dashboard for distance university students. Int J Educ Technol High Educ 18:46 </w:t>
      </w:r>
      <w:hyperlink r:id="rId33" w:history="1">
        <w:r w:rsidRPr="002F4FCC">
          <w:rPr>
            <w:rStyle w:val="Hyperlink"/>
            <w:rFonts w:ascii="Times New Roman" w:hAnsi="Times New Roman" w:cs="Times New Roman"/>
            <w:sz w:val="24"/>
            <w:szCs w:val="24"/>
          </w:rPr>
          <w:t>https://doi.org/10.1186/s41239-021-00284-9</w:t>
        </w:r>
      </w:hyperlink>
    </w:p>
    <w:p w14:paraId="2FCC3539" w14:textId="171A51B6"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lastRenderedPageBreak/>
        <w:t>Reyes, C. T. (2018). Developing a student support system through learning analytics for undergraduates at the University of the Philippines Open University. Quezon City, Philippines: Foundation for Information Technology Education and Development.</w:t>
      </w:r>
    </w:p>
    <w:p w14:paraId="6FF44E8B" w14:textId="56CA4FCD"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Rodríguez-Triana, M. J., Prieto, L. P., Dimitriadis, Y., de Jong, T., &amp; Gillet, D. (2021). ADA for IBL: Lessons Learned in Aligning Learning Design and Analytics for Inquiry-Based Learning Orchestration. Journal of Learning Analytics, 8(2), 22-50. </w:t>
      </w:r>
      <w:hyperlink r:id="rId34" w:history="1">
        <w:r w:rsidRPr="002F4FCC">
          <w:rPr>
            <w:rStyle w:val="Hyperlink"/>
            <w:rFonts w:ascii="Times New Roman" w:hAnsi="Times New Roman" w:cs="Times New Roman"/>
            <w:sz w:val="24"/>
            <w:szCs w:val="24"/>
          </w:rPr>
          <w:t>https://doi.org/10.18608/jla.2021.7357</w:t>
        </w:r>
      </w:hyperlink>
    </w:p>
    <w:p w14:paraId="70991AA2" w14:textId="7A9DFF9A"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Rudhumbu</w:t>
      </w:r>
      <w:proofErr w:type="spellEnd"/>
      <w:r w:rsidRPr="002F4FCC">
        <w:rPr>
          <w:rFonts w:ascii="Times New Roman" w:hAnsi="Times New Roman" w:cs="Times New Roman"/>
          <w:sz w:val="24"/>
          <w:szCs w:val="24"/>
        </w:rPr>
        <w:t xml:space="preserve">, N. (2022). Applying the UTAUT2 to predict the acceptance of blended learning by university students. Asian Association of Open Universities Journal Vol. 17 No. 1, pp. 15-36. Emerald Publishing Limited. DOI 10.1108/AAOUJ-08-2021-0084. </w:t>
      </w:r>
      <w:hyperlink r:id="rId35" w:history="1">
        <w:r w:rsidRPr="002F4FCC">
          <w:rPr>
            <w:rStyle w:val="Hyperlink"/>
            <w:rFonts w:ascii="Times New Roman" w:hAnsi="Times New Roman" w:cs="Times New Roman"/>
            <w:sz w:val="24"/>
            <w:szCs w:val="24"/>
          </w:rPr>
          <w:t>https://www.emerald.com/insight/2414-6994.htm</w:t>
        </w:r>
      </w:hyperlink>
    </w:p>
    <w:p w14:paraId="5551CE01" w14:textId="4657DBF9"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 </w:t>
      </w:r>
      <w:proofErr w:type="spellStart"/>
      <w:r w:rsidRPr="002F4FCC">
        <w:rPr>
          <w:rFonts w:ascii="Times New Roman" w:hAnsi="Times New Roman" w:cs="Times New Roman"/>
          <w:sz w:val="24"/>
          <w:szCs w:val="24"/>
        </w:rPr>
        <w:t>Chomunorwa</w:t>
      </w:r>
      <w:proofErr w:type="spellEnd"/>
      <w:r w:rsidRPr="002F4FCC">
        <w:rPr>
          <w:rFonts w:ascii="Times New Roman" w:hAnsi="Times New Roman" w:cs="Times New Roman"/>
          <w:sz w:val="24"/>
          <w:szCs w:val="24"/>
        </w:rPr>
        <w:t xml:space="preserve"> and C. van den Berg (2023). Assessing Institutional Readiness for the Fourth Industrial Revolution: Using Learning Analytics to Improve Student Experiences. AFRICATEK 2022, LNICST 503, pp. 17–32. </w:t>
      </w:r>
      <w:hyperlink r:id="rId36" w:history="1">
        <w:r w:rsidRPr="002F4FCC">
          <w:rPr>
            <w:rStyle w:val="Hyperlink"/>
            <w:rFonts w:ascii="Times New Roman" w:hAnsi="Times New Roman" w:cs="Times New Roman"/>
            <w:sz w:val="24"/>
            <w:szCs w:val="24"/>
          </w:rPr>
          <w:t>https://doi.org/10.1007/978-3-031-35883-8_2</w:t>
        </w:r>
      </w:hyperlink>
    </w:p>
    <w:p w14:paraId="7177768D" w14:textId="1CF57A64"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Sahni, J. (2023). Is Learning Analytics the Future of Online Education</w:t>
      </w:r>
      <w:proofErr w:type="gramStart"/>
      <w:r w:rsidRPr="002F4FCC">
        <w:rPr>
          <w:rFonts w:ascii="Times New Roman" w:hAnsi="Times New Roman" w:cs="Times New Roman"/>
          <w:sz w:val="24"/>
          <w:szCs w:val="24"/>
        </w:rPr>
        <w:t>? :</w:t>
      </w:r>
      <w:proofErr w:type="gramEnd"/>
      <w:r w:rsidRPr="002F4FCC">
        <w:rPr>
          <w:rFonts w:ascii="Times New Roman" w:hAnsi="Times New Roman" w:cs="Times New Roman"/>
          <w:sz w:val="24"/>
          <w:szCs w:val="24"/>
        </w:rPr>
        <w:t xml:space="preserve"> Assessing Student Engagement and Academic Performance in the Online Learning Environment. International Journal of Emerging Technologies in Learning (</w:t>
      </w:r>
      <w:proofErr w:type="spellStart"/>
      <w:r w:rsidRPr="002F4FCC">
        <w:rPr>
          <w:rFonts w:ascii="Times New Roman" w:hAnsi="Times New Roman" w:cs="Times New Roman"/>
          <w:sz w:val="24"/>
          <w:szCs w:val="24"/>
        </w:rPr>
        <w:t>iJET</w:t>
      </w:r>
      <w:proofErr w:type="spellEnd"/>
      <w:r w:rsidRPr="002F4FCC">
        <w:rPr>
          <w:rFonts w:ascii="Times New Roman" w:hAnsi="Times New Roman" w:cs="Times New Roman"/>
          <w:sz w:val="24"/>
          <w:szCs w:val="24"/>
        </w:rPr>
        <w:t xml:space="preserve">), 18(02), pp. 33–49. </w:t>
      </w:r>
      <w:hyperlink r:id="rId37" w:history="1">
        <w:r w:rsidRPr="002F4FCC">
          <w:rPr>
            <w:rStyle w:val="Hyperlink"/>
            <w:rFonts w:ascii="Times New Roman" w:hAnsi="Times New Roman" w:cs="Times New Roman"/>
            <w:sz w:val="24"/>
            <w:szCs w:val="24"/>
          </w:rPr>
          <w:t>https://doi.org/10.3991/ijet.v18i02.32167</w:t>
        </w:r>
      </w:hyperlink>
    </w:p>
    <w:p w14:paraId="585BC0E6" w14:textId="3D64A2A1"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Samngamjan</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Nontachai</w:t>
      </w:r>
      <w:proofErr w:type="spellEnd"/>
      <w:r w:rsidRPr="002F4FCC">
        <w:rPr>
          <w:rFonts w:ascii="Times New Roman" w:hAnsi="Times New Roman" w:cs="Times New Roman"/>
          <w:sz w:val="24"/>
          <w:szCs w:val="24"/>
        </w:rPr>
        <w:t xml:space="preserve"> &amp; Philuek, </w:t>
      </w:r>
      <w:proofErr w:type="spellStart"/>
      <w:r w:rsidRPr="002F4FCC">
        <w:rPr>
          <w:rFonts w:ascii="Times New Roman" w:hAnsi="Times New Roman" w:cs="Times New Roman"/>
          <w:sz w:val="24"/>
          <w:szCs w:val="24"/>
        </w:rPr>
        <w:t>Wudhijaya</w:t>
      </w:r>
      <w:proofErr w:type="spellEnd"/>
      <w:r w:rsidRPr="002F4FCC">
        <w:rPr>
          <w:rFonts w:ascii="Times New Roman" w:hAnsi="Times New Roman" w:cs="Times New Roman"/>
          <w:sz w:val="24"/>
          <w:szCs w:val="24"/>
        </w:rPr>
        <w:t xml:space="preserve"> &amp; </w:t>
      </w:r>
      <w:proofErr w:type="spellStart"/>
      <w:r w:rsidRPr="002F4FCC">
        <w:rPr>
          <w:rFonts w:ascii="Times New Roman" w:hAnsi="Times New Roman" w:cs="Times New Roman"/>
          <w:sz w:val="24"/>
          <w:szCs w:val="24"/>
        </w:rPr>
        <w:t>Malangpoo</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Pachara</w:t>
      </w:r>
      <w:proofErr w:type="spellEnd"/>
      <w:r w:rsidRPr="002F4FCC">
        <w:rPr>
          <w:rFonts w:ascii="Times New Roman" w:hAnsi="Times New Roman" w:cs="Times New Roman"/>
          <w:sz w:val="24"/>
          <w:szCs w:val="24"/>
        </w:rPr>
        <w:t xml:space="preserve">. (2021). A Study </w:t>
      </w:r>
      <w:proofErr w:type="gramStart"/>
      <w:r w:rsidRPr="002F4FCC">
        <w:rPr>
          <w:rFonts w:ascii="Times New Roman" w:hAnsi="Times New Roman" w:cs="Times New Roman"/>
          <w:sz w:val="24"/>
          <w:szCs w:val="24"/>
        </w:rPr>
        <w:t>On</w:t>
      </w:r>
      <w:proofErr w:type="gramEnd"/>
      <w:r w:rsidRPr="002F4FCC">
        <w:rPr>
          <w:rFonts w:ascii="Times New Roman" w:hAnsi="Times New Roman" w:cs="Times New Roman"/>
          <w:sz w:val="24"/>
          <w:szCs w:val="24"/>
        </w:rPr>
        <w:t xml:space="preserve"> Factors And Using Machine Learning For Learning Analytics In Computer Programming Of Junior High School Students. 10.13140/RG.2.2.31664.74249. </w:t>
      </w:r>
      <w:hyperlink r:id="rId38" w:history="1">
        <w:r w:rsidRPr="002F4FCC">
          <w:rPr>
            <w:rStyle w:val="Hyperlink"/>
            <w:rFonts w:ascii="Times New Roman" w:hAnsi="Times New Roman" w:cs="Times New Roman"/>
            <w:sz w:val="24"/>
            <w:szCs w:val="24"/>
          </w:rPr>
          <w:t>https://www.researchgate.net/publication/371834365</w:t>
        </w:r>
      </w:hyperlink>
    </w:p>
    <w:p w14:paraId="62A28D3E" w14:textId="2E4B1523"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Sense, F., van der Velde, M., &amp; van Rijn, H. (2021). Predicting University Students' Exam Performance Using a Model-Based Adaptive Fact-Learning System. Journal of Learning Analytics, 8(3), 155-169. </w:t>
      </w:r>
      <w:hyperlink r:id="rId39" w:history="1">
        <w:r w:rsidRPr="002F4FCC">
          <w:rPr>
            <w:rStyle w:val="Hyperlink"/>
            <w:rFonts w:ascii="Times New Roman" w:hAnsi="Times New Roman" w:cs="Times New Roman"/>
            <w:sz w:val="24"/>
            <w:szCs w:val="24"/>
          </w:rPr>
          <w:t>https://doi.org/10.18608/jla.2021.6590</w:t>
        </w:r>
      </w:hyperlink>
    </w:p>
    <w:p w14:paraId="6639BC49" w14:textId="6E4939CC"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Siemens, G., &amp; Long, P. (2011). Penetrating the Fog: Analytics in Learning and Education. EDUCAUSE Review, 46(5), 30-32.</w:t>
      </w:r>
    </w:p>
    <w:p w14:paraId="25878ECE" w14:textId="7903583D"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Slade, S. et al (2023). "Trust us," They said. Mapping the contours of trustworthiness in learning analytics. Information and Learning Sciences. Vol. 124 No. 9/10, pp. 306-325. DOI 10.1108/ILS-04-2023-0042</w:t>
      </w:r>
    </w:p>
    <w:p w14:paraId="73D0FDB3" w14:textId="63FFEFA2"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Šmitienė</w:t>
      </w:r>
      <w:proofErr w:type="spellEnd"/>
      <w:r w:rsidRPr="002F4FCC">
        <w:rPr>
          <w:rFonts w:ascii="Times New Roman" w:hAnsi="Times New Roman" w:cs="Times New Roman"/>
          <w:sz w:val="24"/>
          <w:szCs w:val="24"/>
        </w:rPr>
        <w:t xml:space="preserve">, G., </w:t>
      </w:r>
      <w:proofErr w:type="spellStart"/>
      <w:r w:rsidRPr="002F4FCC">
        <w:rPr>
          <w:rFonts w:ascii="Times New Roman" w:hAnsi="Times New Roman" w:cs="Times New Roman"/>
          <w:sz w:val="24"/>
          <w:szCs w:val="24"/>
        </w:rPr>
        <w:t>Girdzijauskienė</w:t>
      </w:r>
      <w:proofErr w:type="spellEnd"/>
      <w:r w:rsidRPr="002F4FCC">
        <w:rPr>
          <w:rFonts w:ascii="Times New Roman" w:hAnsi="Times New Roman" w:cs="Times New Roman"/>
          <w:sz w:val="24"/>
          <w:szCs w:val="24"/>
        </w:rPr>
        <w:t xml:space="preserve">, R., Melnikova, J., </w:t>
      </w:r>
      <w:proofErr w:type="spellStart"/>
      <w:r w:rsidRPr="002F4FCC">
        <w:rPr>
          <w:rFonts w:ascii="Times New Roman" w:hAnsi="Times New Roman" w:cs="Times New Roman"/>
          <w:sz w:val="24"/>
          <w:szCs w:val="24"/>
        </w:rPr>
        <w:t>Norvilienė</w:t>
      </w:r>
      <w:proofErr w:type="spellEnd"/>
      <w:r w:rsidRPr="002F4FCC">
        <w:rPr>
          <w:rFonts w:ascii="Times New Roman" w:hAnsi="Times New Roman" w:cs="Times New Roman"/>
          <w:sz w:val="24"/>
          <w:szCs w:val="24"/>
        </w:rPr>
        <w:t xml:space="preserve">, A., &amp; </w:t>
      </w:r>
      <w:proofErr w:type="spellStart"/>
      <w:r w:rsidRPr="002F4FCC">
        <w:rPr>
          <w:rFonts w:ascii="Times New Roman" w:hAnsi="Times New Roman" w:cs="Times New Roman"/>
          <w:sz w:val="24"/>
          <w:szCs w:val="24"/>
        </w:rPr>
        <w:t>Šakytė</w:t>
      </w:r>
      <w:proofErr w:type="spellEnd"/>
      <w:r w:rsidRPr="002F4FCC">
        <w:rPr>
          <w:rFonts w:ascii="Times New Roman" w:hAnsi="Times New Roman" w:cs="Times New Roman"/>
          <w:sz w:val="24"/>
          <w:szCs w:val="24"/>
        </w:rPr>
        <w:t xml:space="preserve">-Statnickė, G. (2021). </w:t>
      </w:r>
      <w:proofErr w:type="spellStart"/>
      <w:r w:rsidRPr="002F4FCC">
        <w:rPr>
          <w:rFonts w:ascii="Times New Roman" w:hAnsi="Times New Roman" w:cs="Times New Roman"/>
          <w:sz w:val="24"/>
          <w:szCs w:val="24"/>
        </w:rPr>
        <w:t>Mokymosi</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analitikos</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naudojimas</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matematikos</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ir</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gamtamokslinio</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ugdymo</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pamokose</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pagrindinio</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ugdymo</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mokytojų</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patirtys</w:t>
      </w:r>
      <w:proofErr w:type="spellEnd"/>
      <w:r w:rsidRPr="002F4FCC">
        <w:rPr>
          <w:rFonts w:ascii="Times New Roman" w:hAnsi="Times New Roman" w:cs="Times New Roman"/>
          <w:sz w:val="24"/>
          <w:szCs w:val="24"/>
        </w:rPr>
        <w:t xml:space="preserve"> [Applying learning analytics in mathematics and science education lessons: Experiences of teachers in basic education]. </w:t>
      </w:r>
      <w:proofErr w:type="spellStart"/>
      <w:r w:rsidRPr="002F4FCC">
        <w:rPr>
          <w:rFonts w:ascii="Times New Roman" w:hAnsi="Times New Roman" w:cs="Times New Roman"/>
          <w:sz w:val="24"/>
          <w:szCs w:val="24"/>
        </w:rPr>
        <w:t>Gamtamokslinis</w:t>
      </w:r>
      <w:proofErr w:type="spellEnd"/>
      <w:r w:rsidRPr="002F4FCC">
        <w:rPr>
          <w:rFonts w:ascii="Times New Roman" w:hAnsi="Times New Roman" w:cs="Times New Roman"/>
          <w:sz w:val="24"/>
          <w:szCs w:val="24"/>
        </w:rPr>
        <w:t xml:space="preserve"> </w:t>
      </w:r>
      <w:proofErr w:type="spellStart"/>
      <w:r w:rsidRPr="002F4FCC">
        <w:rPr>
          <w:rFonts w:ascii="Times New Roman" w:hAnsi="Times New Roman" w:cs="Times New Roman"/>
          <w:sz w:val="24"/>
          <w:szCs w:val="24"/>
        </w:rPr>
        <w:t>ugdymas</w:t>
      </w:r>
      <w:proofErr w:type="spellEnd"/>
      <w:r w:rsidRPr="002F4FCC">
        <w:rPr>
          <w:rFonts w:ascii="Times New Roman" w:hAnsi="Times New Roman" w:cs="Times New Roman"/>
          <w:sz w:val="24"/>
          <w:szCs w:val="24"/>
        </w:rPr>
        <w:t xml:space="preserve"> / Natural Science Education, 18(2), 75-86. </w:t>
      </w:r>
      <w:hyperlink r:id="rId40" w:history="1">
        <w:r w:rsidRPr="002F4FCC">
          <w:rPr>
            <w:rStyle w:val="Hyperlink"/>
            <w:rFonts w:ascii="Times New Roman" w:hAnsi="Times New Roman" w:cs="Times New Roman"/>
            <w:sz w:val="24"/>
            <w:szCs w:val="24"/>
          </w:rPr>
          <w:t>https://doi.org/10.48127/gu-nse/21.18.75</w:t>
        </w:r>
      </w:hyperlink>
    </w:p>
    <w:p w14:paraId="5C88AEBB" w14:textId="6B4698EE"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proofErr w:type="spellStart"/>
      <w:r w:rsidRPr="002F4FCC">
        <w:rPr>
          <w:rFonts w:ascii="Times New Roman" w:hAnsi="Times New Roman" w:cs="Times New Roman"/>
          <w:sz w:val="24"/>
          <w:szCs w:val="24"/>
        </w:rPr>
        <w:t>Srimadhaven</w:t>
      </w:r>
      <w:proofErr w:type="spellEnd"/>
      <w:r w:rsidRPr="002F4FCC">
        <w:rPr>
          <w:rFonts w:ascii="Times New Roman" w:hAnsi="Times New Roman" w:cs="Times New Roman"/>
          <w:sz w:val="24"/>
          <w:szCs w:val="24"/>
        </w:rPr>
        <w:t xml:space="preserve"> T, Chris Junni AV, Naga Harshith, </w:t>
      </w:r>
      <w:proofErr w:type="spellStart"/>
      <w:r w:rsidRPr="002F4FCC">
        <w:rPr>
          <w:rFonts w:ascii="Times New Roman" w:hAnsi="Times New Roman" w:cs="Times New Roman"/>
          <w:sz w:val="24"/>
          <w:szCs w:val="24"/>
        </w:rPr>
        <w:t>Jessenth</w:t>
      </w:r>
      <w:proofErr w:type="spellEnd"/>
      <w:r w:rsidRPr="002F4FCC">
        <w:rPr>
          <w:rFonts w:ascii="Times New Roman" w:hAnsi="Times New Roman" w:cs="Times New Roman"/>
          <w:sz w:val="24"/>
          <w:szCs w:val="24"/>
        </w:rPr>
        <w:t xml:space="preserve"> Ebenezer S, Shabari Girish S, </w:t>
      </w:r>
      <w:proofErr w:type="spellStart"/>
      <w:r w:rsidRPr="002F4FCC">
        <w:rPr>
          <w:rFonts w:ascii="Times New Roman" w:hAnsi="Times New Roman" w:cs="Times New Roman"/>
          <w:sz w:val="24"/>
          <w:szCs w:val="24"/>
        </w:rPr>
        <w:t>Priyaadharshini</w:t>
      </w:r>
      <w:proofErr w:type="spellEnd"/>
      <w:r w:rsidRPr="002F4FCC">
        <w:rPr>
          <w:rFonts w:ascii="Times New Roman" w:hAnsi="Times New Roman" w:cs="Times New Roman"/>
          <w:sz w:val="24"/>
          <w:szCs w:val="24"/>
        </w:rPr>
        <w:t xml:space="preserve"> M (2020). Learning Analytics: Virtual Reality for Programming Course in Higher Education, Procedia Computer Science, Volume 172, Pages 433-437, ISSN 1877-0509, </w:t>
      </w:r>
      <w:hyperlink r:id="rId41" w:history="1">
        <w:r w:rsidRPr="002F4FCC">
          <w:rPr>
            <w:rStyle w:val="Hyperlink"/>
            <w:rFonts w:ascii="Times New Roman" w:hAnsi="Times New Roman" w:cs="Times New Roman"/>
            <w:sz w:val="24"/>
            <w:szCs w:val="24"/>
          </w:rPr>
          <w:t>https://doi.org/10.1016/j.procs.2020.05.095</w:t>
        </w:r>
      </w:hyperlink>
      <w:r w:rsidRPr="002F4FCC">
        <w:rPr>
          <w:rFonts w:ascii="Times New Roman" w:hAnsi="Times New Roman" w:cs="Times New Roman"/>
          <w:sz w:val="24"/>
          <w:szCs w:val="24"/>
        </w:rPr>
        <w:t xml:space="preserve">. </w:t>
      </w:r>
      <w:hyperlink r:id="rId42" w:history="1">
        <w:r w:rsidRPr="002F4FCC">
          <w:rPr>
            <w:rStyle w:val="Hyperlink"/>
            <w:rFonts w:ascii="Times New Roman" w:hAnsi="Times New Roman" w:cs="Times New Roman"/>
            <w:sz w:val="24"/>
            <w:szCs w:val="24"/>
          </w:rPr>
          <w:t>https://www.sciencedirect.com/science/article/pii/S1877050920314241</w:t>
        </w:r>
      </w:hyperlink>
    </w:p>
    <w:p w14:paraId="6ED81C96" w14:textId="0F3A7194"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Stamper, John &amp; </w:t>
      </w:r>
      <w:proofErr w:type="spellStart"/>
      <w:r w:rsidRPr="002F4FCC">
        <w:rPr>
          <w:rFonts w:ascii="Times New Roman" w:hAnsi="Times New Roman" w:cs="Times New Roman"/>
          <w:sz w:val="24"/>
          <w:szCs w:val="24"/>
        </w:rPr>
        <w:t>Pardos</w:t>
      </w:r>
      <w:proofErr w:type="spellEnd"/>
      <w:r w:rsidRPr="002F4FCC">
        <w:rPr>
          <w:rFonts w:ascii="Times New Roman" w:hAnsi="Times New Roman" w:cs="Times New Roman"/>
          <w:sz w:val="24"/>
          <w:szCs w:val="24"/>
        </w:rPr>
        <w:t xml:space="preserve">, Zachary. (2016). The 2010 KDD Cup Competition Dataset: Engaging the Machine Learning Community in Predictive Learning Analytics. Journal of Learning Analytics. 3. 312-316. 10.18608/jla.2016.32.1 </w:t>
      </w:r>
      <w:hyperlink r:id="rId43" w:history="1">
        <w:r w:rsidRPr="002F4FCC">
          <w:rPr>
            <w:rStyle w:val="Hyperlink"/>
            <w:rFonts w:ascii="Times New Roman" w:hAnsi="Times New Roman" w:cs="Times New Roman"/>
            <w:sz w:val="24"/>
            <w:szCs w:val="24"/>
          </w:rPr>
          <w:t>https://www.researchgate.net/publication/308271936</w:t>
        </w:r>
      </w:hyperlink>
    </w:p>
    <w:p w14:paraId="31FCD4E0" w14:textId="76C5D352"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Swauger, S </w:t>
      </w:r>
      <w:proofErr w:type="gramStart"/>
      <w:r w:rsidRPr="002F4FCC">
        <w:rPr>
          <w:rFonts w:ascii="Times New Roman" w:hAnsi="Times New Roman" w:cs="Times New Roman"/>
          <w:sz w:val="24"/>
          <w:szCs w:val="24"/>
        </w:rPr>
        <w:t>and  Kalir</w:t>
      </w:r>
      <w:proofErr w:type="gramEnd"/>
      <w:r w:rsidRPr="002F4FCC">
        <w:rPr>
          <w:rFonts w:ascii="Times New Roman" w:hAnsi="Times New Roman" w:cs="Times New Roman"/>
          <w:sz w:val="24"/>
          <w:szCs w:val="24"/>
        </w:rPr>
        <w:t xml:space="preserve">, R (2023). Learning Analytics and the Abolitionist Imagination. Journal of Learning Analytics. 10(1). 101-112. </w:t>
      </w:r>
      <w:hyperlink r:id="rId44" w:history="1">
        <w:r w:rsidRPr="002F4FCC">
          <w:rPr>
            <w:rStyle w:val="Hyperlink"/>
            <w:rFonts w:ascii="Times New Roman" w:hAnsi="Times New Roman" w:cs="Times New Roman"/>
            <w:sz w:val="24"/>
            <w:szCs w:val="24"/>
          </w:rPr>
          <w:t>https://doi.org/10.18608/jla.2023.7813</w:t>
        </w:r>
      </w:hyperlink>
    </w:p>
    <w:p w14:paraId="6F9E87E5" w14:textId="26BCEF90"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Sweet, M., &amp; Moynihan, R. (2007). </w:t>
      </w:r>
      <w:proofErr w:type="gramStart"/>
      <w:r w:rsidRPr="002F4FCC">
        <w:rPr>
          <w:rFonts w:ascii="Times New Roman" w:hAnsi="Times New Roman" w:cs="Times New Roman"/>
          <w:sz w:val="24"/>
          <w:szCs w:val="24"/>
        </w:rPr>
        <w:t>Improving  Population</w:t>
      </w:r>
      <w:proofErr w:type="gramEnd"/>
      <w:r w:rsidRPr="002F4FCC">
        <w:rPr>
          <w:rFonts w:ascii="Times New Roman" w:hAnsi="Times New Roman" w:cs="Times New Roman"/>
          <w:sz w:val="24"/>
          <w:szCs w:val="24"/>
        </w:rPr>
        <w:t xml:space="preserve"> Health: the uses of systematic review.  Millbank Memorial Fund. </w:t>
      </w:r>
      <w:hyperlink r:id="rId45" w:history="1">
        <w:r w:rsidRPr="002F4FCC">
          <w:rPr>
            <w:rStyle w:val="Hyperlink"/>
            <w:rFonts w:ascii="Times New Roman" w:hAnsi="Times New Roman" w:cs="Times New Roman"/>
            <w:sz w:val="24"/>
            <w:szCs w:val="24"/>
          </w:rPr>
          <w:t>www.milbanj.org</w:t>
        </w:r>
      </w:hyperlink>
    </w:p>
    <w:p w14:paraId="6708255A" w14:textId="2D4C2562"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Wiley, K., Dimitriadis, Y., &amp; Linn, M. (2023</w:t>
      </w:r>
      <w:proofErr w:type="gramStart"/>
      <w:r w:rsidRPr="002F4FCC">
        <w:rPr>
          <w:rFonts w:ascii="Times New Roman" w:hAnsi="Times New Roman" w:cs="Times New Roman"/>
          <w:sz w:val="24"/>
          <w:szCs w:val="24"/>
        </w:rPr>
        <w:t>)  A</w:t>
      </w:r>
      <w:proofErr w:type="gramEnd"/>
      <w:r w:rsidRPr="002F4FCC">
        <w:rPr>
          <w:rFonts w:ascii="Times New Roman" w:hAnsi="Times New Roman" w:cs="Times New Roman"/>
          <w:sz w:val="24"/>
          <w:szCs w:val="24"/>
        </w:rPr>
        <w:t xml:space="preserve"> human-centered learning analytics approach for developing contextually scalable K-12 teacher dashboards. British Journal of Educational Technology. </w:t>
      </w:r>
      <w:hyperlink r:id="rId46" w:history="1">
        <w:r w:rsidRPr="002F4FCC">
          <w:rPr>
            <w:rStyle w:val="Hyperlink"/>
            <w:rFonts w:ascii="Times New Roman" w:hAnsi="Times New Roman" w:cs="Times New Roman"/>
            <w:sz w:val="24"/>
            <w:szCs w:val="24"/>
          </w:rPr>
          <w:t>https://doi.org/10.1111/bjet.13383</w:t>
        </w:r>
      </w:hyperlink>
    </w:p>
    <w:p w14:paraId="619F73C2" w14:textId="1164CFAA"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Yang, Stephen &amp; Lu, Owen &amp; Huang, Anna &amp; Huang, Jeff &amp; Ogata, Hiroaki &amp; Lin, Albert. (2018). Predicting Students' Academic Performance Using Multiple Linear Regression and Principal Component Analysis. Journal of Information Processing. 26. 170-176. 10.2197/ipsjjip.26.170.</w:t>
      </w:r>
    </w:p>
    <w:p w14:paraId="3D28B856"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lang w:val="en-PH"/>
        </w:rPr>
      </w:pPr>
      <w:r w:rsidRPr="002F4FCC">
        <w:rPr>
          <w:rFonts w:ascii="Times New Roman" w:hAnsi="Times New Roman" w:cs="Times New Roman"/>
          <w:sz w:val="24"/>
          <w:szCs w:val="24"/>
        </w:rPr>
        <w:t xml:space="preserve">Zhou, Qian and Han, Xibin and Yang, Juan and Cheng, </w:t>
      </w:r>
      <w:proofErr w:type="spellStart"/>
      <w:r w:rsidRPr="002F4FCC">
        <w:rPr>
          <w:rFonts w:ascii="Times New Roman" w:hAnsi="Times New Roman" w:cs="Times New Roman"/>
          <w:sz w:val="24"/>
          <w:szCs w:val="24"/>
        </w:rPr>
        <w:t>Jiangang</w:t>
      </w:r>
      <w:proofErr w:type="spellEnd"/>
      <w:r w:rsidRPr="002F4FCC">
        <w:rPr>
          <w:rFonts w:ascii="Times New Roman" w:hAnsi="Times New Roman" w:cs="Times New Roman"/>
          <w:sz w:val="24"/>
          <w:szCs w:val="24"/>
        </w:rPr>
        <w:t xml:space="preserve"> (2014). Design and Implementation of Learning Analytics System for Teachers and Learners Based on the Specified LMS. 2014 International Conference of Educational Innovation Through Technology (EITT 2014). pp.79-82, </w:t>
      </w:r>
      <w:proofErr w:type="spellStart"/>
      <w:r w:rsidRPr="002F4FCC">
        <w:rPr>
          <w:rFonts w:ascii="Times New Roman" w:hAnsi="Times New Roman" w:cs="Times New Roman"/>
          <w:sz w:val="24"/>
          <w:szCs w:val="24"/>
        </w:rPr>
        <w:t>doi</w:t>
      </w:r>
      <w:proofErr w:type="spellEnd"/>
      <w:r w:rsidRPr="002F4FCC">
        <w:rPr>
          <w:rFonts w:ascii="Times New Roman" w:hAnsi="Times New Roman" w:cs="Times New Roman"/>
          <w:sz w:val="24"/>
          <w:szCs w:val="24"/>
        </w:rPr>
        <w:t xml:space="preserve"> = {10.1109/EITT.2014.21} </w:t>
      </w:r>
      <w:hyperlink r:id="rId47" w:history="1">
        <w:r w:rsidRPr="002F4FCC">
          <w:rPr>
            <w:rStyle w:val="Hyperlink"/>
            <w:rFonts w:ascii="Times New Roman" w:hAnsi="Times New Roman" w:cs="Times New Roman"/>
            <w:sz w:val="24"/>
            <w:szCs w:val="24"/>
          </w:rPr>
          <w:t>https://www.researchgate.net/publication/28659291</w:t>
        </w:r>
      </w:hyperlink>
    </w:p>
    <w:p w14:paraId="51DF1B68" w14:textId="77777777" w:rsidR="00265160" w:rsidRPr="002F4FCC" w:rsidRDefault="00265160" w:rsidP="00615EF1">
      <w:pPr>
        <w:spacing w:before="240" w:after="240" w:line="240" w:lineRule="auto"/>
        <w:jc w:val="both"/>
        <w:rPr>
          <w:rFonts w:ascii="Times New Roman" w:hAnsi="Times New Roman" w:cs="Times New Roman"/>
          <w:sz w:val="24"/>
          <w:szCs w:val="24"/>
        </w:rPr>
      </w:pPr>
    </w:p>
    <w:sectPr w:rsidR="00265160" w:rsidRPr="002F4FCC" w:rsidSect="00265160">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B313" w14:textId="77777777" w:rsidR="002C4E18" w:rsidRDefault="002C4E18" w:rsidP="00265160">
      <w:pPr>
        <w:spacing w:after="0" w:line="240" w:lineRule="auto"/>
      </w:pPr>
      <w:r>
        <w:separator/>
      </w:r>
    </w:p>
  </w:endnote>
  <w:endnote w:type="continuationSeparator" w:id="0">
    <w:p w14:paraId="0F4181F5" w14:textId="77777777" w:rsidR="002C4E18" w:rsidRDefault="002C4E18" w:rsidP="0026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E05B" w14:textId="77777777" w:rsidR="002C4E18" w:rsidRDefault="002C4E18" w:rsidP="00265160">
      <w:pPr>
        <w:spacing w:after="0" w:line="240" w:lineRule="auto"/>
      </w:pPr>
      <w:r>
        <w:separator/>
      </w:r>
    </w:p>
  </w:footnote>
  <w:footnote w:type="continuationSeparator" w:id="0">
    <w:p w14:paraId="643F4E00" w14:textId="77777777" w:rsidR="002C4E18" w:rsidRDefault="002C4E18" w:rsidP="00265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AC4"/>
    <w:multiLevelType w:val="multilevel"/>
    <w:tmpl w:val="F1C2425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360" w:hanging="72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040" w:hanging="108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8720" w:hanging="1440"/>
      </w:pPr>
      <w:rPr>
        <w:rFonts w:hint="default"/>
      </w:rPr>
    </w:lvl>
  </w:abstractNum>
  <w:abstractNum w:abstractNumId="1" w15:restartNumberingAfterBreak="0">
    <w:nsid w:val="081B309C"/>
    <w:multiLevelType w:val="hybridMultilevel"/>
    <w:tmpl w:val="C100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12C3B"/>
    <w:multiLevelType w:val="hybridMultilevel"/>
    <w:tmpl w:val="4266C8A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9B07533"/>
    <w:multiLevelType w:val="hybridMultilevel"/>
    <w:tmpl w:val="BD200A6E"/>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61CA5307"/>
    <w:multiLevelType w:val="hybridMultilevel"/>
    <w:tmpl w:val="16E6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43B97"/>
    <w:multiLevelType w:val="multilevel"/>
    <w:tmpl w:val="60D8ACC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360" w:hanging="72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040" w:hanging="108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8720" w:hanging="1440"/>
      </w:pPr>
      <w:rPr>
        <w:rFonts w:hint="default"/>
      </w:rPr>
    </w:lvl>
  </w:abstractNum>
  <w:abstractNum w:abstractNumId="6" w15:restartNumberingAfterBreak="0">
    <w:nsid w:val="7A2F339A"/>
    <w:multiLevelType w:val="hybridMultilevel"/>
    <w:tmpl w:val="AEE6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60"/>
    <w:rsid w:val="00037825"/>
    <w:rsid w:val="001324DB"/>
    <w:rsid w:val="001F3483"/>
    <w:rsid w:val="00265160"/>
    <w:rsid w:val="00291B62"/>
    <w:rsid w:val="002C4E18"/>
    <w:rsid w:val="002F4FCC"/>
    <w:rsid w:val="00320B81"/>
    <w:rsid w:val="003362BA"/>
    <w:rsid w:val="00383F72"/>
    <w:rsid w:val="00615EF1"/>
    <w:rsid w:val="00640BD4"/>
    <w:rsid w:val="00752540"/>
    <w:rsid w:val="007C7AA8"/>
    <w:rsid w:val="008930FE"/>
    <w:rsid w:val="00941A4A"/>
    <w:rsid w:val="00BA1F40"/>
    <w:rsid w:val="00C06F61"/>
    <w:rsid w:val="00D16724"/>
    <w:rsid w:val="00D50405"/>
    <w:rsid w:val="00D718A2"/>
    <w:rsid w:val="00E13EB7"/>
    <w:rsid w:val="00ED19D9"/>
    <w:rsid w:val="00FF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E489"/>
  <w15:chartTrackingRefBased/>
  <w15:docId w15:val="{9E32BB94-20D6-4435-A3AB-CC013122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160"/>
  </w:style>
  <w:style w:type="paragraph" w:styleId="Footer">
    <w:name w:val="footer"/>
    <w:basedOn w:val="Normal"/>
    <w:link w:val="FooterChar"/>
    <w:uiPriority w:val="99"/>
    <w:unhideWhenUsed/>
    <w:rsid w:val="00265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160"/>
  </w:style>
  <w:style w:type="paragraph" w:customStyle="1" w:styleId="Author">
    <w:name w:val="Author"/>
    <w:uiPriority w:val="99"/>
    <w:rsid w:val="00265160"/>
    <w:pPr>
      <w:spacing w:before="360" w:after="40" w:line="240" w:lineRule="auto"/>
      <w:jc w:val="center"/>
    </w:pPr>
    <w:rPr>
      <w:rFonts w:ascii="Times New Roman" w:eastAsia="Times New Roman" w:hAnsi="Times New Roman" w:cs="Times New Roman"/>
      <w:noProof/>
    </w:rPr>
  </w:style>
  <w:style w:type="character" w:styleId="Hyperlink">
    <w:name w:val="Hyperlink"/>
    <w:basedOn w:val="DefaultParagraphFont"/>
    <w:uiPriority w:val="99"/>
    <w:unhideWhenUsed/>
    <w:rsid w:val="00265160"/>
    <w:rPr>
      <w:color w:val="0563C1" w:themeColor="hyperlink"/>
      <w:u w:val="single"/>
    </w:rPr>
  </w:style>
  <w:style w:type="character" w:styleId="UnresolvedMention">
    <w:name w:val="Unresolved Mention"/>
    <w:basedOn w:val="DefaultParagraphFont"/>
    <w:uiPriority w:val="99"/>
    <w:semiHidden/>
    <w:unhideWhenUsed/>
    <w:rsid w:val="00265160"/>
    <w:rPr>
      <w:color w:val="605E5C"/>
      <w:shd w:val="clear" w:color="auto" w:fill="E1DFDD"/>
    </w:rPr>
  </w:style>
  <w:style w:type="paragraph" w:styleId="ListParagraph">
    <w:name w:val="List Paragraph"/>
    <w:basedOn w:val="Normal"/>
    <w:uiPriority w:val="34"/>
    <w:qFormat/>
    <w:rsid w:val="00D50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93104">
      <w:bodyDiv w:val="1"/>
      <w:marLeft w:val="0"/>
      <w:marRight w:val="0"/>
      <w:marTop w:val="0"/>
      <w:marBottom w:val="0"/>
      <w:divBdr>
        <w:top w:val="none" w:sz="0" w:space="0" w:color="auto"/>
        <w:left w:val="none" w:sz="0" w:space="0" w:color="auto"/>
        <w:bottom w:val="none" w:sz="0" w:space="0" w:color="auto"/>
        <w:right w:val="none" w:sz="0" w:space="0" w:color="auto"/>
      </w:divBdr>
    </w:div>
    <w:div w:id="1374618657">
      <w:bodyDiv w:val="1"/>
      <w:marLeft w:val="0"/>
      <w:marRight w:val="0"/>
      <w:marTop w:val="0"/>
      <w:marBottom w:val="0"/>
      <w:divBdr>
        <w:top w:val="none" w:sz="0" w:space="0" w:color="auto"/>
        <w:left w:val="none" w:sz="0" w:space="0" w:color="auto"/>
        <w:bottom w:val="none" w:sz="0" w:space="0" w:color="auto"/>
        <w:right w:val="none" w:sz="0" w:space="0" w:color="auto"/>
      </w:divBdr>
      <w:divsChild>
        <w:div w:id="1483156928">
          <w:marLeft w:val="0"/>
          <w:marRight w:val="0"/>
          <w:marTop w:val="0"/>
          <w:marBottom w:val="0"/>
          <w:divBdr>
            <w:top w:val="none" w:sz="0" w:space="0" w:color="auto"/>
            <w:left w:val="none" w:sz="0" w:space="0" w:color="auto"/>
            <w:bottom w:val="none" w:sz="0" w:space="0" w:color="auto"/>
            <w:right w:val="none" w:sz="0" w:space="0" w:color="auto"/>
          </w:divBdr>
          <w:divsChild>
            <w:div w:id="1923762006">
              <w:marLeft w:val="0"/>
              <w:marRight w:val="0"/>
              <w:marTop w:val="0"/>
              <w:marBottom w:val="0"/>
              <w:divBdr>
                <w:top w:val="none" w:sz="0" w:space="0" w:color="auto"/>
                <w:left w:val="none" w:sz="0" w:space="0" w:color="auto"/>
                <w:bottom w:val="none" w:sz="0" w:space="0" w:color="auto"/>
                <w:right w:val="none" w:sz="0" w:space="0" w:color="auto"/>
              </w:divBdr>
              <w:divsChild>
                <w:div w:id="1081633826">
                  <w:marLeft w:val="0"/>
                  <w:marRight w:val="0"/>
                  <w:marTop w:val="0"/>
                  <w:marBottom w:val="0"/>
                  <w:divBdr>
                    <w:top w:val="none" w:sz="0" w:space="0" w:color="auto"/>
                    <w:left w:val="none" w:sz="0" w:space="0" w:color="auto"/>
                    <w:bottom w:val="none" w:sz="0" w:space="0" w:color="auto"/>
                    <w:right w:val="none" w:sz="0" w:space="0" w:color="auto"/>
                  </w:divBdr>
                  <w:divsChild>
                    <w:div w:id="827789618">
                      <w:marLeft w:val="0"/>
                      <w:marRight w:val="0"/>
                      <w:marTop w:val="0"/>
                      <w:marBottom w:val="0"/>
                      <w:divBdr>
                        <w:top w:val="none" w:sz="0" w:space="0" w:color="auto"/>
                        <w:left w:val="none" w:sz="0" w:space="0" w:color="auto"/>
                        <w:bottom w:val="none" w:sz="0" w:space="0" w:color="auto"/>
                        <w:right w:val="none" w:sz="0" w:space="0" w:color="auto"/>
                      </w:divBdr>
                      <w:divsChild>
                        <w:div w:id="1840537144">
                          <w:marLeft w:val="0"/>
                          <w:marRight w:val="0"/>
                          <w:marTop w:val="0"/>
                          <w:marBottom w:val="0"/>
                          <w:divBdr>
                            <w:top w:val="none" w:sz="0" w:space="0" w:color="auto"/>
                            <w:left w:val="none" w:sz="0" w:space="0" w:color="auto"/>
                            <w:bottom w:val="none" w:sz="0" w:space="0" w:color="auto"/>
                            <w:right w:val="none" w:sz="0" w:space="0" w:color="auto"/>
                          </w:divBdr>
                          <w:divsChild>
                            <w:div w:id="1776318795">
                              <w:marLeft w:val="0"/>
                              <w:marRight w:val="0"/>
                              <w:marTop w:val="0"/>
                              <w:marBottom w:val="0"/>
                              <w:divBdr>
                                <w:top w:val="none" w:sz="0" w:space="0" w:color="auto"/>
                                <w:left w:val="none" w:sz="0" w:space="0" w:color="auto"/>
                                <w:bottom w:val="none" w:sz="0" w:space="0" w:color="auto"/>
                                <w:right w:val="none" w:sz="0" w:space="0" w:color="auto"/>
                              </w:divBdr>
                              <w:divsChild>
                                <w:div w:id="1608075565">
                                  <w:marLeft w:val="0"/>
                                  <w:marRight w:val="0"/>
                                  <w:marTop w:val="0"/>
                                  <w:marBottom w:val="0"/>
                                  <w:divBdr>
                                    <w:top w:val="none" w:sz="0" w:space="0" w:color="auto"/>
                                    <w:left w:val="none" w:sz="0" w:space="0" w:color="auto"/>
                                    <w:bottom w:val="none" w:sz="0" w:space="0" w:color="auto"/>
                                    <w:right w:val="none" w:sz="0" w:space="0" w:color="auto"/>
                                  </w:divBdr>
                                  <w:divsChild>
                                    <w:div w:id="409813663">
                                      <w:marLeft w:val="0"/>
                                      <w:marRight w:val="0"/>
                                      <w:marTop w:val="0"/>
                                      <w:marBottom w:val="0"/>
                                      <w:divBdr>
                                        <w:top w:val="none" w:sz="0" w:space="0" w:color="auto"/>
                                        <w:left w:val="none" w:sz="0" w:space="0" w:color="auto"/>
                                        <w:bottom w:val="none" w:sz="0" w:space="0" w:color="auto"/>
                                        <w:right w:val="none" w:sz="0" w:space="0" w:color="auto"/>
                                      </w:divBdr>
                                      <w:divsChild>
                                        <w:div w:id="1915117268">
                                          <w:marLeft w:val="0"/>
                                          <w:marRight w:val="0"/>
                                          <w:marTop w:val="0"/>
                                          <w:marBottom w:val="0"/>
                                          <w:divBdr>
                                            <w:top w:val="none" w:sz="0" w:space="0" w:color="auto"/>
                                            <w:left w:val="none" w:sz="0" w:space="0" w:color="auto"/>
                                            <w:bottom w:val="none" w:sz="0" w:space="0" w:color="auto"/>
                                            <w:right w:val="none" w:sz="0" w:space="0" w:color="auto"/>
                                          </w:divBdr>
                                          <w:divsChild>
                                            <w:div w:id="60448114">
                                              <w:marLeft w:val="0"/>
                                              <w:marRight w:val="0"/>
                                              <w:marTop w:val="0"/>
                                              <w:marBottom w:val="0"/>
                                              <w:divBdr>
                                                <w:top w:val="none" w:sz="0" w:space="0" w:color="auto"/>
                                                <w:left w:val="none" w:sz="0" w:space="0" w:color="auto"/>
                                                <w:bottom w:val="none" w:sz="0" w:space="0" w:color="auto"/>
                                                <w:right w:val="none" w:sz="0" w:space="0" w:color="auto"/>
                                              </w:divBdr>
                                              <w:divsChild>
                                                <w:div w:id="509296668">
                                                  <w:marLeft w:val="0"/>
                                                  <w:marRight w:val="0"/>
                                                  <w:marTop w:val="0"/>
                                                  <w:marBottom w:val="0"/>
                                                  <w:divBdr>
                                                    <w:top w:val="none" w:sz="0" w:space="0" w:color="auto"/>
                                                    <w:left w:val="none" w:sz="0" w:space="0" w:color="auto"/>
                                                    <w:bottom w:val="none" w:sz="0" w:space="0" w:color="auto"/>
                                                    <w:right w:val="none" w:sz="0" w:space="0" w:color="auto"/>
                                                  </w:divBdr>
                                                  <w:divsChild>
                                                    <w:div w:id="786854494">
                                                      <w:marLeft w:val="0"/>
                                                      <w:marRight w:val="0"/>
                                                      <w:marTop w:val="0"/>
                                                      <w:marBottom w:val="0"/>
                                                      <w:divBdr>
                                                        <w:top w:val="none" w:sz="0" w:space="0" w:color="auto"/>
                                                        <w:left w:val="none" w:sz="0" w:space="0" w:color="auto"/>
                                                        <w:bottom w:val="none" w:sz="0" w:space="0" w:color="auto"/>
                                                        <w:right w:val="none" w:sz="0" w:space="0" w:color="auto"/>
                                                      </w:divBdr>
                                                      <w:divsChild>
                                                        <w:div w:id="136846366">
                                                          <w:marLeft w:val="0"/>
                                                          <w:marRight w:val="0"/>
                                                          <w:marTop w:val="0"/>
                                                          <w:marBottom w:val="0"/>
                                                          <w:divBdr>
                                                            <w:top w:val="none" w:sz="0" w:space="0" w:color="auto"/>
                                                            <w:left w:val="none" w:sz="0" w:space="0" w:color="auto"/>
                                                            <w:bottom w:val="none" w:sz="0" w:space="0" w:color="auto"/>
                                                            <w:right w:val="none" w:sz="0" w:space="0" w:color="auto"/>
                                                          </w:divBdr>
                                                          <w:divsChild>
                                                            <w:div w:id="1019812442">
                                                              <w:marLeft w:val="0"/>
                                                              <w:marRight w:val="0"/>
                                                              <w:marTop w:val="0"/>
                                                              <w:marBottom w:val="0"/>
                                                              <w:divBdr>
                                                                <w:top w:val="none" w:sz="0" w:space="0" w:color="auto"/>
                                                                <w:left w:val="none" w:sz="0" w:space="0" w:color="auto"/>
                                                                <w:bottom w:val="none" w:sz="0" w:space="0" w:color="auto"/>
                                                                <w:right w:val="none" w:sz="0" w:space="0" w:color="auto"/>
                                                              </w:divBdr>
                                                              <w:divsChild>
                                                                <w:div w:id="1863084017">
                                                                  <w:marLeft w:val="0"/>
                                                                  <w:marRight w:val="0"/>
                                                                  <w:marTop w:val="0"/>
                                                                  <w:marBottom w:val="0"/>
                                                                  <w:divBdr>
                                                                    <w:top w:val="none" w:sz="0" w:space="0" w:color="auto"/>
                                                                    <w:left w:val="none" w:sz="0" w:space="0" w:color="auto"/>
                                                                    <w:bottom w:val="none" w:sz="0" w:space="0" w:color="auto"/>
                                                                    <w:right w:val="none" w:sz="0" w:space="0" w:color="auto"/>
                                                                  </w:divBdr>
                                                                  <w:divsChild>
                                                                    <w:div w:id="17004262">
                                                                      <w:marLeft w:val="0"/>
                                                                      <w:marRight w:val="0"/>
                                                                      <w:marTop w:val="0"/>
                                                                      <w:marBottom w:val="0"/>
                                                                      <w:divBdr>
                                                                        <w:top w:val="none" w:sz="0" w:space="0" w:color="auto"/>
                                                                        <w:left w:val="none" w:sz="0" w:space="0" w:color="auto"/>
                                                                        <w:bottom w:val="none" w:sz="0" w:space="0" w:color="auto"/>
                                                                        <w:right w:val="none" w:sz="0" w:space="0" w:color="auto"/>
                                                                      </w:divBdr>
                                                                      <w:divsChild>
                                                                        <w:div w:id="8400008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6391183">
          <w:marLeft w:val="0"/>
          <w:marRight w:val="0"/>
          <w:marTop w:val="0"/>
          <w:marBottom w:val="0"/>
          <w:divBdr>
            <w:top w:val="none" w:sz="0" w:space="0" w:color="auto"/>
            <w:left w:val="none" w:sz="0" w:space="0" w:color="auto"/>
            <w:bottom w:val="none" w:sz="0" w:space="0" w:color="auto"/>
            <w:right w:val="none" w:sz="0" w:space="0" w:color="auto"/>
          </w:divBdr>
          <w:divsChild>
            <w:div w:id="482044904">
              <w:marLeft w:val="0"/>
              <w:marRight w:val="0"/>
              <w:marTop w:val="0"/>
              <w:marBottom w:val="0"/>
              <w:divBdr>
                <w:top w:val="none" w:sz="0" w:space="0" w:color="auto"/>
                <w:left w:val="none" w:sz="0" w:space="0" w:color="auto"/>
                <w:bottom w:val="none" w:sz="0" w:space="0" w:color="auto"/>
                <w:right w:val="none" w:sz="0" w:space="0" w:color="auto"/>
              </w:divBdr>
              <w:divsChild>
                <w:div w:id="600256850">
                  <w:marLeft w:val="0"/>
                  <w:marRight w:val="0"/>
                  <w:marTop w:val="0"/>
                  <w:marBottom w:val="0"/>
                  <w:divBdr>
                    <w:top w:val="none" w:sz="0" w:space="0" w:color="auto"/>
                    <w:left w:val="none" w:sz="0" w:space="0" w:color="auto"/>
                    <w:bottom w:val="none" w:sz="0" w:space="0" w:color="auto"/>
                    <w:right w:val="none" w:sz="0" w:space="0" w:color="auto"/>
                  </w:divBdr>
                  <w:divsChild>
                    <w:div w:id="1118911933">
                      <w:marLeft w:val="0"/>
                      <w:marRight w:val="0"/>
                      <w:marTop w:val="0"/>
                      <w:marBottom w:val="0"/>
                      <w:divBdr>
                        <w:top w:val="none" w:sz="0" w:space="0" w:color="auto"/>
                        <w:left w:val="none" w:sz="0" w:space="0" w:color="auto"/>
                        <w:bottom w:val="none" w:sz="0" w:space="0" w:color="auto"/>
                        <w:right w:val="none" w:sz="0" w:space="0" w:color="auto"/>
                      </w:divBdr>
                      <w:divsChild>
                        <w:div w:id="557277943">
                          <w:marLeft w:val="0"/>
                          <w:marRight w:val="0"/>
                          <w:marTop w:val="0"/>
                          <w:marBottom w:val="0"/>
                          <w:divBdr>
                            <w:top w:val="none" w:sz="0" w:space="0" w:color="auto"/>
                            <w:left w:val="none" w:sz="0" w:space="0" w:color="auto"/>
                            <w:bottom w:val="none" w:sz="0" w:space="0" w:color="auto"/>
                            <w:right w:val="none" w:sz="0" w:space="0" w:color="auto"/>
                          </w:divBdr>
                          <w:divsChild>
                            <w:div w:id="132916551">
                              <w:marLeft w:val="0"/>
                              <w:marRight w:val="0"/>
                              <w:marTop w:val="0"/>
                              <w:marBottom w:val="0"/>
                              <w:divBdr>
                                <w:top w:val="none" w:sz="0" w:space="0" w:color="auto"/>
                                <w:left w:val="none" w:sz="0" w:space="0" w:color="auto"/>
                                <w:bottom w:val="none" w:sz="0" w:space="0" w:color="auto"/>
                                <w:right w:val="none" w:sz="0" w:space="0" w:color="auto"/>
                              </w:divBdr>
                              <w:divsChild>
                                <w:div w:id="73431372">
                                  <w:marLeft w:val="0"/>
                                  <w:marRight w:val="0"/>
                                  <w:marTop w:val="0"/>
                                  <w:marBottom w:val="0"/>
                                  <w:divBdr>
                                    <w:top w:val="none" w:sz="0" w:space="0" w:color="auto"/>
                                    <w:left w:val="none" w:sz="0" w:space="0" w:color="auto"/>
                                    <w:bottom w:val="none" w:sz="0" w:space="0" w:color="auto"/>
                                    <w:right w:val="none" w:sz="0" w:space="0" w:color="auto"/>
                                  </w:divBdr>
                                  <w:divsChild>
                                    <w:div w:id="1407652812">
                                      <w:marLeft w:val="0"/>
                                      <w:marRight w:val="0"/>
                                      <w:marTop w:val="0"/>
                                      <w:marBottom w:val="0"/>
                                      <w:divBdr>
                                        <w:top w:val="none" w:sz="0" w:space="0" w:color="auto"/>
                                        <w:left w:val="none" w:sz="0" w:space="0" w:color="auto"/>
                                        <w:bottom w:val="none" w:sz="0" w:space="0" w:color="auto"/>
                                        <w:right w:val="none" w:sz="0" w:space="0" w:color="auto"/>
                                      </w:divBdr>
                                      <w:divsChild>
                                        <w:div w:id="866255000">
                                          <w:marLeft w:val="0"/>
                                          <w:marRight w:val="0"/>
                                          <w:marTop w:val="0"/>
                                          <w:marBottom w:val="0"/>
                                          <w:divBdr>
                                            <w:top w:val="none" w:sz="0" w:space="0" w:color="auto"/>
                                            <w:left w:val="none" w:sz="0" w:space="0" w:color="auto"/>
                                            <w:bottom w:val="none" w:sz="0" w:space="0" w:color="auto"/>
                                            <w:right w:val="none" w:sz="0" w:space="0" w:color="auto"/>
                                          </w:divBdr>
                                          <w:divsChild>
                                            <w:div w:id="1626617007">
                                              <w:marLeft w:val="0"/>
                                              <w:marRight w:val="0"/>
                                              <w:marTop w:val="0"/>
                                              <w:marBottom w:val="0"/>
                                              <w:divBdr>
                                                <w:top w:val="none" w:sz="0" w:space="0" w:color="auto"/>
                                                <w:left w:val="none" w:sz="0" w:space="0" w:color="auto"/>
                                                <w:bottom w:val="none" w:sz="0" w:space="0" w:color="auto"/>
                                                <w:right w:val="none" w:sz="0" w:space="0" w:color="auto"/>
                                              </w:divBdr>
                                              <w:divsChild>
                                                <w:div w:id="8189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2105">
                                          <w:marLeft w:val="0"/>
                                          <w:marRight w:val="0"/>
                                          <w:marTop w:val="0"/>
                                          <w:marBottom w:val="0"/>
                                          <w:divBdr>
                                            <w:top w:val="none" w:sz="0" w:space="0" w:color="auto"/>
                                            <w:left w:val="none" w:sz="0" w:space="0" w:color="auto"/>
                                            <w:bottom w:val="none" w:sz="0" w:space="0" w:color="auto"/>
                                            <w:right w:val="none" w:sz="0" w:space="0" w:color="auto"/>
                                          </w:divBdr>
                                          <w:divsChild>
                                            <w:div w:id="1660503935">
                                              <w:marLeft w:val="0"/>
                                              <w:marRight w:val="0"/>
                                              <w:marTop w:val="0"/>
                                              <w:marBottom w:val="0"/>
                                              <w:divBdr>
                                                <w:top w:val="none" w:sz="0" w:space="0" w:color="auto"/>
                                                <w:left w:val="none" w:sz="0" w:space="0" w:color="auto"/>
                                                <w:bottom w:val="none" w:sz="0" w:space="0" w:color="auto"/>
                                                <w:right w:val="none" w:sz="0" w:space="0" w:color="auto"/>
                                              </w:divBdr>
                                              <w:divsChild>
                                                <w:div w:id="1573347124">
                                                  <w:marLeft w:val="0"/>
                                                  <w:marRight w:val="0"/>
                                                  <w:marTop w:val="0"/>
                                                  <w:marBottom w:val="0"/>
                                                  <w:divBdr>
                                                    <w:top w:val="none" w:sz="0" w:space="0" w:color="auto"/>
                                                    <w:left w:val="none" w:sz="0" w:space="0" w:color="auto"/>
                                                    <w:bottom w:val="none" w:sz="0" w:space="0" w:color="auto"/>
                                                    <w:right w:val="none" w:sz="0" w:space="0" w:color="auto"/>
                                                  </w:divBdr>
                                                  <w:divsChild>
                                                    <w:div w:id="355229181">
                                                      <w:marLeft w:val="0"/>
                                                      <w:marRight w:val="0"/>
                                                      <w:marTop w:val="0"/>
                                                      <w:marBottom w:val="0"/>
                                                      <w:divBdr>
                                                        <w:top w:val="none" w:sz="0" w:space="0" w:color="auto"/>
                                                        <w:left w:val="none" w:sz="0" w:space="0" w:color="auto"/>
                                                        <w:bottom w:val="none" w:sz="0" w:space="0" w:color="auto"/>
                                                        <w:right w:val="none" w:sz="0" w:space="0" w:color="auto"/>
                                                      </w:divBdr>
                                                      <w:divsChild>
                                                        <w:div w:id="266892573">
                                                          <w:marLeft w:val="0"/>
                                                          <w:marRight w:val="0"/>
                                                          <w:marTop w:val="0"/>
                                                          <w:marBottom w:val="0"/>
                                                          <w:divBdr>
                                                            <w:top w:val="none" w:sz="0" w:space="0" w:color="auto"/>
                                                            <w:left w:val="none" w:sz="0" w:space="0" w:color="auto"/>
                                                            <w:bottom w:val="none" w:sz="0" w:space="0" w:color="auto"/>
                                                            <w:right w:val="none" w:sz="0" w:space="0" w:color="auto"/>
                                                          </w:divBdr>
                                                          <w:divsChild>
                                                            <w:div w:id="279991349">
                                                              <w:marLeft w:val="0"/>
                                                              <w:marRight w:val="0"/>
                                                              <w:marTop w:val="0"/>
                                                              <w:marBottom w:val="0"/>
                                                              <w:divBdr>
                                                                <w:top w:val="none" w:sz="0" w:space="0" w:color="auto"/>
                                                                <w:left w:val="none" w:sz="0" w:space="0" w:color="auto"/>
                                                                <w:bottom w:val="none" w:sz="0" w:space="0" w:color="auto"/>
                                                                <w:right w:val="none" w:sz="0" w:space="0" w:color="auto"/>
                                                              </w:divBdr>
                                                              <w:divsChild>
                                                                <w:div w:id="751699178">
                                                                  <w:marLeft w:val="0"/>
                                                                  <w:marRight w:val="0"/>
                                                                  <w:marTop w:val="0"/>
                                                                  <w:marBottom w:val="0"/>
                                                                  <w:divBdr>
                                                                    <w:top w:val="none" w:sz="0" w:space="0" w:color="auto"/>
                                                                    <w:left w:val="none" w:sz="0" w:space="0" w:color="auto"/>
                                                                    <w:bottom w:val="none" w:sz="0" w:space="0" w:color="auto"/>
                                                                    <w:right w:val="none" w:sz="0" w:space="0" w:color="auto"/>
                                                                  </w:divBdr>
                                                                  <w:divsChild>
                                                                    <w:div w:id="817693480">
                                                                      <w:marLeft w:val="0"/>
                                                                      <w:marRight w:val="0"/>
                                                                      <w:marTop w:val="0"/>
                                                                      <w:marBottom w:val="0"/>
                                                                      <w:divBdr>
                                                                        <w:top w:val="none" w:sz="0" w:space="0" w:color="auto"/>
                                                                        <w:left w:val="none" w:sz="0" w:space="0" w:color="auto"/>
                                                                        <w:bottom w:val="none" w:sz="0" w:space="0" w:color="auto"/>
                                                                        <w:right w:val="none" w:sz="0" w:space="0" w:color="auto"/>
                                                                      </w:divBdr>
                                                                      <w:divsChild>
                                                                        <w:div w:id="15643641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156356">
      <w:bodyDiv w:val="1"/>
      <w:marLeft w:val="0"/>
      <w:marRight w:val="0"/>
      <w:marTop w:val="0"/>
      <w:marBottom w:val="0"/>
      <w:divBdr>
        <w:top w:val="none" w:sz="0" w:space="0" w:color="auto"/>
        <w:left w:val="none" w:sz="0" w:space="0" w:color="auto"/>
        <w:bottom w:val="none" w:sz="0" w:space="0" w:color="auto"/>
        <w:right w:val="none" w:sz="0" w:space="0" w:color="auto"/>
      </w:divBdr>
      <w:divsChild>
        <w:div w:id="1404252315">
          <w:marLeft w:val="0"/>
          <w:marRight w:val="0"/>
          <w:marTop w:val="120"/>
          <w:marBottom w:val="120"/>
          <w:divBdr>
            <w:top w:val="none" w:sz="0" w:space="0" w:color="auto"/>
            <w:left w:val="none" w:sz="0" w:space="0" w:color="auto"/>
            <w:bottom w:val="none" w:sz="0" w:space="0" w:color="auto"/>
            <w:right w:val="none" w:sz="0" w:space="0" w:color="auto"/>
          </w:divBdr>
        </w:div>
        <w:div w:id="1256477693">
          <w:marLeft w:val="0"/>
          <w:marRight w:val="0"/>
          <w:marTop w:val="120"/>
          <w:marBottom w:val="120"/>
          <w:divBdr>
            <w:top w:val="none" w:sz="0" w:space="0" w:color="auto"/>
            <w:left w:val="none" w:sz="0" w:space="0" w:color="auto"/>
            <w:bottom w:val="none" w:sz="0" w:space="0" w:color="auto"/>
            <w:right w:val="none" w:sz="0" w:space="0" w:color="auto"/>
          </w:divBdr>
        </w:div>
        <w:div w:id="1135834185">
          <w:marLeft w:val="0"/>
          <w:marRight w:val="0"/>
          <w:marTop w:val="120"/>
          <w:marBottom w:val="120"/>
          <w:divBdr>
            <w:top w:val="none" w:sz="0" w:space="0" w:color="auto"/>
            <w:left w:val="none" w:sz="0" w:space="0" w:color="auto"/>
            <w:bottom w:val="none" w:sz="0" w:space="0" w:color="auto"/>
            <w:right w:val="none" w:sz="0" w:space="0" w:color="auto"/>
          </w:divBdr>
        </w:div>
        <w:div w:id="1033263499">
          <w:marLeft w:val="0"/>
          <w:marRight w:val="0"/>
          <w:marTop w:val="120"/>
          <w:marBottom w:val="120"/>
          <w:divBdr>
            <w:top w:val="none" w:sz="0" w:space="0" w:color="auto"/>
            <w:left w:val="none" w:sz="0" w:space="0" w:color="auto"/>
            <w:bottom w:val="none" w:sz="0" w:space="0" w:color="auto"/>
            <w:right w:val="none" w:sz="0" w:space="0" w:color="auto"/>
          </w:divBdr>
        </w:div>
        <w:div w:id="1167482767">
          <w:marLeft w:val="0"/>
          <w:marRight w:val="0"/>
          <w:marTop w:val="120"/>
          <w:marBottom w:val="120"/>
          <w:divBdr>
            <w:top w:val="none" w:sz="0" w:space="0" w:color="auto"/>
            <w:left w:val="none" w:sz="0" w:space="0" w:color="auto"/>
            <w:bottom w:val="none" w:sz="0" w:space="0" w:color="auto"/>
            <w:right w:val="none" w:sz="0" w:space="0" w:color="auto"/>
          </w:divBdr>
        </w:div>
        <w:div w:id="560365244">
          <w:marLeft w:val="0"/>
          <w:marRight w:val="0"/>
          <w:marTop w:val="120"/>
          <w:marBottom w:val="120"/>
          <w:divBdr>
            <w:top w:val="none" w:sz="0" w:space="0" w:color="auto"/>
            <w:left w:val="none" w:sz="0" w:space="0" w:color="auto"/>
            <w:bottom w:val="none" w:sz="0" w:space="0" w:color="auto"/>
            <w:right w:val="none" w:sz="0" w:space="0" w:color="auto"/>
          </w:divBdr>
        </w:div>
        <w:div w:id="643848169">
          <w:marLeft w:val="0"/>
          <w:marRight w:val="0"/>
          <w:marTop w:val="120"/>
          <w:marBottom w:val="120"/>
          <w:divBdr>
            <w:top w:val="none" w:sz="0" w:space="0" w:color="auto"/>
            <w:left w:val="none" w:sz="0" w:space="0" w:color="auto"/>
            <w:bottom w:val="none" w:sz="0" w:space="0" w:color="auto"/>
            <w:right w:val="none" w:sz="0" w:space="0" w:color="auto"/>
          </w:divBdr>
        </w:div>
        <w:div w:id="385880250">
          <w:marLeft w:val="0"/>
          <w:marRight w:val="0"/>
          <w:marTop w:val="120"/>
          <w:marBottom w:val="120"/>
          <w:divBdr>
            <w:top w:val="none" w:sz="0" w:space="0" w:color="auto"/>
            <w:left w:val="none" w:sz="0" w:space="0" w:color="auto"/>
            <w:bottom w:val="none" w:sz="0" w:space="0" w:color="auto"/>
            <w:right w:val="none" w:sz="0" w:space="0" w:color="auto"/>
          </w:divBdr>
        </w:div>
        <w:div w:id="1224944298">
          <w:marLeft w:val="0"/>
          <w:marRight w:val="0"/>
          <w:marTop w:val="120"/>
          <w:marBottom w:val="120"/>
          <w:divBdr>
            <w:top w:val="none" w:sz="0" w:space="0" w:color="auto"/>
            <w:left w:val="none" w:sz="0" w:space="0" w:color="auto"/>
            <w:bottom w:val="none" w:sz="0" w:space="0" w:color="auto"/>
            <w:right w:val="none" w:sz="0" w:space="0" w:color="auto"/>
          </w:divBdr>
        </w:div>
        <w:div w:id="1481846126">
          <w:marLeft w:val="0"/>
          <w:marRight w:val="0"/>
          <w:marTop w:val="120"/>
          <w:marBottom w:val="120"/>
          <w:divBdr>
            <w:top w:val="none" w:sz="0" w:space="0" w:color="auto"/>
            <w:left w:val="none" w:sz="0" w:space="0" w:color="auto"/>
            <w:bottom w:val="none" w:sz="0" w:space="0" w:color="auto"/>
            <w:right w:val="none" w:sz="0" w:space="0" w:color="auto"/>
          </w:divBdr>
        </w:div>
        <w:div w:id="1976910971">
          <w:marLeft w:val="0"/>
          <w:marRight w:val="0"/>
          <w:marTop w:val="120"/>
          <w:marBottom w:val="120"/>
          <w:divBdr>
            <w:top w:val="none" w:sz="0" w:space="0" w:color="auto"/>
            <w:left w:val="none" w:sz="0" w:space="0" w:color="auto"/>
            <w:bottom w:val="none" w:sz="0" w:space="0" w:color="auto"/>
            <w:right w:val="none" w:sz="0" w:space="0" w:color="auto"/>
          </w:divBdr>
        </w:div>
        <w:div w:id="1040936477">
          <w:marLeft w:val="0"/>
          <w:marRight w:val="0"/>
          <w:marTop w:val="120"/>
          <w:marBottom w:val="120"/>
          <w:divBdr>
            <w:top w:val="none" w:sz="0" w:space="0" w:color="auto"/>
            <w:left w:val="none" w:sz="0" w:space="0" w:color="auto"/>
            <w:bottom w:val="none" w:sz="0" w:space="0" w:color="auto"/>
            <w:right w:val="none" w:sz="0" w:space="0" w:color="auto"/>
          </w:divBdr>
        </w:div>
        <w:div w:id="1772429952">
          <w:marLeft w:val="0"/>
          <w:marRight w:val="0"/>
          <w:marTop w:val="120"/>
          <w:marBottom w:val="120"/>
          <w:divBdr>
            <w:top w:val="none" w:sz="0" w:space="0" w:color="auto"/>
            <w:left w:val="none" w:sz="0" w:space="0" w:color="auto"/>
            <w:bottom w:val="none" w:sz="0" w:space="0" w:color="auto"/>
            <w:right w:val="none" w:sz="0" w:space="0" w:color="auto"/>
          </w:divBdr>
        </w:div>
        <w:div w:id="693457231">
          <w:marLeft w:val="0"/>
          <w:marRight w:val="0"/>
          <w:marTop w:val="120"/>
          <w:marBottom w:val="120"/>
          <w:divBdr>
            <w:top w:val="none" w:sz="0" w:space="0" w:color="auto"/>
            <w:left w:val="none" w:sz="0" w:space="0" w:color="auto"/>
            <w:bottom w:val="none" w:sz="0" w:space="0" w:color="auto"/>
            <w:right w:val="none" w:sz="0" w:space="0" w:color="auto"/>
          </w:divBdr>
        </w:div>
        <w:div w:id="1974364989">
          <w:marLeft w:val="0"/>
          <w:marRight w:val="0"/>
          <w:marTop w:val="120"/>
          <w:marBottom w:val="120"/>
          <w:divBdr>
            <w:top w:val="none" w:sz="0" w:space="0" w:color="auto"/>
            <w:left w:val="none" w:sz="0" w:space="0" w:color="auto"/>
            <w:bottom w:val="none" w:sz="0" w:space="0" w:color="auto"/>
            <w:right w:val="none" w:sz="0" w:space="0" w:color="auto"/>
          </w:divBdr>
        </w:div>
        <w:div w:id="794449725">
          <w:marLeft w:val="0"/>
          <w:marRight w:val="0"/>
          <w:marTop w:val="120"/>
          <w:marBottom w:val="120"/>
          <w:divBdr>
            <w:top w:val="none" w:sz="0" w:space="0" w:color="auto"/>
            <w:left w:val="none" w:sz="0" w:space="0" w:color="auto"/>
            <w:bottom w:val="none" w:sz="0" w:space="0" w:color="auto"/>
            <w:right w:val="none" w:sz="0" w:space="0" w:color="auto"/>
          </w:divBdr>
        </w:div>
        <w:div w:id="1316495023">
          <w:marLeft w:val="0"/>
          <w:marRight w:val="0"/>
          <w:marTop w:val="120"/>
          <w:marBottom w:val="120"/>
          <w:divBdr>
            <w:top w:val="none" w:sz="0" w:space="0" w:color="auto"/>
            <w:left w:val="none" w:sz="0" w:space="0" w:color="auto"/>
            <w:bottom w:val="none" w:sz="0" w:space="0" w:color="auto"/>
            <w:right w:val="none" w:sz="0" w:space="0" w:color="auto"/>
          </w:divBdr>
        </w:div>
        <w:div w:id="712340123">
          <w:marLeft w:val="0"/>
          <w:marRight w:val="0"/>
          <w:marTop w:val="120"/>
          <w:marBottom w:val="120"/>
          <w:divBdr>
            <w:top w:val="none" w:sz="0" w:space="0" w:color="auto"/>
            <w:left w:val="none" w:sz="0" w:space="0" w:color="auto"/>
            <w:bottom w:val="none" w:sz="0" w:space="0" w:color="auto"/>
            <w:right w:val="none" w:sz="0" w:space="0" w:color="auto"/>
          </w:divBdr>
        </w:div>
        <w:div w:id="1413889514">
          <w:marLeft w:val="0"/>
          <w:marRight w:val="0"/>
          <w:marTop w:val="120"/>
          <w:marBottom w:val="120"/>
          <w:divBdr>
            <w:top w:val="none" w:sz="0" w:space="0" w:color="auto"/>
            <w:left w:val="none" w:sz="0" w:space="0" w:color="auto"/>
            <w:bottom w:val="none" w:sz="0" w:space="0" w:color="auto"/>
            <w:right w:val="none" w:sz="0" w:space="0" w:color="auto"/>
          </w:divBdr>
        </w:div>
        <w:div w:id="1108279686">
          <w:marLeft w:val="0"/>
          <w:marRight w:val="0"/>
          <w:marTop w:val="120"/>
          <w:marBottom w:val="120"/>
          <w:divBdr>
            <w:top w:val="none" w:sz="0" w:space="0" w:color="auto"/>
            <w:left w:val="none" w:sz="0" w:space="0" w:color="auto"/>
            <w:bottom w:val="none" w:sz="0" w:space="0" w:color="auto"/>
            <w:right w:val="none" w:sz="0" w:space="0" w:color="auto"/>
          </w:divBdr>
        </w:div>
        <w:div w:id="183633310">
          <w:marLeft w:val="0"/>
          <w:marRight w:val="0"/>
          <w:marTop w:val="120"/>
          <w:marBottom w:val="120"/>
          <w:divBdr>
            <w:top w:val="none" w:sz="0" w:space="0" w:color="auto"/>
            <w:left w:val="none" w:sz="0" w:space="0" w:color="auto"/>
            <w:bottom w:val="none" w:sz="0" w:space="0" w:color="auto"/>
            <w:right w:val="none" w:sz="0" w:space="0" w:color="auto"/>
          </w:divBdr>
        </w:div>
        <w:div w:id="1968468173">
          <w:marLeft w:val="0"/>
          <w:marRight w:val="0"/>
          <w:marTop w:val="120"/>
          <w:marBottom w:val="120"/>
          <w:divBdr>
            <w:top w:val="none" w:sz="0" w:space="0" w:color="auto"/>
            <w:left w:val="none" w:sz="0" w:space="0" w:color="auto"/>
            <w:bottom w:val="none" w:sz="0" w:space="0" w:color="auto"/>
            <w:right w:val="none" w:sz="0" w:space="0" w:color="auto"/>
          </w:divBdr>
        </w:div>
        <w:div w:id="77798312">
          <w:marLeft w:val="0"/>
          <w:marRight w:val="0"/>
          <w:marTop w:val="120"/>
          <w:marBottom w:val="120"/>
          <w:divBdr>
            <w:top w:val="none" w:sz="0" w:space="0" w:color="auto"/>
            <w:left w:val="none" w:sz="0" w:space="0" w:color="auto"/>
            <w:bottom w:val="none" w:sz="0" w:space="0" w:color="auto"/>
            <w:right w:val="none" w:sz="0" w:space="0" w:color="auto"/>
          </w:divBdr>
        </w:div>
        <w:div w:id="253518263">
          <w:marLeft w:val="0"/>
          <w:marRight w:val="0"/>
          <w:marTop w:val="120"/>
          <w:marBottom w:val="120"/>
          <w:divBdr>
            <w:top w:val="none" w:sz="0" w:space="0" w:color="auto"/>
            <w:left w:val="none" w:sz="0" w:space="0" w:color="auto"/>
            <w:bottom w:val="none" w:sz="0" w:space="0" w:color="auto"/>
            <w:right w:val="none" w:sz="0" w:space="0" w:color="auto"/>
          </w:divBdr>
        </w:div>
        <w:div w:id="1463420739">
          <w:marLeft w:val="0"/>
          <w:marRight w:val="0"/>
          <w:marTop w:val="120"/>
          <w:marBottom w:val="120"/>
          <w:divBdr>
            <w:top w:val="none" w:sz="0" w:space="0" w:color="auto"/>
            <w:left w:val="none" w:sz="0" w:space="0" w:color="auto"/>
            <w:bottom w:val="none" w:sz="0" w:space="0" w:color="auto"/>
            <w:right w:val="none" w:sz="0" w:space="0" w:color="auto"/>
          </w:divBdr>
        </w:div>
        <w:div w:id="765689326">
          <w:marLeft w:val="0"/>
          <w:marRight w:val="0"/>
          <w:marTop w:val="120"/>
          <w:marBottom w:val="120"/>
          <w:divBdr>
            <w:top w:val="none" w:sz="0" w:space="0" w:color="auto"/>
            <w:left w:val="none" w:sz="0" w:space="0" w:color="auto"/>
            <w:bottom w:val="none" w:sz="0" w:space="0" w:color="auto"/>
            <w:right w:val="none" w:sz="0" w:space="0" w:color="auto"/>
          </w:divBdr>
        </w:div>
        <w:div w:id="957223126">
          <w:marLeft w:val="0"/>
          <w:marRight w:val="0"/>
          <w:marTop w:val="120"/>
          <w:marBottom w:val="120"/>
          <w:divBdr>
            <w:top w:val="none" w:sz="0" w:space="0" w:color="auto"/>
            <w:left w:val="none" w:sz="0" w:space="0" w:color="auto"/>
            <w:bottom w:val="none" w:sz="0" w:space="0" w:color="auto"/>
            <w:right w:val="none" w:sz="0" w:space="0" w:color="auto"/>
          </w:divBdr>
        </w:div>
        <w:div w:id="1604805472">
          <w:marLeft w:val="0"/>
          <w:marRight w:val="0"/>
          <w:marTop w:val="120"/>
          <w:marBottom w:val="120"/>
          <w:divBdr>
            <w:top w:val="none" w:sz="0" w:space="0" w:color="auto"/>
            <w:left w:val="none" w:sz="0" w:space="0" w:color="auto"/>
            <w:bottom w:val="none" w:sz="0" w:space="0" w:color="auto"/>
            <w:right w:val="none" w:sz="0" w:space="0" w:color="auto"/>
          </w:divBdr>
        </w:div>
        <w:div w:id="35549903">
          <w:marLeft w:val="0"/>
          <w:marRight w:val="0"/>
          <w:marTop w:val="120"/>
          <w:marBottom w:val="120"/>
          <w:divBdr>
            <w:top w:val="none" w:sz="0" w:space="0" w:color="auto"/>
            <w:left w:val="none" w:sz="0" w:space="0" w:color="auto"/>
            <w:bottom w:val="none" w:sz="0" w:space="0" w:color="auto"/>
            <w:right w:val="none" w:sz="0" w:space="0" w:color="auto"/>
          </w:divBdr>
        </w:div>
        <w:div w:id="116148555">
          <w:marLeft w:val="0"/>
          <w:marRight w:val="0"/>
          <w:marTop w:val="120"/>
          <w:marBottom w:val="120"/>
          <w:divBdr>
            <w:top w:val="none" w:sz="0" w:space="0" w:color="auto"/>
            <w:left w:val="none" w:sz="0" w:space="0" w:color="auto"/>
            <w:bottom w:val="none" w:sz="0" w:space="0" w:color="auto"/>
            <w:right w:val="none" w:sz="0" w:space="0" w:color="auto"/>
          </w:divBdr>
        </w:div>
        <w:div w:id="1451629752">
          <w:marLeft w:val="0"/>
          <w:marRight w:val="0"/>
          <w:marTop w:val="120"/>
          <w:marBottom w:val="120"/>
          <w:divBdr>
            <w:top w:val="none" w:sz="0" w:space="0" w:color="auto"/>
            <w:left w:val="none" w:sz="0" w:space="0" w:color="auto"/>
            <w:bottom w:val="none" w:sz="0" w:space="0" w:color="auto"/>
            <w:right w:val="none" w:sz="0" w:space="0" w:color="auto"/>
          </w:divBdr>
        </w:div>
        <w:div w:id="1347059017">
          <w:marLeft w:val="0"/>
          <w:marRight w:val="0"/>
          <w:marTop w:val="120"/>
          <w:marBottom w:val="120"/>
          <w:divBdr>
            <w:top w:val="none" w:sz="0" w:space="0" w:color="auto"/>
            <w:left w:val="none" w:sz="0" w:space="0" w:color="auto"/>
            <w:bottom w:val="none" w:sz="0" w:space="0" w:color="auto"/>
            <w:right w:val="none" w:sz="0" w:space="0" w:color="auto"/>
          </w:divBdr>
        </w:div>
        <w:div w:id="2142306644">
          <w:marLeft w:val="0"/>
          <w:marRight w:val="0"/>
          <w:marTop w:val="120"/>
          <w:marBottom w:val="120"/>
          <w:divBdr>
            <w:top w:val="none" w:sz="0" w:space="0" w:color="auto"/>
            <w:left w:val="none" w:sz="0" w:space="0" w:color="auto"/>
            <w:bottom w:val="none" w:sz="0" w:space="0" w:color="auto"/>
            <w:right w:val="none" w:sz="0" w:space="0" w:color="auto"/>
          </w:divBdr>
        </w:div>
        <w:div w:id="138763858">
          <w:marLeft w:val="0"/>
          <w:marRight w:val="0"/>
          <w:marTop w:val="120"/>
          <w:marBottom w:val="120"/>
          <w:divBdr>
            <w:top w:val="none" w:sz="0" w:space="0" w:color="auto"/>
            <w:left w:val="none" w:sz="0" w:space="0" w:color="auto"/>
            <w:bottom w:val="none" w:sz="0" w:space="0" w:color="auto"/>
            <w:right w:val="none" w:sz="0" w:space="0" w:color="auto"/>
          </w:divBdr>
        </w:div>
        <w:div w:id="328749474">
          <w:marLeft w:val="0"/>
          <w:marRight w:val="0"/>
          <w:marTop w:val="120"/>
          <w:marBottom w:val="120"/>
          <w:divBdr>
            <w:top w:val="none" w:sz="0" w:space="0" w:color="auto"/>
            <w:left w:val="none" w:sz="0" w:space="0" w:color="auto"/>
            <w:bottom w:val="none" w:sz="0" w:space="0" w:color="auto"/>
            <w:right w:val="none" w:sz="0" w:space="0" w:color="auto"/>
          </w:divBdr>
        </w:div>
        <w:div w:id="1223174635">
          <w:marLeft w:val="0"/>
          <w:marRight w:val="0"/>
          <w:marTop w:val="120"/>
          <w:marBottom w:val="120"/>
          <w:divBdr>
            <w:top w:val="none" w:sz="0" w:space="0" w:color="auto"/>
            <w:left w:val="none" w:sz="0" w:space="0" w:color="auto"/>
            <w:bottom w:val="none" w:sz="0" w:space="0" w:color="auto"/>
            <w:right w:val="none" w:sz="0" w:space="0" w:color="auto"/>
          </w:divBdr>
        </w:div>
        <w:div w:id="903833466">
          <w:marLeft w:val="0"/>
          <w:marRight w:val="0"/>
          <w:marTop w:val="120"/>
          <w:marBottom w:val="120"/>
          <w:divBdr>
            <w:top w:val="none" w:sz="0" w:space="0" w:color="auto"/>
            <w:left w:val="none" w:sz="0" w:space="0" w:color="auto"/>
            <w:bottom w:val="none" w:sz="0" w:space="0" w:color="auto"/>
            <w:right w:val="none" w:sz="0" w:space="0" w:color="auto"/>
          </w:divBdr>
        </w:div>
        <w:div w:id="1716808139">
          <w:marLeft w:val="0"/>
          <w:marRight w:val="0"/>
          <w:marTop w:val="120"/>
          <w:marBottom w:val="120"/>
          <w:divBdr>
            <w:top w:val="none" w:sz="0" w:space="0" w:color="auto"/>
            <w:left w:val="none" w:sz="0" w:space="0" w:color="auto"/>
            <w:bottom w:val="none" w:sz="0" w:space="0" w:color="auto"/>
            <w:right w:val="none" w:sz="0" w:space="0" w:color="auto"/>
          </w:divBdr>
        </w:div>
        <w:div w:id="853034619">
          <w:marLeft w:val="0"/>
          <w:marRight w:val="0"/>
          <w:marTop w:val="120"/>
          <w:marBottom w:val="120"/>
          <w:divBdr>
            <w:top w:val="none" w:sz="0" w:space="0" w:color="auto"/>
            <w:left w:val="none" w:sz="0" w:space="0" w:color="auto"/>
            <w:bottom w:val="none" w:sz="0" w:space="0" w:color="auto"/>
            <w:right w:val="none" w:sz="0" w:space="0" w:color="auto"/>
          </w:divBdr>
        </w:div>
        <w:div w:id="2069525378">
          <w:marLeft w:val="0"/>
          <w:marRight w:val="0"/>
          <w:marTop w:val="120"/>
          <w:marBottom w:val="120"/>
          <w:divBdr>
            <w:top w:val="none" w:sz="0" w:space="0" w:color="auto"/>
            <w:left w:val="none" w:sz="0" w:space="0" w:color="auto"/>
            <w:bottom w:val="none" w:sz="0" w:space="0" w:color="auto"/>
            <w:right w:val="none" w:sz="0" w:space="0" w:color="auto"/>
          </w:divBdr>
        </w:div>
        <w:div w:id="2097314852">
          <w:marLeft w:val="0"/>
          <w:marRight w:val="0"/>
          <w:marTop w:val="120"/>
          <w:marBottom w:val="120"/>
          <w:divBdr>
            <w:top w:val="none" w:sz="0" w:space="0" w:color="auto"/>
            <w:left w:val="none" w:sz="0" w:space="0" w:color="auto"/>
            <w:bottom w:val="none" w:sz="0" w:space="0" w:color="auto"/>
            <w:right w:val="none" w:sz="0" w:space="0" w:color="auto"/>
          </w:divBdr>
        </w:div>
        <w:div w:id="462314895">
          <w:marLeft w:val="0"/>
          <w:marRight w:val="0"/>
          <w:marTop w:val="120"/>
          <w:marBottom w:val="120"/>
          <w:divBdr>
            <w:top w:val="none" w:sz="0" w:space="0" w:color="auto"/>
            <w:left w:val="none" w:sz="0" w:space="0" w:color="auto"/>
            <w:bottom w:val="none" w:sz="0" w:space="0" w:color="auto"/>
            <w:right w:val="none" w:sz="0" w:space="0" w:color="auto"/>
          </w:divBdr>
        </w:div>
        <w:div w:id="1814322319">
          <w:marLeft w:val="0"/>
          <w:marRight w:val="0"/>
          <w:marTop w:val="120"/>
          <w:marBottom w:val="120"/>
          <w:divBdr>
            <w:top w:val="none" w:sz="0" w:space="0" w:color="auto"/>
            <w:left w:val="none" w:sz="0" w:space="0" w:color="auto"/>
            <w:bottom w:val="none" w:sz="0" w:space="0" w:color="auto"/>
            <w:right w:val="none" w:sz="0" w:space="0" w:color="auto"/>
          </w:divBdr>
        </w:div>
        <w:div w:id="1910193748">
          <w:marLeft w:val="0"/>
          <w:marRight w:val="0"/>
          <w:marTop w:val="120"/>
          <w:marBottom w:val="120"/>
          <w:divBdr>
            <w:top w:val="none" w:sz="0" w:space="0" w:color="auto"/>
            <w:left w:val="none" w:sz="0" w:space="0" w:color="auto"/>
            <w:bottom w:val="none" w:sz="0" w:space="0" w:color="auto"/>
            <w:right w:val="none" w:sz="0" w:space="0" w:color="auto"/>
          </w:divBdr>
        </w:div>
        <w:div w:id="737480644">
          <w:marLeft w:val="0"/>
          <w:marRight w:val="0"/>
          <w:marTop w:val="120"/>
          <w:marBottom w:val="120"/>
          <w:divBdr>
            <w:top w:val="none" w:sz="0" w:space="0" w:color="auto"/>
            <w:left w:val="none" w:sz="0" w:space="0" w:color="auto"/>
            <w:bottom w:val="none" w:sz="0" w:space="0" w:color="auto"/>
            <w:right w:val="none" w:sz="0" w:space="0" w:color="auto"/>
          </w:divBdr>
        </w:div>
        <w:div w:id="1439908277">
          <w:marLeft w:val="0"/>
          <w:marRight w:val="0"/>
          <w:marTop w:val="120"/>
          <w:marBottom w:val="120"/>
          <w:divBdr>
            <w:top w:val="none" w:sz="0" w:space="0" w:color="auto"/>
            <w:left w:val="none" w:sz="0" w:space="0" w:color="auto"/>
            <w:bottom w:val="none" w:sz="0" w:space="0" w:color="auto"/>
            <w:right w:val="none" w:sz="0" w:space="0" w:color="auto"/>
          </w:divBdr>
        </w:div>
        <w:div w:id="1233660513">
          <w:marLeft w:val="0"/>
          <w:marRight w:val="0"/>
          <w:marTop w:val="120"/>
          <w:marBottom w:val="120"/>
          <w:divBdr>
            <w:top w:val="none" w:sz="0" w:space="0" w:color="auto"/>
            <w:left w:val="none" w:sz="0" w:space="0" w:color="auto"/>
            <w:bottom w:val="none" w:sz="0" w:space="0" w:color="auto"/>
            <w:right w:val="none" w:sz="0" w:space="0" w:color="auto"/>
          </w:divBdr>
        </w:div>
        <w:div w:id="1432049562">
          <w:marLeft w:val="0"/>
          <w:marRight w:val="0"/>
          <w:marTop w:val="120"/>
          <w:marBottom w:val="120"/>
          <w:divBdr>
            <w:top w:val="none" w:sz="0" w:space="0" w:color="auto"/>
            <w:left w:val="none" w:sz="0" w:space="0" w:color="auto"/>
            <w:bottom w:val="none" w:sz="0" w:space="0" w:color="auto"/>
            <w:right w:val="none" w:sz="0" w:space="0" w:color="auto"/>
          </w:divBdr>
        </w:div>
        <w:div w:id="1248491398">
          <w:marLeft w:val="0"/>
          <w:marRight w:val="0"/>
          <w:marTop w:val="120"/>
          <w:marBottom w:val="120"/>
          <w:divBdr>
            <w:top w:val="none" w:sz="0" w:space="0" w:color="auto"/>
            <w:left w:val="none" w:sz="0" w:space="0" w:color="auto"/>
            <w:bottom w:val="none" w:sz="0" w:space="0" w:color="auto"/>
            <w:right w:val="none" w:sz="0" w:space="0" w:color="auto"/>
          </w:divBdr>
        </w:div>
        <w:div w:id="2017877117">
          <w:marLeft w:val="0"/>
          <w:marRight w:val="0"/>
          <w:marTop w:val="120"/>
          <w:marBottom w:val="120"/>
          <w:divBdr>
            <w:top w:val="none" w:sz="0" w:space="0" w:color="auto"/>
            <w:left w:val="none" w:sz="0" w:space="0" w:color="auto"/>
            <w:bottom w:val="none" w:sz="0" w:space="0" w:color="auto"/>
            <w:right w:val="none" w:sz="0" w:space="0" w:color="auto"/>
          </w:divBdr>
        </w:div>
        <w:div w:id="1023282245">
          <w:marLeft w:val="0"/>
          <w:marRight w:val="0"/>
          <w:marTop w:val="120"/>
          <w:marBottom w:val="120"/>
          <w:divBdr>
            <w:top w:val="none" w:sz="0" w:space="0" w:color="auto"/>
            <w:left w:val="none" w:sz="0" w:space="0" w:color="auto"/>
            <w:bottom w:val="none" w:sz="0" w:space="0" w:color="auto"/>
            <w:right w:val="none" w:sz="0" w:space="0" w:color="auto"/>
          </w:divBdr>
        </w:div>
        <w:div w:id="869104760">
          <w:marLeft w:val="0"/>
          <w:marRight w:val="0"/>
          <w:marTop w:val="120"/>
          <w:marBottom w:val="120"/>
          <w:divBdr>
            <w:top w:val="none" w:sz="0" w:space="0" w:color="auto"/>
            <w:left w:val="none" w:sz="0" w:space="0" w:color="auto"/>
            <w:bottom w:val="none" w:sz="0" w:space="0" w:color="auto"/>
            <w:right w:val="none" w:sz="0" w:space="0" w:color="auto"/>
          </w:divBdr>
        </w:div>
        <w:div w:id="655886960">
          <w:marLeft w:val="0"/>
          <w:marRight w:val="0"/>
          <w:marTop w:val="120"/>
          <w:marBottom w:val="120"/>
          <w:divBdr>
            <w:top w:val="none" w:sz="0" w:space="0" w:color="auto"/>
            <w:left w:val="none" w:sz="0" w:space="0" w:color="auto"/>
            <w:bottom w:val="none" w:sz="0" w:space="0" w:color="auto"/>
            <w:right w:val="none" w:sz="0" w:space="0" w:color="auto"/>
          </w:divBdr>
        </w:div>
        <w:div w:id="1915361014">
          <w:marLeft w:val="0"/>
          <w:marRight w:val="0"/>
          <w:marTop w:val="120"/>
          <w:marBottom w:val="120"/>
          <w:divBdr>
            <w:top w:val="none" w:sz="0" w:space="0" w:color="auto"/>
            <w:left w:val="none" w:sz="0" w:space="0" w:color="auto"/>
            <w:bottom w:val="none" w:sz="0" w:space="0" w:color="auto"/>
            <w:right w:val="none" w:sz="0" w:space="0" w:color="auto"/>
          </w:divBdr>
        </w:div>
        <w:div w:id="1518033445">
          <w:marLeft w:val="0"/>
          <w:marRight w:val="0"/>
          <w:marTop w:val="120"/>
          <w:marBottom w:val="120"/>
          <w:divBdr>
            <w:top w:val="none" w:sz="0" w:space="0" w:color="auto"/>
            <w:left w:val="none" w:sz="0" w:space="0" w:color="auto"/>
            <w:bottom w:val="none" w:sz="0" w:space="0" w:color="auto"/>
            <w:right w:val="none" w:sz="0" w:space="0" w:color="auto"/>
          </w:divBdr>
        </w:div>
        <w:div w:id="1525316360">
          <w:marLeft w:val="0"/>
          <w:marRight w:val="0"/>
          <w:marTop w:val="120"/>
          <w:marBottom w:val="120"/>
          <w:divBdr>
            <w:top w:val="none" w:sz="0" w:space="0" w:color="auto"/>
            <w:left w:val="none" w:sz="0" w:space="0" w:color="auto"/>
            <w:bottom w:val="none" w:sz="0" w:space="0" w:color="auto"/>
            <w:right w:val="none" w:sz="0" w:space="0" w:color="auto"/>
          </w:divBdr>
        </w:div>
        <w:div w:id="233517684">
          <w:marLeft w:val="0"/>
          <w:marRight w:val="0"/>
          <w:marTop w:val="120"/>
          <w:marBottom w:val="120"/>
          <w:divBdr>
            <w:top w:val="none" w:sz="0" w:space="0" w:color="auto"/>
            <w:left w:val="none" w:sz="0" w:space="0" w:color="auto"/>
            <w:bottom w:val="none" w:sz="0" w:space="0" w:color="auto"/>
            <w:right w:val="none" w:sz="0" w:space="0" w:color="auto"/>
          </w:divBdr>
        </w:div>
        <w:div w:id="390735651">
          <w:marLeft w:val="0"/>
          <w:marRight w:val="0"/>
          <w:marTop w:val="120"/>
          <w:marBottom w:val="120"/>
          <w:divBdr>
            <w:top w:val="none" w:sz="0" w:space="0" w:color="auto"/>
            <w:left w:val="none" w:sz="0" w:space="0" w:color="auto"/>
            <w:bottom w:val="none" w:sz="0" w:space="0" w:color="auto"/>
            <w:right w:val="none" w:sz="0" w:space="0" w:color="auto"/>
          </w:divBdr>
        </w:div>
        <w:div w:id="135225040">
          <w:marLeft w:val="0"/>
          <w:marRight w:val="0"/>
          <w:marTop w:val="120"/>
          <w:marBottom w:val="120"/>
          <w:divBdr>
            <w:top w:val="none" w:sz="0" w:space="0" w:color="auto"/>
            <w:left w:val="none" w:sz="0" w:space="0" w:color="auto"/>
            <w:bottom w:val="none" w:sz="0" w:space="0" w:color="auto"/>
            <w:right w:val="none" w:sz="0" w:space="0" w:color="auto"/>
          </w:divBdr>
        </w:div>
        <w:div w:id="1950890317">
          <w:marLeft w:val="0"/>
          <w:marRight w:val="0"/>
          <w:marTop w:val="120"/>
          <w:marBottom w:val="120"/>
          <w:divBdr>
            <w:top w:val="none" w:sz="0" w:space="0" w:color="auto"/>
            <w:left w:val="none" w:sz="0" w:space="0" w:color="auto"/>
            <w:bottom w:val="none" w:sz="0" w:space="0" w:color="auto"/>
            <w:right w:val="none" w:sz="0" w:space="0" w:color="auto"/>
          </w:divBdr>
        </w:div>
        <w:div w:id="1475099206">
          <w:marLeft w:val="0"/>
          <w:marRight w:val="0"/>
          <w:marTop w:val="120"/>
          <w:marBottom w:val="120"/>
          <w:divBdr>
            <w:top w:val="none" w:sz="0" w:space="0" w:color="auto"/>
            <w:left w:val="none" w:sz="0" w:space="0" w:color="auto"/>
            <w:bottom w:val="none" w:sz="0" w:space="0" w:color="auto"/>
            <w:right w:val="none" w:sz="0" w:space="0" w:color="auto"/>
          </w:divBdr>
        </w:div>
        <w:div w:id="530383274">
          <w:marLeft w:val="0"/>
          <w:marRight w:val="0"/>
          <w:marTop w:val="120"/>
          <w:marBottom w:val="120"/>
          <w:divBdr>
            <w:top w:val="none" w:sz="0" w:space="0" w:color="auto"/>
            <w:left w:val="none" w:sz="0" w:space="0" w:color="auto"/>
            <w:bottom w:val="none" w:sz="0" w:space="0" w:color="auto"/>
            <w:right w:val="none" w:sz="0" w:space="0" w:color="auto"/>
          </w:divBdr>
        </w:div>
        <w:div w:id="1295453098">
          <w:marLeft w:val="0"/>
          <w:marRight w:val="0"/>
          <w:marTop w:val="120"/>
          <w:marBottom w:val="120"/>
          <w:divBdr>
            <w:top w:val="none" w:sz="0" w:space="0" w:color="auto"/>
            <w:left w:val="none" w:sz="0" w:space="0" w:color="auto"/>
            <w:bottom w:val="none" w:sz="0" w:space="0" w:color="auto"/>
            <w:right w:val="none" w:sz="0" w:space="0" w:color="auto"/>
          </w:divBdr>
        </w:div>
        <w:div w:id="264120539">
          <w:marLeft w:val="0"/>
          <w:marRight w:val="0"/>
          <w:marTop w:val="120"/>
          <w:marBottom w:val="120"/>
          <w:divBdr>
            <w:top w:val="none" w:sz="0" w:space="0" w:color="auto"/>
            <w:left w:val="none" w:sz="0" w:space="0" w:color="auto"/>
            <w:bottom w:val="none" w:sz="0" w:space="0" w:color="auto"/>
            <w:right w:val="none" w:sz="0" w:space="0" w:color="auto"/>
          </w:divBdr>
        </w:div>
        <w:div w:id="2103793919">
          <w:marLeft w:val="0"/>
          <w:marRight w:val="0"/>
          <w:marTop w:val="120"/>
          <w:marBottom w:val="120"/>
          <w:divBdr>
            <w:top w:val="none" w:sz="0" w:space="0" w:color="auto"/>
            <w:left w:val="none" w:sz="0" w:space="0" w:color="auto"/>
            <w:bottom w:val="none" w:sz="0" w:space="0" w:color="auto"/>
            <w:right w:val="none" w:sz="0" w:space="0" w:color="auto"/>
          </w:divBdr>
        </w:div>
        <w:div w:id="1051811361">
          <w:marLeft w:val="0"/>
          <w:marRight w:val="0"/>
          <w:marTop w:val="120"/>
          <w:marBottom w:val="120"/>
          <w:divBdr>
            <w:top w:val="none" w:sz="0" w:space="0" w:color="auto"/>
            <w:left w:val="none" w:sz="0" w:space="0" w:color="auto"/>
            <w:bottom w:val="none" w:sz="0" w:space="0" w:color="auto"/>
            <w:right w:val="none" w:sz="0" w:space="0" w:color="auto"/>
          </w:divBdr>
        </w:div>
        <w:div w:id="1226380139">
          <w:marLeft w:val="0"/>
          <w:marRight w:val="0"/>
          <w:marTop w:val="120"/>
          <w:marBottom w:val="120"/>
          <w:divBdr>
            <w:top w:val="none" w:sz="0" w:space="0" w:color="auto"/>
            <w:left w:val="none" w:sz="0" w:space="0" w:color="auto"/>
            <w:bottom w:val="none" w:sz="0" w:space="0" w:color="auto"/>
            <w:right w:val="none" w:sz="0" w:space="0" w:color="auto"/>
          </w:divBdr>
        </w:div>
        <w:div w:id="225066343">
          <w:marLeft w:val="0"/>
          <w:marRight w:val="0"/>
          <w:marTop w:val="120"/>
          <w:marBottom w:val="120"/>
          <w:divBdr>
            <w:top w:val="none" w:sz="0" w:space="0" w:color="auto"/>
            <w:left w:val="none" w:sz="0" w:space="0" w:color="auto"/>
            <w:bottom w:val="none" w:sz="0" w:space="0" w:color="auto"/>
            <w:right w:val="none" w:sz="0" w:space="0" w:color="auto"/>
          </w:divBdr>
        </w:div>
        <w:div w:id="1101531092">
          <w:marLeft w:val="0"/>
          <w:marRight w:val="0"/>
          <w:marTop w:val="120"/>
          <w:marBottom w:val="120"/>
          <w:divBdr>
            <w:top w:val="none" w:sz="0" w:space="0" w:color="auto"/>
            <w:left w:val="none" w:sz="0" w:space="0" w:color="auto"/>
            <w:bottom w:val="none" w:sz="0" w:space="0" w:color="auto"/>
            <w:right w:val="none" w:sz="0" w:space="0" w:color="auto"/>
          </w:divBdr>
        </w:div>
        <w:div w:id="1303729064">
          <w:marLeft w:val="0"/>
          <w:marRight w:val="0"/>
          <w:marTop w:val="120"/>
          <w:marBottom w:val="120"/>
          <w:divBdr>
            <w:top w:val="none" w:sz="0" w:space="0" w:color="auto"/>
            <w:left w:val="none" w:sz="0" w:space="0" w:color="auto"/>
            <w:bottom w:val="none" w:sz="0" w:space="0" w:color="auto"/>
            <w:right w:val="none" w:sz="0" w:space="0" w:color="auto"/>
          </w:divBdr>
        </w:div>
        <w:div w:id="44761664">
          <w:marLeft w:val="0"/>
          <w:marRight w:val="0"/>
          <w:marTop w:val="120"/>
          <w:marBottom w:val="120"/>
          <w:divBdr>
            <w:top w:val="none" w:sz="0" w:space="0" w:color="auto"/>
            <w:left w:val="none" w:sz="0" w:space="0" w:color="auto"/>
            <w:bottom w:val="none" w:sz="0" w:space="0" w:color="auto"/>
            <w:right w:val="none" w:sz="0" w:space="0" w:color="auto"/>
          </w:divBdr>
        </w:div>
        <w:div w:id="1420520449">
          <w:marLeft w:val="0"/>
          <w:marRight w:val="0"/>
          <w:marTop w:val="120"/>
          <w:marBottom w:val="120"/>
          <w:divBdr>
            <w:top w:val="none" w:sz="0" w:space="0" w:color="auto"/>
            <w:left w:val="none" w:sz="0" w:space="0" w:color="auto"/>
            <w:bottom w:val="none" w:sz="0" w:space="0" w:color="auto"/>
            <w:right w:val="none" w:sz="0" w:space="0" w:color="auto"/>
          </w:divBdr>
        </w:div>
        <w:div w:id="90050239">
          <w:marLeft w:val="0"/>
          <w:marRight w:val="0"/>
          <w:marTop w:val="120"/>
          <w:marBottom w:val="120"/>
          <w:divBdr>
            <w:top w:val="none" w:sz="0" w:space="0" w:color="auto"/>
            <w:left w:val="none" w:sz="0" w:space="0" w:color="auto"/>
            <w:bottom w:val="none" w:sz="0" w:space="0" w:color="auto"/>
            <w:right w:val="none" w:sz="0" w:space="0" w:color="auto"/>
          </w:divBdr>
        </w:div>
        <w:div w:id="1218782695">
          <w:marLeft w:val="0"/>
          <w:marRight w:val="0"/>
          <w:marTop w:val="120"/>
          <w:marBottom w:val="120"/>
          <w:divBdr>
            <w:top w:val="none" w:sz="0" w:space="0" w:color="auto"/>
            <w:left w:val="none" w:sz="0" w:space="0" w:color="auto"/>
            <w:bottom w:val="none" w:sz="0" w:space="0" w:color="auto"/>
            <w:right w:val="none" w:sz="0" w:space="0" w:color="auto"/>
          </w:divBdr>
        </w:div>
        <w:div w:id="548341039">
          <w:marLeft w:val="0"/>
          <w:marRight w:val="0"/>
          <w:marTop w:val="120"/>
          <w:marBottom w:val="120"/>
          <w:divBdr>
            <w:top w:val="none" w:sz="0" w:space="0" w:color="auto"/>
            <w:left w:val="none" w:sz="0" w:space="0" w:color="auto"/>
            <w:bottom w:val="none" w:sz="0" w:space="0" w:color="auto"/>
            <w:right w:val="none" w:sz="0" w:space="0" w:color="auto"/>
          </w:divBdr>
        </w:div>
        <w:div w:id="1955868493">
          <w:marLeft w:val="0"/>
          <w:marRight w:val="0"/>
          <w:marTop w:val="120"/>
          <w:marBottom w:val="120"/>
          <w:divBdr>
            <w:top w:val="none" w:sz="0" w:space="0" w:color="auto"/>
            <w:left w:val="none" w:sz="0" w:space="0" w:color="auto"/>
            <w:bottom w:val="none" w:sz="0" w:space="0" w:color="auto"/>
            <w:right w:val="none" w:sz="0" w:space="0" w:color="auto"/>
          </w:divBdr>
        </w:div>
        <w:div w:id="1001396799">
          <w:marLeft w:val="0"/>
          <w:marRight w:val="0"/>
          <w:marTop w:val="120"/>
          <w:marBottom w:val="120"/>
          <w:divBdr>
            <w:top w:val="none" w:sz="0" w:space="0" w:color="auto"/>
            <w:left w:val="none" w:sz="0" w:space="0" w:color="auto"/>
            <w:bottom w:val="none" w:sz="0" w:space="0" w:color="auto"/>
            <w:right w:val="none" w:sz="0" w:space="0" w:color="auto"/>
          </w:divBdr>
        </w:div>
        <w:div w:id="1603224071">
          <w:marLeft w:val="0"/>
          <w:marRight w:val="0"/>
          <w:marTop w:val="120"/>
          <w:marBottom w:val="120"/>
          <w:divBdr>
            <w:top w:val="none" w:sz="0" w:space="0" w:color="auto"/>
            <w:left w:val="none" w:sz="0" w:space="0" w:color="auto"/>
            <w:bottom w:val="none" w:sz="0" w:space="0" w:color="auto"/>
            <w:right w:val="none" w:sz="0" w:space="0" w:color="auto"/>
          </w:divBdr>
        </w:div>
        <w:div w:id="401222352">
          <w:marLeft w:val="0"/>
          <w:marRight w:val="0"/>
          <w:marTop w:val="120"/>
          <w:marBottom w:val="120"/>
          <w:divBdr>
            <w:top w:val="none" w:sz="0" w:space="0" w:color="auto"/>
            <w:left w:val="none" w:sz="0" w:space="0" w:color="auto"/>
            <w:bottom w:val="none" w:sz="0" w:space="0" w:color="auto"/>
            <w:right w:val="none" w:sz="0" w:space="0" w:color="auto"/>
          </w:divBdr>
        </w:div>
        <w:div w:id="318659363">
          <w:marLeft w:val="0"/>
          <w:marRight w:val="0"/>
          <w:marTop w:val="120"/>
          <w:marBottom w:val="120"/>
          <w:divBdr>
            <w:top w:val="none" w:sz="0" w:space="0" w:color="auto"/>
            <w:left w:val="none" w:sz="0" w:space="0" w:color="auto"/>
            <w:bottom w:val="none" w:sz="0" w:space="0" w:color="auto"/>
            <w:right w:val="none" w:sz="0" w:space="0" w:color="auto"/>
          </w:divBdr>
        </w:div>
        <w:div w:id="1720326278">
          <w:marLeft w:val="0"/>
          <w:marRight w:val="0"/>
          <w:marTop w:val="120"/>
          <w:marBottom w:val="120"/>
          <w:divBdr>
            <w:top w:val="none" w:sz="0" w:space="0" w:color="auto"/>
            <w:left w:val="none" w:sz="0" w:space="0" w:color="auto"/>
            <w:bottom w:val="none" w:sz="0" w:space="0" w:color="auto"/>
            <w:right w:val="none" w:sz="0" w:space="0" w:color="auto"/>
          </w:divBdr>
        </w:div>
        <w:div w:id="1251475632">
          <w:marLeft w:val="0"/>
          <w:marRight w:val="0"/>
          <w:marTop w:val="120"/>
          <w:marBottom w:val="120"/>
          <w:divBdr>
            <w:top w:val="none" w:sz="0" w:space="0" w:color="auto"/>
            <w:left w:val="none" w:sz="0" w:space="0" w:color="auto"/>
            <w:bottom w:val="none" w:sz="0" w:space="0" w:color="auto"/>
            <w:right w:val="none" w:sz="0" w:space="0" w:color="auto"/>
          </w:divBdr>
        </w:div>
        <w:div w:id="1801878394">
          <w:marLeft w:val="0"/>
          <w:marRight w:val="0"/>
          <w:marTop w:val="120"/>
          <w:marBottom w:val="120"/>
          <w:divBdr>
            <w:top w:val="none" w:sz="0" w:space="0" w:color="auto"/>
            <w:left w:val="none" w:sz="0" w:space="0" w:color="auto"/>
            <w:bottom w:val="none" w:sz="0" w:space="0" w:color="auto"/>
            <w:right w:val="none" w:sz="0" w:space="0" w:color="auto"/>
          </w:divBdr>
        </w:div>
        <w:div w:id="806246468">
          <w:marLeft w:val="0"/>
          <w:marRight w:val="0"/>
          <w:marTop w:val="120"/>
          <w:marBottom w:val="120"/>
          <w:divBdr>
            <w:top w:val="none" w:sz="0" w:space="0" w:color="auto"/>
            <w:left w:val="none" w:sz="0" w:space="0" w:color="auto"/>
            <w:bottom w:val="none" w:sz="0" w:space="0" w:color="auto"/>
            <w:right w:val="none" w:sz="0" w:space="0" w:color="auto"/>
          </w:divBdr>
        </w:div>
        <w:div w:id="1252159451">
          <w:marLeft w:val="0"/>
          <w:marRight w:val="0"/>
          <w:marTop w:val="120"/>
          <w:marBottom w:val="120"/>
          <w:divBdr>
            <w:top w:val="none" w:sz="0" w:space="0" w:color="auto"/>
            <w:left w:val="none" w:sz="0" w:space="0" w:color="auto"/>
            <w:bottom w:val="none" w:sz="0" w:space="0" w:color="auto"/>
            <w:right w:val="none" w:sz="0" w:space="0" w:color="auto"/>
          </w:divBdr>
        </w:div>
        <w:div w:id="1088187439">
          <w:marLeft w:val="0"/>
          <w:marRight w:val="0"/>
          <w:marTop w:val="120"/>
          <w:marBottom w:val="120"/>
          <w:divBdr>
            <w:top w:val="none" w:sz="0" w:space="0" w:color="auto"/>
            <w:left w:val="none" w:sz="0" w:space="0" w:color="auto"/>
            <w:bottom w:val="none" w:sz="0" w:space="0" w:color="auto"/>
            <w:right w:val="none" w:sz="0" w:space="0" w:color="auto"/>
          </w:divBdr>
        </w:div>
        <w:div w:id="4402284">
          <w:marLeft w:val="0"/>
          <w:marRight w:val="0"/>
          <w:marTop w:val="120"/>
          <w:marBottom w:val="120"/>
          <w:divBdr>
            <w:top w:val="none" w:sz="0" w:space="0" w:color="auto"/>
            <w:left w:val="none" w:sz="0" w:space="0" w:color="auto"/>
            <w:bottom w:val="none" w:sz="0" w:space="0" w:color="auto"/>
            <w:right w:val="none" w:sz="0" w:space="0" w:color="auto"/>
          </w:divBdr>
        </w:div>
        <w:div w:id="772630205">
          <w:marLeft w:val="0"/>
          <w:marRight w:val="0"/>
          <w:marTop w:val="120"/>
          <w:marBottom w:val="120"/>
          <w:divBdr>
            <w:top w:val="none" w:sz="0" w:space="0" w:color="auto"/>
            <w:left w:val="none" w:sz="0" w:space="0" w:color="auto"/>
            <w:bottom w:val="none" w:sz="0" w:space="0" w:color="auto"/>
            <w:right w:val="none" w:sz="0" w:space="0" w:color="auto"/>
          </w:divBdr>
        </w:div>
        <w:div w:id="440223854">
          <w:marLeft w:val="0"/>
          <w:marRight w:val="0"/>
          <w:marTop w:val="120"/>
          <w:marBottom w:val="120"/>
          <w:divBdr>
            <w:top w:val="none" w:sz="0" w:space="0" w:color="auto"/>
            <w:left w:val="none" w:sz="0" w:space="0" w:color="auto"/>
            <w:bottom w:val="none" w:sz="0" w:space="0" w:color="auto"/>
            <w:right w:val="none" w:sz="0" w:space="0" w:color="auto"/>
          </w:divBdr>
        </w:div>
        <w:div w:id="1243642474">
          <w:marLeft w:val="0"/>
          <w:marRight w:val="0"/>
          <w:marTop w:val="120"/>
          <w:marBottom w:val="120"/>
          <w:divBdr>
            <w:top w:val="none" w:sz="0" w:space="0" w:color="auto"/>
            <w:left w:val="none" w:sz="0" w:space="0" w:color="auto"/>
            <w:bottom w:val="none" w:sz="0" w:space="0" w:color="auto"/>
            <w:right w:val="none" w:sz="0" w:space="0" w:color="auto"/>
          </w:divBdr>
        </w:div>
        <w:div w:id="1362701622">
          <w:marLeft w:val="0"/>
          <w:marRight w:val="0"/>
          <w:marTop w:val="120"/>
          <w:marBottom w:val="120"/>
          <w:divBdr>
            <w:top w:val="none" w:sz="0" w:space="0" w:color="auto"/>
            <w:left w:val="none" w:sz="0" w:space="0" w:color="auto"/>
            <w:bottom w:val="none" w:sz="0" w:space="0" w:color="auto"/>
            <w:right w:val="none" w:sz="0" w:space="0" w:color="auto"/>
          </w:divBdr>
        </w:div>
        <w:div w:id="211036638">
          <w:marLeft w:val="0"/>
          <w:marRight w:val="0"/>
          <w:marTop w:val="120"/>
          <w:marBottom w:val="120"/>
          <w:divBdr>
            <w:top w:val="none" w:sz="0" w:space="0" w:color="auto"/>
            <w:left w:val="none" w:sz="0" w:space="0" w:color="auto"/>
            <w:bottom w:val="none" w:sz="0" w:space="0" w:color="auto"/>
            <w:right w:val="none" w:sz="0" w:space="0" w:color="auto"/>
          </w:divBdr>
        </w:div>
        <w:div w:id="1058434226">
          <w:marLeft w:val="0"/>
          <w:marRight w:val="0"/>
          <w:marTop w:val="120"/>
          <w:marBottom w:val="120"/>
          <w:divBdr>
            <w:top w:val="none" w:sz="0" w:space="0" w:color="auto"/>
            <w:left w:val="none" w:sz="0" w:space="0" w:color="auto"/>
            <w:bottom w:val="none" w:sz="0" w:space="0" w:color="auto"/>
            <w:right w:val="none" w:sz="0" w:space="0" w:color="auto"/>
          </w:divBdr>
        </w:div>
        <w:div w:id="502549703">
          <w:marLeft w:val="0"/>
          <w:marRight w:val="0"/>
          <w:marTop w:val="120"/>
          <w:marBottom w:val="120"/>
          <w:divBdr>
            <w:top w:val="none" w:sz="0" w:space="0" w:color="auto"/>
            <w:left w:val="none" w:sz="0" w:space="0" w:color="auto"/>
            <w:bottom w:val="none" w:sz="0" w:space="0" w:color="auto"/>
            <w:right w:val="none" w:sz="0" w:space="0" w:color="auto"/>
          </w:divBdr>
        </w:div>
        <w:div w:id="249586703">
          <w:marLeft w:val="0"/>
          <w:marRight w:val="0"/>
          <w:marTop w:val="120"/>
          <w:marBottom w:val="120"/>
          <w:divBdr>
            <w:top w:val="none" w:sz="0" w:space="0" w:color="auto"/>
            <w:left w:val="none" w:sz="0" w:space="0" w:color="auto"/>
            <w:bottom w:val="none" w:sz="0" w:space="0" w:color="auto"/>
            <w:right w:val="none" w:sz="0" w:space="0" w:color="auto"/>
          </w:divBdr>
        </w:div>
        <w:div w:id="1240408853">
          <w:marLeft w:val="0"/>
          <w:marRight w:val="0"/>
          <w:marTop w:val="120"/>
          <w:marBottom w:val="120"/>
          <w:divBdr>
            <w:top w:val="none" w:sz="0" w:space="0" w:color="auto"/>
            <w:left w:val="none" w:sz="0" w:space="0" w:color="auto"/>
            <w:bottom w:val="none" w:sz="0" w:space="0" w:color="auto"/>
            <w:right w:val="none" w:sz="0" w:space="0" w:color="auto"/>
          </w:divBdr>
        </w:div>
        <w:div w:id="2048949541">
          <w:marLeft w:val="0"/>
          <w:marRight w:val="0"/>
          <w:marTop w:val="120"/>
          <w:marBottom w:val="120"/>
          <w:divBdr>
            <w:top w:val="none" w:sz="0" w:space="0" w:color="auto"/>
            <w:left w:val="none" w:sz="0" w:space="0" w:color="auto"/>
            <w:bottom w:val="none" w:sz="0" w:space="0" w:color="auto"/>
            <w:right w:val="none" w:sz="0" w:space="0" w:color="auto"/>
          </w:divBdr>
        </w:div>
        <w:div w:id="378550487">
          <w:marLeft w:val="0"/>
          <w:marRight w:val="0"/>
          <w:marTop w:val="120"/>
          <w:marBottom w:val="120"/>
          <w:divBdr>
            <w:top w:val="none" w:sz="0" w:space="0" w:color="auto"/>
            <w:left w:val="none" w:sz="0" w:space="0" w:color="auto"/>
            <w:bottom w:val="none" w:sz="0" w:space="0" w:color="auto"/>
            <w:right w:val="none" w:sz="0" w:space="0" w:color="auto"/>
          </w:divBdr>
        </w:div>
        <w:div w:id="592251819">
          <w:marLeft w:val="0"/>
          <w:marRight w:val="0"/>
          <w:marTop w:val="120"/>
          <w:marBottom w:val="120"/>
          <w:divBdr>
            <w:top w:val="none" w:sz="0" w:space="0" w:color="auto"/>
            <w:left w:val="none" w:sz="0" w:space="0" w:color="auto"/>
            <w:bottom w:val="none" w:sz="0" w:space="0" w:color="auto"/>
            <w:right w:val="none" w:sz="0" w:space="0" w:color="auto"/>
          </w:divBdr>
        </w:div>
        <w:div w:id="538935236">
          <w:marLeft w:val="0"/>
          <w:marRight w:val="0"/>
          <w:marTop w:val="120"/>
          <w:marBottom w:val="120"/>
          <w:divBdr>
            <w:top w:val="none" w:sz="0" w:space="0" w:color="auto"/>
            <w:left w:val="none" w:sz="0" w:space="0" w:color="auto"/>
            <w:bottom w:val="none" w:sz="0" w:space="0" w:color="auto"/>
            <w:right w:val="none" w:sz="0" w:space="0" w:color="auto"/>
          </w:divBdr>
        </w:div>
        <w:div w:id="803233415">
          <w:marLeft w:val="0"/>
          <w:marRight w:val="0"/>
          <w:marTop w:val="120"/>
          <w:marBottom w:val="120"/>
          <w:divBdr>
            <w:top w:val="none" w:sz="0" w:space="0" w:color="auto"/>
            <w:left w:val="none" w:sz="0" w:space="0" w:color="auto"/>
            <w:bottom w:val="none" w:sz="0" w:space="0" w:color="auto"/>
            <w:right w:val="none" w:sz="0" w:space="0" w:color="auto"/>
          </w:divBdr>
        </w:div>
        <w:div w:id="1933196989">
          <w:marLeft w:val="0"/>
          <w:marRight w:val="0"/>
          <w:marTop w:val="120"/>
          <w:marBottom w:val="120"/>
          <w:divBdr>
            <w:top w:val="none" w:sz="0" w:space="0" w:color="auto"/>
            <w:left w:val="none" w:sz="0" w:space="0" w:color="auto"/>
            <w:bottom w:val="none" w:sz="0" w:space="0" w:color="auto"/>
            <w:right w:val="none" w:sz="0" w:space="0" w:color="auto"/>
          </w:divBdr>
        </w:div>
        <w:div w:id="1802772511">
          <w:marLeft w:val="0"/>
          <w:marRight w:val="0"/>
          <w:marTop w:val="120"/>
          <w:marBottom w:val="120"/>
          <w:divBdr>
            <w:top w:val="none" w:sz="0" w:space="0" w:color="auto"/>
            <w:left w:val="none" w:sz="0" w:space="0" w:color="auto"/>
            <w:bottom w:val="none" w:sz="0" w:space="0" w:color="auto"/>
            <w:right w:val="none" w:sz="0" w:space="0" w:color="auto"/>
          </w:divBdr>
        </w:div>
        <w:div w:id="1654941762">
          <w:marLeft w:val="0"/>
          <w:marRight w:val="0"/>
          <w:marTop w:val="120"/>
          <w:marBottom w:val="120"/>
          <w:divBdr>
            <w:top w:val="none" w:sz="0" w:space="0" w:color="auto"/>
            <w:left w:val="none" w:sz="0" w:space="0" w:color="auto"/>
            <w:bottom w:val="none" w:sz="0" w:space="0" w:color="auto"/>
            <w:right w:val="none" w:sz="0" w:space="0" w:color="auto"/>
          </w:divBdr>
        </w:div>
        <w:div w:id="1189416551">
          <w:marLeft w:val="0"/>
          <w:marRight w:val="0"/>
          <w:marTop w:val="120"/>
          <w:marBottom w:val="120"/>
          <w:divBdr>
            <w:top w:val="none" w:sz="0" w:space="0" w:color="auto"/>
            <w:left w:val="none" w:sz="0" w:space="0" w:color="auto"/>
            <w:bottom w:val="none" w:sz="0" w:space="0" w:color="auto"/>
            <w:right w:val="none" w:sz="0" w:space="0" w:color="auto"/>
          </w:divBdr>
        </w:div>
        <w:div w:id="29886914">
          <w:marLeft w:val="0"/>
          <w:marRight w:val="0"/>
          <w:marTop w:val="120"/>
          <w:marBottom w:val="120"/>
          <w:divBdr>
            <w:top w:val="none" w:sz="0" w:space="0" w:color="auto"/>
            <w:left w:val="none" w:sz="0" w:space="0" w:color="auto"/>
            <w:bottom w:val="none" w:sz="0" w:space="0" w:color="auto"/>
            <w:right w:val="none" w:sz="0" w:space="0" w:color="auto"/>
          </w:divBdr>
        </w:div>
        <w:div w:id="1860240879">
          <w:marLeft w:val="0"/>
          <w:marRight w:val="0"/>
          <w:marTop w:val="120"/>
          <w:marBottom w:val="120"/>
          <w:divBdr>
            <w:top w:val="none" w:sz="0" w:space="0" w:color="auto"/>
            <w:left w:val="none" w:sz="0" w:space="0" w:color="auto"/>
            <w:bottom w:val="none" w:sz="0" w:space="0" w:color="auto"/>
            <w:right w:val="none" w:sz="0" w:space="0" w:color="auto"/>
          </w:divBdr>
        </w:div>
        <w:div w:id="880628348">
          <w:marLeft w:val="0"/>
          <w:marRight w:val="0"/>
          <w:marTop w:val="120"/>
          <w:marBottom w:val="120"/>
          <w:divBdr>
            <w:top w:val="none" w:sz="0" w:space="0" w:color="auto"/>
            <w:left w:val="none" w:sz="0" w:space="0" w:color="auto"/>
            <w:bottom w:val="none" w:sz="0" w:space="0" w:color="auto"/>
            <w:right w:val="none" w:sz="0" w:space="0" w:color="auto"/>
          </w:divBdr>
        </w:div>
        <w:div w:id="5794828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608/jla.2021.7371" TargetMode="External"/><Relationship Id="rId18" Type="http://schemas.openxmlformats.org/officeDocument/2006/relationships/hyperlink" Target="https://doi.org/10.18608/jla.2023.7775" TargetMode="External"/><Relationship Id="rId26" Type="http://schemas.openxmlformats.org/officeDocument/2006/relationships/hyperlink" Target="https://www.researchgate.net/publication/337937724_Predicting_Students_Success_in_Blended_Learning-Evaluating_Different_Interactions_Inside_Learning_Management_Systems" TargetMode="External"/><Relationship Id="rId39" Type="http://schemas.openxmlformats.org/officeDocument/2006/relationships/hyperlink" Target="https://doi.org/10.18608/jla.2021.6590" TargetMode="External"/><Relationship Id="rId21" Type="http://schemas.openxmlformats.org/officeDocument/2006/relationships/hyperlink" Target="https://doi.org/10.18608/jla.2021.7543" TargetMode="External"/><Relationship Id="rId34" Type="http://schemas.openxmlformats.org/officeDocument/2006/relationships/hyperlink" Target="https://doi.org/10.18608/jla.2021.7357" TargetMode="External"/><Relationship Id="rId42" Type="http://schemas.openxmlformats.org/officeDocument/2006/relationships/hyperlink" Target="https://www.sciencedirect.com/science/article/pii/S1877050920314241" TargetMode="External"/><Relationship Id="rId47" Type="http://schemas.openxmlformats.org/officeDocument/2006/relationships/hyperlink" Target="https://www.researchgate.net/publication/28659291" TargetMode="External"/><Relationship Id="rId7" Type="http://schemas.openxmlformats.org/officeDocument/2006/relationships/hyperlink" Target="mailto:2201110737@student.buksu.edu.ph" TargetMode="External"/><Relationship Id="rId2" Type="http://schemas.openxmlformats.org/officeDocument/2006/relationships/styles" Target="styles.xml"/><Relationship Id="rId16" Type="http://schemas.openxmlformats.org/officeDocument/2006/relationships/hyperlink" Target="https://doi.org/10.3991/ijai.v2i1.12317" TargetMode="External"/><Relationship Id="rId29" Type="http://schemas.openxmlformats.org/officeDocument/2006/relationships/hyperlink" Target="https://www.researchgate.net/publication/359727047_Learning_Analytics_for_Tracking_Student_Progress_in_LMS/citations" TargetMode="External"/><Relationship Id="rId11" Type="http://schemas.openxmlformats.org/officeDocument/2006/relationships/hyperlink" Target="https://doi.org/10.1145/3368691.3368694" TargetMode="External"/><Relationship Id="rId24" Type="http://schemas.openxmlformats.org/officeDocument/2006/relationships/hyperlink" Target="https://www.jstor.org/stable/26388400" TargetMode="External"/><Relationship Id="rId32" Type="http://schemas.openxmlformats.org/officeDocument/2006/relationships/hyperlink" Target="https://doi.org/10.18844/cjes.v17i5.7326" TargetMode="External"/><Relationship Id="rId37" Type="http://schemas.openxmlformats.org/officeDocument/2006/relationships/hyperlink" Target="https://doi.org/10.3991/ijet.v18i02.32167" TargetMode="External"/><Relationship Id="rId40" Type="http://schemas.openxmlformats.org/officeDocument/2006/relationships/hyperlink" Target="https://doi.org/10.48127/gu-nse/21.18.75" TargetMode="External"/><Relationship Id="rId45" Type="http://schemas.openxmlformats.org/officeDocument/2006/relationships/hyperlink" Target="http://www.milbanj.org" TargetMode="External"/><Relationship Id="rId5" Type="http://schemas.openxmlformats.org/officeDocument/2006/relationships/footnotes" Target="footnotes.xml"/><Relationship Id="rId15" Type="http://schemas.openxmlformats.org/officeDocument/2006/relationships/hyperlink" Target="https://www.emerald.com/insight/content/doi/10.1108/ACI-06-2021-0150/full/html" TargetMode="External"/><Relationship Id="rId23" Type="http://schemas.openxmlformats.org/officeDocument/2006/relationships/hyperlink" Target="https://doi.org/10.18608/jla.2022.763" TargetMode="External"/><Relationship Id="rId28" Type="http://schemas.openxmlformats.org/officeDocument/2006/relationships/hyperlink" Target="https://www.researchgate.net/publication/335101731" TargetMode="External"/><Relationship Id="rId36" Type="http://schemas.openxmlformats.org/officeDocument/2006/relationships/hyperlink" Target="https://doi.org/10.1007/978-3-031-35883-8_2" TargetMode="External"/><Relationship Id="rId49" Type="http://schemas.openxmlformats.org/officeDocument/2006/relationships/theme" Target="theme/theme1.xml"/><Relationship Id="rId10" Type="http://schemas.openxmlformats.org/officeDocument/2006/relationships/hyperlink" Target="https://doi.org/10.1007/s10639-022-10950-8" TargetMode="External"/><Relationship Id="rId19" Type="http://schemas.openxmlformats.org/officeDocument/2006/relationships/hyperlink" Target="https://www.researchgate.net/publication/345246787" TargetMode="External"/><Relationship Id="rId31" Type="http://schemas.openxmlformats.org/officeDocument/2006/relationships/hyperlink" Target="https://doi.org/10.47750/pegegog.13.01.19" TargetMode="External"/><Relationship Id="rId44" Type="http://schemas.openxmlformats.org/officeDocument/2006/relationships/hyperlink" Target="https://doi.org/10.18608/jla.2023.7813" TargetMode="External"/><Relationship Id="rId4" Type="http://schemas.openxmlformats.org/officeDocument/2006/relationships/webSettings" Target="webSettings.xml"/><Relationship Id="rId9" Type="http://schemas.openxmlformats.org/officeDocument/2006/relationships/hyperlink" Target="https://www.emerald.com/insight/2414-6994.htm" TargetMode="External"/><Relationship Id="rId14" Type="http://schemas.openxmlformats.org/officeDocument/2006/relationships/hyperlink" Target="https://www.researchgate.net/publication/353906374" TargetMode="External"/><Relationship Id="rId22" Type="http://schemas.openxmlformats.org/officeDocument/2006/relationships/hyperlink" Target="https://www.solaresearch.org/events/lak/" TargetMode="External"/><Relationship Id="rId27" Type="http://schemas.openxmlformats.org/officeDocument/2006/relationships/hyperlink" Target="https://doi.org/10.1145/3378936.3378956" TargetMode="External"/><Relationship Id="rId30" Type="http://schemas.openxmlformats.org/officeDocument/2006/relationships/hyperlink" Target="https://doi.org/10.3390/app10113998" TargetMode="External"/><Relationship Id="rId35" Type="http://schemas.openxmlformats.org/officeDocument/2006/relationships/hyperlink" Target="https://www.emerald.com/insight/2414-6994.htm" TargetMode="External"/><Relationship Id="rId43" Type="http://schemas.openxmlformats.org/officeDocument/2006/relationships/hyperlink" Target="https://www.researchgate.net/publication/308271936" TargetMode="External"/><Relationship Id="rId48" Type="http://schemas.openxmlformats.org/officeDocument/2006/relationships/fontTable" Target="fontTable.xml"/><Relationship Id="rId8" Type="http://schemas.openxmlformats.org/officeDocument/2006/relationships/hyperlink" Target="http://dx.doi.org/10.18608/jla.2016.32.11" TargetMode="External"/><Relationship Id="rId3" Type="http://schemas.openxmlformats.org/officeDocument/2006/relationships/settings" Target="settings.xml"/><Relationship Id="rId12" Type="http://schemas.openxmlformats.org/officeDocument/2006/relationships/hyperlink" Target="https://doi.org/10.1016/j.compeleceng.2020.106908" TargetMode="External"/><Relationship Id="rId17" Type="http://schemas.openxmlformats.org/officeDocument/2006/relationships/hyperlink" Target="https://bit.ly/2JowOQz" TargetMode="External"/><Relationship Id="rId25" Type="http://schemas.openxmlformats.org/officeDocument/2006/relationships/hyperlink" Target="https://doi.org/10.18608/jla.2023.7681" TargetMode="External"/><Relationship Id="rId33" Type="http://schemas.openxmlformats.org/officeDocument/2006/relationships/hyperlink" Target="https://doi.org/10.1186/s41239-021-00284-9" TargetMode="External"/><Relationship Id="rId38" Type="http://schemas.openxmlformats.org/officeDocument/2006/relationships/hyperlink" Target="https://www.researchgate.net/publication/371834365" TargetMode="External"/><Relationship Id="rId46" Type="http://schemas.openxmlformats.org/officeDocument/2006/relationships/hyperlink" Target="https://doi.org/10.1111/bjet.13383" TargetMode="External"/><Relationship Id="rId20" Type="http://schemas.openxmlformats.org/officeDocument/2006/relationships/hyperlink" Target="https://www.researchgate.net/publication/369003256" TargetMode="External"/><Relationship Id="rId41" Type="http://schemas.openxmlformats.org/officeDocument/2006/relationships/hyperlink" Target="https://doi.org/10.1016/j.procs.2020.05.09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9200</Words>
  <Characters>52444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 Nelly Rose</dc:creator>
  <cp:keywords/>
  <dc:description/>
  <cp:lastModifiedBy>Leono Nelly Rose</cp:lastModifiedBy>
  <cp:revision>4</cp:revision>
  <dcterms:created xsi:type="dcterms:W3CDTF">2026-04-21T03:00:00Z</dcterms:created>
  <dcterms:modified xsi:type="dcterms:W3CDTF">2026-04-21T06:21:00Z</dcterms:modified>
</cp:coreProperties>
</file>