
<file path=[Content_Types].xml><?xml version="1.0" encoding="utf-8"?>
<Types xmlns="http://schemas.openxmlformats.org/package/2006/content-types">
  <Override PartName="/word/webextensions/taskpanes.xml" ContentType="application/vnd.ms-office.webextensiontaskpan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C08" w:rsidRPr="00863DD3" w:rsidRDefault="00B556F7" w:rsidP="00863DD3">
      <w:pPr>
        <w:spacing w:after="80" w:line="360" w:lineRule="auto"/>
        <w:jc w:val="center"/>
      </w:pPr>
      <w:r w:rsidRPr="00863DD3">
        <w:rPr>
          <w:b/>
          <w:bCs/>
        </w:rPr>
        <w:t>ASSESSMENT OF HOUSING CHALLENGES IN HIGHER INSTITUTIONS IN NIGERIA: A CASE STUDY OF FEDERAL POLYTECHNIC, ILARO</w:t>
      </w:r>
    </w:p>
    <w:p w:rsidR="004F3C08" w:rsidRPr="00863DD3" w:rsidRDefault="00B556F7" w:rsidP="00863DD3">
      <w:pPr>
        <w:spacing w:after="60" w:line="360" w:lineRule="auto"/>
        <w:jc w:val="center"/>
      </w:pPr>
      <w:r w:rsidRPr="00863DD3">
        <w:rPr>
          <w:b/>
          <w:bCs/>
        </w:rPr>
        <w:t xml:space="preserve">Attah, </w:t>
      </w:r>
      <w:proofErr w:type="spellStart"/>
      <w:r w:rsidRPr="00863DD3">
        <w:rPr>
          <w:b/>
          <w:bCs/>
        </w:rPr>
        <w:t>Theophilus</w:t>
      </w:r>
      <w:proofErr w:type="spellEnd"/>
      <w:r w:rsidRPr="00863DD3">
        <w:rPr>
          <w:b/>
          <w:bCs/>
        </w:rPr>
        <w:t xml:space="preserve"> O.¹ and </w:t>
      </w:r>
      <w:proofErr w:type="spellStart"/>
      <w:r w:rsidRPr="00863DD3">
        <w:rPr>
          <w:b/>
          <w:bCs/>
        </w:rPr>
        <w:t>Odunnaike</w:t>
      </w:r>
      <w:proofErr w:type="spellEnd"/>
      <w:r w:rsidRPr="00863DD3">
        <w:rPr>
          <w:b/>
          <w:bCs/>
        </w:rPr>
        <w:t>, Joseph Seun²</w:t>
      </w:r>
    </w:p>
    <w:p w:rsidR="004F3C08" w:rsidRPr="00863DD3" w:rsidRDefault="00B556F7" w:rsidP="00863DD3">
      <w:pPr>
        <w:spacing w:after="40" w:line="360" w:lineRule="auto"/>
        <w:jc w:val="center"/>
      </w:pPr>
      <w:r w:rsidRPr="00863DD3">
        <w:t xml:space="preserve">¹Department of Surveying and Geoinformatics, Federal Polytechnic, Ilaro, </w:t>
      </w:r>
      <w:proofErr w:type="spellStart"/>
      <w:r w:rsidRPr="00863DD3">
        <w:t>Ogun</w:t>
      </w:r>
      <w:proofErr w:type="spellEnd"/>
      <w:r w:rsidRPr="00863DD3">
        <w:t xml:space="preserve"> State, Nigeria</w:t>
      </w:r>
    </w:p>
    <w:p w:rsidR="004F3C08" w:rsidRPr="00863DD3" w:rsidRDefault="00B556F7" w:rsidP="00863DD3">
      <w:pPr>
        <w:spacing w:after="40" w:line="360" w:lineRule="auto"/>
        <w:jc w:val="center"/>
      </w:pPr>
      <w:r w:rsidRPr="00863DD3">
        <w:t xml:space="preserve">²Department of Estate Management and Valuation, Federal Polytechnic, Ilaro, </w:t>
      </w:r>
      <w:proofErr w:type="spellStart"/>
      <w:r w:rsidRPr="00863DD3">
        <w:t>Ogun</w:t>
      </w:r>
      <w:proofErr w:type="spellEnd"/>
      <w:r w:rsidRPr="00863DD3">
        <w:t xml:space="preserve"> State, Nigeria</w:t>
      </w:r>
    </w:p>
    <w:p w:rsidR="004F3C08" w:rsidRPr="00863DD3" w:rsidRDefault="00B556F7" w:rsidP="00863DD3">
      <w:pPr>
        <w:spacing w:after="160" w:line="360" w:lineRule="auto"/>
        <w:jc w:val="center"/>
      </w:pPr>
      <w:r w:rsidRPr="00863DD3">
        <w:rPr>
          <w:i/>
          <w:iCs/>
        </w:rPr>
        <w:t>Corresponding author: joseph.odunnaike@federalpolyilaro.edu.ng</w:t>
      </w:r>
    </w:p>
    <w:p w:rsidR="004F3C08" w:rsidRPr="00863DD3" w:rsidRDefault="00B556F7" w:rsidP="00863DD3">
      <w:pPr>
        <w:pStyle w:val="Heading1"/>
        <w:spacing w:line="360" w:lineRule="auto"/>
        <w:rPr>
          <w:sz w:val="24"/>
          <w:szCs w:val="24"/>
        </w:rPr>
      </w:pPr>
      <w:r w:rsidRPr="00863DD3">
        <w:rPr>
          <w:sz w:val="24"/>
          <w:szCs w:val="24"/>
        </w:rPr>
        <w:t>ABSTRACT</w:t>
      </w:r>
    </w:p>
    <w:p w:rsidR="007D2F94" w:rsidRPr="00863DD3" w:rsidRDefault="00267682" w:rsidP="00863DD3">
      <w:pPr>
        <w:pStyle w:val="Heading1"/>
        <w:spacing w:line="360" w:lineRule="auto"/>
        <w:jc w:val="both"/>
        <w:rPr>
          <w:b w:val="0"/>
          <w:i/>
          <w:iCs/>
          <w:sz w:val="24"/>
          <w:szCs w:val="24"/>
        </w:rPr>
      </w:pPr>
      <w:r w:rsidRPr="00863DD3">
        <w:rPr>
          <w:b w:val="0"/>
          <w:i/>
          <w:iCs/>
          <w:sz w:val="24"/>
          <w:szCs w:val="24"/>
        </w:rPr>
        <w:t xml:space="preserve">Access to adequate housing remains one of the major challenges facing the staff and students of higher education institutions in Nigeria. The persistent increase in house rent, insufficient on-campus hostels and staff quarters, and growing student enrollment without proportional housing provision contribute to these housing challenges. Inadequate housing conditions have measurable consequences for the welfare and academic performance of students and staff. This study examined housing challenges faced by staff and students of a higher education institution in Nigeria using Federal Polytechnic Ilaro (FPI), </w:t>
      </w:r>
      <w:proofErr w:type="spellStart"/>
      <w:r w:rsidRPr="00863DD3">
        <w:rPr>
          <w:b w:val="0"/>
          <w:i/>
          <w:iCs/>
          <w:sz w:val="24"/>
          <w:szCs w:val="24"/>
        </w:rPr>
        <w:t>Ogun</w:t>
      </w:r>
      <w:proofErr w:type="spellEnd"/>
      <w:r w:rsidRPr="00863DD3">
        <w:rPr>
          <w:b w:val="0"/>
          <w:i/>
          <w:iCs/>
          <w:sz w:val="24"/>
          <w:szCs w:val="24"/>
        </w:rPr>
        <w:t xml:space="preserve"> State, Nigeria as a case study. Data used include the housing conditions of 100 sampled housing units, the location of these housing units, and specific housing challenges faced by staff and students. These data were collected through structured questionnaires administered to 83 FPI staff and students, physical condition surveys of 100 housing units, and GPS mapping of residential locations and the road network. The data were analyzed using </w:t>
      </w:r>
      <w:proofErr w:type="spellStart"/>
      <w:r w:rsidRPr="00863DD3">
        <w:rPr>
          <w:b w:val="0"/>
          <w:i/>
          <w:iCs/>
          <w:sz w:val="24"/>
          <w:szCs w:val="24"/>
        </w:rPr>
        <w:t>ArcGIS</w:t>
      </w:r>
      <w:proofErr w:type="spellEnd"/>
      <w:r w:rsidRPr="00863DD3">
        <w:rPr>
          <w:b w:val="0"/>
          <w:i/>
          <w:iCs/>
          <w:sz w:val="24"/>
          <w:szCs w:val="24"/>
        </w:rPr>
        <w:t xml:space="preserve"> 10.6.1 and Microsoft Excel. The results show that 82 of the 100 surve</w:t>
      </w:r>
      <w:r w:rsidR="0025038E">
        <w:rPr>
          <w:b w:val="0"/>
          <w:i/>
          <w:iCs/>
          <w:sz w:val="24"/>
          <w:szCs w:val="24"/>
        </w:rPr>
        <w:t xml:space="preserve">yed units attract rents between </w:t>
      </w:r>
      <w:r w:rsidR="0025038E" w:rsidRPr="00863DD3">
        <w:rPr>
          <w:b w:val="0"/>
          <w:i/>
          <w:iCs/>
          <w:sz w:val="24"/>
          <w:szCs w:val="24"/>
        </w:rPr>
        <w:t>₦</w:t>
      </w:r>
      <w:r w:rsidRPr="00863DD3">
        <w:rPr>
          <w:b w:val="0"/>
          <w:i/>
          <w:iCs/>
          <w:sz w:val="24"/>
          <w:szCs w:val="24"/>
        </w:rPr>
        <w:t>150,000 to ₦350,000 per annum for a self-contained or r</w:t>
      </w:r>
      <w:r w:rsidR="0025038E">
        <w:rPr>
          <w:b w:val="0"/>
          <w:i/>
          <w:iCs/>
          <w:sz w:val="24"/>
          <w:szCs w:val="24"/>
        </w:rPr>
        <w:t>oom-and-</w:t>
      </w:r>
      <w:proofErr w:type="spellStart"/>
      <w:r w:rsidR="0025038E">
        <w:rPr>
          <w:b w:val="0"/>
          <w:i/>
          <w:iCs/>
          <w:sz w:val="24"/>
          <w:szCs w:val="24"/>
        </w:rPr>
        <w:t>parlour</w:t>
      </w:r>
      <w:proofErr w:type="spellEnd"/>
      <w:r w:rsidR="0025038E">
        <w:rPr>
          <w:b w:val="0"/>
          <w:i/>
          <w:iCs/>
          <w:sz w:val="24"/>
          <w:szCs w:val="24"/>
        </w:rPr>
        <w:t xml:space="preserve"> apartment. </w:t>
      </w:r>
      <w:r w:rsidRPr="00863DD3">
        <w:rPr>
          <w:b w:val="0"/>
          <w:i/>
          <w:iCs/>
          <w:sz w:val="24"/>
          <w:szCs w:val="24"/>
        </w:rPr>
        <w:t>52% of these units have a reliable electricity supply, 40% lack adequate water, and 15% have no fence. 44.58% of staff and students reside in privat</w:t>
      </w:r>
      <w:r w:rsidR="0025038E">
        <w:rPr>
          <w:b w:val="0"/>
          <w:i/>
          <w:iCs/>
          <w:sz w:val="24"/>
          <w:szCs w:val="24"/>
        </w:rPr>
        <w:t xml:space="preserve">ely rented accommodation. </w:t>
      </w:r>
      <w:r w:rsidRPr="00863DD3">
        <w:rPr>
          <w:b w:val="0"/>
          <w:i/>
          <w:iCs/>
          <w:sz w:val="24"/>
          <w:szCs w:val="24"/>
        </w:rPr>
        <w:t>55.42</w:t>
      </w:r>
      <w:r w:rsidR="00954764" w:rsidRPr="00863DD3">
        <w:rPr>
          <w:b w:val="0"/>
          <w:i/>
          <w:iCs/>
          <w:sz w:val="24"/>
          <w:szCs w:val="24"/>
        </w:rPr>
        <w:t xml:space="preserve">% </w:t>
      </w:r>
      <w:r w:rsidR="00954764">
        <w:rPr>
          <w:b w:val="0"/>
          <w:i/>
          <w:iCs/>
          <w:sz w:val="24"/>
          <w:szCs w:val="24"/>
        </w:rPr>
        <w:t>of</w:t>
      </w:r>
      <w:r w:rsidR="0025038E">
        <w:rPr>
          <w:b w:val="0"/>
          <w:i/>
          <w:iCs/>
          <w:sz w:val="24"/>
          <w:szCs w:val="24"/>
        </w:rPr>
        <w:t xml:space="preserve"> the respondents </w:t>
      </w:r>
      <w:r w:rsidRPr="00863DD3">
        <w:rPr>
          <w:b w:val="0"/>
          <w:i/>
          <w:iCs/>
          <w:sz w:val="24"/>
          <w:szCs w:val="24"/>
        </w:rPr>
        <w:t>commute between 15 and 30 minutes to campus daily. High</w:t>
      </w:r>
      <w:r w:rsidR="00954764">
        <w:rPr>
          <w:b w:val="0"/>
          <w:i/>
          <w:iCs/>
          <w:sz w:val="24"/>
          <w:szCs w:val="24"/>
        </w:rPr>
        <w:t xml:space="preserve"> cost of house rent</w:t>
      </w:r>
      <w:r w:rsidRPr="00863DD3">
        <w:rPr>
          <w:b w:val="0"/>
          <w:i/>
          <w:iCs/>
          <w:sz w:val="24"/>
          <w:szCs w:val="24"/>
        </w:rPr>
        <w:t>s, poor housing conditions, and distance from campus were the most significant housing challenges faced by FPI staff and students. Respondents identified salary-deductible housing loans (59.04%) and a dedicated shuttle service (51.81%) as the most preferred measures to address their housing challenges</w:t>
      </w:r>
      <w:r w:rsidR="007D2F94" w:rsidRPr="00863DD3">
        <w:rPr>
          <w:b w:val="0"/>
          <w:i/>
          <w:iCs/>
          <w:sz w:val="24"/>
          <w:szCs w:val="24"/>
        </w:rPr>
        <w:t>.</w:t>
      </w:r>
    </w:p>
    <w:p w:rsidR="00705F59" w:rsidRPr="00863DD3" w:rsidRDefault="00705F59" w:rsidP="00863DD3">
      <w:pPr>
        <w:pStyle w:val="Heading1"/>
        <w:spacing w:line="360" w:lineRule="auto"/>
        <w:jc w:val="both"/>
        <w:rPr>
          <w:i/>
          <w:iCs/>
          <w:sz w:val="24"/>
          <w:szCs w:val="24"/>
        </w:rPr>
      </w:pPr>
      <w:r w:rsidRPr="00863DD3">
        <w:rPr>
          <w:i/>
          <w:iCs/>
          <w:sz w:val="24"/>
          <w:szCs w:val="24"/>
        </w:rPr>
        <w:t>Keywords: Housing, Higher Institutions, Housing Conditions, Geospatial Analysis, Federal Polytechnic Ilaro</w:t>
      </w:r>
    </w:p>
    <w:p w:rsidR="004F3C08" w:rsidRPr="00863DD3" w:rsidRDefault="001728AF" w:rsidP="00863DD3">
      <w:pPr>
        <w:pStyle w:val="Heading1"/>
        <w:spacing w:line="360" w:lineRule="auto"/>
        <w:rPr>
          <w:sz w:val="24"/>
          <w:szCs w:val="24"/>
        </w:rPr>
      </w:pPr>
      <w:r w:rsidRPr="00863DD3">
        <w:rPr>
          <w:sz w:val="24"/>
          <w:szCs w:val="24"/>
        </w:rPr>
        <w:lastRenderedPageBreak/>
        <w:t>1.0 INTRODUCTION</w:t>
      </w:r>
    </w:p>
    <w:p w:rsidR="00770490" w:rsidRDefault="00517899" w:rsidP="00CB55D8">
      <w:pPr>
        <w:spacing w:after="60" w:line="360" w:lineRule="auto"/>
        <w:jc w:val="both"/>
      </w:pPr>
      <w:r w:rsidRPr="00863DD3">
        <w:t>Adequate housing is important for health, productivity, and academic succ</w:t>
      </w:r>
      <w:r w:rsidR="00E7109A">
        <w:t>ess. Over the past years</w:t>
      </w:r>
      <w:r w:rsidRPr="00863DD3">
        <w:t>, enrolment in higher education institutions in Nigeria has grown considerably, without commensurate investmen</w:t>
      </w:r>
      <w:r w:rsidR="00E7109A">
        <w:t xml:space="preserve">t in residential infrastructure. </w:t>
      </w:r>
      <w:r w:rsidR="00E7109A" w:rsidRPr="00E7109A">
        <w:t>This has led to many staff and students to seek accommod</w:t>
      </w:r>
      <w:r w:rsidR="003E7288">
        <w:t>ation in off campuses</w:t>
      </w:r>
      <w:r w:rsidR="00E7109A" w:rsidRPr="00E7109A">
        <w:t xml:space="preserve"> (UN-Habitat, 2016; </w:t>
      </w:r>
      <w:proofErr w:type="spellStart"/>
      <w:r w:rsidR="00E7109A" w:rsidRPr="00E7109A">
        <w:t>Ibem</w:t>
      </w:r>
      <w:proofErr w:type="spellEnd"/>
      <w:r w:rsidR="00E7109A" w:rsidRPr="00E7109A">
        <w:t xml:space="preserve"> &amp; Amole, 2021). Private rental markets in university towns have grown, often with limited regulatory oversight. This has resulted in elevated rents, poor amenity provision, and long daily commutes that disproportionately affect lower-income staff and students (</w:t>
      </w:r>
      <w:proofErr w:type="spellStart"/>
      <w:r w:rsidR="00E7109A" w:rsidRPr="00E7109A">
        <w:t>Olotuah</w:t>
      </w:r>
      <w:proofErr w:type="spellEnd"/>
      <w:r w:rsidR="00E7109A" w:rsidRPr="00E7109A">
        <w:t xml:space="preserve"> &amp; </w:t>
      </w:r>
      <w:proofErr w:type="spellStart"/>
      <w:r w:rsidR="00E7109A" w:rsidRPr="00E7109A">
        <w:t>Bobadoye</w:t>
      </w:r>
      <w:proofErr w:type="spellEnd"/>
      <w:r w:rsidR="00E7109A" w:rsidRPr="00E7109A">
        <w:t xml:space="preserve">, 2009; </w:t>
      </w:r>
      <w:proofErr w:type="spellStart"/>
      <w:r w:rsidR="00E7109A" w:rsidRPr="00E7109A">
        <w:t>Agbola</w:t>
      </w:r>
      <w:proofErr w:type="spellEnd"/>
      <w:r w:rsidR="00E7109A" w:rsidRPr="00E7109A">
        <w:t xml:space="preserve"> &amp; </w:t>
      </w:r>
      <w:proofErr w:type="spellStart"/>
      <w:r w:rsidR="00E7109A" w:rsidRPr="00E7109A">
        <w:t>Jinadu</w:t>
      </w:r>
      <w:proofErr w:type="spellEnd"/>
      <w:r w:rsidR="00E7109A" w:rsidRPr="00E7109A">
        <w:t>, 1997).</w:t>
      </w:r>
      <w:r w:rsidR="00C56748" w:rsidRPr="00C56748">
        <w:t xml:space="preserve"> Inadequate housing can lead to stress and fall in study capacity. Occupants of poor housing also face greater exposure to health and security hazards (World Health </w:t>
      </w:r>
      <w:proofErr w:type="spellStart"/>
      <w:r w:rsidR="00C56748" w:rsidRPr="00C56748">
        <w:t>Organisation</w:t>
      </w:r>
      <w:proofErr w:type="spellEnd"/>
      <w:r w:rsidR="00C56748" w:rsidRPr="00C56748">
        <w:t xml:space="preserve">, 2018; </w:t>
      </w:r>
      <w:proofErr w:type="spellStart"/>
      <w:r w:rsidR="00C56748" w:rsidRPr="00C56748">
        <w:t>Aluko</w:t>
      </w:r>
      <w:proofErr w:type="spellEnd"/>
      <w:r w:rsidR="00C56748" w:rsidRPr="00C56748">
        <w:t>, 2011)</w:t>
      </w:r>
      <w:r w:rsidR="00C56748">
        <w:t xml:space="preserve">. </w:t>
      </w:r>
      <w:r w:rsidRPr="00863DD3">
        <w:t>At the national level, a housing shortfall estimated at approximately 17 million units constrains supply and keeps rents elevated (</w:t>
      </w:r>
      <w:proofErr w:type="spellStart"/>
      <w:r w:rsidRPr="00863DD3">
        <w:t>Ibem</w:t>
      </w:r>
      <w:proofErr w:type="spellEnd"/>
      <w:r w:rsidRPr="00863DD3">
        <w:t xml:space="preserve"> &amp; Amole, 2021; </w:t>
      </w:r>
      <w:proofErr w:type="spellStart"/>
      <w:r w:rsidRPr="00863DD3">
        <w:t>Ekpo</w:t>
      </w:r>
      <w:proofErr w:type="spellEnd"/>
      <w:r w:rsidRPr="00863DD3">
        <w:t>, 2019). Hostel construction and upkeep remain under-financed, leaving existing stock to deteriorate (</w:t>
      </w:r>
      <w:proofErr w:type="spellStart"/>
      <w:r w:rsidRPr="00863DD3">
        <w:t>Nubi</w:t>
      </w:r>
      <w:proofErr w:type="spellEnd"/>
      <w:r w:rsidRPr="00863DD3">
        <w:t>, 2008), while difficulties in land acquisition and slow administrative processes have further restricted on-campus development (</w:t>
      </w:r>
      <w:proofErr w:type="spellStart"/>
      <w:r w:rsidRPr="00863DD3">
        <w:t>Ademiluyi</w:t>
      </w:r>
      <w:proofErr w:type="spellEnd"/>
      <w:r w:rsidRPr="00863DD3">
        <w:t>, 2010). Community participation schemes, public-private partnerships, and national housing funds have been tried, but with mixed results (</w:t>
      </w:r>
      <w:proofErr w:type="spellStart"/>
      <w:r w:rsidRPr="00863DD3">
        <w:t>Bredenoord</w:t>
      </w:r>
      <w:proofErr w:type="spellEnd"/>
      <w:r w:rsidRPr="00863DD3">
        <w:t xml:space="preserve"> &amp; van </w:t>
      </w:r>
      <w:proofErr w:type="spellStart"/>
      <w:r w:rsidRPr="00863DD3">
        <w:t>Lindert</w:t>
      </w:r>
      <w:proofErr w:type="spellEnd"/>
      <w:r w:rsidRPr="00863DD3">
        <w:t xml:space="preserve">, 2010; </w:t>
      </w:r>
      <w:proofErr w:type="spellStart"/>
      <w:r w:rsidRPr="00863DD3">
        <w:t>Ibem</w:t>
      </w:r>
      <w:proofErr w:type="spellEnd"/>
      <w:r w:rsidRPr="00863DD3">
        <w:t xml:space="preserve"> &amp; Ayo-Vaughan, 2017; </w:t>
      </w:r>
      <w:proofErr w:type="spellStart"/>
      <w:r w:rsidRPr="00863DD3">
        <w:t>Aribigbola</w:t>
      </w:r>
      <w:proofErr w:type="spellEnd"/>
      <w:r w:rsidRPr="00863DD3">
        <w:t xml:space="preserve">, 2008). </w:t>
      </w:r>
      <w:r w:rsidR="00E248F5" w:rsidRPr="00E248F5">
        <w:t xml:space="preserve">The findings from previous studies on housing challenges in Nigeria suggest underlying structural issues have persisted across repeated policy cycles. Housing challenges in higher education require a wider scope, including integration of geospatial technology for spatial analysis to understand location-specific housing challenges faced by staff and students. This will enable targeted intervention and inform effective planning. Evidence-based interventions such as loan schemes, hostel construction, and transport services may be </w:t>
      </w:r>
      <w:r w:rsidR="00A0101D">
        <w:t xml:space="preserve">challenging to plan </w:t>
      </w:r>
      <w:r w:rsidR="00E248F5" w:rsidRPr="00E248F5">
        <w:t>without location-specific spatial data (</w:t>
      </w:r>
      <w:proofErr w:type="spellStart"/>
      <w:r w:rsidR="00E248F5" w:rsidRPr="00E248F5">
        <w:t>Adeboyejo</w:t>
      </w:r>
      <w:proofErr w:type="spellEnd"/>
      <w:r w:rsidR="00E248F5" w:rsidRPr="00E248F5">
        <w:t xml:space="preserve"> &amp; </w:t>
      </w:r>
      <w:proofErr w:type="spellStart"/>
      <w:r w:rsidR="00E248F5" w:rsidRPr="00E248F5">
        <w:t>Olujimi</w:t>
      </w:r>
      <w:proofErr w:type="spellEnd"/>
      <w:r w:rsidR="00E248F5" w:rsidRPr="00E248F5">
        <w:t xml:space="preserve">, 2012; </w:t>
      </w:r>
      <w:proofErr w:type="spellStart"/>
      <w:r w:rsidR="00E248F5" w:rsidRPr="00E248F5">
        <w:t>Ibem</w:t>
      </w:r>
      <w:proofErr w:type="spellEnd"/>
      <w:r w:rsidR="00E248F5" w:rsidRPr="00E248F5">
        <w:t xml:space="preserve"> &amp; Amole, 2013; </w:t>
      </w:r>
      <w:proofErr w:type="spellStart"/>
      <w:r w:rsidR="00E248F5" w:rsidRPr="00E248F5">
        <w:t>Malczewski</w:t>
      </w:r>
      <w:proofErr w:type="spellEnd"/>
      <w:r w:rsidR="00E248F5" w:rsidRPr="00E248F5">
        <w:t>, 2006). This study bridges that gap. It assesses housing conditions at Federal Polytechnic Ilaro (FPI), identifies challenges faced by staff and students, and provides spatial evidence to inform planning and resou</w:t>
      </w:r>
      <w:r w:rsidR="00831277">
        <w:t>rce allocation.</w:t>
      </w:r>
    </w:p>
    <w:p w:rsidR="00255AD8" w:rsidRDefault="00255AD8">
      <w:pPr>
        <w:rPr>
          <w:b/>
          <w:bCs/>
          <w:color w:val="000000"/>
        </w:rPr>
      </w:pPr>
      <w:r>
        <w:br w:type="page"/>
      </w:r>
    </w:p>
    <w:p w:rsidR="004F3C08" w:rsidRPr="00863DD3" w:rsidRDefault="000720BD" w:rsidP="00863DD3">
      <w:pPr>
        <w:pStyle w:val="Heading1"/>
        <w:spacing w:line="360" w:lineRule="auto"/>
        <w:rPr>
          <w:sz w:val="24"/>
          <w:szCs w:val="24"/>
        </w:rPr>
      </w:pPr>
      <w:r w:rsidRPr="00863DD3">
        <w:rPr>
          <w:sz w:val="24"/>
          <w:szCs w:val="24"/>
        </w:rPr>
        <w:lastRenderedPageBreak/>
        <w:t xml:space="preserve">2.0 </w:t>
      </w:r>
      <w:r w:rsidRPr="00863DD3">
        <w:rPr>
          <w:sz w:val="24"/>
          <w:szCs w:val="24"/>
        </w:rPr>
        <w:tab/>
        <w:t>LITERATURE REVIEW</w:t>
      </w:r>
    </w:p>
    <w:p w:rsidR="004F3C08" w:rsidRPr="00863DD3" w:rsidRDefault="000720BD" w:rsidP="00863DD3">
      <w:pPr>
        <w:pStyle w:val="Heading2"/>
        <w:spacing w:line="360" w:lineRule="auto"/>
      </w:pPr>
      <w:r w:rsidRPr="00863DD3">
        <w:t xml:space="preserve">2.1 </w:t>
      </w:r>
      <w:r w:rsidRPr="00863DD3">
        <w:tab/>
        <w:t>Housing Challenges in Nigerian Higher Institutions</w:t>
      </w:r>
    </w:p>
    <w:p w:rsidR="004F3C08" w:rsidRPr="00863DD3" w:rsidRDefault="008D1227" w:rsidP="00863DD3">
      <w:pPr>
        <w:spacing w:after="120" w:line="360" w:lineRule="auto"/>
        <w:jc w:val="both"/>
      </w:pPr>
      <w:r w:rsidRPr="00863DD3">
        <w:t>Student numbers in Nigerian higher education institutions have grown faster than on-campus housing capacity (</w:t>
      </w:r>
      <w:proofErr w:type="spellStart"/>
      <w:r w:rsidRPr="00863DD3">
        <w:t>Olotuah</w:t>
      </w:r>
      <w:proofErr w:type="spellEnd"/>
      <w:r w:rsidRPr="00863DD3">
        <w:t xml:space="preserve"> &amp; </w:t>
      </w:r>
      <w:proofErr w:type="spellStart"/>
      <w:r w:rsidRPr="00863DD3">
        <w:t>Bobadoye</w:t>
      </w:r>
      <w:proofErr w:type="spellEnd"/>
      <w:r w:rsidRPr="00863DD3">
        <w:t xml:space="preserve">, 2009; </w:t>
      </w:r>
      <w:proofErr w:type="spellStart"/>
      <w:r w:rsidRPr="00863DD3">
        <w:t>Adeb</w:t>
      </w:r>
      <w:r w:rsidR="0005404F">
        <w:t>oyejo</w:t>
      </w:r>
      <w:proofErr w:type="spellEnd"/>
      <w:r w:rsidR="0005404F">
        <w:t xml:space="preserve"> &amp; </w:t>
      </w:r>
      <w:proofErr w:type="spellStart"/>
      <w:r w:rsidR="0005404F">
        <w:t>Olujimi</w:t>
      </w:r>
      <w:proofErr w:type="spellEnd"/>
      <w:r w:rsidR="0005404F">
        <w:t xml:space="preserve">, 2012). Many </w:t>
      </w:r>
      <w:r w:rsidRPr="00863DD3">
        <w:t>factors have</w:t>
      </w:r>
      <w:r w:rsidR="00F863A5">
        <w:t xml:space="preserve"> sustained this gap. Inadequate</w:t>
      </w:r>
      <w:r w:rsidRPr="00863DD3">
        <w:t xml:space="preserve"> funding and limited budget allocation have contributed to the deterioration of existing hostel stock over time (</w:t>
      </w:r>
      <w:proofErr w:type="spellStart"/>
      <w:r w:rsidRPr="00863DD3">
        <w:t>Nubi</w:t>
      </w:r>
      <w:proofErr w:type="spellEnd"/>
      <w:r w:rsidRPr="00863DD3">
        <w:t>, 2008). Land procurement challenges and administrative bottlenecks have slowed the addition of new facilities (</w:t>
      </w:r>
      <w:proofErr w:type="spellStart"/>
      <w:r w:rsidRPr="00863DD3">
        <w:t>Ademiluyi</w:t>
      </w:r>
      <w:proofErr w:type="spellEnd"/>
      <w:r w:rsidRPr="00863DD3">
        <w:t>, 2010)</w:t>
      </w:r>
      <w:r w:rsidR="00726EE5">
        <w:t xml:space="preserve">. </w:t>
      </w:r>
      <w:r w:rsidR="004B4657">
        <w:t xml:space="preserve">This has led to </w:t>
      </w:r>
      <w:r w:rsidR="00726EE5">
        <w:t xml:space="preserve">Private landlords </w:t>
      </w:r>
      <w:proofErr w:type="gramStart"/>
      <w:r w:rsidR="004B4657">
        <w:t xml:space="preserve">charging </w:t>
      </w:r>
      <w:r w:rsidRPr="00863DD3">
        <w:t xml:space="preserve"> rents</w:t>
      </w:r>
      <w:proofErr w:type="gramEnd"/>
      <w:r w:rsidRPr="00863DD3">
        <w:t xml:space="preserve"> that are difficult to afford for staff and students from lower-income groups (</w:t>
      </w:r>
      <w:proofErr w:type="spellStart"/>
      <w:r w:rsidRPr="00863DD3">
        <w:t>Ibem</w:t>
      </w:r>
      <w:proofErr w:type="spellEnd"/>
      <w:r w:rsidRPr="00863DD3">
        <w:t xml:space="preserve"> &amp; Amole, 2013). These conditions have practical consequences. Overcrowding and inadequate maintena</w:t>
      </w:r>
      <w:r w:rsidR="004B4657">
        <w:t xml:space="preserve">nce are associated </w:t>
      </w:r>
      <w:r w:rsidR="002D796E">
        <w:t xml:space="preserve">with </w:t>
      </w:r>
      <w:r w:rsidR="002D796E" w:rsidRPr="00863DD3">
        <w:t>stress</w:t>
      </w:r>
      <w:r w:rsidRPr="00863DD3">
        <w:t xml:space="preserve"> (</w:t>
      </w:r>
      <w:proofErr w:type="spellStart"/>
      <w:r w:rsidRPr="00863DD3">
        <w:t>Aluko</w:t>
      </w:r>
      <w:proofErr w:type="spellEnd"/>
      <w:r w:rsidRPr="00863DD3">
        <w:t xml:space="preserve">, 2011). Students in off-campus accommodation may also face security risks, including theft and violence, particularly in poorly serviced </w:t>
      </w:r>
      <w:proofErr w:type="spellStart"/>
      <w:r w:rsidRPr="00863DD3">
        <w:t>neighbourhoods</w:t>
      </w:r>
      <w:proofErr w:type="spellEnd"/>
      <w:r w:rsidRPr="00863DD3">
        <w:t xml:space="preserve"> (</w:t>
      </w:r>
      <w:proofErr w:type="spellStart"/>
      <w:r w:rsidRPr="00863DD3">
        <w:t>Aluko</w:t>
      </w:r>
      <w:proofErr w:type="spellEnd"/>
      <w:r w:rsidRPr="00863DD3">
        <w:t>, 2011). Where housing near campus is unaffordable, staff and stude</w:t>
      </w:r>
      <w:r w:rsidR="00663C64">
        <w:t xml:space="preserve">nts may travel further each day and this could reduce </w:t>
      </w:r>
      <w:proofErr w:type="gramStart"/>
      <w:r w:rsidR="00663C64">
        <w:t>the their</w:t>
      </w:r>
      <w:proofErr w:type="gramEnd"/>
      <w:r w:rsidR="00663C64">
        <w:t xml:space="preserve"> academic performance.</w:t>
      </w:r>
    </w:p>
    <w:p w:rsidR="004F3C08" w:rsidRPr="00863DD3" w:rsidRDefault="003836D1" w:rsidP="00863DD3">
      <w:pPr>
        <w:pStyle w:val="Heading2"/>
        <w:spacing w:line="360" w:lineRule="auto"/>
      </w:pPr>
      <w:r w:rsidRPr="00863DD3">
        <w:t>2.2 Policy and Intervention Approaches</w:t>
      </w:r>
    </w:p>
    <w:p w:rsidR="005656CD" w:rsidRPr="00863DD3" w:rsidRDefault="00182658" w:rsidP="00806D91">
      <w:pPr>
        <w:pStyle w:val="Heading1"/>
        <w:spacing w:line="360" w:lineRule="auto"/>
        <w:jc w:val="both"/>
        <w:rPr>
          <w:sz w:val="24"/>
          <w:szCs w:val="24"/>
        </w:rPr>
      </w:pPr>
      <w:r w:rsidRPr="00182658">
        <w:rPr>
          <w:b w:val="0"/>
          <w:bCs w:val="0"/>
          <w:color w:val="auto"/>
          <w:sz w:val="24"/>
          <w:szCs w:val="24"/>
        </w:rPr>
        <w:t>Several studi</w:t>
      </w:r>
      <w:r w:rsidR="00E756D4">
        <w:rPr>
          <w:b w:val="0"/>
          <w:bCs w:val="0"/>
          <w:color w:val="auto"/>
          <w:sz w:val="24"/>
          <w:szCs w:val="24"/>
        </w:rPr>
        <w:t>es have identified approaches that can</w:t>
      </w:r>
      <w:r w:rsidRPr="00182658">
        <w:rPr>
          <w:b w:val="0"/>
          <w:bCs w:val="0"/>
          <w:color w:val="auto"/>
          <w:sz w:val="24"/>
          <w:szCs w:val="24"/>
        </w:rPr>
        <w:t xml:space="preserve"> mitigate housing challenges in Nigerian higher education institutions; however, these challenges persist. Research by </w:t>
      </w:r>
      <w:proofErr w:type="spellStart"/>
      <w:r w:rsidRPr="00182658">
        <w:rPr>
          <w:b w:val="0"/>
          <w:bCs w:val="0"/>
          <w:color w:val="auto"/>
          <w:sz w:val="24"/>
          <w:szCs w:val="24"/>
        </w:rPr>
        <w:t>Ibem</w:t>
      </w:r>
      <w:proofErr w:type="spellEnd"/>
      <w:r w:rsidRPr="00182658">
        <w:rPr>
          <w:b w:val="0"/>
          <w:bCs w:val="0"/>
          <w:color w:val="auto"/>
          <w:sz w:val="24"/>
          <w:szCs w:val="24"/>
        </w:rPr>
        <w:t xml:space="preserve"> and Ayo-Vaughan (2017) suggests that public-private partnerships could facilitate private capital investment in hostel provision. Similarly, </w:t>
      </w:r>
      <w:proofErr w:type="spellStart"/>
      <w:r w:rsidRPr="00182658">
        <w:rPr>
          <w:b w:val="0"/>
          <w:bCs w:val="0"/>
          <w:color w:val="auto"/>
          <w:sz w:val="24"/>
          <w:szCs w:val="24"/>
        </w:rPr>
        <w:t>Ademiluyi</w:t>
      </w:r>
      <w:proofErr w:type="spellEnd"/>
      <w:r w:rsidRPr="00182658">
        <w:rPr>
          <w:b w:val="0"/>
          <w:bCs w:val="0"/>
          <w:color w:val="auto"/>
          <w:sz w:val="24"/>
          <w:szCs w:val="24"/>
        </w:rPr>
        <w:t xml:space="preserve"> (2010) asserts that increased government budget allocations to tertiary institutions could alleviate these challenges, though implementation has been slow. Community participation in housing planning is also crucial for aligning outcomes with resident needs (</w:t>
      </w:r>
      <w:proofErr w:type="spellStart"/>
      <w:r w:rsidRPr="00182658">
        <w:rPr>
          <w:b w:val="0"/>
          <w:bCs w:val="0"/>
          <w:color w:val="auto"/>
          <w:sz w:val="24"/>
          <w:szCs w:val="24"/>
        </w:rPr>
        <w:t>B</w:t>
      </w:r>
      <w:r w:rsidR="00BC47E8">
        <w:rPr>
          <w:b w:val="0"/>
          <w:bCs w:val="0"/>
          <w:color w:val="auto"/>
          <w:sz w:val="24"/>
          <w:szCs w:val="24"/>
        </w:rPr>
        <w:t>redenoord</w:t>
      </w:r>
      <w:proofErr w:type="spellEnd"/>
      <w:r w:rsidR="00BC47E8">
        <w:rPr>
          <w:b w:val="0"/>
          <w:bCs w:val="0"/>
          <w:color w:val="auto"/>
          <w:sz w:val="24"/>
          <w:szCs w:val="24"/>
        </w:rPr>
        <w:t xml:space="preserve"> &amp; van </w:t>
      </w:r>
      <w:proofErr w:type="spellStart"/>
      <w:r w:rsidR="00BC47E8">
        <w:rPr>
          <w:b w:val="0"/>
          <w:bCs w:val="0"/>
          <w:color w:val="auto"/>
          <w:sz w:val="24"/>
          <w:szCs w:val="24"/>
        </w:rPr>
        <w:t>Lindert</w:t>
      </w:r>
      <w:proofErr w:type="spellEnd"/>
      <w:r w:rsidR="00BC47E8">
        <w:rPr>
          <w:b w:val="0"/>
          <w:bCs w:val="0"/>
          <w:color w:val="auto"/>
          <w:sz w:val="24"/>
          <w:szCs w:val="24"/>
        </w:rPr>
        <w:t xml:space="preserve">, 2010). Similarly, a </w:t>
      </w:r>
      <w:r w:rsidR="00280EAB">
        <w:rPr>
          <w:b w:val="0"/>
          <w:bCs w:val="0"/>
          <w:color w:val="auto"/>
          <w:sz w:val="24"/>
          <w:szCs w:val="24"/>
        </w:rPr>
        <w:t xml:space="preserve">study </w:t>
      </w:r>
      <w:r w:rsidR="00280EAB" w:rsidRPr="00182658">
        <w:rPr>
          <w:b w:val="0"/>
          <w:bCs w:val="0"/>
          <w:color w:val="auto"/>
          <w:sz w:val="24"/>
          <w:szCs w:val="24"/>
        </w:rPr>
        <w:t>from</w:t>
      </w:r>
      <w:r w:rsidR="007D27A0">
        <w:rPr>
          <w:b w:val="0"/>
          <w:bCs w:val="0"/>
          <w:color w:val="auto"/>
          <w:sz w:val="24"/>
          <w:szCs w:val="24"/>
        </w:rPr>
        <w:t xml:space="preserve"> Vienna and Singapore finds that </w:t>
      </w:r>
      <w:proofErr w:type="spellStart"/>
      <w:r w:rsidR="007D27A0" w:rsidRPr="00182658">
        <w:rPr>
          <w:b w:val="0"/>
          <w:bCs w:val="0"/>
          <w:color w:val="auto"/>
          <w:sz w:val="24"/>
          <w:szCs w:val="24"/>
        </w:rPr>
        <w:t>public</w:t>
      </w:r>
      <w:r w:rsidR="00A07591">
        <w:rPr>
          <w:b w:val="0"/>
          <w:bCs w:val="0"/>
          <w:color w:val="auto"/>
          <w:sz w:val="24"/>
          <w:szCs w:val="24"/>
        </w:rPr>
        <w:t>investment</w:t>
      </w:r>
      <w:proofErr w:type="spellEnd"/>
      <w:r w:rsidR="00A07591">
        <w:rPr>
          <w:b w:val="0"/>
          <w:bCs w:val="0"/>
          <w:color w:val="auto"/>
          <w:sz w:val="24"/>
          <w:szCs w:val="24"/>
        </w:rPr>
        <w:t xml:space="preserve"> </w:t>
      </w:r>
      <w:r w:rsidR="00A07591" w:rsidRPr="00182658">
        <w:rPr>
          <w:b w:val="0"/>
          <w:bCs w:val="0"/>
          <w:color w:val="auto"/>
          <w:sz w:val="24"/>
          <w:szCs w:val="24"/>
        </w:rPr>
        <w:t>can</w:t>
      </w:r>
      <w:r w:rsidRPr="00182658">
        <w:rPr>
          <w:b w:val="0"/>
          <w:bCs w:val="0"/>
          <w:color w:val="auto"/>
          <w:sz w:val="24"/>
          <w:szCs w:val="24"/>
        </w:rPr>
        <w:t xml:space="preserve"> support affordable housing (Housing Europe, 2021; </w:t>
      </w:r>
      <w:proofErr w:type="spellStart"/>
      <w:r w:rsidRPr="00182658">
        <w:rPr>
          <w:b w:val="0"/>
          <w:bCs w:val="0"/>
          <w:color w:val="auto"/>
          <w:sz w:val="24"/>
          <w:szCs w:val="24"/>
        </w:rPr>
        <w:t>Phang</w:t>
      </w:r>
      <w:proofErr w:type="spellEnd"/>
      <w:r w:rsidRPr="00182658">
        <w:rPr>
          <w:b w:val="0"/>
          <w:bCs w:val="0"/>
          <w:color w:val="auto"/>
          <w:sz w:val="24"/>
          <w:szCs w:val="24"/>
        </w:rPr>
        <w:t>, 2018). However, these models would require adjustments to fit Nigeria's situation</w:t>
      </w:r>
      <w:r w:rsidR="00806D91">
        <w:rPr>
          <w:b w:val="0"/>
          <w:bCs w:val="0"/>
          <w:color w:val="auto"/>
          <w:sz w:val="24"/>
          <w:szCs w:val="24"/>
        </w:rPr>
        <w:t>.</w:t>
      </w:r>
    </w:p>
    <w:p w:rsidR="00EE1CEA" w:rsidRDefault="00EE1CEA" w:rsidP="00863DD3">
      <w:pPr>
        <w:pStyle w:val="Heading1"/>
        <w:spacing w:line="360" w:lineRule="auto"/>
        <w:rPr>
          <w:sz w:val="24"/>
          <w:szCs w:val="24"/>
        </w:rPr>
      </w:pPr>
    </w:p>
    <w:p w:rsidR="00EE1CEA" w:rsidRDefault="00EE1CEA" w:rsidP="00863DD3">
      <w:pPr>
        <w:pStyle w:val="Heading1"/>
        <w:spacing w:line="360" w:lineRule="auto"/>
        <w:rPr>
          <w:sz w:val="24"/>
          <w:szCs w:val="24"/>
        </w:rPr>
      </w:pPr>
    </w:p>
    <w:p w:rsidR="00EE1CEA" w:rsidRDefault="00EE1CEA">
      <w:pPr>
        <w:rPr>
          <w:b/>
          <w:bCs/>
          <w:color w:val="000000"/>
        </w:rPr>
      </w:pPr>
      <w:r>
        <w:br w:type="page"/>
      </w:r>
    </w:p>
    <w:p w:rsidR="004F3C08" w:rsidRPr="00863DD3" w:rsidRDefault="00B556F7" w:rsidP="00863DD3">
      <w:pPr>
        <w:pStyle w:val="Heading1"/>
        <w:spacing w:line="360" w:lineRule="auto"/>
        <w:rPr>
          <w:sz w:val="24"/>
          <w:szCs w:val="24"/>
        </w:rPr>
      </w:pPr>
      <w:r w:rsidRPr="00863DD3">
        <w:rPr>
          <w:sz w:val="24"/>
          <w:szCs w:val="24"/>
        </w:rPr>
        <w:lastRenderedPageBreak/>
        <w:t>3.0 METHODOLOGY</w:t>
      </w:r>
    </w:p>
    <w:p w:rsidR="00FB03B5" w:rsidRPr="00863DD3" w:rsidRDefault="00FB03B5" w:rsidP="00863DD3">
      <w:pPr>
        <w:pStyle w:val="Heading2"/>
        <w:spacing w:line="360" w:lineRule="auto"/>
      </w:pPr>
      <w:r w:rsidRPr="00863DD3">
        <w:t>3.1 Study Area</w:t>
      </w:r>
    </w:p>
    <w:p w:rsidR="00FB03B5" w:rsidRPr="00863DD3" w:rsidRDefault="00FB03B5" w:rsidP="00863DD3">
      <w:pPr>
        <w:pStyle w:val="Heading2"/>
        <w:spacing w:line="360" w:lineRule="auto"/>
      </w:pPr>
      <w:r w:rsidRPr="00863DD3">
        <w:rPr>
          <w:noProof/>
        </w:rPr>
        <w:drawing>
          <wp:inline distT="0" distB="0" distL="0" distR="0">
            <wp:extent cx="5836260" cy="3243532"/>
            <wp:effectExtent l="19050" t="0" r="0" b="0"/>
            <wp:docPr id="2" name="Picture 1" descr="C:\Users\MOFEYISAYOMI\Downloads\StudyAreaMap.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FEYISAYOMI\Downloads\StudyAreaMap.jpg.jpeg"/>
                    <pic:cNvPicPr>
                      <a:picLocks noChangeAspect="1" noChangeArrowheads="1"/>
                    </pic:cNvPicPr>
                  </pic:nvPicPr>
                  <pic:blipFill>
                    <a:blip r:embed="rId5" cstate="print"/>
                    <a:srcRect/>
                    <a:stretch>
                      <a:fillRect/>
                    </a:stretch>
                  </pic:blipFill>
                  <pic:spPr bwMode="auto">
                    <a:xfrm>
                      <a:off x="0" y="0"/>
                      <a:ext cx="5843774" cy="3247708"/>
                    </a:xfrm>
                    <a:prstGeom prst="rect">
                      <a:avLst/>
                    </a:prstGeom>
                    <a:noFill/>
                    <a:ln w="9525">
                      <a:noFill/>
                      <a:miter lim="800000"/>
                      <a:headEnd/>
                      <a:tailEnd/>
                    </a:ln>
                  </pic:spPr>
                </pic:pic>
              </a:graphicData>
            </a:graphic>
          </wp:inline>
        </w:drawing>
      </w:r>
    </w:p>
    <w:p w:rsidR="00980220" w:rsidRPr="00863DD3" w:rsidRDefault="00163C17" w:rsidP="00863DD3">
      <w:pPr>
        <w:spacing w:after="120" w:line="360" w:lineRule="auto"/>
        <w:jc w:val="both"/>
      </w:pPr>
      <w:r w:rsidRPr="00863DD3">
        <w:t xml:space="preserve">Figure 1: Study area Map. Source: </w:t>
      </w:r>
      <w:r w:rsidRPr="00863DD3">
        <w:rPr>
          <w:iCs/>
        </w:rPr>
        <w:t xml:space="preserve">Attah &amp; </w:t>
      </w:r>
      <w:proofErr w:type="spellStart"/>
      <w:r w:rsidRPr="00863DD3">
        <w:rPr>
          <w:iCs/>
        </w:rPr>
        <w:t>Odunnaike</w:t>
      </w:r>
      <w:proofErr w:type="spellEnd"/>
      <w:r w:rsidRPr="00863DD3">
        <w:rPr>
          <w:iCs/>
        </w:rPr>
        <w:t>, 2026</w:t>
      </w:r>
    </w:p>
    <w:p w:rsidR="00236415" w:rsidRDefault="00E05661" w:rsidP="00863DD3">
      <w:pPr>
        <w:pStyle w:val="Heading2"/>
        <w:spacing w:line="360" w:lineRule="auto"/>
        <w:rPr>
          <w:b w:val="0"/>
          <w:bCs w:val="0"/>
          <w:color w:val="auto"/>
        </w:rPr>
      </w:pPr>
      <w:r w:rsidRPr="00E05661">
        <w:rPr>
          <w:b w:val="0"/>
          <w:bCs w:val="0"/>
          <w:color w:val="auto"/>
        </w:rPr>
        <w:t xml:space="preserve">This study was carried out in Ilaro, the administrative headquarters of Yewa South Local Government Area, </w:t>
      </w:r>
      <w:proofErr w:type="spellStart"/>
      <w:r w:rsidRPr="00E05661">
        <w:rPr>
          <w:b w:val="0"/>
          <w:bCs w:val="0"/>
          <w:color w:val="auto"/>
        </w:rPr>
        <w:t>Ogun</w:t>
      </w:r>
      <w:proofErr w:type="spellEnd"/>
      <w:r w:rsidRPr="00E05661">
        <w:rPr>
          <w:b w:val="0"/>
          <w:bCs w:val="0"/>
          <w:color w:val="auto"/>
        </w:rPr>
        <w:t xml:space="preserve"> State, Nigeria. Ilaro community hosts Federal Polytechnic Ilaro (FPI), and it is proximate to </w:t>
      </w:r>
      <w:proofErr w:type="spellStart"/>
      <w:r w:rsidRPr="00E05661">
        <w:rPr>
          <w:b w:val="0"/>
          <w:bCs w:val="0"/>
          <w:color w:val="auto"/>
        </w:rPr>
        <w:t>Ibese</w:t>
      </w:r>
      <w:proofErr w:type="spellEnd"/>
      <w:r w:rsidRPr="00E05661">
        <w:rPr>
          <w:b w:val="0"/>
          <w:bCs w:val="0"/>
          <w:color w:val="auto"/>
        </w:rPr>
        <w:t xml:space="preserve">, where </w:t>
      </w:r>
      <w:proofErr w:type="spellStart"/>
      <w:r w:rsidRPr="00E05661">
        <w:rPr>
          <w:b w:val="0"/>
          <w:bCs w:val="0"/>
          <w:color w:val="auto"/>
        </w:rPr>
        <w:t>Dangote</w:t>
      </w:r>
      <w:proofErr w:type="spellEnd"/>
      <w:r w:rsidRPr="00E05661">
        <w:rPr>
          <w:b w:val="0"/>
          <w:bCs w:val="0"/>
          <w:color w:val="auto"/>
        </w:rPr>
        <w:t xml:space="preserve"> Cement Company is situated. The population of the staff and students of FPI and staff of </w:t>
      </w:r>
      <w:proofErr w:type="spellStart"/>
      <w:r w:rsidRPr="00E05661">
        <w:rPr>
          <w:b w:val="0"/>
          <w:bCs w:val="0"/>
          <w:color w:val="auto"/>
        </w:rPr>
        <w:t>Dangote</w:t>
      </w:r>
      <w:proofErr w:type="spellEnd"/>
      <w:r w:rsidRPr="00E05661">
        <w:rPr>
          <w:b w:val="0"/>
          <w:bCs w:val="0"/>
          <w:color w:val="auto"/>
        </w:rPr>
        <w:t xml:space="preserve"> Cement Company has led to an increase in housing demand in the comm</w:t>
      </w:r>
      <w:r w:rsidR="00A07591">
        <w:rPr>
          <w:b w:val="0"/>
          <w:bCs w:val="0"/>
          <w:color w:val="auto"/>
        </w:rPr>
        <w:t>unity. This situation contributes to</w:t>
      </w:r>
      <w:r w:rsidRPr="00E05661">
        <w:rPr>
          <w:b w:val="0"/>
          <w:bCs w:val="0"/>
          <w:color w:val="auto"/>
        </w:rPr>
        <w:t xml:space="preserve"> an increase in housing development without proper planning and indiscriminate increases in house rent annually. This unplanned development and lack of rent regulation make Ilaro a relevant case study for housing challenges in Nigeria</w:t>
      </w:r>
      <w:r w:rsidR="00EC690C">
        <w:rPr>
          <w:b w:val="0"/>
          <w:bCs w:val="0"/>
          <w:color w:val="auto"/>
        </w:rPr>
        <w:t>n higher education institutions</w:t>
      </w:r>
      <w:r w:rsidR="00236415" w:rsidRPr="00236415">
        <w:rPr>
          <w:b w:val="0"/>
          <w:bCs w:val="0"/>
          <w:color w:val="auto"/>
        </w:rPr>
        <w:t>.</w:t>
      </w:r>
    </w:p>
    <w:p w:rsidR="004F3C08" w:rsidRPr="00863DD3" w:rsidRDefault="00D57DEA" w:rsidP="00863DD3">
      <w:pPr>
        <w:pStyle w:val="Heading2"/>
        <w:spacing w:line="360" w:lineRule="auto"/>
      </w:pPr>
      <w:r w:rsidRPr="00863DD3">
        <w:t>3.2 Research Design</w:t>
      </w:r>
    </w:p>
    <w:p w:rsidR="001774DD" w:rsidRDefault="001774DD" w:rsidP="00863DD3">
      <w:pPr>
        <w:pStyle w:val="Heading2"/>
        <w:spacing w:line="360" w:lineRule="auto"/>
        <w:rPr>
          <w:b w:val="0"/>
          <w:bCs w:val="0"/>
          <w:color w:val="auto"/>
        </w:rPr>
      </w:pPr>
      <w:r w:rsidRPr="001774DD">
        <w:rPr>
          <w:b w:val="0"/>
          <w:bCs w:val="0"/>
          <w:color w:val="auto"/>
        </w:rPr>
        <w:t>This study used a cross-sectional design to draw on both quanti</w:t>
      </w:r>
      <w:r w:rsidR="00A07591">
        <w:rPr>
          <w:b w:val="0"/>
          <w:bCs w:val="0"/>
          <w:color w:val="auto"/>
        </w:rPr>
        <w:t>tative survey data and geospatial data</w:t>
      </w:r>
      <w:r w:rsidRPr="001774DD">
        <w:rPr>
          <w:b w:val="0"/>
          <w:bCs w:val="0"/>
          <w:color w:val="auto"/>
        </w:rPr>
        <w:t>. This design allowed for the assessment of socioeconomic and geospatial factors influencing housing challenges across the study area</w:t>
      </w:r>
      <w:r w:rsidR="00A07591">
        <w:rPr>
          <w:b w:val="0"/>
          <w:bCs w:val="0"/>
          <w:color w:val="auto"/>
        </w:rPr>
        <w:t>.</w:t>
      </w:r>
    </w:p>
    <w:p w:rsidR="001774DD" w:rsidRDefault="00081EEB" w:rsidP="00863DD3">
      <w:pPr>
        <w:pStyle w:val="Heading2"/>
        <w:spacing w:line="360" w:lineRule="auto"/>
        <w:rPr>
          <w:b w:val="0"/>
          <w:bCs w:val="0"/>
          <w:color w:val="auto"/>
        </w:rPr>
      </w:pPr>
      <w:proofErr w:type="gramStart"/>
      <w:r>
        <w:rPr>
          <w:b w:val="0"/>
          <w:bCs w:val="0"/>
          <w:color w:val="auto"/>
        </w:rPr>
        <w:t>s</w:t>
      </w:r>
      <w:proofErr w:type="gramEnd"/>
    </w:p>
    <w:p w:rsidR="004F3C08" w:rsidRPr="00863DD3" w:rsidRDefault="00D57DEA" w:rsidP="00863DD3">
      <w:pPr>
        <w:pStyle w:val="Heading2"/>
        <w:spacing w:line="360" w:lineRule="auto"/>
      </w:pPr>
      <w:r w:rsidRPr="00863DD3">
        <w:lastRenderedPageBreak/>
        <w:t>3.3 Sampling</w:t>
      </w:r>
    </w:p>
    <w:p w:rsidR="00362CE5" w:rsidRDefault="00362CE5" w:rsidP="00863DD3">
      <w:pPr>
        <w:pStyle w:val="Heading2"/>
        <w:spacing w:line="360" w:lineRule="auto"/>
        <w:rPr>
          <w:b w:val="0"/>
          <w:bCs w:val="0"/>
          <w:color w:val="auto"/>
        </w:rPr>
      </w:pPr>
      <w:r w:rsidRPr="00362CE5">
        <w:rPr>
          <w:b w:val="0"/>
          <w:bCs w:val="0"/>
          <w:color w:val="auto"/>
        </w:rPr>
        <w:t>A total of 83 staff and students of FPI residing in Ilaro were purposively selected for this study. This approach was chosen because the study specifically aimed to identify the most significant housing challenges faced by staff and students of Federal Polytechnic Ilaro. For the housing condition survey, 100 units were selected through systematic random sampling, with every third building sampled along transect routes in four cardinal directions from the campus</w:t>
      </w:r>
    </w:p>
    <w:p w:rsidR="004F3C08" w:rsidRPr="00863DD3" w:rsidRDefault="00B556F7" w:rsidP="00863DD3">
      <w:pPr>
        <w:pStyle w:val="Heading2"/>
        <w:spacing w:line="360" w:lineRule="auto"/>
      </w:pPr>
      <w:r w:rsidRPr="00863DD3">
        <w:t xml:space="preserve">3.4 </w:t>
      </w:r>
      <w:r w:rsidRPr="00863DD3">
        <w:tab/>
        <w:t>Data Collection</w:t>
      </w:r>
    </w:p>
    <w:p w:rsidR="005E2B8B" w:rsidRPr="00863DD3" w:rsidRDefault="005E2B8B" w:rsidP="00863DD3">
      <w:pPr>
        <w:pStyle w:val="Heading2"/>
        <w:spacing w:line="360" w:lineRule="auto"/>
        <w:rPr>
          <w:b w:val="0"/>
          <w:bCs w:val="0"/>
          <w:color w:val="auto"/>
        </w:rPr>
      </w:pPr>
      <w:r w:rsidRPr="00863DD3">
        <w:rPr>
          <w:b w:val="0"/>
          <w:bCs w:val="0"/>
          <w:color w:val="auto"/>
        </w:rPr>
        <w:t>Data were collected through three instruments. First, a pre-tested structured questionnaire was administered to the 83 sampled staff and students. It covered four areas: (</w:t>
      </w:r>
      <w:proofErr w:type="spellStart"/>
      <w:r w:rsidRPr="00863DD3">
        <w:rPr>
          <w:b w:val="0"/>
          <w:bCs w:val="0"/>
          <w:color w:val="auto"/>
        </w:rPr>
        <w:t>i</w:t>
      </w:r>
      <w:proofErr w:type="spellEnd"/>
      <w:r w:rsidRPr="00863DD3">
        <w:rPr>
          <w:b w:val="0"/>
          <w:bCs w:val="0"/>
          <w:color w:val="auto"/>
        </w:rPr>
        <w:t xml:space="preserve">) accommodation type and residential status; (ii) travel time and mode of transport to campus; (iii) preference rankings for four possible housing interventions, scored on a three-point scale comprising Most Preferred, More Preferred, and Preferred; and (iv) perceived housing difficulties. Second, a condition checklist was completed for each of the 100 sampled housing units. This recorded annual rent, electricity supply, water supply, and security features such as gates, fencing, and lockable entrances. Third, the position of every sampled unit was recorded using a Garmin </w:t>
      </w:r>
      <w:proofErr w:type="spellStart"/>
      <w:r w:rsidRPr="00863DD3">
        <w:rPr>
          <w:b w:val="0"/>
          <w:bCs w:val="0"/>
          <w:color w:val="auto"/>
        </w:rPr>
        <w:t>eTrex</w:t>
      </w:r>
      <w:proofErr w:type="spellEnd"/>
      <w:r w:rsidRPr="00863DD3">
        <w:rPr>
          <w:b w:val="0"/>
          <w:bCs w:val="0"/>
          <w:color w:val="auto"/>
        </w:rPr>
        <w:t xml:space="preserve"> 10 GPS receiver at an accuracy of ±5 m. The road network was </w:t>
      </w:r>
      <w:proofErr w:type="spellStart"/>
      <w:r w:rsidRPr="00863DD3">
        <w:rPr>
          <w:b w:val="0"/>
          <w:bCs w:val="0"/>
          <w:color w:val="auto"/>
        </w:rPr>
        <w:t>digitised</w:t>
      </w:r>
      <w:proofErr w:type="spellEnd"/>
      <w:r w:rsidRPr="00863DD3">
        <w:rPr>
          <w:b w:val="0"/>
          <w:bCs w:val="0"/>
          <w:color w:val="auto"/>
        </w:rPr>
        <w:t xml:space="preserve"> from Google Earth Pro to assess accessibility between housing locations and the campus.</w:t>
      </w:r>
    </w:p>
    <w:p w:rsidR="004F3C08" w:rsidRPr="00863DD3" w:rsidRDefault="00D57DEA" w:rsidP="00863DD3">
      <w:pPr>
        <w:pStyle w:val="Heading2"/>
        <w:spacing w:line="360" w:lineRule="auto"/>
      </w:pPr>
      <w:r w:rsidRPr="00863DD3">
        <w:t xml:space="preserve">3.5 </w:t>
      </w:r>
      <w:r w:rsidRPr="00863DD3">
        <w:tab/>
        <w:t>Data Processing and Analysis</w:t>
      </w:r>
    </w:p>
    <w:p w:rsidR="00100A0C" w:rsidRPr="00863DD3" w:rsidRDefault="00F6320C" w:rsidP="0037788C">
      <w:pPr>
        <w:spacing w:line="360" w:lineRule="auto"/>
        <w:jc w:val="both"/>
        <w:rPr>
          <w:b/>
          <w:bCs/>
          <w:color w:val="000000"/>
        </w:rPr>
      </w:pPr>
      <w:r w:rsidRPr="00F6320C">
        <w:rPr>
          <w:bCs/>
        </w:rPr>
        <w:t>The data on housing conditions obtained through the administered questionnaire were processed using Microsoft Excel to identify the major housing challenges, and the preferred intervention that could mitigate housing challenges for staff and students of FPI. Data on the geospatial location of the 100 sampled house units an</w:t>
      </w:r>
      <w:r w:rsidR="0049318F">
        <w:rPr>
          <w:bCs/>
        </w:rPr>
        <w:t>d the road network were processed</w:t>
      </w:r>
      <w:r w:rsidRPr="00F6320C">
        <w:rPr>
          <w:bCs/>
        </w:rPr>
        <w:t xml:space="preserve"> using </w:t>
      </w:r>
      <w:proofErr w:type="spellStart"/>
      <w:r w:rsidRPr="00F6320C">
        <w:rPr>
          <w:bCs/>
        </w:rPr>
        <w:t>ArcGIS</w:t>
      </w:r>
      <w:proofErr w:type="spellEnd"/>
      <w:r w:rsidRPr="00F6320C">
        <w:rPr>
          <w:bCs/>
        </w:rPr>
        <w:t xml:space="preserve"> 10.6.1 to prepare thematic maps to understand the geospatial pattern of housing occupied by </w:t>
      </w:r>
      <w:proofErr w:type="spellStart"/>
      <w:r w:rsidR="002902AD">
        <w:rPr>
          <w:bCs/>
        </w:rPr>
        <w:t>s</w:t>
      </w:r>
      <w:r w:rsidRPr="00F6320C">
        <w:rPr>
          <w:bCs/>
        </w:rPr>
        <w:t>staff</w:t>
      </w:r>
      <w:proofErr w:type="spellEnd"/>
      <w:r w:rsidRPr="00F6320C">
        <w:rPr>
          <w:bCs/>
        </w:rPr>
        <w:t xml:space="preserve"> and students, their accessibility, road network, and proximity to the campus</w:t>
      </w:r>
      <w:r w:rsidR="006761F5">
        <w:rPr>
          <w:bCs/>
        </w:rPr>
        <w:t>.</w:t>
      </w:r>
      <w:r w:rsidR="00100A0C" w:rsidRPr="00863DD3">
        <w:br w:type="page"/>
      </w:r>
    </w:p>
    <w:p w:rsidR="004F3C08" w:rsidRPr="00863DD3" w:rsidRDefault="00980220" w:rsidP="00863DD3">
      <w:pPr>
        <w:pStyle w:val="Heading1"/>
        <w:spacing w:line="360" w:lineRule="auto"/>
        <w:rPr>
          <w:sz w:val="24"/>
          <w:szCs w:val="24"/>
        </w:rPr>
      </w:pPr>
      <w:r w:rsidRPr="00863DD3">
        <w:rPr>
          <w:sz w:val="24"/>
          <w:szCs w:val="24"/>
        </w:rPr>
        <w:lastRenderedPageBreak/>
        <w:t xml:space="preserve">4.0 </w:t>
      </w:r>
      <w:r w:rsidRPr="00863DD3">
        <w:rPr>
          <w:sz w:val="24"/>
          <w:szCs w:val="24"/>
        </w:rPr>
        <w:tab/>
        <w:t>DATA ANALYSIS AND DISCUSSION OF FINDINGS</w:t>
      </w:r>
    </w:p>
    <w:p w:rsidR="004F3C08" w:rsidRPr="00863DD3" w:rsidRDefault="00D014CD" w:rsidP="00863DD3">
      <w:pPr>
        <w:pStyle w:val="Heading2"/>
        <w:spacing w:line="360" w:lineRule="auto"/>
      </w:pPr>
      <w:r w:rsidRPr="00863DD3">
        <w:t xml:space="preserve">4.1 </w:t>
      </w:r>
      <w:r w:rsidRPr="00863DD3">
        <w:tab/>
        <w:t>Housing and Financial Challenges</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20"/>
        <w:gridCol w:w="2520"/>
        <w:gridCol w:w="2520"/>
      </w:tblGrid>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Accommodation Type</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Frequency</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Percentage (%)</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Private rental</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37</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44.58</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Institutional housing</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23</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27.71</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Owned property</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19</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22.89</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Family house</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4.82</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Total</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100.00</w:t>
            </w:r>
          </w:p>
        </w:tc>
      </w:tr>
    </w:tbl>
    <w:p w:rsidR="004A0402" w:rsidRPr="00863DD3" w:rsidRDefault="004A0402" w:rsidP="00863DD3">
      <w:pPr>
        <w:spacing w:after="120" w:line="360" w:lineRule="auto"/>
        <w:jc w:val="both"/>
      </w:pPr>
      <w:r w:rsidRPr="00863DD3">
        <w:t xml:space="preserve">Table 1: The distribution of accommodation types </w:t>
      </w:r>
    </w:p>
    <w:p w:rsidR="0024799C" w:rsidRPr="00863DD3" w:rsidRDefault="009E76C9" w:rsidP="00E94A47">
      <w:pPr>
        <w:pStyle w:val="NormalWeb"/>
        <w:spacing w:line="360" w:lineRule="auto"/>
        <w:jc w:val="both"/>
      </w:pPr>
      <w:r w:rsidRPr="009E76C9">
        <w:t>Table 1 shows the distribution of the type of accommodation the respondents reside in. It reveals that a total of 37 respondents (44.58%) reside in privately owned rental housing, while only 23 respondents (27.71%) live in school hostels or staff quarters. This indicates housing provided by the institution is insufficient to meet the needs of its staff and students. 19 respondents (22.89%) own properties, and 4 respondents (4.82%) reside in family houses. The study suggests a gap between housing demand from FPI staff and students and what the institution is able to provide.</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20"/>
        <w:gridCol w:w="2520"/>
        <w:gridCol w:w="2520"/>
      </w:tblGrid>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pPr>
            <w:r w:rsidRPr="00863DD3">
              <w:rPr>
                <w:b/>
                <w:bCs/>
              </w:rPr>
              <w:t>Travel Time</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Frequency</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Percentage (%)</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Below 15 minutes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28</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33.73</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15–30 minutes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46</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55.42</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30–45 minutes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7</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8.43</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Above 45 minutes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2.41</w:t>
            </w:r>
          </w:p>
        </w:tc>
      </w:tr>
      <w:tr w:rsidR="004F3C08" w:rsidRPr="00863DD3">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pPr>
            <w:r w:rsidRPr="00863DD3">
              <w:t>Total</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100.00</w:t>
            </w:r>
          </w:p>
        </w:tc>
      </w:tr>
    </w:tbl>
    <w:p w:rsidR="000A6A1F" w:rsidRPr="00863DD3" w:rsidRDefault="000A6A1F" w:rsidP="00863DD3">
      <w:pPr>
        <w:pStyle w:val="Heading2"/>
        <w:spacing w:line="360" w:lineRule="auto"/>
        <w:rPr>
          <w:b w:val="0"/>
        </w:rPr>
      </w:pPr>
      <w:r w:rsidRPr="00863DD3">
        <w:rPr>
          <w:b w:val="0"/>
        </w:rPr>
        <w:t>Table 2: Commuting Times. Source: Field Survey, 2026.</w:t>
      </w:r>
    </w:p>
    <w:p w:rsidR="00514184" w:rsidRDefault="00514184" w:rsidP="00863DD3">
      <w:pPr>
        <w:pStyle w:val="Heading2"/>
        <w:spacing w:line="360" w:lineRule="auto"/>
      </w:pPr>
    </w:p>
    <w:p w:rsidR="004F3C08" w:rsidRPr="0022334A" w:rsidRDefault="00B556F7" w:rsidP="00863DD3">
      <w:pPr>
        <w:pStyle w:val="Heading2"/>
        <w:spacing w:line="360" w:lineRule="auto"/>
        <w:rPr>
          <w:color w:val="auto"/>
        </w:rPr>
      </w:pPr>
      <w:r w:rsidRPr="0022334A">
        <w:rPr>
          <w:color w:val="auto"/>
        </w:rPr>
        <w:lastRenderedPageBreak/>
        <w:t>4.2 Transportation Challenges</w:t>
      </w:r>
    </w:p>
    <w:p w:rsidR="00A1345D" w:rsidRPr="0022334A" w:rsidRDefault="00A1345D" w:rsidP="00863DD3">
      <w:pPr>
        <w:spacing w:after="120" w:line="360" w:lineRule="auto"/>
        <w:jc w:val="both"/>
      </w:pPr>
      <w:r w:rsidRPr="00A1345D">
        <w:t xml:space="preserve">Table 2 </w:t>
      </w:r>
      <w:r>
        <w:t>shows</w:t>
      </w:r>
      <w:r w:rsidRPr="00A1345D">
        <w:t xml:space="preserve"> the trav</w:t>
      </w:r>
      <w:r>
        <w:t xml:space="preserve">el time of respondents to the campus. The 55.42% of the respondent </w:t>
      </w:r>
      <w:r w:rsidR="00755CA9">
        <w:t>travel between 15 to</w:t>
      </w:r>
      <w:r w:rsidRPr="00A1345D">
        <w:t xml:space="preserve"> 30 minut</w:t>
      </w:r>
      <w:r w:rsidR="00755CA9">
        <w:t xml:space="preserve">e and </w:t>
      </w:r>
      <w:r>
        <w:t>10.84</w:t>
      </w:r>
      <w:r w:rsidR="00150F78">
        <w:t xml:space="preserve">% </w:t>
      </w:r>
      <w:r w:rsidR="00150F78" w:rsidRPr="00A1345D">
        <w:t>travel</w:t>
      </w:r>
      <w:r>
        <w:t xml:space="preserve"> for over 30 minutes. The study found that many of the respondent </w:t>
      </w:r>
      <w:r w:rsidR="00B027D6">
        <w:t>faced transportation</w:t>
      </w:r>
      <w:r>
        <w:t xml:space="preserve"> challenges</w:t>
      </w:r>
      <w:r w:rsidR="00771207">
        <w:t>.</w:t>
      </w:r>
    </w:p>
    <w:tbl>
      <w:tblPr>
        <w:tblpPr w:leftFromText="180" w:rightFromText="180" w:vertAnchor="text" w:horzAnchor="margin" w:tblpY="69"/>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20"/>
        <w:gridCol w:w="2520"/>
        <w:gridCol w:w="2520"/>
      </w:tblGrid>
      <w:tr w:rsidR="000A6A1F" w:rsidRPr="0022334A" w:rsidTr="00FB649B">
        <w:trPr>
          <w:tblHeader/>
        </w:trPr>
        <w:tc>
          <w:tcPr>
            <w:tcW w:w="43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0A6A1F" w:rsidRPr="0022334A" w:rsidRDefault="000A6A1F" w:rsidP="00863DD3">
            <w:pPr>
              <w:spacing w:line="360" w:lineRule="auto"/>
              <w:jc w:val="center"/>
            </w:pPr>
            <w:r w:rsidRPr="0022334A">
              <w:rPr>
                <w:b/>
                <w:bCs/>
              </w:rPr>
              <w:t>Mode of Transportation</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0A6A1F" w:rsidRPr="0022334A" w:rsidRDefault="000A6A1F" w:rsidP="00863DD3">
            <w:pPr>
              <w:spacing w:line="360" w:lineRule="auto"/>
              <w:jc w:val="center"/>
            </w:pPr>
            <w:r w:rsidRPr="0022334A">
              <w:rPr>
                <w:b/>
                <w:bCs/>
              </w:rPr>
              <w:t>Frequency</w:t>
            </w:r>
          </w:p>
        </w:tc>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0A6A1F" w:rsidRPr="0022334A" w:rsidRDefault="000A6A1F" w:rsidP="00863DD3">
            <w:pPr>
              <w:spacing w:line="360" w:lineRule="auto"/>
              <w:jc w:val="center"/>
            </w:pPr>
            <w:r w:rsidRPr="0022334A">
              <w:rPr>
                <w:b/>
                <w:bCs/>
              </w:rPr>
              <w:t>Percentage (%)</w:t>
            </w:r>
          </w:p>
        </w:tc>
      </w:tr>
      <w:tr w:rsidR="000A6A1F" w:rsidRPr="0022334A"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D74B9E" w:rsidP="00863DD3">
            <w:pPr>
              <w:spacing w:line="360" w:lineRule="auto"/>
              <w:jc w:val="both"/>
            </w:pPr>
            <w:r w:rsidRPr="0022334A">
              <w:t>Personal Motorcycle</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center"/>
            </w:pPr>
            <w:r w:rsidRPr="0022334A">
              <w:t>36</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center"/>
            </w:pPr>
            <w:r w:rsidRPr="0022334A">
              <w:t>43.37</w:t>
            </w:r>
          </w:p>
        </w:tc>
      </w:tr>
      <w:tr w:rsidR="000A6A1F" w:rsidRPr="0022334A"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both"/>
            </w:pPr>
            <w:r w:rsidRPr="0022334A">
              <w:t>Personal car</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center"/>
            </w:pPr>
            <w:r w:rsidRPr="0022334A">
              <w:t>27</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22334A" w:rsidRDefault="000A6A1F" w:rsidP="00863DD3">
            <w:pPr>
              <w:spacing w:line="360" w:lineRule="auto"/>
              <w:jc w:val="center"/>
            </w:pPr>
            <w:r w:rsidRPr="0022334A">
              <w:t>32.53</w:t>
            </w:r>
          </w:p>
        </w:tc>
      </w:tr>
      <w:tr w:rsidR="000A6A1F" w:rsidRPr="00863DD3"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both"/>
            </w:pPr>
            <w:r w:rsidRPr="00863DD3">
              <w:t>Public car/bus</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11</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13.25</w:t>
            </w:r>
          </w:p>
        </w:tc>
      </w:tr>
      <w:tr w:rsidR="000A6A1F" w:rsidRPr="00863DD3"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both"/>
            </w:pPr>
            <w:r w:rsidRPr="00863DD3">
              <w:t>Walking</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9</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10.84</w:t>
            </w:r>
          </w:p>
        </w:tc>
      </w:tr>
      <w:tr w:rsidR="000A6A1F" w:rsidRPr="00863DD3" w:rsidTr="00FB649B">
        <w:trPr>
          <w:tblHeader/>
        </w:trPr>
        <w:tc>
          <w:tcPr>
            <w:tcW w:w="43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both"/>
            </w:pPr>
            <w:r w:rsidRPr="00863DD3">
              <w:t>Total</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83</w:t>
            </w:r>
          </w:p>
        </w:tc>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0A6A1F" w:rsidRPr="00863DD3" w:rsidRDefault="000A6A1F" w:rsidP="00863DD3">
            <w:pPr>
              <w:spacing w:line="360" w:lineRule="auto"/>
              <w:jc w:val="center"/>
            </w:pPr>
            <w:r w:rsidRPr="00863DD3">
              <w:t>100.00</w:t>
            </w:r>
          </w:p>
        </w:tc>
      </w:tr>
    </w:tbl>
    <w:p w:rsidR="000A6A1F" w:rsidRPr="00863DD3" w:rsidRDefault="000A6A1F" w:rsidP="00863DD3">
      <w:pPr>
        <w:spacing w:after="120" w:line="360" w:lineRule="auto"/>
        <w:jc w:val="both"/>
      </w:pPr>
      <w:r w:rsidRPr="00863DD3">
        <w:t>Table 3: Transportation</w:t>
      </w:r>
      <w:r w:rsidRPr="00863DD3">
        <w:rPr>
          <w:bCs/>
        </w:rPr>
        <w:t xml:space="preserve"> Challenges</w:t>
      </w:r>
      <w:r w:rsidRPr="00863DD3">
        <w:t>. Source:</w:t>
      </w:r>
      <w:r w:rsidRPr="00863DD3">
        <w:rPr>
          <w:iCs/>
        </w:rPr>
        <w:t xml:space="preserve"> Field Survey, 2026.</w:t>
      </w:r>
    </w:p>
    <w:p w:rsidR="004F3C08" w:rsidRPr="000E3644" w:rsidRDefault="00077DE6" w:rsidP="00863DD3">
      <w:pPr>
        <w:spacing w:before="40" w:after="120" w:line="360" w:lineRule="auto"/>
        <w:rPr>
          <w:color w:val="000000" w:themeColor="text1"/>
        </w:rPr>
      </w:pPr>
      <w:r w:rsidRPr="000E3644">
        <w:rPr>
          <w:color w:val="000000" w:themeColor="text1"/>
        </w:rPr>
        <w:t>Table 3 shows the mode of transportation used by respondents to get to campus. 75.90% of the respondents rely on either a private motorcycle (43.37%) or a personal car (32.53%) for their daily commute. Only 13.25% use public transport, while 10.84% travel on foot. The higher percentage of respondents relying on personal transportation could suggest limited availability of affordable and reliable transit services connecting residential areas to the institution</w:t>
      </w:r>
      <w:r w:rsidR="000A6A1F" w:rsidRPr="000E3644">
        <w:rPr>
          <w:color w:val="000000" w:themeColor="text1"/>
        </w:rPr>
        <w:t>.</w:t>
      </w:r>
    </w:p>
    <w:p w:rsidR="004F3C08" w:rsidRPr="00216EFD" w:rsidRDefault="00B556F7" w:rsidP="00863DD3">
      <w:pPr>
        <w:pStyle w:val="Heading2"/>
        <w:spacing w:line="360" w:lineRule="auto"/>
        <w:rPr>
          <w:color w:val="000000" w:themeColor="text1"/>
        </w:rPr>
      </w:pPr>
      <w:r w:rsidRPr="00216EFD">
        <w:rPr>
          <w:color w:val="000000" w:themeColor="text1"/>
        </w:rPr>
        <w:t xml:space="preserve">4.3 </w:t>
      </w:r>
      <w:r w:rsidRPr="00216EFD">
        <w:rPr>
          <w:color w:val="000000" w:themeColor="text1"/>
        </w:rPr>
        <w:tab/>
        <w:t>Preferred Housing Solutions</w:t>
      </w:r>
    </w:p>
    <w:p w:rsidR="004F3C08" w:rsidRPr="00863DD3" w:rsidRDefault="00B556F7" w:rsidP="00863DD3">
      <w:pPr>
        <w:spacing w:after="120" w:line="360" w:lineRule="auto"/>
        <w:jc w:val="both"/>
      </w:pPr>
      <w:r w:rsidRPr="00216EFD">
        <w:rPr>
          <w:color w:val="000000" w:themeColor="text1"/>
        </w:rPr>
        <w:t>Four housing interventions were put to respondents for ranking. Tables 4 and 5 show the results by frequency and by percentage</w:t>
      </w:r>
      <w:r w:rsidR="00F7269E" w:rsidRPr="00216EFD">
        <w:rPr>
          <w:color w:val="000000" w:themeColor="text1"/>
        </w:rPr>
        <w:t>,</w:t>
      </w:r>
      <w:r w:rsidRPr="00216EFD">
        <w:rPr>
          <w:color w:val="000000" w:themeColor="text1"/>
        </w:rPr>
        <w:t xml:space="preserve"> respectively</w:t>
      </w:r>
      <w:r w:rsidRPr="00863DD3">
        <w:t>.</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520"/>
        <w:gridCol w:w="2040"/>
        <w:gridCol w:w="1800"/>
        <w:gridCol w:w="1560"/>
        <w:gridCol w:w="1440"/>
      </w:tblGrid>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Preference Level</w:t>
            </w:r>
          </w:p>
        </w:tc>
        <w:tc>
          <w:tcPr>
            <w:tcW w:w="204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Salary-Deductible Loans</w:t>
            </w:r>
          </w:p>
        </w:tc>
        <w:tc>
          <w:tcPr>
            <w:tcW w:w="180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Staff Transport</w:t>
            </w:r>
          </w:p>
        </w:tc>
        <w:tc>
          <w:tcPr>
            <w:tcW w:w="156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Rent Control</w:t>
            </w:r>
          </w:p>
        </w:tc>
        <w:tc>
          <w:tcPr>
            <w:tcW w:w="144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PPP</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Most 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49</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43</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38</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46</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More 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21</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31</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23</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13</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13</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9</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22</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24</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Total</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83</w:t>
            </w:r>
          </w:p>
        </w:tc>
      </w:tr>
    </w:tbl>
    <w:p w:rsidR="004F3C08" w:rsidRPr="00863DD3" w:rsidRDefault="00102ABE" w:rsidP="00863DD3">
      <w:pPr>
        <w:spacing w:before="40" w:after="120" w:line="360" w:lineRule="auto"/>
        <w:rPr>
          <w:iCs/>
        </w:rPr>
      </w:pPr>
      <w:r w:rsidRPr="00863DD3">
        <w:rPr>
          <w:iCs/>
        </w:rPr>
        <w:lastRenderedPageBreak/>
        <w:t>Table 4: Frequency for Housing Solutions. Source: Field Survey, 2026.</w:t>
      </w:r>
    </w:p>
    <w:p w:rsidR="00102ABE" w:rsidRPr="00863DD3" w:rsidRDefault="00102ABE" w:rsidP="00863DD3">
      <w:pPr>
        <w:spacing w:before="40" w:after="120" w:line="360" w:lineRule="auto"/>
      </w:pP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520"/>
        <w:gridCol w:w="2040"/>
        <w:gridCol w:w="1800"/>
        <w:gridCol w:w="1560"/>
        <w:gridCol w:w="1440"/>
      </w:tblGrid>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Preference Level</w:t>
            </w:r>
          </w:p>
        </w:tc>
        <w:tc>
          <w:tcPr>
            <w:tcW w:w="204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Salary-Deductible Loans (%)</w:t>
            </w:r>
          </w:p>
        </w:tc>
        <w:tc>
          <w:tcPr>
            <w:tcW w:w="180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Staff Transport (%)</w:t>
            </w:r>
          </w:p>
        </w:tc>
        <w:tc>
          <w:tcPr>
            <w:tcW w:w="156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Rent Control (%)</w:t>
            </w:r>
          </w:p>
        </w:tc>
        <w:tc>
          <w:tcPr>
            <w:tcW w:w="1440" w:type="dxa"/>
            <w:tcBorders>
              <w:top w:val="single" w:sz="1" w:space="0" w:color="999999"/>
              <w:left w:val="single" w:sz="1" w:space="0" w:color="999999"/>
              <w:bottom w:val="single" w:sz="1" w:space="0" w:color="999999"/>
              <w:right w:val="single" w:sz="1" w:space="0" w:color="999999"/>
            </w:tcBorders>
            <w:shd w:val="clear" w:color="auto" w:fill="D9E1F2"/>
            <w:tcMar>
              <w:top w:w="80" w:type="dxa"/>
              <w:left w:w="120" w:type="dxa"/>
              <w:bottom w:w="80" w:type="dxa"/>
              <w:right w:w="120" w:type="dxa"/>
            </w:tcMar>
          </w:tcPr>
          <w:p w:rsidR="004F3C08" w:rsidRPr="00863DD3" w:rsidRDefault="00B556F7" w:rsidP="00863DD3">
            <w:pPr>
              <w:spacing w:line="360" w:lineRule="auto"/>
              <w:jc w:val="center"/>
            </w:pPr>
            <w:r w:rsidRPr="00863DD3">
              <w:rPr>
                <w:b/>
                <w:bCs/>
              </w:rPr>
              <w:t>PPP (%)</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Most 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59.04</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51.81</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45.78</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55.42</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More 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25.30</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37.35</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27.71</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15.66</w:t>
            </w:r>
          </w:p>
        </w:tc>
      </w:tr>
      <w:tr w:rsidR="004F3C08" w:rsidRPr="00863DD3">
        <w:trPr>
          <w:tblHeader/>
        </w:trPr>
        <w:tc>
          <w:tcPr>
            <w:tcW w:w="252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Preferred</w:t>
            </w:r>
          </w:p>
        </w:tc>
        <w:tc>
          <w:tcPr>
            <w:tcW w:w="20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15.66</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10.84</w:t>
            </w:r>
          </w:p>
        </w:tc>
        <w:tc>
          <w:tcPr>
            <w:tcW w:w="156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26.51</w:t>
            </w:r>
          </w:p>
        </w:tc>
        <w:tc>
          <w:tcPr>
            <w:tcW w:w="144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tcPr>
          <w:p w:rsidR="004F3C08" w:rsidRPr="00863DD3" w:rsidRDefault="00B556F7" w:rsidP="00863DD3">
            <w:pPr>
              <w:spacing w:line="360" w:lineRule="auto"/>
              <w:jc w:val="center"/>
            </w:pPr>
            <w:r w:rsidRPr="00863DD3">
              <w:t>28.92</w:t>
            </w:r>
          </w:p>
        </w:tc>
      </w:tr>
    </w:tbl>
    <w:p w:rsidR="004F3C08" w:rsidRPr="00863DD3" w:rsidRDefault="00102ABE" w:rsidP="00863DD3">
      <w:pPr>
        <w:spacing w:before="40" w:after="120" w:line="360" w:lineRule="auto"/>
      </w:pPr>
      <w:r w:rsidRPr="00863DD3">
        <w:rPr>
          <w:iCs/>
        </w:rPr>
        <w:t>Table 5: Preference Percentage for Housing Solutions. Source: Field Survey, 2026.</w:t>
      </w:r>
    </w:p>
    <w:p w:rsidR="00EE58BA" w:rsidRDefault="00F2471E" w:rsidP="00863DD3">
      <w:pPr>
        <w:pStyle w:val="Heading2"/>
        <w:spacing w:line="360" w:lineRule="auto"/>
      </w:pPr>
      <w:r w:rsidRPr="00F2471E">
        <w:rPr>
          <w:b w:val="0"/>
          <w:bCs w:val="0"/>
          <w:color w:val="auto"/>
        </w:rPr>
        <w:t>Many respondents preferred salary-deductible housing loans and public-private partnerships as interventions that could alleviate housing challenges. 59.04% indicated salary-deductible housing loans, 55.42% preferred public-private partnerships, and 51.81% preferred a dedicated transport service and 45.78% preferred rent control. The findings suggest respondents preferred interventions that ease financial burden (salary-deductible loans, partnerships). The preference for dedicated transport and rent control indicates transportation costs and unaffordable rents are significant challenges.</w:t>
      </w:r>
    </w:p>
    <w:p w:rsidR="004F3C08" w:rsidRPr="00863DD3" w:rsidRDefault="00102ABE" w:rsidP="00863DD3">
      <w:pPr>
        <w:pStyle w:val="Heading2"/>
        <w:spacing w:line="360" w:lineRule="auto"/>
      </w:pPr>
      <w:r w:rsidRPr="00863DD3">
        <w:t xml:space="preserve">4.4 </w:t>
      </w:r>
      <w:r w:rsidRPr="00863DD3">
        <w:tab/>
        <w:t>Condition of Surveyed Housing Units</w:t>
      </w:r>
    </w:p>
    <w:p w:rsidR="002F7324" w:rsidRPr="00863DD3" w:rsidRDefault="00B556F7" w:rsidP="00863DD3">
      <w:pPr>
        <w:keepNext/>
        <w:spacing w:line="360" w:lineRule="auto"/>
        <w:jc w:val="both"/>
      </w:pPr>
      <w:r w:rsidRPr="00863DD3">
        <w:rPr>
          <w:noProof/>
        </w:rPr>
        <w:drawing>
          <wp:inline distT="0" distB="0" distL="0" distR="0">
            <wp:extent cx="5514975" cy="1812290"/>
            <wp:effectExtent l="0" t="0" r="0" b="0"/>
            <wp:docPr id="353470926"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F3C08" w:rsidRPr="00863DD3" w:rsidRDefault="00163C17" w:rsidP="00863DD3">
      <w:pPr>
        <w:spacing w:before="40" w:after="120" w:line="360" w:lineRule="auto"/>
        <w:rPr>
          <w:i/>
          <w:iCs/>
        </w:rPr>
      </w:pPr>
      <w:r w:rsidRPr="00863DD3">
        <w:rPr>
          <w:i/>
          <w:iCs/>
        </w:rPr>
        <w:t>Figure 2: Annual rent distribution of 100 surveyed housing units.</w:t>
      </w:r>
    </w:p>
    <w:p w:rsidR="004E3129" w:rsidRPr="00863DD3" w:rsidRDefault="004E3129" w:rsidP="00863DD3">
      <w:pPr>
        <w:spacing w:before="40" w:after="120" w:line="360" w:lineRule="auto"/>
        <w:rPr>
          <w:i/>
          <w:iCs/>
        </w:rPr>
      </w:pPr>
    </w:p>
    <w:p w:rsidR="004E3129" w:rsidRPr="00863DD3" w:rsidRDefault="004E3129" w:rsidP="00863DD3">
      <w:pPr>
        <w:spacing w:before="40" w:after="120" w:line="360" w:lineRule="auto"/>
        <w:rPr>
          <w:b/>
          <w:bCs/>
        </w:rPr>
      </w:pPr>
      <w:r w:rsidRPr="00863DD3">
        <w:rPr>
          <w:b/>
          <w:bCs/>
        </w:rPr>
        <w:t>4.4.1 Rental Values</w:t>
      </w:r>
    </w:p>
    <w:p w:rsidR="004E3129" w:rsidRPr="00863DD3" w:rsidRDefault="0092276F" w:rsidP="00863DD3">
      <w:pPr>
        <w:spacing w:before="40" w:after="120" w:line="360" w:lineRule="auto"/>
        <w:jc w:val="both"/>
      </w:pPr>
      <w:r w:rsidRPr="00863DD3">
        <w:lastRenderedPageBreak/>
        <w:t>Figure 2 shows the rent distribution across the 100 surveyed units. A total of 41 units (41%) attract annual rents ranging from ₦150,000 to ₦350,000. Outside this range, 22 units fall within ₦350,000–₦450,000 and 18 units within ₦50,000–₦150,000. A further 12 units are priced at ₦450,000–₦550,000, and 7 units exceed ₦550,000. Overall, 82 of the 100 units record rents at or above ₦150,000 per year. Affordable units are few. This indicates that most available stock places a considerable financial burden on staff and students</w:t>
      </w:r>
      <w:r w:rsidR="004E3129" w:rsidRPr="00863DD3">
        <w:t>.</w:t>
      </w:r>
    </w:p>
    <w:p w:rsidR="00EC2CCD" w:rsidRPr="00863DD3" w:rsidRDefault="00163C17" w:rsidP="00863DD3">
      <w:pPr>
        <w:pStyle w:val="Heading3"/>
        <w:spacing w:line="360" w:lineRule="auto"/>
        <w:rPr>
          <w:color w:val="000000" w:themeColor="text1"/>
        </w:rPr>
      </w:pPr>
      <w:r w:rsidRPr="00863DD3">
        <w:rPr>
          <w:color w:val="000000" w:themeColor="text1"/>
        </w:rPr>
        <w:t>4.4.</w:t>
      </w:r>
      <w:r w:rsidR="00905524" w:rsidRPr="00863DD3">
        <w:rPr>
          <w:color w:val="000000" w:themeColor="text1"/>
        </w:rPr>
        <w:t xml:space="preserve">2 </w:t>
      </w:r>
      <w:r w:rsidR="00905524" w:rsidRPr="00863DD3">
        <w:rPr>
          <w:color w:val="000000" w:themeColor="text1"/>
        </w:rPr>
        <w:tab/>
      </w:r>
      <w:r w:rsidR="0082582D" w:rsidRPr="00863DD3">
        <w:rPr>
          <w:color w:val="000000" w:themeColor="text1"/>
        </w:rPr>
        <w:t>Distribution of H</w:t>
      </w:r>
      <w:r w:rsidR="00EC2CCD" w:rsidRPr="00863DD3">
        <w:rPr>
          <w:color w:val="000000" w:themeColor="text1"/>
        </w:rPr>
        <w:t>ousing Amenities</w:t>
      </w:r>
    </w:p>
    <w:p w:rsidR="004F3C08" w:rsidRPr="00863DD3" w:rsidRDefault="004F3C08" w:rsidP="00863DD3">
      <w:pPr>
        <w:pStyle w:val="Heading3"/>
        <w:spacing w:line="360" w:lineRule="auto"/>
      </w:pPr>
    </w:p>
    <w:p w:rsidR="00A70A40" w:rsidRPr="00863DD3" w:rsidRDefault="00A70A40" w:rsidP="00863DD3">
      <w:pPr>
        <w:spacing w:after="120" w:line="360" w:lineRule="auto"/>
        <w:jc w:val="both"/>
      </w:pPr>
      <w:r w:rsidRPr="00863DD3">
        <w:rPr>
          <w:noProof/>
        </w:rPr>
        <w:drawing>
          <wp:inline distT="0" distB="0" distL="0" distR="0">
            <wp:extent cx="5694680" cy="2941982"/>
            <wp:effectExtent l="0" t="0" r="0" b="0"/>
            <wp:docPr id="149414939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F45C3" w:rsidRPr="00863DD3" w:rsidRDefault="005463C9" w:rsidP="00863DD3">
      <w:pPr>
        <w:spacing w:after="120" w:line="360" w:lineRule="auto"/>
        <w:jc w:val="both"/>
        <w:rPr>
          <w:i/>
          <w:iCs/>
        </w:rPr>
      </w:pPr>
      <w:r w:rsidRPr="00863DD3">
        <w:rPr>
          <w:i/>
          <w:iCs/>
        </w:rPr>
        <w:t xml:space="preserve">Figure 3: Distribution of Housing Amenities </w:t>
      </w:r>
      <w:proofErr w:type="gramStart"/>
      <w:r w:rsidRPr="00863DD3">
        <w:rPr>
          <w:i/>
          <w:iCs/>
        </w:rPr>
        <w:t>Across</w:t>
      </w:r>
      <w:proofErr w:type="gramEnd"/>
      <w:r w:rsidRPr="00863DD3">
        <w:rPr>
          <w:i/>
          <w:iCs/>
        </w:rPr>
        <w:t xml:space="preserve"> </w:t>
      </w:r>
      <w:r w:rsidR="00BD7AFF" w:rsidRPr="00863DD3">
        <w:rPr>
          <w:i/>
          <w:iCs/>
        </w:rPr>
        <w:t>the Sampled</w:t>
      </w:r>
      <w:r w:rsidRPr="00863DD3">
        <w:rPr>
          <w:i/>
          <w:iCs/>
        </w:rPr>
        <w:t xml:space="preserve"> Units</w:t>
      </w:r>
    </w:p>
    <w:p w:rsidR="005F45C3" w:rsidRPr="00863DD3" w:rsidRDefault="005F45C3" w:rsidP="00863DD3">
      <w:pPr>
        <w:spacing w:after="120" w:line="360" w:lineRule="auto"/>
        <w:jc w:val="both"/>
        <w:rPr>
          <w:i/>
          <w:iCs/>
        </w:rPr>
      </w:pPr>
    </w:p>
    <w:p w:rsidR="00CD5ED1" w:rsidRPr="00863DD3" w:rsidRDefault="00CD5ED1" w:rsidP="00863DD3">
      <w:pPr>
        <w:pStyle w:val="Heading3"/>
        <w:spacing w:line="360" w:lineRule="auto"/>
      </w:pPr>
    </w:p>
    <w:p w:rsidR="005F45C3" w:rsidRPr="00863DD3" w:rsidRDefault="005F45C3" w:rsidP="00863DD3">
      <w:pPr>
        <w:pStyle w:val="Heading3"/>
        <w:spacing w:line="360" w:lineRule="auto"/>
      </w:pPr>
      <w:r w:rsidRPr="00863DD3">
        <w:t xml:space="preserve">4.4.2 </w:t>
      </w:r>
      <w:r w:rsidRPr="00863DD3">
        <w:tab/>
        <w:t xml:space="preserve">Water </w:t>
      </w:r>
    </w:p>
    <w:p w:rsidR="005F45C3" w:rsidRPr="00863DD3" w:rsidRDefault="00E61941" w:rsidP="00863DD3">
      <w:pPr>
        <w:spacing w:after="120" w:line="360" w:lineRule="auto"/>
        <w:jc w:val="both"/>
        <w:rPr>
          <w:color w:val="F79646" w:themeColor="accent6"/>
        </w:rPr>
      </w:pPr>
      <w:r>
        <w:t>Water access from a pipe or borehole was recorded in 60 of the 100 sampled units, representing 60% of the sample. The remaining 40 units (40%) had no on-site water supply. Residents in these units depend on external sources to meet their daily water needs.</w:t>
      </w:r>
    </w:p>
    <w:p w:rsidR="0048479E" w:rsidRPr="00863DD3" w:rsidRDefault="0048479E" w:rsidP="00863DD3">
      <w:pPr>
        <w:pStyle w:val="font-claude-response-body"/>
        <w:spacing w:line="360" w:lineRule="auto"/>
      </w:pPr>
      <w:r w:rsidRPr="00863DD3">
        <w:rPr>
          <w:noProof/>
        </w:rPr>
        <w:lastRenderedPageBreak/>
        <w:drawing>
          <wp:inline distT="0" distB="0" distL="0" distR="0">
            <wp:extent cx="5942286" cy="4214191"/>
            <wp:effectExtent l="0" t="0" r="0" b="0"/>
            <wp:docPr id="509377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1073" cy="4227514"/>
                    </a:xfrm>
                    <a:prstGeom prst="rect">
                      <a:avLst/>
                    </a:prstGeom>
                    <a:noFill/>
                    <a:ln>
                      <a:noFill/>
                    </a:ln>
                  </pic:spPr>
                </pic:pic>
              </a:graphicData>
            </a:graphic>
          </wp:inline>
        </w:drawing>
      </w:r>
      <w:r w:rsidR="00F42922" w:rsidRPr="00863DD3">
        <w:rPr>
          <w:i/>
          <w:iCs/>
        </w:rPr>
        <w:t>Figure 4</w:t>
      </w:r>
      <w:r w:rsidRPr="00863DD3">
        <w:rPr>
          <w:i/>
          <w:iCs/>
        </w:rPr>
        <w:t>: Spatial distribution of water supply.</w:t>
      </w:r>
    </w:p>
    <w:p w:rsidR="00415A67" w:rsidRDefault="00415A67" w:rsidP="00863DD3">
      <w:pPr>
        <w:pStyle w:val="font-claude-response-body"/>
        <w:spacing w:line="360" w:lineRule="auto"/>
      </w:pPr>
      <w:r>
        <w:t xml:space="preserve">Figure 4 shows the spatial distribution of water accessibility across the 100 sampled housing units within a 2 km radius of the campus. Units closer to the campus have better water access than those further away. </w:t>
      </w:r>
      <w:proofErr w:type="spellStart"/>
      <w:r>
        <w:t>Aluko</w:t>
      </w:r>
      <w:proofErr w:type="spellEnd"/>
      <w:r>
        <w:t xml:space="preserve"> (2011) found a similar pattern in off-campus housing around the University of Lagos, where water supply deficiency was among the most frequently reported problems by residents. The World Health </w:t>
      </w:r>
      <w:proofErr w:type="spellStart"/>
      <w:r>
        <w:t>Organisation</w:t>
      </w:r>
      <w:proofErr w:type="spellEnd"/>
      <w:r>
        <w:t xml:space="preserve"> (2018) establishes reliable water access as a basic requirement for healthy living. The spatial pattern of water accessibility for staff and students of Federal Polytechnic Ilaro as found in this study falls short of this standard.</w:t>
      </w:r>
    </w:p>
    <w:p w:rsidR="00131A89" w:rsidRDefault="00E54DD8" w:rsidP="00863DD3">
      <w:pPr>
        <w:pStyle w:val="font-claude-response-body"/>
        <w:spacing w:line="360" w:lineRule="auto"/>
      </w:pPr>
      <w:r w:rsidRPr="00863DD3">
        <w:t>4.4.</w:t>
      </w:r>
      <w:r w:rsidR="00905524" w:rsidRPr="00863DD3">
        <w:t>3</w:t>
      </w:r>
      <w:r w:rsidR="00905524" w:rsidRPr="00863DD3">
        <w:tab/>
      </w:r>
      <w:r w:rsidRPr="00863DD3">
        <w:t xml:space="preserve"> Power Supply</w:t>
      </w:r>
    </w:p>
    <w:p w:rsidR="006B2A2E" w:rsidRPr="00863DD3" w:rsidRDefault="003845FE" w:rsidP="00863DD3">
      <w:pPr>
        <w:pStyle w:val="font-claude-response-body"/>
        <w:spacing w:line="360" w:lineRule="auto"/>
      </w:pPr>
      <w:r w:rsidRPr="00863DD3">
        <w:t xml:space="preserve">Figure 3 shows the power supply distribution across the 100 surveyed units. A total of 52 units (52%) have an electricity connection, while the remaining 48 units (48%) do not. This near-equal division points to </w:t>
      </w:r>
      <w:r w:rsidR="00FE65F8" w:rsidRPr="00863DD3">
        <w:t xml:space="preserve">a </w:t>
      </w:r>
      <w:r w:rsidRPr="00863DD3">
        <w:t xml:space="preserve">gap in </w:t>
      </w:r>
      <w:r w:rsidR="00FE65F8" w:rsidRPr="00863DD3">
        <w:t xml:space="preserve">the </w:t>
      </w:r>
      <w:r w:rsidRPr="00863DD3">
        <w:t>electrical infrastructure.</w:t>
      </w:r>
      <w:r w:rsidR="00751EFF" w:rsidRPr="00863DD3">
        <w:t xml:space="preserve"> </w:t>
      </w:r>
      <w:proofErr w:type="spellStart"/>
      <w:r w:rsidR="00751EFF" w:rsidRPr="00863DD3">
        <w:t>Housingu</w:t>
      </w:r>
      <w:r w:rsidRPr="00863DD3">
        <w:t>nits</w:t>
      </w:r>
      <w:proofErr w:type="spellEnd"/>
      <w:r w:rsidRPr="00863DD3">
        <w:t xml:space="preserve"> without </w:t>
      </w:r>
      <w:r w:rsidR="000225B7" w:rsidRPr="00863DD3">
        <w:t xml:space="preserve">a </w:t>
      </w:r>
      <w:r w:rsidRPr="00863DD3">
        <w:t xml:space="preserve">power supply pose a challenge for staff and students who depend on electronic devices for academic work and daily tasks. </w:t>
      </w:r>
      <w:r w:rsidR="006B2A2E" w:rsidRPr="00863DD3">
        <w:rPr>
          <w:noProof/>
        </w:rPr>
        <w:lastRenderedPageBreak/>
        <w:drawing>
          <wp:inline distT="0" distB="0" distL="0" distR="0">
            <wp:extent cx="5943600" cy="4592955"/>
            <wp:effectExtent l="0" t="0" r="0" b="0"/>
            <wp:docPr id="1013701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592955"/>
                    </a:xfrm>
                    <a:prstGeom prst="rect">
                      <a:avLst/>
                    </a:prstGeom>
                    <a:noFill/>
                    <a:ln>
                      <a:noFill/>
                    </a:ln>
                  </pic:spPr>
                </pic:pic>
              </a:graphicData>
            </a:graphic>
          </wp:inline>
        </w:drawing>
      </w:r>
      <w:r w:rsidR="00164F9A" w:rsidRPr="00863DD3">
        <w:rPr>
          <w:i/>
          <w:iCs/>
        </w:rPr>
        <w:t>Figure 5</w:t>
      </w:r>
      <w:r w:rsidR="006B2A2E" w:rsidRPr="00863DD3">
        <w:rPr>
          <w:i/>
          <w:iCs/>
        </w:rPr>
        <w:t>: Spatial distribution of power supply among surveyed housing units.</w:t>
      </w:r>
    </w:p>
    <w:p w:rsidR="00775E31" w:rsidRDefault="00453D07" w:rsidP="00775E31">
      <w:pPr>
        <w:pStyle w:val="font-claude-response-body"/>
        <w:spacing w:line="360" w:lineRule="auto"/>
        <w:jc w:val="both"/>
      </w:pPr>
      <w:r w:rsidRPr="00863DD3">
        <w:t>Figure 5</w:t>
      </w:r>
      <w:r w:rsidR="003845FE" w:rsidRPr="00863DD3">
        <w:t xml:space="preserve"> reveals the spatial pattern of electricity access across the 100 sampled housing units. As shown on the map, many units within the 2 km buffer from the campus lack access to electricity. This suggests that proximity to the campus does not guarantee acc</w:t>
      </w:r>
      <w:r w:rsidR="001B6F48">
        <w:t xml:space="preserve">ess to basic </w:t>
      </w:r>
      <w:r w:rsidR="008C1D46">
        <w:t xml:space="preserve">infrastructure. </w:t>
      </w:r>
      <w:r w:rsidR="003845FE" w:rsidRPr="00863DD3">
        <w:t xml:space="preserve">This finding is consistent with </w:t>
      </w:r>
      <w:proofErr w:type="spellStart"/>
      <w:r w:rsidR="003845FE" w:rsidRPr="00863DD3">
        <w:t>Aluko</w:t>
      </w:r>
      <w:proofErr w:type="spellEnd"/>
      <w:r w:rsidR="003845FE" w:rsidRPr="00863DD3">
        <w:t xml:space="preserve"> (2011) and </w:t>
      </w:r>
      <w:proofErr w:type="spellStart"/>
      <w:r w:rsidR="003845FE" w:rsidRPr="00863DD3">
        <w:t>Olotuah&amp;Bobadoye</w:t>
      </w:r>
      <w:proofErr w:type="spellEnd"/>
      <w:r w:rsidR="003845FE" w:rsidRPr="00863DD3">
        <w:t xml:space="preserve"> (2009), who identified inadequate electricity supp</w:t>
      </w:r>
      <w:r w:rsidR="008C1D46">
        <w:t xml:space="preserve">ly as one of the challenges faced </w:t>
      </w:r>
      <w:proofErr w:type="gramStart"/>
      <w:r w:rsidR="008C1D46">
        <w:t xml:space="preserve">by </w:t>
      </w:r>
      <w:r w:rsidR="003845FE" w:rsidRPr="00863DD3">
        <w:t xml:space="preserve"> of</w:t>
      </w:r>
      <w:proofErr w:type="gramEnd"/>
      <w:r w:rsidR="003845FE" w:rsidRPr="00863DD3">
        <w:t xml:space="preserve"> off-campus housing in Nigerian tertiary institutions. UN-Habitat (2016) further noted that rapid </w:t>
      </w:r>
      <w:proofErr w:type="spellStart"/>
      <w:r w:rsidR="003845FE" w:rsidRPr="00863DD3">
        <w:t>urbanisation</w:t>
      </w:r>
      <w:proofErr w:type="spellEnd"/>
      <w:r w:rsidR="003845FE" w:rsidRPr="00863DD3">
        <w:t xml:space="preserve"> without corresponding infrastructure investment</w:t>
      </w:r>
      <w:r w:rsidR="008C1D46">
        <w:t xml:space="preserve"> </w:t>
      </w:r>
      <w:proofErr w:type="gramStart"/>
      <w:r w:rsidR="008C1D46">
        <w:t xml:space="preserve">can </w:t>
      </w:r>
      <w:r w:rsidR="003845FE" w:rsidRPr="00863DD3">
        <w:t xml:space="preserve"> results</w:t>
      </w:r>
      <w:proofErr w:type="gramEnd"/>
      <w:r w:rsidR="003845FE" w:rsidRPr="00863DD3">
        <w:t xml:space="preserve"> in uneven access to basic services in residential areas of developing countries.</w:t>
      </w:r>
    </w:p>
    <w:p w:rsidR="00E54DD8" w:rsidRPr="00863DD3" w:rsidRDefault="00E54DD8" w:rsidP="00775E31">
      <w:pPr>
        <w:pStyle w:val="font-claude-response-body"/>
        <w:spacing w:line="360" w:lineRule="auto"/>
        <w:jc w:val="both"/>
      </w:pPr>
      <w:r w:rsidRPr="00863DD3">
        <w:t>4.4.4</w:t>
      </w:r>
      <w:r w:rsidR="00905524" w:rsidRPr="00863DD3">
        <w:tab/>
      </w:r>
      <w:r w:rsidRPr="00863DD3">
        <w:t>Security Infrastructure</w:t>
      </w:r>
    </w:p>
    <w:p w:rsidR="00B629D5" w:rsidRPr="00863DD3" w:rsidRDefault="00701959" w:rsidP="00863DD3">
      <w:pPr>
        <w:spacing w:after="120" w:line="360" w:lineRule="auto"/>
        <w:jc w:val="both"/>
      </w:pPr>
      <w:r w:rsidRPr="00863DD3">
        <w:t xml:space="preserve">Security features comprising entrance gates, perimeter fencing, or a combination of both were recorded in 85 of the 100 surveyed units (85%). The remaining 15 units (15%) had no security </w:t>
      </w:r>
      <w:r w:rsidRPr="00863DD3">
        <w:lastRenderedPageBreak/>
        <w:t xml:space="preserve">features. Secured </w:t>
      </w:r>
      <w:r w:rsidR="00BE332F" w:rsidRPr="00863DD3">
        <w:t xml:space="preserve">housing </w:t>
      </w:r>
      <w:r w:rsidRPr="00863DD3">
        <w:t xml:space="preserve">units are mainly found in the higher-density student zones of </w:t>
      </w:r>
      <w:proofErr w:type="spellStart"/>
      <w:r w:rsidRPr="00863DD3">
        <w:t>Orita</w:t>
      </w:r>
      <w:proofErr w:type="spellEnd"/>
      <w:r w:rsidRPr="00863DD3">
        <w:t xml:space="preserve">, Express, Deuteronomy, and </w:t>
      </w:r>
      <w:proofErr w:type="spellStart"/>
      <w:r w:rsidRPr="00863DD3">
        <w:t>Igba</w:t>
      </w:r>
      <w:proofErr w:type="spellEnd"/>
      <w:r w:rsidRPr="00863DD3">
        <w:t xml:space="preserve"> </w:t>
      </w:r>
      <w:proofErr w:type="spellStart"/>
      <w:r w:rsidRPr="00863DD3">
        <w:t>Otun</w:t>
      </w:r>
      <w:proofErr w:type="spellEnd"/>
      <w:r w:rsidRPr="00863DD3">
        <w:t xml:space="preserve">, while unsecured units are concentrated beyond 2 km from the campus. </w:t>
      </w:r>
      <w:proofErr w:type="spellStart"/>
      <w:r w:rsidRPr="00863DD3">
        <w:t>Adeboyejo</w:t>
      </w:r>
      <w:proofErr w:type="spellEnd"/>
      <w:r w:rsidRPr="00863DD3">
        <w:t xml:space="preserve"> &amp; </w:t>
      </w:r>
      <w:proofErr w:type="spellStart"/>
      <w:r w:rsidRPr="00863DD3">
        <w:t>Olujimi</w:t>
      </w:r>
      <w:proofErr w:type="spellEnd"/>
      <w:r w:rsidRPr="00863DD3">
        <w:t xml:space="preserve"> (2012) and </w:t>
      </w:r>
      <w:proofErr w:type="spellStart"/>
      <w:r w:rsidRPr="00863DD3">
        <w:t>Aluko</w:t>
      </w:r>
      <w:proofErr w:type="spellEnd"/>
      <w:r w:rsidRPr="00863DD3">
        <w:t xml:space="preserve"> (2011) found that security inadequacy is a recurring challenge in off-campus student housing across Nigeria</w:t>
      </w:r>
      <w:r w:rsidR="0001533C" w:rsidRPr="00863DD3">
        <w:t>.</w:t>
      </w:r>
    </w:p>
    <w:p w:rsidR="00DB469C" w:rsidRPr="00863DD3" w:rsidRDefault="00A740B3" w:rsidP="00863DD3">
      <w:pPr>
        <w:spacing w:after="120" w:line="360" w:lineRule="auto"/>
        <w:jc w:val="both"/>
      </w:pPr>
      <w:r w:rsidRPr="00863DD3">
        <w:rPr>
          <w:noProof/>
        </w:rPr>
        <w:drawing>
          <wp:inline distT="0" distB="0" distL="0" distR="0">
            <wp:extent cx="5942775" cy="4114193"/>
            <wp:effectExtent l="0" t="0" r="0" b="0"/>
            <wp:docPr id="1038777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810" cy="4117679"/>
                    </a:xfrm>
                    <a:prstGeom prst="rect">
                      <a:avLst/>
                    </a:prstGeom>
                    <a:noFill/>
                    <a:ln>
                      <a:noFill/>
                    </a:ln>
                  </pic:spPr>
                </pic:pic>
              </a:graphicData>
            </a:graphic>
          </wp:inline>
        </w:drawing>
      </w:r>
      <w:r w:rsidR="00586FAD" w:rsidRPr="00863DD3">
        <w:rPr>
          <w:i/>
          <w:iCs/>
        </w:rPr>
        <w:t>Figure 6</w:t>
      </w:r>
      <w:r w:rsidR="00DB469C" w:rsidRPr="00863DD3">
        <w:rPr>
          <w:i/>
          <w:iCs/>
        </w:rPr>
        <w:t xml:space="preserve">: Spatial distribution of housing with Security </w:t>
      </w:r>
      <w:r w:rsidR="000F3858" w:rsidRPr="00863DD3">
        <w:rPr>
          <w:i/>
          <w:iCs/>
        </w:rPr>
        <w:t>Infrastructure</w:t>
      </w:r>
    </w:p>
    <w:p w:rsidR="00126A02" w:rsidRDefault="00701959" w:rsidP="00863DD3">
      <w:pPr>
        <w:pStyle w:val="Heading2"/>
        <w:spacing w:line="360" w:lineRule="auto"/>
        <w:rPr>
          <w:b w:val="0"/>
        </w:rPr>
      </w:pPr>
      <w:r w:rsidRPr="00863DD3">
        <w:rPr>
          <w:b w:val="0"/>
        </w:rPr>
        <w:t xml:space="preserve">Figure 6 shows the spatial pattern of housing with security infrastructure within the 2 km buffer from the campus. As revealed on the map, most of the surveyed units have security features comprising entrance gates and perimeter fencing. This finding suggests that most housing in the study area is secured with perimeter fencing and entrance gates. However, </w:t>
      </w:r>
      <w:proofErr w:type="spellStart"/>
      <w:r w:rsidRPr="00863DD3">
        <w:rPr>
          <w:b w:val="0"/>
        </w:rPr>
        <w:t>Adzande&amp;Gyuse</w:t>
      </w:r>
      <w:proofErr w:type="spellEnd"/>
      <w:r w:rsidRPr="00863DD3">
        <w:rPr>
          <w:b w:val="0"/>
        </w:rPr>
        <w:t xml:space="preserve"> (2017) found that physical security features such as perimeter fencing and entrance gates alone do not guarantee the safety of occupants</w:t>
      </w:r>
      <w:r w:rsidR="00CE3FDF" w:rsidRPr="00863DD3">
        <w:rPr>
          <w:b w:val="0"/>
        </w:rPr>
        <w:t>. Security</w:t>
      </w:r>
      <w:r w:rsidRPr="00863DD3">
        <w:rPr>
          <w:b w:val="0"/>
        </w:rPr>
        <w:t xml:space="preserve"> effectiveness depends on </w:t>
      </w:r>
      <w:r w:rsidR="00CE3FDF" w:rsidRPr="00863DD3">
        <w:rPr>
          <w:b w:val="0"/>
        </w:rPr>
        <w:t xml:space="preserve">the </w:t>
      </w:r>
      <w:r w:rsidRPr="00863DD3">
        <w:rPr>
          <w:b w:val="0"/>
        </w:rPr>
        <w:t xml:space="preserve">broader </w:t>
      </w:r>
      <w:proofErr w:type="spellStart"/>
      <w:r w:rsidR="00F53DD5">
        <w:rPr>
          <w:b w:val="0"/>
        </w:rPr>
        <w:t>neighbourhood's</w:t>
      </w:r>
      <w:r w:rsidR="00444625" w:rsidRPr="00444625">
        <w:rPr>
          <w:b w:val="0"/>
        </w:rPr>
        <w:t>environment</w:t>
      </w:r>
      <w:proofErr w:type="spellEnd"/>
      <w:r w:rsidR="00C4276A">
        <w:rPr>
          <w:b w:val="0"/>
        </w:rPr>
        <w:t>.</w:t>
      </w:r>
    </w:p>
    <w:p w:rsidR="004F3C08" w:rsidRPr="00863DD3" w:rsidRDefault="00B556F7" w:rsidP="00863DD3">
      <w:pPr>
        <w:pStyle w:val="Heading2"/>
        <w:spacing w:line="360" w:lineRule="auto"/>
      </w:pPr>
      <w:r w:rsidRPr="00863DD3">
        <w:t>4.5 Discussion of Findings</w:t>
      </w:r>
    </w:p>
    <w:p w:rsidR="00CC6D05" w:rsidRPr="00CC6D05" w:rsidRDefault="00BF514C" w:rsidP="00BF514C">
      <w:pPr>
        <w:spacing w:after="120" w:line="360" w:lineRule="auto"/>
        <w:jc w:val="both"/>
      </w:pPr>
      <w:r w:rsidRPr="00BF514C">
        <w:t>The findings reveal housing challenges faced by staff and students at Federal Polytechnic Ilaro, a pattern consistent with evidence from other Nigerian polytechnics and universities (</w:t>
      </w:r>
      <w:proofErr w:type="spellStart"/>
      <w:r w:rsidRPr="00BF514C">
        <w:t>Adeboyejo</w:t>
      </w:r>
      <w:proofErr w:type="spellEnd"/>
      <w:r w:rsidRPr="00BF514C">
        <w:t xml:space="preserve"> and </w:t>
      </w:r>
      <w:proofErr w:type="spellStart"/>
      <w:r w:rsidRPr="00BF514C">
        <w:lastRenderedPageBreak/>
        <w:t>Olujimi</w:t>
      </w:r>
      <w:proofErr w:type="spellEnd"/>
      <w:r w:rsidRPr="00BF514C">
        <w:t xml:space="preserve">, 2012; </w:t>
      </w:r>
      <w:proofErr w:type="spellStart"/>
      <w:r w:rsidRPr="00BF514C">
        <w:t>Ibem</w:t>
      </w:r>
      <w:proofErr w:type="spellEnd"/>
      <w:r w:rsidRPr="00BF514C">
        <w:t xml:space="preserve"> and Amole, 2013). A total of 44.58% of respondents lack access to institutional hostel accommodation or staff quarters. Out of the 100 sampled units, 82% attract an annual rent of ₦150,000 or above. For a single self-contained unit in a semi-urban setting, this level of rent is high relative to what most staff </w:t>
      </w:r>
      <w:proofErr w:type="gramStart"/>
      <w:r w:rsidRPr="00BF514C">
        <w:t>earn</w:t>
      </w:r>
      <w:proofErr w:type="gramEnd"/>
      <w:r w:rsidRPr="00BF514C">
        <w:t xml:space="preserve"> on the ₦70,000 government minimum wage, or what students can meet from bursary stipends or the Nigerian Education Loan Fund (NELFUND). </w:t>
      </w:r>
      <w:proofErr w:type="spellStart"/>
      <w:r w:rsidRPr="00BF514C">
        <w:t>Ibem</w:t>
      </w:r>
      <w:proofErr w:type="spellEnd"/>
      <w:r w:rsidRPr="00BF514C">
        <w:t xml:space="preserve"> and Amole (2021) noted that rental costs in towns hosting tertiary institutions tend to rise faster than the incomes of their primary occupants, and the figures presented here reflect that pattern.</w:t>
      </w:r>
      <w:r w:rsidR="00DF4E32">
        <w:t xml:space="preserve"> </w:t>
      </w:r>
      <w:r w:rsidRPr="00BF514C">
        <w:t>A total of 48% of sampled units lack a reliable power supply, while 40% lack adequate on-site water. These figures suggest that basic service provision has not kept pace with housing demand in the area surrounding the institution.</w:t>
      </w:r>
      <w:r w:rsidR="000B3631">
        <w:t xml:space="preserve"> </w:t>
      </w:r>
      <w:r w:rsidRPr="00BF514C">
        <w:t>Respond</w:t>
      </w:r>
      <w:r w:rsidR="000B3631">
        <w:t xml:space="preserve">ents identify two preferred </w:t>
      </w:r>
      <w:r w:rsidRPr="00BF514C">
        <w:t>Salary-</w:t>
      </w:r>
      <w:r w:rsidR="000B3631">
        <w:t xml:space="preserve">deductible and provision </w:t>
      </w:r>
      <w:proofErr w:type="gramStart"/>
      <w:r w:rsidR="000B3631">
        <w:t xml:space="preserve">of </w:t>
      </w:r>
      <w:r w:rsidRPr="00BF514C">
        <w:t xml:space="preserve"> shuttle</w:t>
      </w:r>
      <w:proofErr w:type="gramEnd"/>
      <w:r w:rsidRPr="00BF514C">
        <w:t xml:space="preserve"> service </w:t>
      </w:r>
      <w:r w:rsidR="000B3631">
        <w:t>as the most preferred intervention that could mitigate the housing challenges</w:t>
      </w:r>
    </w:p>
    <w:p w:rsidR="004F3C08" w:rsidRPr="00863DD3" w:rsidRDefault="00B556F7" w:rsidP="007E5F19">
      <w:pPr>
        <w:spacing w:after="120" w:line="360" w:lineRule="auto"/>
        <w:jc w:val="both"/>
      </w:pPr>
      <w:r w:rsidRPr="00863DD3">
        <w:t>5.0 CONCLUSION AND RECOMMENDATIONS</w:t>
      </w:r>
    </w:p>
    <w:p w:rsidR="009838B8" w:rsidRPr="00863DD3" w:rsidRDefault="00692AFC" w:rsidP="00863DD3">
      <w:pPr>
        <w:pStyle w:val="font-claude-response-body"/>
        <w:spacing w:line="360" w:lineRule="auto"/>
      </w:pPr>
      <w:r>
        <w:t>This study examined housing conditions among staff and students of Federal Polytechnic Ilaro using household surveys and geospatial mapping. The study finds that housing challenges exist among both groups. These challenges include insufficient institutional accommodation, poor housing conditions in privately rented units, and limited acces</w:t>
      </w:r>
      <w:r w:rsidR="003A05F8">
        <w:t xml:space="preserve">s to basic amenities. </w:t>
      </w:r>
      <w:r>
        <w:t xml:space="preserve"> </w:t>
      </w:r>
      <w:r w:rsidR="008E6F4A" w:rsidRPr="00863DD3">
        <w:t>The following recommendations are proposed based on the findings:</w:t>
      </w:r>
    </w:p>
    <w:p w:rsidR="009838B8" w:rsidRPr="00863DD3" w:rsidRDefault="008E6F4A" w:rsidP="00863DD3">
      <w:pPr>
        <w:pStyle w:val="font-claude-response-body"/>
        <w:numPr>
          <w:ilvl w:val="0"/>
          <w:numId w:val="6"/>
        </w:numPr>
        <w:spacing w:line="360" w:lineRule="auto"/>
      </w:pPr>
      <w:r w:rsidRPr="00863DD3">
        <w:t>The polytechnic management should partner with commercial banks or the Federal Mortgage Bank of Nigeria to establish a salary-deductibl</w:t>
      </w:r>
      <w:r w:rsidR="007164CC" w:rsidRPr="00863DD3">
        <w:t>e housing loan scheme for staff. This approach can increase access</w:t>
      </w:r>
      <w:r w:rsidRPr="00863DD3">
        <w:t xml:space="preserve"> to affordable housing.</w:t>
      </w:r>
    </w:p>
    <w:p w:rsidR="009838B8" w:rsidRPr="00863DD3" w:rsidRDefault="008E6F4A" w:rsidP="00863DD3">
      <w:pPr>
        <w:pStyle w:val="font-claude-response-body"/>
        <w:numPr>
          <w:ilvl w:val="0"/>
          <w:numId w:val="6"/>
        </w:numPr>
        <w:spacing w:line="360" w:lineRule="auto"/>
      </w:pPr>
      <w:r w:rsidRPr="00863DD3">
        <w:t xml:space="preserve">The institution should introduce a dedicated shuttle service connecting key </w:t>
      </w:r>
      <w:r w:rsidR="009B3359" w:rsidRPr="00863DD3">
        <w:t xml:space="preserve">residential areas to the campus. This </w:t>
      </w:r>
      <w:r w:rsidR="00663168" w:rsidRPr="00863DD3">
        <w:t>could reduce transport</w:t>
      </w:r>
      <w:r w:rsidRPr="00863DD3">
        <w:t xml:space="preserve"> costs and commuting time for staff and students.</w:t>
      </w:r>
    </w:p>
    <w:p w:rsidR="009838B8" w:rsidRPr="00863DD3" w:rsidRDefault="008E6F4A" w:rsidP="00863DD3">
      <w:pPr>
        <w:pStyle w:val="font-claude-response-body"/>
        <w:numPr>
          <w:ilvl w:val="0"/>
          <w:numId w:val="6"/>
        </w:numPr>
        <w:spacing w:line="360" w:lineRule="auto"/>
      </w:pPr>
      <w:r w:rsidRPr="00863DD3">
        <w:t>Management should engage private developers through public-private partnerships to construct additional hostel f</w:t>
      </w:r>
      <w:r w:rsidR="00663168" w:rsidRPr="00863DD3">
        <w:t xml:space="preserve">acilities on or near the campus. This </w:t>
      </w:r>
      <w:r w:rsidR="003B0460" w:rsidRPr="00863DD3">
        <w:t xml:space="preserve">could </w:t>
      </w:r>
      <w:proofErr w:type="spellStart"/>
      <w:r w:rsidR="003B0460" w:rsidRPr="00863DD3">
        <w:t>increase</w:t>
      </w:r>
      <w:r w:rsidR="000225B7" w:rsidRPr="00863DD3">
        <w:t>the</w:t>
      </w:r>
      <w:proofErr w:type="spellEnd"/>
      <w:r w:rsidR="000225B7" w:rsidRPr="00863DD3">
        <w:t xml:space="preserve"> </w:t>
      </w:r>
      <w:r w:rsidR="00663168" w:rsidRPr="00863DD3">
        <w:t xml:space="preserve">number of </w:t>
      </w:r>
      <w:r w:rsidRPr="00863DD3">
        <w:t>affordable accommodation options.</w:t>
      </w:r>
    </w:p>
    <w:p w:rsidR="008E6F4A" w:rsidRPr="00863DD3" w:rsidRDefault="008E6F4A" w:rsidP="00863DD3">
      <w:pPr>
        <w:pStyle w:val="font-claude-response-body"/>
        <w:numPr>
          <w:ilvl w:val="0"/>
          <w:numId w:val="6"/>
        </w:numPr>
        <w:spacing w:line="360" w:lineRule="auto"/>
      </w:pPr>
      <w:r w:rsidRPr="00863DD3">
        <w:t>Staff and student unions should engage with Yewa South Local Government Authority and landlord associations to est</w:t>
      </w:r>
      <w:r w:rsidR="00C849CC" w:rsidRPr="00863DD3">
        <w:t xml:space="preserve">ablish rental price guidelines to protect </w:t>
      </w:r>
      <w:r w:rsidRPr="00863DD3">
        <w:t>staff and students from exploitative rent increases</w:t>
      </w:r>
    </w:p>
    <w:p w:rsidR="00B97BFE" w:rsidRPr="00863DD3" w:rsidRDefault="00B97BFE" w:rsidP="00863DD3">
      <w:pPr>
        <w:pStyle w:val="ListParagraph"/>
        <w:spacing w:after="60" w:line="360" w:lineRule="auto"/>
        <w:ind w:left="540"/>
        <w:jc w:val="both"/>
      </w:pPr>
    </w:p>
    <w:p w:rsidR="004F3C08" w:rsidRPr="00863DD3" w:rsidRDefault="00B556F7" w:rsidP="00B05FC1">
      <w:r w:rsidRPr="00863DD3">
        <w:lastRenderedPageBreak/>
        <w:t>REFERENCES</w:t>
      </w:r>
    </w:p>
    <w:p w:rsidR="00777054" w:rsidRPr="00863DD3" w:rsidRDefault="00777054" w:rsidP="00863DD3">
      <w:pPr>
        <w:pStyle w:val="font-claude-response-body"/>
        <w:spacing w:line="360" w:lineRule="auto"/>
        <w:ind w:left="720" w:hanging="720"/>
      </w:pPr>
      <w:proofErr w:type="spellStart"/>
      <w:proofErr w:type="gramStart"/>
      <w:r w:rsidRPr="00863DD3">
        <w:t>Adeboyejo</w:t>
      </w:r>
      <w:proofErr w:type="spellEnd"/>
      <w:r w:rsidRPr="00863DD3">
        <w:t xml:space="preserve">, O. A., &amp; </w:t>
      </w:r>
      <w:proofErr w:type="spellStart"/>
      <w:r w:rsidRPr="00863DD3">
        <w:t>Olujimi</w:t>
      </w:r>
      <w:proofErr w:type="spellEnd"/>
      <w:r w:rsidRPr="00863DD3">
        <w:t>, J. A. (2012).</w:t>
      </w:r>
      <w:proofErr w:type="gramEnd"/>
      <w:r w:rsidRPr="00863DD3">
        <w:t xml:space="preserve"> Housing challenges in Nigerian tertiary institutions: A case study of </w:t>
      </w:r>
      <w:proofErr w:type="spellStart"/>
      <w:r w:rsidRPr="00863DD3">
        <w:t>Obafemi</w:t>
      </w:r>
      <w:proofErr w:type="spellEnd"/>
      <w:r w:rsidRPr="00863DD3">
        <w:t xml:space="preserve"> </w:t>
      </w:r>
      <w:proofErr w:type="spellStart"/>
      <w:r w:rsidRPr="00863DD3">
        <w:t>Awolowo</w:t>
      </w:r>
      <w:proofErr w:type="spellEnd"/>
      <w:r w:rsidRPr="00863DD3">
        <w:t xml:space="preserve"> University, Ile-Ife. </w:t>
      </w:r>
      <w:r w:rsidRPr="00863DD3">
        <w:rPr>
          <w:rStyle w:val="Emphasis"/>
        </w:rPr>
        <w:t>Journal of Sustainable Development in Africa, 14</w:t>
      </w:r>
      <w:r w:rsidRPr="00863DD3">
        <w:t xml:space="preserve">(4), 267–280. Retrieved from </w:t>
      </w:r>
      <w:hyperlink r:id="rId11" w:history="1">
        <w:r w:rsidRPr="00863DD3">
          <w:rPr>
            <w:rStyle w:val="Hyperlink"/>
          </w:rPr>
          <w:t>https://jsd-africa.com</w:t>
        </w:r>
      </w:hyperlink>
    </w:p>
    <w:p w:rsidR="00777054" w:rsidRPr="00863DD3" w:rsidRDefault="00777054" w:rsidP="00863DD3">
      <w:pPr>
        <w:pStyle w:val="font-claude-response-body"/>
        <w:spacing w:line="360" w:lineRule="auto"/>
        <w:ind w:left="720" w:hanging="720"/>
      </w:pPr>
      <w:proofErr w:type="spellStart"/>
      <w:proofErr w:type="gramStart"/>
      <w:r w:rsidRPr="00863DD3">
        <w:t>Ademiluyi</w:t>
      </w:r>
      <w:proofErr w:type="spellEnd"/>
      <w:r w:rsidRPr="00863DD3">
        <w:t>, I. A. (2010).</w:t>
      </w:r>
      <w:proofErr w:type="gramEnd"/>
      <w:r w:rsidRPr="00863DD3">
        <w:t xml:space="preserve"> Public housing delivery strategies in Nigeria: A historical perspective of policies and </w:t>
      </w:r>
      <w:proofErr w:type="spellStart"/>
      <w:r w:rsidRPr="00863DD3">
        <w:t>programmes</w:t>
      </w:r>
      <w:proofErr w:type="spellEnd"/>
      <w:r w:rsidRPr="00863DD3">
        <w:t xml:space="preserve">. </w:t>
      </w:r>
      <w:r w:rsidRPr="00863DD3">
        <w:rPr>
          <w:rStyle w:val="Emphasis"/>
        </w:rPr>
        <w:t>Journal of Sustainable Development in Africa, 12</w:t>
      </w:r>
      <w:r w:rsidRPr="00863DD3">
        <w:t xml:space="preserve">(6), 153–161. Retrieved from </w:t>
      </w:r>
      <w:hyperlink r:id="rId12" w:history="1">
        <w:r w:rsidRPr="00863DD3">
          <w:rPr>
            <w:rStyle w:val="Hyperlink"/>
          </w:rPr>
          <w:t>https://jsd-africa.com</w:t>
        </w:r>
      </w:hyperlink>
    </w:p>
    <w:p w:rsidR="00777054" w:rsidRPr="00863DD3" w:rsidRDefault="00777054" w:rsidP="00863DD3">
      <w:pPr>
        <w:pStyle w:val="font-claude-response-body"/>
        <w:spacing w:line="360" w:lineRule="auto"/>
        <w:ind w:left="720" w:hanging="720"/>
      </w:pPr>
      <w:proofErr w:type="spellStart"/>
      <w:proofErr w:type="gramStart"/>
      <w:r w:rsidRPr="00863DD3">
        <w:t>Adzande</w:t>
      </w:r>
      <w:proofErr w:type="spellEnd"/>
      <w:r w:rsidRPr="00863DD3">
        <w:t>, P., &amp;</w:t>
      </w:r>
      <w:proofErr w:type="spellStart"/>
      <w:r w:rsidRPr="00863DD3">
        <w:t>Gyuse</w:t>
      </w:r>
      <w:proofErr w:type="spellEnd"/>
      <w:r w:rsidRPr="00863DD3">
        <w:t>, T. T. (2017).</w:t>
      </w:r>
      <w:proofErr w:type="gramEnd"/>
      <w:r w:rsidRPr="00863DD3">
        <w:t xml:space="preserve"> </w:t>
      </w:r>
      <w:proofErr w:type="gramStart"/>
      <w:r w:rsidRPr="00863DD3">
        <w:t xml:space="preserve">Territoriality and safety in urban residential </w:t>
      </w:r>
      <w:proofErr w:type="spellStart"/>
      <w:r w:rsidR="000225B7" w:rsidRPr="00863DD3">
        <w:t>neighbourhoods</w:t>
      </w:r>
      <w:proofErr w:type="spellEnd"/>
      <w:r w:rsidRPr="00863DD3">
        <w:t xml:space="preserve"> in Nigeria.</w:t>
      </w:r>
      <w:proofErr w:type="gramEnd"/>
      <w:r w:rsidRPr="00863DD3">
        <w:t xml:space="preserve"> </w:t>
      </w:r>
      <w:r w:rsidRPr="00863DD3">
        <w:rPr>
          <w:rStyle w:val="Emphasis"/>
        </w:rPr>
        <w:t xml:space="preserve">Journal of Urbanism: International Research on </w:t>
      </w:r>
      <w:proofErr w:type="spellStart"/>
      <w:r w:rsidRPr="00863DD3">
        <w:rPr>
          <w:rStyle w:val="Emphasis"/>
        </w:rPr>
        <w:t>Placemaking</w:t>
      </w:r>
      <w:proofErr w:type="spellEnd"/>
      <w:r w:rsidRPr="00863DD3">
        <w:rPr>
          <w:rStyle w:val="Emphasis"/>
        </w:rPr>
        <w:t xml:space="preserve"> and Urban Sustainability, 10</w:t>
      </w:r>
      <w:r w:rsidRPr="00863DD3">
        <w:t xml:space="preserve">(3), 333–355. </w:t>
      </w:r>
      <w:hyperlink r:id="rId13" w:history="1">
        <w:r w:rsidRPr="00863DD3">
          <w:rPr>
            <w:rStyle w:val="Hyperlink"/>
          </w:rPr>
          <w:t>https://doi.org/10.1080/17549175.2017.1295095</w:t>
        </w:r>
      </w:hyperlink>
    </w:p>
    <w:p w:rsidR="00777054" w:rsidRPr="00863DD3" w:rsidRDefault="00777054" w:rsidP="00863DD3">
      <w:pPr>
        <w:pStyle w:val="font-claude-response-body"/>
        <w:spacing w:line="360" w:lineRule="auto"/>
        <w:ind w:left="720" w:hanging="720"/>
      </w:pPr>
      <w:proofErr w:type="spellStart"/>
      <w:proofErr w:type="gramStart"/>
      <w:r w:rsidRPr="00863DD3">
        <w:t>Agbola</w:t>
      </w:r>
      <w:proofErr w:type="spellEnd"/>
      <w:r w:rsidRPr="00863DD3">
        <w:t xml:space="preserve">, T., &amp; </w:t>
      </w:r>
      <w:proofErr w:type="spellStart"/>
      <w:r w:rsidRPr="00863DD3">
        <w:t>Jinadu</w:t>
      </w:r>
      <w:proofErr w:type="spellEnd"/>
      <w:r w:rsidRPr="00863DD3">
        <w:t>, A. M. (1997).</w:t>
      </w:r>
      <w:proofErr w:type="gramEnd"/>
      <w:r w:rsidRPr="00863DD3">
        <w:t xml:space="preserve"> Forced eviction and forced relocation in Nigeria: The experience of those evicted from </w:t>
      </w:r>
      <w:proofErr w:type="spellStart"/>
      <w:r w:rsidRPr="00863DD3">
        <w:t>Maroko</w:t>
      </w:r>
      <w:proofErr w:type="spellEnd"/>
      <w:r w:rsidRPr="00863DD3">
        <w:t xml:space="preserve"> in 1990. </w:t>
      </w:r>
      <w:r w:rsidRPr="00863DD3">
        <w:rPr>
          <w:rStyle w:val="Emphasis"/>
        </w:rPr>
        <w:t xml:space="preserve">Environment and </w:t>
      </w:r>
      <w:proofErr w:type="spellStart"/>
      <w:r w:rsidR="000225B7" w:rsidRPr="00863DD3">
        <w:rPr>
          <w:rStyle w:val="Emphasis"/>
        </w:rPr>
        <w:t>Urbanisation</w:t>
      </w:r>
      <w:proofErr w:type="spellEnd"/>
      <w:r w:rsidRPr="00863DD3">
        <w:rPr>
          <w:rStyle w:val="Emphasis"/>
        </w:rPr>
        <w:t>, 9</w:t>
      </w:r>
      <w:r w:rsidRPr="00863DD3">
        <w:t xml:space="preserve">(2), 271–288. </w:t>
      </w:r>
      <w:hyperlink r:id="rId14" w:history="1">
        <w:r w:rsidRPr="00863DD3">
          <w:rPr>
            <w:rStyle w:val="Hyperlink"/>
          </w:rPr>
          <w:t>https://doi.org/10.1177/095624789700900220</w:t>
        </w:r>
      </w:hyperlink>
    </w:p>
    <w:p w:rsidR="00777054" w:rsidRPr="00863DD3" w:rsidRDefault="00777054" w:rsidP="00863DD3">
      <w:pPr>
        <w:pStyle w:val="font-claude-response-body"/>
        <w:spacing w:line="360" w:lineRule="auto"/>
        <w:ind w:left="720" w:hanging="720"/>
      </w:pPr>
      <w:proofErr w:type="spellStart"/>
      <w:r w:rsidRPr="00863DD3">
        <w:t>Aluko</w:t>
      </w:r>
      <w:proofErr w:type="spellEnd"/>
      <w:r w:rsidRPr="00863DD3">
        <w:t xml:space="preserve">, O. E. (2011). </w:t>
      </w:r>
      <w:proofErr w:type="gramStart"/>
      <w:r w:rsidRPr="00863DD3">
        <w:t xml:space="preserve">The assessment of </w:t>
      </w:r>
      <w:r w:rsidR="000225B7" w:rsidRPr="00863DD3">
        <w:t xml:space="preserve">the </w:t>
      </w:r>
      <w:r w:rsidRPr="00863DD3">
        <w:t xml:space="preserve">housing situation among students </w:t>
      </w:r>
      <w:r w:rsidR="000225B7" w:rsidRPr="00863DD3">
        <w:t>at</w:t>
      </w:r>
      <w:r w:rsidRPr="00863DD3">
        <w:t xml:space="preserve"> the University of Lagos.</w:t>
      </w:r>
      <w:proofErr w:type="gramEnd"/>
      <w:r w:rsidRPr="00863DD3">
        <w:t xml:space="preserve"> </w:t>
      </w:r>
      <w:r w:rsidRPr="00863DD3">
        <w:rPr>
          <w:rStyle w:val="Emphasis"/>
        </w:rPr>
        <w:t>African Research Review: An International Multidisciplinary Journal, 5</w:t>
      </w:r>
      <w:r w:rsidRPr="00863DD3">
        <w:t xml:space="preserve">(3), 104–118. </w:t>
      </w:r>
      <w:hyperlink r:id="rId15" w:history="1">
        <w:r w:rsidRPr="00863DD3">
          <w:rPr>
            <w:rStyle w:val="Hyperlink"/>
          </w:rPr>
          <w:t>https://doi.org/10.4314/afrrev.v5i3.67338</w:t>
        </w:r>
      </w:hyperlink>
    </w:p>
    <w:p w:rsidR="00777054" w:rsidRPr="00863DD3" w:rsidRDefault="00777054" w:rsidP="00863DD3">
      <w:pPr>
        <w:pStyle w:val="font-claude-response-body"/>
        <w:spacing w:line="360" w:lineRule="auto"/>
        <w:ind w:left="720" w:hanging="720"/>
      </w:pPr>
      <w:proofErr w:type="spellStart"/>
      <w:r w:rsidRPr="00863DD3">
        <w:t>Aribigbola</w:t>
      </w:r>
      <w:proofErr w:type="spellEnd"/>
      <w:r w:rsidRPr="00863DD3">
        <w:t xml:space="preserve">, A. (2008). Housing policy formulation in developing countries: Evidence of </w:t>
      </w:r>
      <w:proofErr w:type="spellStart"/>
      <w:r w:rsidRPr="00863DD3">
        <w:t>programme</w:t>
      </w:r>
      <w:proofErr w:type="spellEnd"/>
      <w:r w:rsidRPr="00863DD3">
        <w:t xml:space="preserve"> implementation from </w:t>
      </w:r>
      <w:proofErr w:type="spellStart"/>
      <w:r w:rsidRPr="00863DD3">
        <w:t>Akure</w:t>
      </w:r>
      <w:proofErr w:type="spellEnd"/>
      <w:r w:rsidRPr="00863DD3">
        <w:t xml:space="preserve">, </w:t>
      </w:r>
      <w:proofErr w:type="spellStart"/>
      <w:r w:rsidRPr="00863DD3">
        <w:t>Ondo</w:t>
      </w:r>
      <w:proofErr w:type="spellEnd"/>
      <w:r w:rsidRPr="00863DD3">
        <w:t xml:space="preserve"> State, Nigeria. </w:t>
      </w:r>
      <w:r w:rsidRPr="00863DD3">
        <w:rPr>
          <w:rStyle w:val="Emphasis"/>
        </w:rPr>
        <w:t>Journal of Human Ecology, 23</w:t>
      </w:r>
      <w:r w:rsidRPr="00863DD3">
        <w:t xml:space="preserve">(2), 125–134. Retrieved from </w:t>
      </w:r>
      <w:hyperlink r:id="rId16" w:history="1">
        <w:r w:rsidRPr="00863DD3">
          <w:rPr>
            <w:rStyle w:val="Hyperlink"/>
          </w:rPr>
          <w:t>https://www.krepublishers.com</w:t>
        </w:r>
      </w:hyperlink>
    </w:p>
    <w:p w:rsidR="00777054" w:rsidRPr="00863DD3" w:rsidRDefault="00777054" w:rsidP="00863DD3">
      <w:pPr>
        <w:pStyle w:val="font-claude-response-body"/>
        <w:spacing w:line="360" w:lineRule="auto"/>
        <w:ind w:left="720" w:hanging="720"/>
      </w:pPr>
      <w:proofErr w:type="spellStart"/>
      <w:r w:rsidRPr="00863DD3">
        <w:t>Bredenoord</w:t>
      </w:r>
      <w:proofErr w:type="spellEnd"/>
      <w:r w:rsidRPr="00863DD3">
        <w:t xml:space="preserve">, J., &amp; van </w:t>
      </w:r>
      <w:proofErr w:type="spellStart"/>
      <w:r w:rsidRPr="00863DD3">
        <w:t>Lindert</w:t>
      </w:r>
      <w:proofErr w:type="spellEnd"/>
      <w:r w:rsidRPr="00863DD3">
        <w:t xml:space="preserve">, P. (2010). Pro-poor housing policies: Rethinking the potential of assisted self-help housing. </w:t>
      </w:r>
      <w:r w:rsidRPr="00863DD3">
        <w:rPr>
          <w:rStyle w:val="Emphasis"/>
        </w:rPr>
        <w:t>Habitat International, 34</w:t>
      </w:r>
      <w:r w:rsidRPr="00863DD3">
        <w:t xml:space="preserve">(3), 278–287. </w:t>
      </w:r>
      <w:hyperlink r:id="rId17" w:history="1">
        <w:r w:rsidRPr="00863DD3">
          <w:rPr>
            <w:rStyle w:val="Hyperlink"/>
          </w:rPr>
          <w:t>https://doi.org/10.1016/j.habitatint.2009.12.001</w:t>
        </w:r>
      </w:hyperlink>
    </w:p>
    <w:p w:rsidR="00777054" w:rsidRPr="00863DD3" w:rsidRDefault="00777054" w:rsidP="00863DD3">
      <w:pPr>
        <w:pStyle w:val="font-claude-response-body"/>
        <w:spacing w:line="360" w:lineRule="auto"/>
        <w:ind w:left="720" w:hanging="720"/>
      </w:pPr>
      <w:proofErr w:type="spellStart"/>
      <w:r w:rsidRPr="00863DD3">
        <w:t>Ekpo</w:t>
      </w:r>
      <w:proofErr w:type="spellEnd"/>
      <w:r w:rsidRPr="00863DD3">
        <w:t xml:space="preserve">, A. (2019). Housing deficit in Nigeria: Issues, challenges and prospects. </w:t>
      </w:r>
      <w:r w:rsidRPr="00863DD3">
        <w:rPr>
          <w:rStyle w:val="Emphasis"/>
        </w:rPr>
        <w:t>CBN Economic and Financial Review, 57</w:t>
      </w:r>
      <w:r w:rsidRPr="00863DD3">
        <w:t xml:space="preserve">(4), 177–188. Retrieved from </w:t>
      </w:r>
      <w:hyperlink r:id="rId18" w:history="1">
        <w:r w:rsidRPr="00863DD3">
          <w:rPr>
            <w:rStyle w:val="Hyperlink"/>
          </w:rPr>
          <w:t>https://dc.cbn.gov.ng/efr/vol57/iss4/13/</w:t>
        </w:r>
      </w:hyperlink>
    </w:p>
    <w:p w:rsidR="00777054" w:rsidRPr="00863DD3" w:rsidRDefault="00777054" w:rsidP="00863DD3">
      <w:pPr>
        <w:pStyle w:val="font-claude-response-body"/>
        <w:spacing w:line="360" w:lineRule="auto"/>
        <w:ind w:left="720" w:hanging="720"/>
      </w:pPr>
      <w:proofErr w:type="gramStart"/>
      <w:r w:rsidRPr="00863DD3">
        <w:lastRenderedPageBreak/>
        <w:t>Housing Europe.</w:t>
      </w:r>
      <w:proofErr w:type="gramEnd"/>
      <w:r w:rsidRPr="00863DD3">
        <w:t xml:space="preserve"> (2021). </w:t>
      </w:r>
      <w:proofErr w:type="gramStart"/>
      <w:r w:rsidRPr="00863DD3">
        <w:rPr>
          <w:rStyle w:val="Emphasis"/>
        </w:rPr>
        <w:t>The</w:t>
      </w:r>
      <w:proofErr w:type="gramEnd"/>
      <w:r w:rsidRPr="00863DD3">
        <w:rPr>
          <w:rStyle w:val="Emphasis"/>
        </w:rPr>
        <w:t xml:space="preserve"> state of housing in Europe 2021.</w:t>
      </w:r>
      <w:r w:rsidRPr="00863DD3">
        <w:t xml:space="preserve"> Brussels: Housing Europe. Retrieved from </w:t>
      </w:r>
      <w:hyperlink r:id="rId19" w:history="1">
        <w:r w:rsidRPr="00863DD3">
          <w:rPr>
            <w:rStyle w:val="Hyperlink"/>
          </w:rPr>
          <w:t>https://www.housingeurope.eu/resource-1323/the-state-of-housing-in-europe-2021</w:t>
        </w:r>
      </w:hyperlink>
    </w:p>
    <w:p w:rsidR="00777054" w:rsidRPr="00863DD3" w:rsidRDefault="00777054" w:rsidP="00863DD3">
      <w:pPr>
        <w:pStyle w:val="font-claude-response-body"/>
        <w:spacing w:line="360" w:lineRule="auto"/>
        <w:ind w:left="720" w:hanging="720"/>
      </w:pPr>
      <w:proofErr w:type="spellStart"/>
      <w:proofErr w:type="gramStart"/>
      <w:r w:rsidRPr="00863DD3">
        <w:t>Ibem</w:t>
      </w:r>
      <w:proofErr w:type="spellEnd"/>
      <w:r w:rsidRPr="00863DD3">
        <w:t>, E. O., &amp; Amole, D. (2013).</w:t>
      </w:r>
      <w:proofErr w:type="gramEnd"/>
      <w:r w:rsidRPr="00863DD3">
        <w:t xml:space="preserve"> Affordable housing in Nigerian cities: A review of policy and practice. </w:t>
      </w:r>
      <w:r w:rsidRPr="00863DD3">
        <w:rPr>
          <w:rStyle w:val="Emphasis"/>
        </w:rPr>
        <w:t>Journal of Housing and the Built Environment, 28</w:t>
      </w:r>
      <w:r w:rsidRPr="00863DD3">
        <w:t xml:space="preserve">(2), 429–447. </w:t>
      </w:r>
      <w:hyperlink r:id="rId20" w:history="1">
        <w:r w:rsidRPr="00863DD3">
          <w:rPr>
            <w:rStyle w:val="Hyperlink"/>
          </w:rPr>
          <w:t>https://doi.org/10.1007/s10901-012-9295-0</w:t>
        </w:r>
      </w:hyperlink>
    </w:p>
    <w:p w:rsidR="00777054" w:rsidRPr="00863DD3" w:rsidRDefault="00777054" w:rsidP="00863DD3">
      <w:pPr>
        <w:pStyle w:val="font-claude-response-body"/>
        <w:spacing w:line="360" w:lineRule="auto"/>
        <w:ind w:left="720" w:hanging="720"/>
      </w:pPr>
      <w:proofErr w:type="spellStart"/>
      <w:proofErr w:type="gramStart"/>
      <w:r w:rsidRPr="00863DD3">
        <w:t>Ibem</w:t>
      </w:r>
      <w:proofErr w:type="spellEnd"/>
      <w:r w:rsidRPr="00863DD3">
        <w:t>, E. O., &amp; Amole, D. (2021).</w:t>
      </w:r>
      <w:proofErr w:type="gramEnd"/>
      <w:r w:rsidRPr="00863DD3">
        <w:t xml:space="preserve"> Housing affordability in Nigerian urban </w:t>
      </w:r>
      <w:proofErr w:type="spellStart"/>
      <w:r w:rsidRPr="00863DD3">
        <w:t>centres</w:t>
      </w:r>
      <w:proofErr w:type="spellEnd"/>
      <w:r w:rsidRPr="00863DD3">
        <w:t xml:space="preserve">: Issues and policy directions. </w:t>
      </w:r>
      <w:r w:rsidRPr="00863DD3">
        <w:rPr>
          <w:rStyle w:val="Emphasis"/>
        </w:rPr>
        <w:t>International Journal of Housing Policy, 21</w:t>
      </w:r>
      <w:r w:rsidRPr="00863DD3">
        <w:t xml:space="preserve">(3), 367–386. </w:t>
      </w:r>
      <w:hyperlink r:id="rId21" w:history="1">
        <w:r w:rsidRPr="00863DD3">
          <w:rPr>
            <w:rStyle w:val="Hyperlink"/>
          </w:rPr>
          <w:t>https://doi.org/10.1080/19491247.2020.1716111</w:t>
        </w:r>
      </w:hyperlink>
    </w:p>
    <w:p w:rsidR="00777054" w:rsidRPr="00863DD3" w:rsidRDefault="00777054" w:rsidP="00863DD3">
      <w:pPr>
        <w:pStyle w:val="font-claude-response-body"/>
        <w:spacing w:line="360" w:lineRule="auto"/>
        <w:ind w:left="720" w:hanging="720"/>
      </w:pPr>
      <w:proofErr w:type="spellStart"/>
      <w:proofErr w:type="gramStart"/>
      <w:r w:rsidRPr="00863DD3">
        <w:t>Ibem</w:t>
      </w:r>
      <w:proofErr w:type="spellEnd"/>
      <w:r w:rsidRPr="00863DD3">
        <w:t>, E. O., &amp; Ayo-Vaughan, E. A. (2017).</w:t>
      </w:r>
      <w:proofErr w:type="gramEnd"/>
      <w:r w:rsidRPr="00863DD3">
        <w:t xml:space="preserve"> </w:t>
      </w:r>
      <w:proofErr w:type="gramStart"/>
      <w:r w:rsidRPr="00863DD3">
        <w:t>Public-private partnerships (PPPs) in housing provision for students in Nigerian universities.</w:t>
      </w:r>
      <w:proofErr w:type="gramEnd"/>
      <w:r w:rsidRPr="00863DD3">
        <w:t xml:space="preserve"> </w:t>
      </w:r>
      <w:r w:rsidRPr="00863DD3">
        <w:rPr>
          <w:rStyle w:val="Emphasis"/>
        </w:rPr>
        <w:t>International Journal of Housing Markets and Analysis, 10</w:t>
      </w:r>
      <w:r w:rsidRPr="00863DD3">
        <w:t xml:space="preserve">(5), 708–729. </w:t>
      </w:r>
      <w:hyperlink r:id="rId22" w:history="1">
        <w:r w:rsidRPr="00863DD3">
          <w:rPr>
            <w:rStyle w:val="Hyperlink"/>
          </w:rPr>
          <w:t>https://doi.org/10.1108/IJHMA-08-2016-0060</w:t>
        </w:r>
      </w:hyperlink>
    </w:p>
    <w:p w:rsidR="00777054" w:rsidRPr="00863DD3" w:rsidRDefault="00777054" w:rsidP="00863DD3">
      <w:pPr>
        <w:pStyle w:val="font-claude-response-body"/>
        <w:spacing w:line="360" w:lineRule="auto"/>
        <w:ind w:left="720" w:hanging="720"/>
      </w:pPr>
      <w:proofErr w:type="spellStart"/>
      <w:r w:rsidRPr="00863DD3">
        <w:t>Malczewski</w:t>
      </w:r>
      <w:proofErr w:type="spellEnd"/>
      <w:r w:rsidRPr="00863DD3">
        <w:t xml:space="preserve">, J. (2006). GIS-based </w:t>
      </w:r>
      <w:proofErr w:type="spellStart"/>
      <w:r w:rsidRPr="00863DD3">
        <w:t>multicriteria</w:t>
      </w:r>
      <w:proofErr w:type="spellEnd"/>
      <w:r w:rsidRPr="00863DD3">
        <w:t xml:space="preserve"> decision analysis: A survey of the literature. </w:t>
      </w:r>
      <w:r w:rsidRPr="00863DD3">
        <w:rPr>
          <w:rStyle w:val="Emphasis"/>
        </w:rPr>
        <w:t>International Journal of Geographical Information Science, 20</w:t>
      </w:r>
      <w:r w:rsidRPr="00863DD3">
        <w:t xml:space="preserve">(7), 703–726. </w:t>
      </w:r>
      <w:hyperlink r:id="rId23" w:history="1">
        <w:r w:rsidRPr="00863DD3">
          <w:rPr>
            <w:rStyle w:val="Hyperlink"/>
          </w:rPr>
          <w:t>https://doi.org/10.1080/13658810600661508</w:t>
        </w:r>
      </w:hyperlink>
    </w:p>
    <w:p w:rsidR="00777054" w:rsidRPr="00863DD3" w:rsidRDefault="00777054" w:rsidP="00863DD3">
      <w:pPr>
        <w:pStyle w:val="font-claude-response-body"/>
        <w:spacing w:line="360" w:lineRule="auto"/>
        <w:ind w:left="720" w:hanging="720"/>
      </w:pPr>
      <w:proofErr w:type="spellStart"/>
      <w:r w:rsidRPr="00863DD3">
        <w:t>Nubi</w:t>
      </w:r>
      <w:proofErr w:type="spellEnd"/>
      <w:r w:rsidRPr="00863DD3">
        <w:t xml:space="preserve">, T. O. (2008). </w:t>
      </w:r>
      <w:proofErr w:type="gramStart"/>
      <w:r w:rsidRPr="00863DD3">
        <w:t>Affordable housing delivery in Nigeria.</w:t>
      </w:r>
      <w:proofErr w:type="gramEnd"/>
      <w:r w:rsidRPr="00863DD3">
        <w:t xml:space="preserve"> In </w:t>
      </w:r>
      <w:r w:rsidRPr="00863DD3">
        <w:rPr>
          <w:rStyle w:val="Emphasis"/>
        </w:rPr>
        <w:t xml:space="preserve">Proceedings of </w:t>
      </w:r>
      <w:proofErr w:type="gramStart"/>
      <w:r w:rsidRPr="00863DD3">
        <w:rPr>
          <w:rStyle w:val="Emphasis"/>
        </w:rPr>
        <w:t>The</w:t>
      </w:r>
      <w:proofErr w:type="gramEnd"/>
      <w:r w:rsidRPr="00863DD3">
        <w:rPr>
          <w:rStyle w:val="Emphasis"/>
        </w:rPr>
        <w:t xml:space="preserve"> South African Foundation International Conference and Exhibition</w:t>
      </w:r>
      <w:r w:rsidRPr="00863DD3">
        <w:t xml:space="preserve"> (pp. 1–18). Cape Town: South African Foundation. Retrieved from </w:t>
      </w:r>
      <w:hyperlink r:id="rId24" w:history="1">
        <w:r w:rsidRPr="00863DD3">
          <w:rPr>
            <w:rStyle w:val="Hyperlink"/>
          </w:rPr>
          <w:t>https://housingfinanceafrica.org</w:t>
        </w:r>
      </w:hyperlink>
    </w:p>
    <w:p w:rsidR="00777054" w:rsidRPr="00863DD3" w:rsidRDefault="00777054" w:rsidP="00863DD3">
      <w:pPr>
        <w:pStyle w:val="font-claude-response-body"/>
        <w:spacing w:line="360" w:lineRule="auto"/>
        <w:ind w:left="720" w:hanging="720"/>
      </w:pPr>
      <w:proofErr w:type="spellStart"/>
      <w:r w:rsidRPr="00863DD3">
        <w:t>Nwaka</w:t>
      </w:r>
      <w:proofErr w:type="spellEnd"/>
      <w:r w:rsidRPr="00863DD3">
        <w:t xml:space="preserve">, G. I. (2005). The urban informal sector in Nigeria: Towards economic development, environmental health, and social harmony. </w:t>
      </w:r>
      <w:r w:rsidRPr="00863DD3">
        <w:rPr>
          <w:rStyle w:val="Emphasis"/>
        </w:rPr>
        <w:t>Global Urban Development Magazine, 1</w:t>
      </w:r>
      <w:r w:rsidRPr="00863DD3">
        <w:t xml:space="preserve">(1), 1–11. Retrieved from </w:t>
      </w:r>
      <w:hyperlink r:id="rId25" w:history="1">
        <w:r w:rsidRPr="00863DD3">
          <w:rPr>
            <w:rStyle w:val="Hyperlink"/>
          </w:rPr>
          <w:t>https://www.globalurban.org</w:t>
        </w:r>
      </w:hyperlink>
    </w:p>
    <w:p w:rsidR="00777054" w:rsidRPr="00863DD3" w:rsidRDefault="00777054" w:rsidP="00863DD3">
      <w:pPr>
        <w:pStyle w:val="font-claude-response-body"/>
        <w:spacing w:line="360" w:lineRule="auto"/>
        <w:ind w:left="720" w:hanging="720"/>
      </w:pPr>
      <w:proofErr w:type="spellStart"/>
      <w:proofErr w:type="gramStart"/>
      <w:r w:rsidRPr="00863DD3">
        <w:t>Olotuah</w:t>
      </w:r>
      <w:proofErr w:type="spellEnd"/>
      <w:r w:rsidRPr="00863DD3">
        <w:t>, A. O., &amp;</w:t>
      </w:r>
      <w:proofErr w:type="spellStart"/>
      <w:r w:rsidRPr="00863DD3">
        <w:t>Bobadoye</w:t>
      </w:r>
      <w:proofErr w:type="spellEnd"/>
      <w:r w:rsidRPr="00863DD3">
        <w:t>, S. A. (2009).</w:t>
      </w:r>
      <w:proofErr w:type="gramEnd"/>
      <w:r w:rsidRPr="00863DD3">
        <w:t xml:space="preserve"> Sustainable housing provision for the urban poor: A review of public sector intervention in Nigeria. </w:t>
      </w:r>
      <w:r w:rsidRPr="00863DD3">
        <w:rPr>
          <w:rStyle w:val="Emphasis"/>
        </w:rPr>
        <w:t>The Built &amp; Human Environment Review, 2</w:t>
      </w:r>
      <w:r w:rsidRPr="00863DD3">
        <w:t xml:space="preserve">(1), 51–63. Retrieved from </w:t>
      </w:r>
      <w:hyperlink r:id="rId26" w:history="1">
        <w:r w:rsidRPr="00863DD3">
          <w:rPr>
            <w:rStyle w:val="Hyperlink"/>
          </w:rPr>
          <w:t>http://www.tbher.org</w:t>
        </w:r>
      </w:hyperlink>
    </w:p>
    <w:p w:rsidR="00777054" w:rsidRPr="00863DD3" w:rsidRDefault="00777054" w:rsidP="00863DD3">
      <w:pPr>
        <w:pStyle w:val="font-claude-response-body"/>
        <w:spacing w:line="360" w:lineRule="auto"/>
        <w:ind w:left="720" w:hanging="720"/>
      </w:pPr>
      <w:proofErr w:type="spellStart"/>
      <w:r w:rsidRPr="00863DD3">
        <w:t>Phang</w:t>
      </w:r>
      <w:proofErr w:type="spellEnd"/>
      <w:r w:rsidRPr="00863DD3">
        <w:t xml:space="preserve">, S. Y. (2018). </w:t>
      </w:r>
      <w:proofErr w:type="gramStart"/>
      <w:r w:rsidRPr="00863DD3">
        <w:t>Policy innovations for affordable housing in Singapore.</w:t>
      </w:r>
      <w:proofErr w:type="gramEnd"/>
      <w:r w:rsidRPr="00863DD3">
        <w:t xml:space="preserve"> </w:t>
      </w:r>
      <w:proofErr w:type="gramStart"/>
      <w:r w:rsidRPr="00863DD3">
        <w:rPr>
          <w:rStyle w:val="Emphasis"/>
        </w:rPr>
        <w:t>Housing Policy Debate, 28</w:t>
      </w:r>
      <w:r w:rsidRPr="00863DD3">
        <w:t>(5), 709–723.</w:t>
      </w:r>
      <w:proofErr w:type="gramEnd"/>
      <w:r w:rsidRPr="00863DD3">
        <w:t xml:space="preserve"> </w:t>
      </w:r>
      <w:hyperlink r:id="rId27" w:history="1">
        <w:r w:rsidRPr="00863DD3">
          <w:rPr>
            <w:rStyle w:val="Hyperlink"/>
          </w:rPr>
          <w:t>https://doi.org/10.1080/10511482.2018.1443129</w:t>
        </w:r>
      </w:hyperlink>
    </w:p>
    <w:p w:rsidR="00777054" w:rsidRPr="00863DD3" w:rsidRDefault="00777054" w:rsidP="00863DD3">
      <w:pPr>
        <w:pStyle w:val="font-claude-response-body"/>
        <w:spacing w:line="360" w:lineRule="auto"/>
        <w:ind w:left="720" w:hanging="720"/>
      </w:pPr>
      <w:proofErr w:type="gramStart"/>
      <w:r w:rsidRPr="00863DD3">
        <w:lastRenderedPageBreak/>
        <w:t>UN-Habitat.</w:t>
      </w:r>
      <w:proofErr w:type="gramEnd"/>
      <w:r w:rsidRPr="00863DD3">
        <w:t xml:space="preserve"> (2016). </w:t>
      </w:r>
      <w:r w:rsidRPr="00863DD3">
        <w:rPr>
          <w:rStyle w:val="Emphasis"/>
        </w:rPr>
        <w:t xml:space="preserve">World cities report 2016: </w:t>
      </w:r>
      <w:proofErr w:type="spellStart"/>
      <w:r w:rsidR="000225B7" w:rsidRPr="00863DD3">
        <w:rPr>
          <w:rStyle w:val="Emphasis"/>
        </w:rPr>
        <w:t>Urbanisation</w:t>
      </w:r>
      <w:proofErr w:type="spellEnd"/>
      <w:r w:rsidRPr="00863DD3">
        <w:rPr>
          <w:rStyle w:val="Emphasis"/>
        </w:rPr>
        <w:t xml:space="preserve"> and development – emerging futures.</w:t>
      </w:r>
      <w:r w:rsidRPr="00863DD3">
        <w:t xml:space="preserve"> Nairobi: United Nations Human Settlements </w:t>
      </w:r>
      <w:proofErr w:type="spellStart"/>
      <w:r w:rsidRPr="00863DD3">
        <w:t>Programme</w:t>
      </w:r>
      <w:proofErr w:type="spellEnd"/>
      <w:r w:rsidRPr="00863DD3">
        <w:t xml:space="preserve">. Retrieved from </w:t>
      </w:r>
      <w:hyperlink r:id="rId28" w:history="1">
        <w:r w:rsidRPr="00863DD3">
          <w:rPr>
            <w:rStyle w:val="Hyperlink"/>
          </w:rPr>
          <w:t>https://unhabitat.org/world-cities-report</w:t>
        </w:r>
      </w:hyperlink>
    </w:p>
    <w:p w:rsidR="00777054" w:rsidRPr="00863DD3" w:rsidRDefault="00777054" w:rsidP="00863DD3">
      <w:pPr>
        <w:pStyle w:val="font-claude-response-body"/>
        <w:spacing w:line="360" w:lineRule="auto"/>
        <w:ind w:left="720" w:hanging="720"/>
      </w:pPr>
      <w:proofErr w:type="gramStart"/>
      <w:r w:rsidRPr="00863DD3">
        <w:t xml:space="preserve">World Health </w:t>
      </w:r>
      <w:proofErr w:type="spellStart"/>
      <w:r w:rsidR="000225B7" w:rsidRPr="00863DD3">
        <w:t>Organisation</w:t>
      </w:r>
      <w:proofErr w:type="spellEnd"/>
      <w:r w:rsidRPr="00863DD3">
        <w:t>.</w:t>
      </w:r>
      <w:proofErr w:type="gramEnd"/>
      <w:r w:rsidRPr="00863DD3">
        <w:t xml:space="preserve"> </w:t>
      </w:r>
      <w:proofErr w:type="gramStart"/>
      <w:r w:rsidRPr="00863DD3">
        <w:t xml:space="preserve">(2018). </w:t>
      </w:r>
      <w:r w:rsidRPr="00863DD3">
        <w:rPr>
          <w:rStyle w:val="Emphasis"/>
        </w:rPr>
        <w:t>WHO housing and health guidelines.</w:t>
      </w:r>
      <w:proofErr w:type="gramEnd"/>
      <w:r w:rsidRPr="00863DD3">
        <w:t xml:space="preserve"> Geneva: World Health </w:t>
      </w:r>
      <w:proofErr w:type="spellStart"/>
      <w:r w:rsidR="000225B7" w:rsidRPr="00863DD3">
        <w:t>Organisation</w:t>
      </w:r>
      <w:proofErr w:type="spellEnd"/>
      <w:r w:rsidRPr="00863DD3">
        <w:t xml:space="preserve">. Retrieved from </w:t>
      </w:r>
      <w:hyperlink r:id="rId29" w:history="1">
        <w:r w:rsidRPr="00863DD3">
          <w:rPr>
            <w:rStyle w:val="Hyperlink"/>
          </w:rPr>
          <w:t>https://www.who.int/publications/i/item/9789241550376</w:t>
        </w:r>
      </w:hyperlink>
    </w:p>
    <w:p w:rsidR="004F3C08" w:rsidRPr="00863DD3" w:rsidRDefault="004F3C08" w:rsidP="00863DD3">
      <w:pPr>
        <w:spacing w:after="80" w:line="360" w:lineRule="auto"/>
        <w:ind w:left="720" w:hanging="720"/>
        <w:jc w:val="both"/>
      </w:pPr>
    </w:p>
    <w:sectPr w:rsidR="004F3C08" w:rsidRPr="00863DD3" w:rsidSect="004F3C08">
      <w:pgSz w:w="12240" w:h="15840"/>
      <w:pgMar w:top="1440" w:right="1260" w:bottom="1440" w:left="1260" w:header="708" w:footer="708"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03B49"/>
    <w:multiLevelType w:val="hybridMultilevel"/>
    <w:tmpl w:val="491C20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CD76BCD"/>
    <w:multiLevelType w:val="hybridMultilevel"/>
    <w:tmpl w:val="1710059A"/>
    <w:lvl w:ilvl="0" w:tplc="0409001B">
      <w:start w:val="1"/>
      <w:numFmt w:val="lowerRoman"/>
      <w:lvlText w:val="%1."/>
      <w:lvlJc w:val="right"/>
      <w:pPr>
        <w:ind w:left="720" w:hanging="360"/>
      </w:pPr>
    </w:lvl>
    <w:lvl w:ilvl="1" w:tplc="C2EC5586">
      <w:numFmt w:val="decimal"/>
      <w:lvlText w:val=""/>
      <w:lvlJc w:val="left"/>
    </w:lvl>
    <w:lvl w:ilvl="2" w:tplc="6798CAD6">
      <w:numFmt w:val="decimal"/>
      <w:lvlText w:val=""/>
      <w:lvlJc w:val="left"/>
    </w:lvl>
    <w:lvl w:ilvl="3" w:tplc="20DE4B6A">
      <w:numFmt w:val="decimal"/>
      <w:lvlText w:val=""/>
      <w:lvlJc w:val="left"/>
    </w:lvl>
    <w:lvl w:ilvl="4" w:tplc="AC56CD80">
      <w:numFmt w:val="decimal"/>
      <w:lvlText w:val=""/>
      <w:lvlJc w:val="left"/>
    </w:lvl>
    <w:lvl w:ilvl="5" w:tplc="1B62EFAA">
      <w:numFmt w:val="decimal"/>
      <w:lvlText w:val=""/>
      <w:lvlJc w:val="left"/>
    </w:lvl>
    <w:lvl w:ilvl="6" w:tplc="0862E29A">
      <w:numFmt w:val="decimal"/>
      <w:lvlText w:val=""/>
      <w:lvlJc w:val="left"/>
    </w:lvl>
    <w:lvl w:ilvl="7" w:tplc="D98C73D2">
      <w:numFmt w:val="decimal"/>
      <w:lvlText w:val=""/>
      <w:lvlJc w:val="left"/>
    </w:lvl>
    <w:lvl w:ilvl="8" w:tplc="D8EC7960">
      <w:numFmt w:val="decimal"/>
      <w:lvlText w:val=""/>
      <w:lvlJc w:val="left"/>
    </w:lvl>
  </w:abstractNum>
  <w:abstractNum w:abstractNumId="2">
    <w:nsid w:val="3ADE186F"/>
    <w:multiLevelType w:val="hybridMultilevel"/>
    <w:tmpl w:val="20746CCE"/>
    <w:lvl w:ilvl="0" w:tplc="8F5ADC70">
      <w:start w:val="1"/>
      <w:numFmt w:val="bullet"/>
      <w:lvlText w:val="●"/>
      <w:lvlJc w:val="left"/>
      <w:pPr>
        <w:ind w:left="720" w:hanging="360"/>
      </w:pPr>
    </w:lvl>
    <w:lvl w:ilvl="1" w:tplc="39F612EE">
      <w:start w:val="1"/>
      <w:numFmt w:val="bullet"/>
      <w:lvlText w:val="○"/>
      <w:lvlJc w:val="left"/>
      <w:pPr>
        <w:ind w:left="1440" w:hanging="360"/>
      </w:pPr>
    </w:lvl>
    <w:lvl w:ilvl="2" w:tplc="706AF07C">
      <w:start w:val="1"/>
      <w:numFmt w:val="bullet"/>
      <w:lvlText w:val="■"/>
      <w:lvlJc w:val="left"/>
      <w:pPr>
        <w:ind w:left="2160" w:hanging="360"/>
      </w:pPr>
    </w:lvl>
    <w:lvl w:ilvl="3" w:tplc="4D423C2C">
      <w:start w:val="1"/>
      <w:numFmt w:val="bullet"/>
      <w:lvlText w:val="●"/>
      <w:lvlJc w:val="left"/>
      <w:pPr>
        <w:ind w:left="2880" w:hanging="360"/>
      </w:pPr>
    </w:lvl>
    <w:lvl w:ilvl="4" w:tplc="B52270CE">
      <w:start w:val="1"/>
      <w:numFmt w:val="bullet"/>
      <w:lvlText w:val="○"/>
      <w:lvlJc w:val="left"/>
      <w:pPr>
        <w:ind w:left="3600" w:hanging="360"/>
      </w:pPr>
    </w:lvl>
    <w:lvl w:ilvl="5" w:tplc="F6F4A040">
      <w:start w:val="1"/>
      <w:numFmt w:val="bullet"/>
      <w:lvlText w:val="■"/>
      <w:lvlJc w:val="left"/>
      <w:pPr>
        <w:ind w:left="4320" w:hanging="360"/>
      </w:pPr>
    </w:lvl>
    <w:lvl w:ilvl="6" w:tplc="57CA39AE">
      <w:start w:val="1"/>
      <w:numFmt w:val="bullet"/>
      <w:lvlText w:val="●"/>
      <w:lvlJc w:val="left"/>
      <w:pPr>
        <w:ind w:left="5040" w:hanging="360"/>
      </w:pPr>
    </w:lvl>
    <w:lvl w:ilvl="7" w:tplc="405A4A82">
      <w:start w:val="1"/>
      <w:numFmt w:val="bullet"/>
      <w:lvlText w:val="●"/>
      <w:lvlJc w:val="left"/>
      <w:pPr>
        <w:ind w:left="5760" w:hanging="360"/>
      </w:pPr>
    </w:lvl>
    <w:lvl w:ilvl="8" w:tplc="BD9EEF3C">
      <w:start w:val="1"/>
      <w:numFmt w:val="bullet"/>
      <w:lvlText w:val="●"/>
      <w:lvlJc w:val="left"/>
      <w:pPr>
        <w:ind w:left="6480" w:hanging="360"/>
      </w:pPr>
    </w:lvl>
  </w:abstractNum>
  <w:abstractNum w:abstractNumId="3">
    <w:nsid w:val="70E6686B"/>
    <w:multiLevelType w:val="hybridMultilevel"/>
    <w:tmpl w:val="22CEB55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7B07146D"/>
    <w:multiLevelType w:val="hybridMultilevel"/>
    <w:tmpl w:val="A2FACCC2"/>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
    <w:lvlOverride w:ilvl="0">
      <w:startOverride w:val="1"/>
    </w:lvlOverride>
  </w:num>
  <w:num w:numId="2">
    <w:abstractNumId w:val="1"/>
  </w:num>
  <w:num w:numId="3">
    <w:abstractNumId w:val="1"/>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spelling="clean" w:grammar="clean"/>
  <w:defaultTabStop w:val="720"/>
  <w:characterSpacingControl w:val="doNotCompress"/>
  <w:compat/>
  <w:rsids>
    <w:rsidRoot w:val="004F3C08"/>
    <w:rsid w:val="00010E84"/>
    <w:rsid w:val="0001533C"/>
    <w:rsid w:val="000225B7"/>
    <w:rsid w:val="00023F99"/>
    <w:rsid w:val="000248BE"/>
    <w:rsid w:val="00035E5F"/>
    <w:rsid w:val="00036750"/>
    <w:rsid w:val="00045970"/>
    <w:rsid w:val="0005404F"/>
    <w:rsid w:val="000720BD"/>
    <w:rsid w:val="00077DE6"/>
    <w:rsid w:val="00081AFE"/>
    <w:rsid w:val="00081EEB"/>
    <w:rsid w:val="000952B9"/>
    <w:rsid w:val="000A6A1F"/>
    <w:rsid w:val="000A708D"/>
    <w:rsid w:val="000B3631"/>
    <w:rsid w:val="000B5FC7"/>
    <w:rsid w:val="000B684B"/>
    <w:rsid w:val="000C646F"/>
    <w:rsid w:val="000D7419"/>
    <w:rsid w:val="000E3644"/>
    <w:rsid w:val="000F3858"/>
    <w:rsid w:val="000F4D7F"/>
    <w:rsid w:val="00100A0C"/>
    <w:rsid w:val="00102ABE"/>
    <w:rsid w:val="00107BEB"/>
    <w:rsid w:val="001133E6"/>
    <w:rsid w:val="001148CB"/>
    <w:rsid w:val="00123F5C"/>
    <w:rsid w:val="00124C51"/>
    <w:rsid w:val="00126A02"/>
    <w:rsid w:val="00130F68"/>
    <w:rsid w:val="00131A89"/>
    <w:rsid w:val="0013377A"/>
    <w:rsid w:val="001436FE"/>
    <w:rsid w:val="00144F93"/>
    <w:rsid w:val="00150F78"/>
    <w:rsid w:val="001524DE"/>
    <w:rsid w:val="00153983"/>
    <w:rsid w:val="00163C17"/>
    <w:rsid w:val="00164F9A"/>
    <w:rsid w:val="001728AF"/>
    <w:rsid w:val="001774DD"/>
    <w:rsid w:val="001816FD"/>
    <w:rsid w:val="00182658"/>
    <w:rsid w:val="0018553A"/>
    <w:rsid w:val="00185737"/>
    <w:rsid w:val="00190066"/>
    <w:rsid w:val="001906C3"/>
    <w:rsid w:val="001B6F48"/>
    <w:rsid w:val="001B7934"/>
    <w:rsid w:val="001D38BC"/>
    <w:rsid w:val="001D3D21"/>
    <w:rsid w:val="001D568D"/>
    <w:rsid w:val="001D6A80"/>
    <w:rsid w:val="001E0D29"/>
    <w:rsid w:val="001E1CC2"/>
    <w:rsid w:val="001E1FC5"/>
    <w:rsid w:val="002035C4"/>
    <w:rsid w:val="00216EFD"/>
    <w:rsid w:val="00221362"/>
    <w:rsid w:val="0022334A"/>
    <w:rsid w:val="00231695"/>
    <w:rsid w:val="00236415"/>
    <w:rsid w:val="0024526A"/>
    <w:rsid w:val="0024799C"/>
    <w:rsid w:val="0025038E"/>
    <w:rsid w:val="00250CF4"/>
    <w:rsid w:val="00255AD8"/>
    <w:rsid w:val="00267682"/>
    <w:rsid w:val="002707B7"/>
    <w:rsid w:val="002747D0"/>
    <w:rsid w:val="00280EAB"/>
    <w:rsid w:val="002902AD"/>
    <w:rsid w:val="0029492E"/>
    <w:rsid w:val="002A69ED"/>
    <w:rsid w:val="002B4485"/>
    <w:rsid w:val="002C5F43"/>
    <w:rsid w:val="002D796E"/>
    <w:rsid w:val="002F1A6C"/>
    <w:rsid w:val="002F7324"/>
    <w:rsid w:val="00302B9D"/>
    <w:rsid w:val="00304A38"/>
    <w:rsid w:val="00321BFF"/>
    <w:rsid w:val="003268B8"/>
    <w:rsid w:val="00327A2C"/>
    <w:rsid w:val="0033152C"/>
    <w:rsid w:val="003432EB"/>
    <w:rsid w:val="003440B0"/>
    <w:rsid w:val="00362CE5"/>
    <w:rsid w:val="0037788C"/>
    <w:rsid w:val="003836D1"/>
    <w:rsid w:val="003845FE"/>
    <w:rsid w:val="00386D90"/>
    <w:rsid w:val="003929C8"/>
    <w:rsid w:val="003A05F8"/>
    <w:rsid w:val="003A0755"/>
    <w:rsid w:val="003A3500"/>
    <w:rsid w:val="003A395B"/>
    <w:rsid w:val="003B0460"/>
    <w:rsid w:val="003B6278"/>
    <w:rsid w:val="003C0F65"/>
    <w:rsid w:val="003C144A"/>
    <w:rsid w:val="003E3BBF"/>
    <w:rsid w:val="003E42E3"/>
    <w:rsid w:val="003E7288"/>
    <w:rsid w:val="00404B82"/>
    <w:rsid w:val="00410B8E"/>
    <w:rsid w:val="00410FDB"/>
    <w:rsid w:val="004150FA"/>
    <w:rsid w:val="00415A67"/>
    <w:rsid w:val="004359F4"/>
    <w:rsid w:val="00443422"/>
    <w:rsid w:val="00444625"/>
    <w:rsid w:val="004519FE"/>
    <w:rsid w:val="00453D07"/>
    <w:rsid w:val="00464687"/>
    <w:rsid w:val="004672A0"/>
    <w:rsid w:val="0048479E"/>
    <w:rsid w:val="0049318F"/>
    <w:rsid w:val="004960A6"/>
    <w:rsid w:val="004A0402"/>
    <w:rsid w:val="004B4657"/>
    <w:rsid w:val="004C6562"/>
    <w:rsid w:val="004E3129"/>
    <w:rsid w:val="004E44BC"/>
    <w:rsid w:val="004E6DCF"/>
    <w:rsid w:val="004F1FC2"/>
    <w:rsid w:val="004F3C08"/>
    <w:rsid w:val="00514184"/>
    <w:rsid w:val="00514647"/>
    <w:rsid w:val="00517899"/>
    <w:rsid w:val="00525FB7"/>
    <w:rsid w:val="0053219C"/>
    <w:rsid w:val="005463C9"/>
    <w:rsid w:val="00552D15"/>
    <w:rsid w:val="00555F4F"/>
    <w:rsid w:val="00556577"/>
    <w:rsid w:val="0055688B"/>
    <w:rsid w:val="00557866"/>
    <w:rsid w:val="005625ED"/>
    <w:rsid w:val="005656CD"/>
    <w:rsid w:val="00585738"/>
    <w:rsid w:val="00586E29"/>
    <w:rsid w:val="00586FAD"/>
    <w:rsid w:val="005B54AB"/>
    <w:rsid w:val="005C1B69"/>
    <w:rsid w:val="005C30CF"/>
    <w:rsid w:val="005E18B4"/>
    <w:rsid w:val="005E2B8B"/>
    <w:rsid w:val="005F34F7"/>
    <w:rsid w:val="005F45C3"/>
    <w:rsid w:val="005F7AF7"/>
    <w:rsid w:val="00602C33"/>
    <w:rsid w:val="006112C6"/>
    <w:rsid w:val="00626338"/>
    <w:rsid w:val="006272E9"/>
    <w:rsid w:val="00650C44"/>
    <w:rsid w:val="00651AF4"/>
    <w:rsid w:val="00660CD4"/>
    <w:rsid w:val="00663168"/>
    <w:rsid w:val="00663C64"/>
    <w:rsid w:val="00666504"/>
    <w:rsid w:val="00667678"/>
    <w:rsid w:val="00671F37"/>
    <w:rsid w:val="006761F5"/>
    <w:rsid w:val="00692AFC"/>
    <w:rsid w:val="00696108"/>
    <w:rsid w:val="006A6F09"/>
    <w:rsid w:val="006B2A2E"/>
    <w:rsid w:val="006D355F"/>
    <w:rsid w:val="006D69BF"/>
    <w:rsid w:val="0070037F"/>
    <w:rsid w:val="00701959"/>
    <w:rsid w:val="00702793"/>
    <w:rsid w:val="00702AC9"/>
    <w:rsid w:val="00705F59"/>
    <w:rsid w:val="007164CC"/>
    <w:rsid w:val="00726EE5"/>
    <w:rsid w:val="00730B3A"/>
    <w:rsid w:val="007324D6"/>
    <w:rsid w:val="00751EFF"/>
    <w:rsid w:val="007521A8"/>
    <w:rsid w:val="00755CA9"/>
    <w:rsid w:val="00770490"/>
    <w:rsid w:val="00771207"/>
    <w:rsid w:val="00771437"/>
    <w:rsid w:val="00775E31"/>
    <w:rsid w:val="00777054"/>
    <w:rsid w:val="00783139"/>
    <w:rsid w:val="00785F29"/>
    <w:rsid w:val="00791331"/>
    <w:rsid w:val="0079389D"/>
    <w:rsid w:val="00796370"/>
    <w:rsid w:val="007A772F"/>
    <w:rsid w:val="007B7AF4"/>
    <w:rsid w:val="007C668E"/>
    <w:rsid w:val="007C7204"/>
    <w:rsid w:val="007D0F9C"/>
    <w:rsid w:val="007D1FC7"/>
    <w:rsid w:val="007D27A0"/>
    <w:rsid w:val="007D2D48"/>
    <w:rsid w:val="007D2F94"/>
    <w:rsid w:val="007E5F19"/>
    <w:rsid w:val="007F2132"/>
    <w:rsid w:val="007F624C"/>
    <w:rsid w:val="008006C4"/>
    <w:rsid w:val="008024CE"/>
    <w:rsid w:val="00804BCC"/>
    <w:rsid w:val="00806D91"/>
    <w:rsid w:val="0082582D"/>
    <w:rsid w:val="00830F24"/>
    <w:rsid w:val="00831277"/>
    <w:rsid w:val="00850DF9"/>
    <w:rsid w:val="00856E19"/>
    <w:rsid w:val="00863DD3"/>
    <w:rsid w:val="0087105A"/>
    <w:rsid w:val="008737C1"/>
    <w:rsid w:val="008759E2"/>
    <w:rsid w:val="00880947"/>
    <w:rsid w:val="008828BA"/>
    <w:rsid w:val="008A58E6"/>
    <w:rsid w:val="008B2E54"/>
    <w:rsid w:val="008C1D46"/>
    <w:rsid w:val="008C3805"/>
    <w:rsid w:val="008C78D6"/>
    <w:rsid w:val="008D1227"/>
    <w:rsid w:val="008E609F"/>
    <w:rsid w:val="008E6643"/>
    <w:rsid w:val="008E6F4A"/>
    <w:rsid w:val="00905524"/>
    <w:rsid w:val="009073D0"/>
    <w:rsid w:val="009110ED"/>
    <w:rsid w:val="0092276F"/>
    <w:rsid w:val="0093018D"/>
    <w:rsid w:val="0093240F"/>
    <w:rsid w:val="00936744"/>
    <w:rsid w:val="00954764"/>
    <w:rsid w:val="009566E6"/>
    <w:rsid w:val="0096042F"/>
    <w:rsid w:val="0096222D"/>
    <w:rsid w:val="00967FE2"/>
    <w:rsid w:val="00980220"/>
    <w:rsid w:val="009838B8"/>
    <w:rsid w:val="00990D0E"/>
    <w:rsid w:val="00994CB0"/>
    <w:rsid w:val="009A1BB9"/>
    <w:rsid w:val="009B0038"/>
    <w:rsid w:val="009B0281"/>
    <w:rsid w:val="009B3359"/>
    <w:rsid w:val="009B5979"/>
    <w:rsid w:val="009C6068"/>
    <w:rsid w:val="009C6B86"/>
    <w:rsid w:val="009E76C9"/>
    <w:rsid w:val="009F45BD"/>
    <w:rsid w:val="009F5AD6"/>
    <w:rsid w:val="009F7E57"/>
    <w:rsid w:val="00A0101D"/>
    <w:rsid w:val="00A07591"/>
    <w:rsid w:val="00A1345D"/>
    <w:rsid w:val="00A1732E"/>
    <w:rsid w:val="00A2207E"/>
    <w:rsid w:val="00A269AC"/>
    <w:rsid w:val="00A3059F"/>
    <w:rsid w:val="00A32C6F"/>
    <w:rsid w:val="00A358CD"/>
    <w:rsid w:val="00A44EE5"/>
    <w:rsid w:val="00A51E47"/>
    <w:rsid w:val="00A57C97"/>
    <w:rsid w:val="00A61B97"/>
    <w:rsid w:val="00A70A40"/>
    <w:rsid w:val="00A736E3"/>
    <w:rsid w:val="00A73C01"/>
    <w:rsid w:val="00A740B3"/>
    <w:rsid w:val="00A74C50"/>
    <w:rsid w:val="00A92746"/>
    <w:rsid w:val="00A940B4"/>
    <w:rsid w:val="00AA1199"/>
    <w:rsid w:val="00AB6DC1"/>
    <w:rsid w:val="00AE4560"/>
    <w:rsid w:val="00AE78AC"/>
    <w:rsid w:val="00B027D6"/>
    <w:rsid w:val="00B05FC1"/>
    <w:rsid w:val="00B146EF"/>
    <w:rsid w:val="00B22394"/>
    <w:rsid w:val="00B30BFC"/>
    <w:rsid w:val="00B30E69"/>
    <w:rsid w:val="00B325E0"/>
    <w:rsid w:val="00B5225A"/>
    <w:rsid w:val="00B556F7"/>
    <w:rsid w:val="00B629D5"/>
    <w:rsid w:val="00B64C55"/>
    <w:rsid w:val="00B74C75"/>
    <w:rsid w:val="00B97BFE"/>
    <w:rsid w:val="00BC1AA9"/>
    <w:rsid w:val="00BC47E8"/>
    <w:rsid w:val="00BD382C"/>
    <w:rsid w:val="00BD6953"/>
    <w:rsid w:val="00BD7AFF"/>
    <w:rsid w:val="00BE332F"/>
    <w:rsid w:val="00BF514C"/>
    <w:rsid w:val="00C117C4"/>
    <w:rsid w:val="00C272EC"/>
    <w:rsid w:val="00C30ADA"/>
    <w:rsid w:val="00C4276A"/>
    <w:rsid w:val="00C4793F"/>
    <w:rsid w:val="00C56748"/>
    <w:rsid w:val="00C721CD"/>
    <w:rsid w:val="00C849CC"/>
    <w:rsid w:val="00C91CD3"/>
    <w:rsid w:val="00C96236"/>
    <w:rsid w:val="00CA3E5B"/>
    <w:rsid w:val="00CA71C8"/>
    <w:rsid w:val="00CB55D8"/>
    <w:rsid w:val="00CC6D05"/>
    <w:rsid w:val="00CD5ED1"/>
    <w:rsid w:val="00CE3FDF"/>
    <w:rsid w:val="00CF6D82"/>
    <w:rsid w:val="00D014CD"/>
    <w:rsid w:val="00D075BA"/>
    <w:rsid w:val="00D303BD"/>
    <w:rsid w:val="00D510E5"/>
    <w:rsid w:val="00D545F4"/>
    <w:rsid w:val="00D57DEA"/>
    <w:rsid w:val="00D65E2E"/>
    <w:rsid w:val="00D70D5E"/>
    <w:rsid w:val="00D72F5D"/>
    <w:rsid w:val="00D74B9E"/>
    <w:rsid w:val="00D75EE3"/>
    <w:rsid w:val="00D82F7A"/>
    <w:rsid w:val="00DB020D"/>
    <w:rsid w:val="00DB469C"/>
    <w:rsid w:val="00DC20F5"/>
    <w:rsid w:val="00DF4E32"/>
    <w:rsid w:val="00E0012C"/>
    <w:rsid w:val="00E05661"/>
    <w:rsid w:val="00E162D2"/>
    <w:rsid w:val="00E20A29"/>
    <w:rsid w:val="00E22589"/>
    <w:rsid w:val="00E248F5"/>
    <w:rsid w:val="00E3281C"/>
    <w:rsid w:val="00E3440F"/>
    <w:rsid w:val="00E54DD8"/>
    <w:rsid w:val="00E61941"/>
    <w:rsid w:val="00E7109A"/>
    <w:rsid w:val="00E756D4"/>
    <w:rsid w:val="00E80B9A"/>
    <w:rsid w:val="00E8623A"/>
    <w:rsid w:val="00E86831"/>
    <w:rsid w:val="00E94A47"/>
    <w:rsid w:val="00E95B20"/>
    <w:rsid w:val="00E95D29"/>
    <w:rsid w:val="00EB10C3"/>
    <w:rsid w:val="00EB662E"/>
    <w:rsid w:val="00EC2CCD"/>
    <w:rsid w:val="00EC690C"/>
    <w:rsid w:val="00EE1CEA"/>
    <w:rsid w:val="00EE39DF"/>
    <w:rsid w:val="00EE3B87"/>
    <w:rsid w:val="00EE58BA"/>
    <w:rsid w:val="00F04B61"/>
    <w:rsid w:val="00F1071D"/>
    <w:rsid w:val="00F108AA"/>
    <w:rsid w:val="00F11F94"/>
    <w:rsid w:val="00F13AF0"/>
    <w:rsid w:val="00F2471E"/>
    <w:rsid w:val="00F301A6"/>
    <w:rsid w:val="00F31473"/>
    <w:rsid w:val="00F347F5"/>
    <w:rsid w:val="00F34828"/>
    <w:rsid w:val="00F36121"/>
    <w:rsid w:val="00F42922"/>
    <w:rsid w:val="00F43A60"/>
    <w:rsid w:val="00F53DD5"/>
    <w:rsid w:val="00F54402"/>
    <w:rsid w:val="00F626B1"/>
    <w:rsid w:val="00F629AE"/>
    <w:rsid w:val="00F6320C"/>
    <w:rsid w:val="00F7269E"/>
    <w:rsid w:val="00F73B6D"/>
    <w:rsid w:val="00F863A5"/>
    <w:rsid w:val="00F94FCB"/>
    <w:rsid w:val="00FB03B5"/>
    <w:rsid w:val="00FB649B"/>
    <w:rsid w:val="00FD3F1F"/>
    <w:rsid w:val="00FE65F8"/>
    <w:rsid w:val="00FF0672"/>
    <w:rsid w:val="00FF34F1"/>
    <w:rsid w:val="00FF6A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9DF"/>
  </w:style>
  <w:style w:type="paragraph" w:styleId="Heading1">
    <w:name w:val="heading 1"/>
    <w:rsid w:val="004F3C08"/>
    <w:pPr>
      <w:spacing w:before="240" w:after="120"/>
      <w:outlineLvl w:val="0"/>
    </w:pPr>
    <w:rPr>
      <w:b/>
      <w:bCs/>
      <w:color w:val="000000"/>
      <w:sz w:val="26"/>
      <w:szCs w:val="26"/>
    </w:rPr>
  </w:style>
  <w:style w:type="paragraph" w:styleId="Heading2">
    <w:name w:val="heading 2"/>
    <w:rsid w:val="004F3C08"/>
    <w:pPr>
      <w:spacing w:before="180" w:after="80"/>
      <w:outlineLvl w:val="1"/>
    </w:pPr>
    <w:rPr>
      <w:b/>
      <w:bCs/>
      <w:color w:val="000000"/>
    </w:rPr>
  </w:style>
  <w:style w:type="paragraph" w:styleId="Heading3">
    <w:name w:val="heading 3"/>
    <w:link w:val="Heading3Char"/>
    <w:rsid w:val="004F3C08"/>
    <w:pPr>
      <w:spacing w:before="140" w:after="60"/>
      <w:outlineLvl w:val="2"/>
    </w:pPr>
    <w:rPr>
      <w:b/>
      <w:bCs/>
      <w:color w:val="000000"/>
    </w:rPr>
  </w:style>
  <w:style w:type="paragraph" w:styleId="Heading4">
    <w:name w:val="heading 4"/>
    <w:qFormat/>
    <w:rsid w:val="004F3C08"/>
    <w:pPr>
      <w:outlineLvl w:val="3"/>
    </w:pPr>
    <w:rPr>
      <w:i/>
      <w:iCs/>
      <w:color w:val="2E74B5"/>
    </w:rPr>
  </w:style>
  <w:style w:type="paragraph" w:styleId="Heading5">
    <w:name w:val="heading 5"/>
    <w:qFormat/>
    <w:rsid w:val="004F3C08"/>
    <w:pPr>
      <w:outlineLvl w:val="4"/>
    </w:pPr>
    <w:rPr>
      <w:color w:val="2E74B5"/>
    </w:rPr>
  </w:style>
  <w:style w:type="paragraph" w:styleId="Heading6">
    <w:name w:val="heading 6"/>
    <w:qFormat/>
    <w:rsid w:val="004F3C08"/>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4F3C08"/>
    <w:rPr>
      <w:sz w:val="56"/>
      <w:szCs w:val="56"/>
    </w:rPr>
  </w:style>
  <w:style w:type="paragraph" w:customStyle="1" w:styleId="Strong1">
    <w:name w:val="Strong1"/>
    <w:qFormat/>
    <w:rsid w:val="004F3C08"/>
    <w:rPr>
      <w:b/>
      <w:bCs/>
    </w:rPr>
  </w:style>
  <w:style w:type="paragraph" w:styleId="ListParagraph">
    <w:name w:val="List Paragraph"/>
    <w:qFormat/>
    <w:rsid w:val="004F3C08"/>
  </w:style>
  <w:style w:type="character" w:styleId="Hyperlink">
    <w:name w:val="Hyperlink"/>
    <w:uiPriority w:val="99"/>
    <w:unhideWhenUsed/>
    <w:rsid w:val="004F3C08"/>
    <w:rPr>
      <w:color w:val="0563C1"/>
      <w:u w:val="single"/>
    </w:rPr>
  </w:style>
  <w:style w:type="character" w:styleId="FootnoteReference">
    <w:name w:val="footnote reference"/>
    <w:uiPriority w:val="99"/>
    <w:semiHidden/>
    <w:unhideWhenUsed/>
    <w:rsid w:val="004F3C08"/>
    <w:rPr>
      <w:vertAlign w:val="superscript"/>
    </w:rPr>
  </w:style>
  <w:style w:type="paragraph" w:styleId="FootnoteText">
    <w:name w:val="footnote text"/>
    <w:link w:val="FootnoteTextChar"/>
    <w:uiPriority w:val="99"/>
    <w:semiHidden/>
    <w:unhideWhenUsed/>
    <w:rsid w:val="004F3C08"/>
    <w:rPr>
      <w:sz w:val="20"/>
      <w:szCs w:val="20"/>
    </w:rPr>
  </w:style>
  <w:style w:type="character" w:customStyle="1" w:styleId="FootnoteTextChar">
    <w:name w:val="Footnote Text Char"/>
    <w:link w:val="FootnoteText"/>
    <w:uiPriority w:val="99"/>
    <w:semiHidden/>
    <w:unhideWhenUsed/>
    <w:rsid w:val="004F3C08"/>
    <w:rPr>
      <w:sz w:val="20"/>
      <w:szCs w:val="20"/>
    </w:rPr>
  </w:style>
  <w:style w:type="character" w:styleId="EndnoteReference">
    <w:name w:val="endnote reference"/>
    <w:uiPriority w:val="99"/>
    <w:semiHidden/>
    <w:unhideWhenUsed/>
    <w:rsid w:val="004F3C08"/>
    <w:rPr>
      <w:vertAlign w:val="superscript"/>
    </w:rPr>
  </w:style>
  <w:style w:type="paragraph" w:styleId="EndnoteText">
    <w:name w:val="endnote text"/>
    <w:link w:val="EndnoteTextChar"/>
    <w:uiPriority w:val="99"/>
    <w:semiHidden/>
    <w:unhideWhenUsed/>
    <w:rsid w:val="004F3C08"/>
    <w:rPr>
      <w:sz w:val="20"/>
      <w:szCs w:val="20"/>
    </w:rPr>
  </w:style>
  <w:style w:type="character" w:customStyle="1" w:styleId="EndnoteTextChar">
    <w:name w:val="Endnote Text Char"/>
    <w:link w:val="EndnoteText"/>
    <w:uiPriority w:val="99"/>
    <w:semiHidden/>
    <w:unhideWhenUsed/>
    <w:rsid w:val="004F3C08"/>
    <w:rPr>
      <w:sz w:val="20"/>
      <w:szCs w:val="20"/>
    </w:rPr>
  </w:style>
  <w:style w:type="paragraph" w:styleId="BalloonText">
    <w:name w:val="Balloon Text"/>
    <w:basedOn w:val="Normal"/>
    <w:link w:val="BalloonTextChar"/>
    <w:uiPriority w:val="99"/>
    <w:semiHidden/>
    <w:unhideWhenUsed/>
    <w:rsid w:val="00785F29"/>
    <w:rPr>
      <w:rFonts w:ascii="Tahoma" w:hAnsi="Tahoma" w:cs="Tahoma"/>
      <w:sz w:val="16"/>
      <w:szCs w:val="16"/>
    </w:rPr>
  </w:style>
  <w:style w:type="character" w:customStyle="1" w:styleId="BalloonTextChar">
    <w:name w:val="Balloon Text Char"/>
    <w:basedOn w:val="DefaultParagraphFont"/>
    <w:link w:val="BalloonText"/>
    <w:uiPriority w:val="99"/>
    <w:semiHidden/>
    <w:rsid w:val="00785F29"/>
    <w:rPr>
      <w:rFonts w:ascii="Tahoma" w:hAnsi="Tahoma" w:cs="Tahoma"/>
      <w:sz w:val="16"/>
      <w:szCs w:val="16"/>
    </w:rPr>
  </w:style>
  <w:style w:type="character" w:customStyle="1" w:styleId="Heading3Char">
    <w:name w:val="Heading 3 Char"/>
    <w:basedOn w:val="DefaultParagraphFont"/>
    <w:link w:val="Heading3"/>
    <w:rsid w:val="00C117C4"/>
    <w:rPr>
      <w:b/>
      <w:bCs/>
      <w:color w:val="000000"/>
    </w:rPr>
  </w:style>
  <w:style w:type="paragraph" w:customStyle="1" w:styleId="font-claude-response-body">
    <w:name w:val="font-claude-response-body"/>
    <w:basedOn w:val="Normal"/>
    <w:rsid w:val="00E54DD8"/>
    <w:pPr>
      <w:spacing w:before="100" w:beforeAutospacing="1" w:after="100" w:afterAutospacing="1"/>
    </w:pPr>
  </w:style>
  <w:style w:type="character" w:styleId="Emphasis">
    <w:name w:val="Emphasis"/>
    <w:basedOn w:val="DefaultParagraphFont"/>
    <w:uiPriority w:val="20"/>
    <w:qFormat/>
    <w:rsid w:val="00777054"/>
    <w:rPr>
      <w:i/>
      <w:iCs/>
    </w:rPr>
  </w:style>
  <w:style w:type="paragraph" w:styleId="NormalWeb">
    <w:name w:val="Normal (Web)"/>
    <w:basedOn w:val="Normal"/>
    <w:uiPriority w:val="99"/>
    <w:unhideWhenUsed/>
    <w:rsid w:val="00B5225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9835329">
      <w:bodyDiv w:val="1"/>
      <w:marLeft w:val="0"/>
      <w:marRight w:val="0"/>
      <w:marTop w:val="0"/>
      <w:marBottom w:val="0"/>
      <w:divBdr>
        <w:top w:val="none" w:sz="0" w:space="0" w:color="auto"/>
        <w:left w:val="none" w:sz="0" w:space="0" w:color="auto"/>
        <w:bottom w:val="none" w:sz="0" w:space="0" w:color="auto"/>
        <w:right w:val="none" w:sz="0" w:space="0" w:color="auto"/>
      </w:divBdr>
    </w:div>
    <w:div w:id="90010658">
      <w:bodyDiv w:val="1"/>
      <w:marLeft w:val="0"/>
      <w:marRight w:val="0"/>
      <w:marTop w:val="0"/>
      <w:marBottom w:val="0"/>
      <w:divBdr>
        <w:top w:val="none" w:sz="0" w:space="0" w:color="auto"/>
        <w:left w:val="none" w:sz="0" w:space="0" w:color="auto"/>
        <w:bottom w:val="none" w:sz="0" w:space="0" w:color="auto"/>
        <w:right w:val="none" w:sz="0" w:space="0" w:color="auto"/>
      </w:divBdr>
    </w:div>
    <w:div w:id="206650585">
      <w:bodyDiv w:val="1"/>
      <w:marLeft w:val="0"/>
      <w:marRight w:val="0"/>
      <w:marTop w:val="0"/>
      <w:marBottom w:val="0"/>
      <w:divBdr>
        <w:top w:val="none" w:sz="0" w:space="0" w:color="auto"/>
        <w:left w:val="none" w:sz="0" w:space="0" w:color="auto"/>
        <w:bottom w:val="none" w:sz="0" w:space="0" w:color="auto"/>
        <w:right w:val="none" w:sz="0" w:space="0" w:color="auto"/>
      </w:divBdr>
    </w:div>
    <w:div w:id="247737945">
      <w:bodyDiv w:val="1"/>
      <w:marLeft w:val="0"/>
      <w:marRight w:val="0"/>
      <w:marTop w:val="0"/>
      <w:marBottom w:val="0"/>
      <w:divBdr>
        <w:top w:val="none" w:sz="0" w:space="0" w:color="auto"/>
        <w:left w:val="none" w:sz="0" w:space="0" w:color="auto"/>
        <w:bottom w:val="none" w:sz="0" w:space="0" w:color="auto"/>
        <w:right w:val="none" w:sz="0" w:space="0" w:color="auto"/>
      </w:divBdr>
    </w:div>
    <w:div w:id="250352729">
      <w:bodyDiv w:val="1"/>
      <w:marLeft w:val="0"/>
      <w:marRight w:val="0"/>
      <w:marTop w:val="0"/>
      <w:marBottom w:val="0"/>
      <w:divBdr>
        <w:top w:val="none" w:sz="0" w:space="0" w:color="auto"/>
        <w:left w:val="none" w:sz="0" w:space="0" w:color="auto"/>
        <w:bottom w:val="none" w:sz="0" w:space="0" w:color="auto"/>
        <w:right w:val="none" w:sz="0" w:space="0" w:color="auto"/>
      </w:divBdr>
    </w:div>
    <w:div w:id="331766161">
      <w:bodyDiv w:val="1"/>
      <w:marLeft w:val="0"/>
      <w:marRight w:val="0"/>
      <w:marTop w:val="0"/>
      <w:marBottom w:val="0"/>
      <w:divBdr>
        <w:top w:val="none" w:sz="0" w:space="0" w:color="auto"/>
        <w:left w:val="none" w:sz="0" w:space="0" w:color="auto"/>
        <w:bottom w:val="none" w:sz="0" w:space="0" w:color="auto"/>
        <w:right w:val="none" w:sz="0" w:space="0" w:color="auto"/>
      </w:divBdr>
    </w:div>
    <w:div w:id="391196175">
      <w:bodyDiv w:val="1"/>
      <w:marLeft w:val="0"/>
      <w:marRight w:val="0"/>
      <w:marTop w:val="0"/>
      <w:marBottom w:val="0"/>
      <w:divBdr>
        <w:top w:val="none" w:sz="0" w:space="0" w:color="auto"/>
        <w:left w:val="none" w:sz="0" w:space="0" w:color="auto"/>
        <w:bottom w:val="none" w:sz="0" w:space="0" w:color="auto"/>
        <w:right w:val="none" w:sz="0" w:space="0" w:color="auto"/>
      </w:divBdr>
    </w:div>
    <w:div w:id="462501801">
      <w:bodyDiv w:val="1"/>
      <w:marLeft w:val="0"/>
      <w:marRight w:val="0"/>
      <w:marTop w:val="0"/>
      <w:marBottom w:val="0"/>
      <w:divBdr>
        <w:top w:val="none" w:sz="0" w:space="0" w:color="auto"/>
        <w:left w:val="none" w:sz="0" w:space="0" w:color="auto"/>
        <w:bottom w:val="none" w:sz="0" w:space="0" w:color="auto"/>
        <w:right w:val="none" w:sz="0" w:space="0" w:color="auto"/>
      </w:divBdr>
    </w:div>
    <w:div w:id="763459025">
      <w:bodyDiv w:val="1"/>
      <w:marLeft w:val="0"/>
      <w:marRight w:val="0"/>
      <w:marTop w:val="0"/>
      <w:marBottom w:val="0"/>
      <w:divBdr>
        <w:top w:val="none" w:sz="0" w:space="0" w:color="auto"/>
        <w:left w:val="none" w:sz="0" w:space="0" w:color="auto"/>
        <w:bottom w:val="none" w:sz="0" w:space="0" w:color="auto"/>
        <w:right w:val="none" w:sz="0" w:space="0" w:color="auto"/>
      </w:divBdr>
    </w:div>
    <w:div w:id="792140073">
      <w:bodyDiv w:val="1"/>
      <w:marLeft w:val="0"/>
      <w:marRight w:val="0"/>
      <w:marTop w:val="0"/>
      <w:marBottom w:val="0"/>
      <w:divBdr>
        <w:top w:val="none" w:sz="0" w:space="0" w:color="auto"/>
        <w:left w:val="none" w:sz="0" w:space="0" w:color="auto"/>
        <w:bottom w:val="none" w:sz="0" w:space="0" w:color="auto"/>
        <w:right w:val="none" w:sz="0" w:space="0" w:color="auto"/>
      </w:divBdr>
    </w:div>
    <w:div w:id="792869083">
      <w:bodyDiv w:val="1"/>
      <w:marLeft w:val="0"/>
      <w:marRight w:val="0"/>
      <w:marTop w:val="0"/>
      <w:marBottom w:val="0"/>
      <w:divBdr>
        <w:top w:val="none" w:sz="0" w:space="0" w:color="auto"/>
        <w:left w:val="none" w:sz="0" w:space="0" w:color="auto"/>
        <w:bottom w:val="none" w:sz="0" w:space="0" w:color="auto"/>
        <w:right w:val="none" w:sz="0" w:space="0" w:color="auto"/>
      </w:divBdr>
    </w:div>
    <w:div w:id="841897267">
      <w:bodyDiv w:val="1"/>
      <w:marLeft w:val="0"/>
      <w:marRight w:val="0"/>
      <w:marTop w:val="0"/>
      <w:marBottom w:val="0"/>
      <w:divBdr>
        <w:top w:val="none" w:sz="0" w:space="0" w:color="auto"/>
        <w:left w:val="none" w:sz="0" w:space="0" w:color="auto"/>
        <w:bottom w:val="none" w:sz="0" w:space="0" w:color="auto"/>
        <w:right w:val="none" w:sz="0" w:space="0" w:color="auto"/>
      </w:divBdr>
    </w:div>
    <w:div w:id="860897538">
      <w:bodyDiv w:val="1"/>
      <w:marLeft w:val="0"/>
      <w:marRight w:val="0"/>
      <w:marTop w:val="0"/>
      <w:marBottom w:val="0"/>
      <w:divBdr>
        <w:top w:val="none" w:sz="0" w:space="0" w:color="auto"/>
        <w:left w:val="none" w:sz="0" w:space="0" w:color="auto"/>
        <w:bottom w:val="none" w:sz="0" w:space="0" w:color="auto"/>
        <w:right w:val="none" w:sz="0" w:space="0" w:color="auto"/>
      </w:divBdr>
    </w:div>
    <w:div w:id="893809480">
      <w:bodyDiv w:val="1"/>
      <w:marLeft w:val="0"/>
      <w:marRight w:val="0"/>
      <w:marTop w:val="0"/>
      <w:marBottom w:val="0"/>
      <w:divBdr>
        <w:top w:val="none" w:sz="0" w:space="0" w:color="auto"/>
        <w:left w:val="none" w:sz="0" w:space="0" w:color="auto"/>
        <w:bottom w:val="none" w:sz="0" w:space="0" w:color="auto"/>
        <w:right w:val="none" w:sz="0" w:space="0" w:color="auto"/>
      </w:divBdr>
    </w:div>
    <w:div w:id="1005939750">
      <w:bodyDiv w:val="1"/>
      <w:marLeft w:val="0"/>
      <w:marRight w:val="0"/>
      <w:marTop w:val="0"/>
      <w:marBottom w:val="0"/>
      <w:divBdr>
        <w:top w:val="none" w:sz="0" w:space="0" w:color="auto"/>
        <w:left w:val="none" w:sz="0" w:space="0" w:color="auto"/>
        <w:bottom w:val="none" w:sz="0" w:space="0" w:color="auto"/>
        <w:right w:val="none" w:sz="0" w:space="0" w:color="auto"/>
      </w:divBdr>
    </w:div>
    <w:div w:id="1061514984">
      <w:bodyDiv w:val="1"/>
      <w:marLeft w:val="0"/>
      <w:marRight w:val="0"/>
      <w:marTop w:val="0"/>
      <w:marBottom w:val="0"/>
      <w:divBdr>
        <w:top w:val="none" w:sz="0" w:space="0" w:color="auto"/>
        <w:left w:val="none" w:sz="0" w:space="0" w:color="auto"/>
        <w:bottom w:val="none" w:sz="0" w:space="0" w:color="auto"/>
        <w:right w:val="none" w:sz="0" w:space="0" w:color="auto"/>
      </w:divBdr>
    </w:div>
    <w:div w:id="1081099095">
      <w:bodyDiv w:val="1"/>
      <w:marLeft w:val="0"/>
      <w:marRight w:val="0"/>
      <w:marTop w:val="0"/>
      <w:marBottom w:val="0"/>
      <w:divBdr>
        <w:top w:val="none" w:sz="0" w:space="0" w:color="auto"/>
        <w:left w:val="none" w:sz="0" w:space="0" w:color="auto"/>
        <w:bottom w:val="none" w:sz="0" w:space="0" w:color="auto"/>
        <w:right w:val="none" w:sz="0" w:space="0" w:color="auto"/>
      </w:divBdr>
    </w:div>
    <w:div w:id="1281037272">
      <w:bodyDiv w:val="1"/>
      <w:marLeft w:val="0"/>
      <w:marRight w:val="0"/>
      <w:marTop w:val="0"/>
      <w:marBottom w:val="0"/>
      <w:divBdr>
        <w:top w:val="none" w:sz="0" w:space="0" w:color="auto"/>
        <w:left w:val="none" w:sz="0" w:space="0" w:color="auto"/>
        <w:bottom w:val="none" w:sz="0" w:space="0" w:color="auto"/>
        <w:right w:val="none" w:sz="0" w:space="0" w:color="auto"/>
      </w:divBdr>
    </w:div>
    <w:div w:id="1301570036">
      <w:bodyDiv w:val="1"/>
      <w:marLeft w:val="0"/>
      <w:marRight w:val="0"/>
      <w:marTop w:val="0"/>
      <w:marBottom w:val="0"/>
      <w:divBdr>
        <w:top w:val="none" w:sz="0" w:space="0" w:color="auto"/>
        <w:left w:val="none" w:sz="0" w:space="0" w:color="auto"/>
        <w:bottom w:val="none" w:sz="0" w:space="0" w:color="auto"/>
        <w:right w:val="none" w:sz="0" w:space="0" w:color="auto"/>
      </w:divBdr>
    </w:div>
    <w:div w:id="1340431574">
      <w:bodyDiv w:val="1"/>
      <w:marLeft w:val="0"/>
      <w:marRight w:val="0"/>
      <w:marTop w:val="0"/>
      <w:marBottom w:val="0"/>
      <w:divBdr>
        <w:top w:val="none" w:sz="0" w:space="0" w:color="auto"/>
        <w:left w:val="none" w:sz="0" w:space="0" w:color="auto"/>
        <w:bottom w:val="none" w:sz="0" w:space="0" w:color="auto"/>
        <w:right w:val="none" w:sz="0" w:space="0" w:color="auto"/>
      </w:divBdr>
    </w:div>
    <w:div w:id="1353188018">
      <w:bodyDiv w:val="1"/>
      <w:marLeft w:val="0"/>
      <w:marRight w:val="0"/>
      <w:marTop w:val="0"/>
      <w:marBottom w:val="0"/>
      <w:divBdr>
        <w:top w:val="none" w:sz="0" w:space="0" w:color="auto"/>
        <w:left w:val="none" w:sz="0" w:space="0" w:color="auto"/>
        <w:bottom w:val="none" w:sz="0" w:space="0" w:color="auto"/>
        <w:right w:val="none" w:sz="0" w:space="0" w:color="auto"/>
      </w:divBdr>
    </w:div>
    <w:div w:id="1406613007">
      <w:bodyDiv w:val="1"/>
      <w:marLeft w:val="0"/>
      <w:marRight w:val="0"/>
      <w:marTop w:val="0"/>
      <w:marBottom w:val="0"/>
      <w:divBdr>
        <w:top w:val="none" w:sz="0" w:space="0" w:color="auto"/>
        <w:left w:val="none" w:sz="0" w:space="0" w:color="auto"/>
        <w:bottom w:val="none" w:sz="0" w:space="0" w:color="auto"/>
        <w:right w:val="none" w:sz="0" w:space="0" w:color="auto"/>
      </w:divBdr>
    </w:div>
    <w:div w:id="1684017836">
      <w:bodyDiv w:val="1"/>
      <w:marLeft w:val="0"/>
      <w:marRight w:val="0"/>
      <w:marTop w:val="0"/>
      <w:marBottom w:val="0"/>
      <w:divBdr>
        <w:top w:val="none" w:sz="0" w:space="0" w:color="auto"/>
        <w:left w:val="none" w:sz="0" w:space="0" w:color="auto"/>
        <w:bottom w:val="none" w:sz="0" w:space="0" w:color="auto"/>
        <w:right w:val="none" w:sz="0" w:space="0" w:color="auto"/>
      </w:divBdr>
      <w:divsChild>
        <w:div w:id="162861670">
          <w:marLeft w:val="0"/>
          <w:marRight w:val="0"/>
          <w:marTop w:val="0"/>
          <w:marBottom w:val="0"/>
          <w:divBdr>
            <w:top w:val="none" w:sz="0" w:space="0" w:color="auto"/>
            <w:left w:val="none" w:sz="0" w:space="0" w:color="auto"/>
            <w:bottom w:val="none" w:sz="0" w:space="0" w:color="auto"/>
            <w:right w:val="none" w:sz="0" w:space="0" w:color="auto"/>
          </w:divBdr>
          <w:divsChild>
            <w:div w:id="272248538">
              <w:marLeft w:val="0"/>
              <w:marRight w:val="0"/>
              <w:marTop w:val="0"/>
              <w:marBottom w:val="0"/>
              <w:divBdr>
                <w:top w:val="none" w:sz="0" w:space="0" w:color="auto"/>
                <w:left w:val="none" w:sz="0" w:space="0" w:color="auto"/>
                <w:bottom w:val="none" w:sz="0" w:space="0" w:color="auto"/>
                <w:right w:val="none" w:sz="0" w:space="0" w:color="auto"/>
              </w:divBdr>
              <w:divsChild>
                <w:div w:id="1517576376">
                  <w:marLeft w:val="0"/>
                  <w:marRight w:val="0"/>
                  <w:marTop w:val="0"/>
                  <w:marBottom w:val="0"/>
                  <w:divBdr>
                    <w:top w:val="none" w:sz="0" w:space="0" w:color="auto"/>
                    <w:left w:val="none" w:sz="0" w:space="0" w:color="auto"/>
                    <w:bottom w:val="none" w:sz="0" w:space="0" w:color="auto"/>
                    <w:right w:val="none" w:sz="0" w:space="0" w:color="auto"/>
                  </w:divBdr>
                  <w:divsChild>
                    <w:div w:id="2070570247">
                      <w:marLeft w:val="0"/>
                      <w:marRight w:val="0"/>
                      <w:marTop w:val="0"/>
                      <w:marBottom w:val="0"/>
                      <w:divBdr>
                        <w:top w:val="none" w:sz="0" w:space="0" w:color="auto"/>
                        <w:left w:val="none" w:sz="0" w:space="0" w:color="auto"/>
                        <w:bottom w:val="none" w:sz="0" w:space="0" w:color="auto"/>
                        <w:right w:val="none" w:sz="0" w:space="0" w:color="auto"/>
                      </w:divBdr>
                      <w:divsChild>
                        <w:div w:id="1624074060">
                          <w:marLeft w:val="0"/>
                          <w:marRight w:val="0"/>
                          <w:marTop w:val="0"/>
                          <w:marBottom w:val="0"/>
                          <w:divBdr>
                            <w:top w:val="none" w:sz="0" w:space="0" w:color="auto"/>
                            <w:left w:val="none" w:sz="0" w:space="0" w:color="auto"/>
                            <w:bottom w:val="none" w:sz="0" w:space="0" w:color="auto"/>
                            <w:right w:val="none" w:sz="0" w:space="0" w:color="auto"/>
                          </w:divBdr>
                          <w:divsChild>
                            <w:div w:id="1743023061">
                              <w:marLeft w:val="0"/>
                              <w:marRight w:val="0"/>
                              <w:marTop w:val="0"/>
                              <w:marBottom w:val="0"/>
                              <w:divBdr>
                                <w:top w:val="none" w:sz="0" w:space="0" w:color="auto"/>
                                <w:left w:val="none" w:sz="0" w:space="0" w:color="auto"/>
                                <w:bottom w:val="none" w:sz="0" w:space="0" w:color="auto"/>
                                <w:right w:val="none" w:sz="0" w:space="0" w:color="auto"/>
                              </w:divBdr>
                              <w:divsChild>
                                <w:div w:id="867524794">
                                  <w:marLeft w:val="0"/>
                                  <w:marRight w:val="0"/>
                                  <w:marTop w:val="0"/>
                                  <w:marBottom w:val="0"/>
                                  <w:divBdr>
                                    <w:top w:val="none" w:sz="0" w:space="0" w:color="auto"/>
                                    <w:left w:val="none" w:sz="0" w:space="0" w:color="auto"/>
                                    <w:bottom w:val="none" w:sz="0" w:space="0" w:color="auto"/>
                                    <w:right w:val="none" w:sz="0" w:space="0" w:color="auto"/>
                                  </w:divBdr>
                                  <w:divsChild>
                                    <w:div w:id="18527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662175">
      <w:bodyDiv w:val="1"/>
      <w:marLeft w:val="0"/>
      <w:marRight w:val="0"/>
      <w:marTop w:val="0"/>
      <w:marBottom w:val="0"/>
      <w:divBdr>
        <w:top w:val="none" w:sz="0" w:space="0" w:color="auto"/>
        <w:left w:val="none" w:sz="0" w:space="0" w:color="auto"/>
        <w:bottom w:val="none" w:sz="0" w:space="0" w:color="auto"/>
        <w:right w:val="none" w:sz="0" w:space="0" w:color="auto"/>
      </w:divBdr>
      <w:divsChild>
        <w:div w:id="12148679">
          <w:marLeft w:val="0"/>
          <w:marRight w:val="0"/>
          <w:marTop w:val="0"/>
          <w:marBottom w:val="0"/>
          <w:divBdr>
            <w:top w:val="none" w:sz="0" w:space="0" w:color="auto"/>
            <w:left w:val="none" w:sz="0" w:space="0" w:color="auto"/>
            <w:bottom w:val="none" w:sz="0" w:space="0" w:color="auto"/>
            <w:right w:val="none" w:sz="0" w:space="0" w:color="auto"/>
          </w:divBdr>
          <w:divsChild>
            <w:div w:id="16008650">
              <w:marLeft w:val="0"/>
              <w:marRight w:val="0"/>
              <w:marTop w:val="0"/>
              <w:marBottom w:val="0"/>
              <w:divBdr>
                <w:top w:val="none" w:sz="0" w:space="0" w:color="auto"/>
                <w:left w:val="none" w:sz="0" w:space="0" w:color="auto"/>
                <w:bottom w:val="none" w:sz="0" w:space="0" w:color="auto"/>
                <w:right w:val="none" w:sz="0" w:space="0" w:color="auto"/>
              </w:divBdr>
              <w:divsChild>
                <w:div w:id="359740900">
                  <w:marLeft w:val="0"/>
                  <w:marRight w:val="0"/>
                  <w:marTop w:val="0"/>
                  <w:marBottom w:val="0"/>
                  <w:divBdr>
                    <w:top w:val="none" w:sz="0" w:space="0" w:color="auto"/>
                    <w:left w:val="none" w:sz="0" w:space="0" w:color="auto"/>
                    <w:bottom w:val="none" w:sz="0" w:space="0" w:color="auto"/>
                    <w:right w:val="none" w:sz="0" w:space="0" w:color="auto"/>
                  </w:divBdr>
                  <w:divsChild>
                    <w:div w:id="68121986">
                      <w:marLeft w:val="0"/>
                      <w:marRight w:val="0"/>
                      <w:marTop w:val="0"/>
                      <w:marBottom w:val="0"/>
                      <w:divBdr>
                        <w:top w:val="none" w:sz="0" w:space="0" w:color="auto"/>
                        <w:left w:val="none" w:sz="0" w:space="0" w:color="auto"/>
                        <w:bottom w:val="none" w:sz="0" w:space="0" w:color="auto"/>
                        <w:right w:val="none" w:sz="0" w:space="0" w:color="auto"/>
                      </w:divBdr>
                      <w:divsChild>
                        <w:div w:id="1436091486">
                          <w:marLeft w:val="0"/>
                          <w:marRight w:val="0"/>
                          <w:marTop w:val="0"/>
                          <w:marBottom w:val="0"/>
                          <w:divBdr>
                            <w:top w:val="none" w:sz="0" w:space="0" w:color="auto"/>
                            <w:left w:val="none" w:sz="0" w:space="0" w:color="auto"/>
                            <w:bottom w:val="none" w:sz="0" w:space="0" w:color="auto"/>
                            <w:right w:val="none" w:sz="0" w:space="0" w:color="auto"/>
                          </w:divBdr>
                          <w:divsChild>
                            <w:div w:id="1878466701">
                              <w:marLeft w:val="0"/>
                              <w:marRight w:val="0"/>
                              <w:marTop w:val="0"/>
                              <w:marBottom w:val="0"/>
                              <w:divBdr>
                                <w:top w:val="none" w:sz="0" w:space="0" w:color="auto"/>
                                <w:left w:val="none" w:sz="0" w:space="0" w:color="auto"/>
                                <w:bottom w:val="none" w:sz="0" w:space="0" w:color="auto"/>
                                <w:right w:val="none" w:sz="0" w:space="0" w:color="auto"/>
                              </w:divBdr>
                              <w:divsChild>
                                <w:div w:id="2090610971">
                                  <w:marLeft w:val="0"/>
                                  <w:marRight w:val="0"/>
                                  <w:marTop w:val="0"/>
                                  <w:marBottom w:val="0"/>
                                  <w:divBdr>
                                    <w:top w:val="none" w:sz="0" w:space="0" w:color="auto"/>
                                    <w:left w:val="none" w:sz="0" w:space="0" w:color="auto"/>
                                    <w:bottom w:val="none" w:sz="0" w:space="0" w:color="auto"/>
                                    <w:right w:val="none" w:sz="0" w:space="0" w:color="auto"/>
                                  </w:divBdr>
                                  <w:divsChild>
                                    <w:div w:id="19793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799298">
      <w:bodyDiv w:val="1"/>
      <w:marLeft w:val="0"/>
      <w:marRight w:val="0"/>
      <w:marTop w:val="0"/>
      <w:marBottom w:val="0"/>
      <w:divBdr>
        <w:top w:val="none" w:sz="0" w:space="0" w:color="auto"/>
        <w:left w:val="none" w:sz="0" w:space="0" w:color="auto"/>
        <w:bottom w:val="none" w:sz="0" w:space="0" w:color="auto"/>
        <w:right w:val="none" w:sz="0" w:space="0" w:color="auto"/>
      </w:divBdr>
    </w:div>
    <w:div w:id="2016565708">
      <w:bodyDiv w:val="1"/>
      <w:marLeft w:val="0"/>
      <w:marRight w:val="0"/>
      <w:marTop w:val="0"/>
      <w:marBottom w:val="0"/>
      <w:divBdr>
        <w:top w:val="none" w:sz="0" w:space="0" w:color="auto"/>
        <w:left w:val="none" w:sz="0" w:space="0" w:color="auto"/>
        <w:bottom w:val="none" w:sz="0" w:space="0" w:color="auto"/>
        <w:right w:val="none" w:sz="0" w:space="0" w:color="auto"/>
      </w:divBdr>
      <w:divsChild>
        <w:div w:id="988481273">
          <w:marLeft w:val="0"/>
          <w:marRight w:val="0"/>
          <w:marTop w:val="0"/>
          <w:marBottom w:val="0"/>
          <w:divBdr>
            <w:top w:val="none" w:sz="0" w:space="0" w:color="auto"/>
            <w:left w:val="none" w:sz="0" w:space="0" w:color="auto"/>
            <w:bottom w:val="none" w:sz="0" w:space="0" w:color="auto"/>
            <w:right w:val="none" w:sz="0" w:space="0" w:color="auto"/>
          </w:divBdr>
          <w:divsChild>
            <w:div w:id="1229539925">
              <w:marLeft w:val="0"/>
              <w:marRight w:val="0"/>
              <w:marTop w:val="0"/>
              <w:marBottom w:val="0"/>
              <w:divBdr>
                <w:top w:val="none" w:sz="0" w:space="0" w:color="auto"/>
                <w:left w:val="none" w:sz="0" w:space="0" w:color="auto"/>
                <w:bottom w:val="none" w:sz="0" w:space="0" w:color="auto"/>
                <w:right w:val="none" w:sz="0" w:space="0" w:color="auto"/>
              </w:divBdr>
              <w:divsChild>
                <w:div w:id="2098594921">
                  <w:marLeft w:val="0"/>
                  <w:marRight w:val="0"/>
                  <w:marTop w:val="0"/>
                  <w:marBottom w:val="0"/>
                  <w:divBdr>
                    <w:top w:val="none" w:sz="0" w:space="0" w:color="auto"/>
                    <w:left w:val="none" w:sz="0" w:space="0" w:color="auto"/>
                    <w:bottom w:val="none" w:sz="0" w:space="0" w:color="auto"/>
                    <w:right w:val="none" w:sz="0" w:space="0" w:color="auto"/>
                  </w:divBdr>
                  <w:divsChild>
                    <w:div w:id="711199197">
                      <w:marLeft w:val="0"/>
                      <w:marRight w:val="0"/>
                      <w:marTop w:val="0"/>
                      <w:marBottom w:val="0"/>
                      <w:divBdr>
                        <w:top w:val="none" w:sz="0" w:space="0" w:color="auto"/>
                        <w:left w:val="none" w:sz="0" w:space="0" w:color="auto"/>
                        <w:bottom w:val="none" w:sz="0" w:space="0" w:color="auto"/>
                        <w:right w:val="none" w:sz="0" w:space="0" w:color="auto"/>
                      </w:divBdr>
                      <w:divsChild>
                        <w:div w:id="1219051292">
                          <w:marLeft w:val="0"/>
                          <w:marRight w:val="0"/>
                          <w:marTop w:val="0"/>
                          <w:marBottom w:val="0"/>
                          <w:divBdr>
                            <w:top w:val="none" w:sz="0" w:space="0" w:color="auto"/>
                            <w:left w:val="none" w:sz="0" w:space="0" w:color="auto"/>
                            <w:bottom w:val="none" w:sz="0" w:space="0" w:color="auto"/>
                            <w:right w:val="none" w:sz="0" w:space="0" w:color="auto"/>
                          </w:divBdr>
                          <w:divsChild>
                            <w:div w:id="1187015352">
                              <w:marLeft w:val="0"/>
                              <w:marRight w:val="0"/>
                              <w:marTop w:val="0"/>
                              <w:marBottom w:val="0"/>
                              <w:divBdr>
                                <w:top w:val="none" w:sz="0" w:space="0" w:color="auto"/>
                                <w:left w:val="none" w:sz="0" w:space="0" w:color="auto"/>
                                <w:bottom w:val="none" w:sz="0" w:space="0" w:color="auto"/>
                                <w:right w:val="none" w:sz="0" w:space="0" w:color="auto"/>
                              </w:divBdr>
                              <w:divsChild>
                                <w:div w:id="1419399215">
                                  <w:marLeft w:val="0"/>
                                  <w:marRight w:val="0"/>
                                  <w:marTop w:val="0"/>
                                  <w:marBottom w:val="0"/>
                                  <w:divBdr>
                                    <w:top w:val="none" w:sz="0" w:space="0" w:color="auto"/>
                                    <w:left w:val="none" w:sz="0" w:space="0" w:color="auto"/>
                                    <w:bottom w:val="none" w:sz="0" w:space="0" w:color="auto"/>
                                    <w:right w:val="none" w:sz="0" w:space="0" w:color="auto"/>
                                  </w:divBdr>
                                  <w:divsChild>
                                    <w:div w:id="2365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80/17549175.2017.1295095" TargetMode="External"/><Relationship Id="rId18" Type="http://schemas.openxmlformats.org/officeDocument/2006/relationships/hyperlink" Target="https://dc.cbn.gov.ng/efr/vol57/iss4/13/" TargetMode="External"/><Relationship Id="rId26" Type="http://schemas.openxmlformats.org/officeDocument/2006/relationships/hyperlink" Target="http://www.tbher.org" TargetMode="External"/><Relationship Id="rId3" Type="http://schemas.openxmlformats.org/officeDocument/2006/relationships/settings" Target="settings.xml"/><Relationship Id="rId21" Type="http://schemas.openxmlformats.org/officeDocument/2006/relationships/hyperlink" Target="https://doi.org/10.1080/19491247.2020.1716111" TargetMode="External"/><Relationship Id="rId7" Type="http://schemas.openxmlformats.org/officeDocument/2006/relationships/chart" Target="charts/chart2.xml"/><Relationship Id="rId12" Type="http://schemas.openxmlformats.org/officeDocument/2006/relationships/hyperlink" Target="https://jsd-africa.com" TargetMode="External"/><Relationship Id="rId17" Type="http://schemas.openxmlformats.org/officeDocument/2006/relationships/hyperlink" Target="https://doi.org/10.1016/j.habitatint.2009.12.001" TargetMode="External"/><Relationship Id="rId25" Type="http://schemas.openxmlformats.org/officeDocument/2006/relationships/hyperlink" Target="https://www.globalurban.org" TargetMode="External"/><Relationship Id="rId2" Type="http://schemas.openxmlformats.org/officeDocument/2006/relationships/styles" Target="styles.xml"/><Relationship Id="rId16" Type="http://schemas.openxmlformats.org/officeDocument/2006/relationships/hyperlink" Target="https://www.krepublishers.com" TargetMode="External"/><Relationship Id="rId20" Type="http://schemas.openxmlformats.org/officeDocument/2006/relationships/hyperlink" Target="https://doi.org/10.1007/s10901-012-9295-0" TargetMode="External"/><Relationship Id="rId29" Type="http://schemas.openxmlformats.org/officeDocument/2006/relationships/hyperlink" Target="https://www.who.int/publications/i/item/9789241550376" TargetMode="Externa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hyperlink" Target="https://jsd-africa.com" TargetMode="External"/><Relationship Id="rId24" Type="http://schemas.openxmlformats.org/officeDocument/2006/relationships/hyperlink" Target="https://housingfinanceafrica.org" TargetMode="External"/><Relationship Id="rId5" Type="http://schemas.openxmlformats.org/officeDocument/2006/relationships/image" Target="media/image1.jpeg"/><Relationship Id="rId15" Type="http://schemas.openxmlformats.org/officeDocument/2006/relationships/hyperlink" Target="https://doi.org/10.4314/afrrev.v5i3.67338" TargetMode="External"/><Relationship Id="rId23" Type="http://schemas.openxmlformats.org/officeDocument/2006/relationships/hyperlink" Target="https://doi.org/10.1080/13658810600661508" TargetMode="External"/><Relationship Id="rId28" Type="http://schemas.openxmlformats.org/officeDocument/2006/relationships/hyperlink" Target="https://unhabitat.org/world-cities-report" TargetMode="External"/><Relationship Id="rId10" Type="http://schemas.openxmlformats.org/officeDocument/2006/relationships/image" Target="media/image4.jpeg"/><Relationship Id="rId19" Type="http://schemas.openxmlformats.org/officeDocument/2006/relationships/hyperlink" Target="https://www.housingeurope.eu/resource-1323/the-state-of-housing-in-europe-202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77/095624789700900220" TargetMode="External"/><Relationship Id="rId22" Type="http://schemas.openxmlformats.org/officeDocument/2006/relationships/hyperlink" Target="https://doi.org/10.1108/IJHMA-08-2016-0060" TargetMode="External"/><Relationship Id="rId27" Type="http://schemas.openxmlformats.org/officeDocument/2006/relationships/hyperlink" Target="https://doi.org/10.1080/10511482.2018.1443129" TargetMode="External"/><Relationship Id="rId30" Type="http://schemas.openxmlformats.org/officeDocument/2006/relationships/fontTable" Target="fontTable.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OFEYISAYOMI\Downloads\housing_amenities%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Sheet2!$I$32</c:f>
              <c:strCache>
                <c:ptCount val="1"/>
                <c:pt idx="0">
                  <c:v>No Houses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Sheet2!$H$33:$H$37</c:f>
              <c:strCache>
                <c:ptCount val="5"/>
                <c:pt idx="0">
                  <c:v>₦50k-150k</c:v>
                </c:pt>
                <c:pt idx="1">
                  <c:v>₦150k-350k</c:v>
                </c:pt>
                <c:pt idx="2">
                  <c:v>₦350k-450k</c:v>
                </c:pt>
                <c:pt idx="3">
                  <c:v>₦450k-550k</c:v>
                </c:pt>
                <c:pt idx="4">
                  <c:v>₦550k-Above</c:v>
                </c:pt>
              </c:strCache>
            </c:strRef>
          </c:cat>
          <c:val>
            <c:numRef>
              <c:f>Sheet2!$I$33:$I$37</c:f>
              <c:numCache>
                <c:formatCode>General</c:formatCode>
                <c:ptCount val="5"/>
                <c:pt idx="0">
                  <c:v>18</c:v>
                </c:pt>
                <c:pt idx="1">
                  <c:v>41</c:v>
                </c:pt>
                <c:pt idx="2">
                  <c:v>22</c:v>
                </c:pt>
                <c:pt idx="3">
                  <c:v>12</c:v>
                </c:pt>
                <c:pt idx="4">
                  <c:v>7</c:v>
                </c:pt>
              </c:numCache>
            </c:numRef>
          </c:val>
          <c:extLst xmlns:c16r2="http://schemas.microsoft.com/office/drawing/2015/06/chart">
            <c:ext xmlns:c16="http://schemas.microsoft.com/office/drawing/2014/chart" uri="{C3380CC4-5D6E-409C-BE32-E72D297353CC}">
              <c16:uniqueId val="{00000000-2992-41FA-AB42-C42819F52D59}"/>
            </c:ext>
          </c:extLst>
        </c:ser>
        <c:gapWidth val="100"/>
        <c:overlap val="-24"/>
        <c:axId val="95857280"/>
        <c:axId val="102693120"/>
      </c:barChart>
      <c:catAx>
        <c:axId val="95857280"/>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Rent</a:t>
                </a:r>
                <a:r>
                  <a:rPr lang="en-US" baseline="0"/>
                  <a:t> (N)</a:t>
                </a:r>
                <a:endParaRPr lang="en-US"/>
              </a:p>
            </c:rich>
          </c:tx>
          <c:layout>
            <c:manualLayout>
              <c:xMode val="edge"/>
              <c:yMode val="edge"/>
              <c:x val="0.4092784236212183"/>
              <c:y val="0.8454394505334335"/>
            </c:manualLayout>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93120"/>
        <c:crosses val="autoZero"/>
        <c:auto val="1"/>
        <c:lblAlgn val="ctr"/>
        <c:lblOffset val="100"/>
      </c:catAx>
      <c:valAx>
        <c:axId val="102693120"/>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 OF HOUSES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572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006637774203541E-2"/>
          <c:y val="0.27170652279576168"/>
          <c:w val="0.83005506894153869"/>
          <c:h val="0.64480071935452843"/>
        </c:manualLayout>
      </c:layout>
      <c:barChart>
        <c:barDir val="col"/>
        <c:grouping val="clustered"/>
        <c:ser>
          <c:idx val="0"/>
          <c:order val="0"/>
          <c:tx>
            <c:strRef>
              <c:f>'[housing_amenities excel.xlsx]Housing Amenities'!$B$4</c:f>
              <c:strCache>
                <c:ptCount val="1"/>
                <c:pt idx="0">
                  <c:v>With Feature (%)</c:v>
                </c:pt>
              </c:strCache>
            </c:strRef>
          </c:tx>
          <c:spPr>
            <a:ln>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'[housing_amenities excel.xlsx]Housing Amenities'!$A$5:$A$7</c:f>
              <c:strCache>
                <c:ptCount val="3"/>
                <c:pt idx="0">
                  <c:v>Power Supply</c:v>
                </c:pt>
                <c:pt idx="1">
                  <c:v>Water Supply</c:v>
                </c:pt>
                <c:pt idx="2">
                  <c:v>Security Infrastructure</c:v>
                </c:pt>
              </c:strCache>
            </c:strRef>
          </c:cat>
          <c:val>
            <c:numRef>
              <c:f>'[housing_amenities excel.xlsx]Housing Amenities'!$B$5:$B$7</c:f>
              <c:numCache>
                <c:formatCode>General</c:formatCode>
                <c:ptCount val="3"/>
                <c:pt idx="0">
                  <c:v>52</c:v>
                </c:pt>
                <c:pt idx="1">
                  <c:v>60</c:v>
                </c:pt>
                <c:pt idx="2">
                  <c:v>85</c:v>
                </c:pt>
              </c:numCache>
            </c:numRef>
          </c:val>
          <c:extLst xmlns:c16r2="http://schemas.microsoft.com/office/drawing/2015/06/chart">
            <c:ext xmlns:c16="http://schemas.microsoft.com/office/drawing/2014/chart" uri="{C3380CC4-5D6E-409C-BE32-E72D297353CC}">
              <c16:uniqueId val="{00000000-A2D9-43E9-A9EC-C6BEC9BB78C0}"/>
            </c:ext>
          </c:extLst>
        </c:ser>
        <c:ser>
          <c:idx val="1"/>
          <c:order val="1"/>
          <c:tx>
            <c:strRef>
              <c:f>'[housing_amenities excel.xlsx]Housing Amenities'!$C$4</c:f>
              <c:strCache>
                <c:ptCount val="1"/>
                <c:pt idx="0">
                  <c:v>Without Feature (%)</c:v>
                </c:pt>
              </c:strCache>
            </c:strRef>
          </c:tx>
          <c:spPr>
            <a:ln>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'[housing_amenities excel.xlsx]Housing Amenities'!$A$5:$A$7</c:f>
              <c:strCache>
                <c:ptCount val="3"/>
                <c:pt idx="0">
                  <c:v>Power Supply</c:v>
                </c:pt>
                <c:pt idx="1">
                  <c:v>Water Supply</c:v>
                </c:pt>
                <c:pt idx="2">
                  <c:v>Security Infrastructure</c:v>
                </c:pt>
              </c:strCache>
            </c:strRef>
          </c:cat>
          <c:val>
            <c:numRef>
              <c:f>'[housing_amenities excel.xlsx]Housing Amenities'!$C$5:$C$7</c:f>
              <c:numCache>
                <c:formatCode>General</c:formatCode>
                <c:ptCount val="3"/>
                <c:pt idx="0">
                  <c:v>48</c:v>
                </c:pt>
                <c:pt idx="1">
                  <c:v>40</c:v>
                </c:pt>
                <c:pt idx="2">
                  <c:v>15</c:v>
                </c:pt>
              </c:numCache>
            </c:numRef>
          </c:val>
          <c:extLst xmlns:c16r2="http://schemas.microsoft.com/office/drawing/2015/06/chart">
            <c:ext xmlns:c16="http://schemas.microsoft.com/office/drawing/2014/chart" uri="{C3380CC4-5D6E-409C-BE32-E72D297353CC}">
              <c16:uniqueId val="{00000001-A2D9-43E9-A9EC-C6BEC9BB78C0}"/>
            </c:ext>
          </c:extLst>
        </c:ser>
        <c:dLbls>
          <c:showVal val="1"/>
        </c:dLbls>
        <c:overlap val="-25"/>
        <c:axId val="122302848"/>
        <c:axId val="122305920"/>
      </c:barChart>
      <c:catAx>
        <c:axId val="122302848"/>
        <c:scaling>
          <c:orientation val="minMax"/>
        </c:scaling>
        <c:axPos val="b"/>
        <c:numFmt formatCode="General" sourceLinked="0"/>
        <c:tickLblPos val="nextTo"/>
        <c:crossAx val="122305920"/>
        <c:crosses val="autoZero"/>
        <c:lblAlgn val="ctr"/>
        <c:lblOffset val="100"/>
      </c:catAx>
      <c:valAx>
        <c:axId val="122305920"/>
        <c:scaling>
          <c:orientation val="minMax"/>
        </c:scaling>
        <c:axPos val="l"/>
        <c:numFmt formatCode="General" sourceLinked="1"/>
        <c:tickLblPos val="nextTo"/>
        <c:crossAx val="122302848"/>
        <c:crosses val="autoZero"/>
        <c:crossBetween val="between"/>
      </c:valAx>
    </c:plotArea>
    <c:legend>
      <c:legendPos val="t"/>
      <c:layout>
        <c:manualLayout>
          <c:xMode val="edge"/>
          <c:yMode val="edge"/>
          <c:x val="0.26750704165993522"/>
          <c:y val="2.5901143967191891E-2"/>
          <c:w val="0.46498574107763846"/>
          <c:h val="0.22915136363404587"/>
        </c:manualLayout>
      </c:layout>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3A41ED-6756-481E-B636-F6567D41A11D}">
  <we:reference id="wa200001011" version="1.4.0.0" store="en-001" storeType="OMEX"/>
  <we:alternateReferences>
    <we:reference id="WA200001011" version="1.4.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57</TotalTime>
  <Pages>16</Pages>
  <Words>3736</Words>
  <Characters>21299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ATTAH</cp:lastModifiedBy>
  <cp:revision>18</cp:revision>
  <dcterms:created xsi:type="dcterms:W3CDTF">2026-05-16T14:53:00Z</dcterms:created>
  <dcterms:modified xsi:type="dcterms:W3CDTF">2026-05-16T16:00:00Z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ad860328-d4bd-44e9-a66b-413bff7843ff</vt:lpwstr>
  </property>
</Properties>
</file>