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A23C5">
      <w:pPr>
        <w:spacing w:before="0" w:after="140" w:line="276" w:lineRule="auto"/>
        <w:jc w:val="center"/>
      </w:pPr>
      <w:r>
        <w:rPr>
          <w:rFonts w:ascii="Times New Roman" w:hAnsi="Times New Roman" w:eastAsia="Times New Roman" w:cs="Times New Roman"/>
          <w:b/>
          <w:bCs/>
          <w:i w:val="0"/>
          <w:iCs w:val="0"/>
          <w:sz w:val="36"/>
          <w:szCs w:val="36"/>
        </w:rPr>
        <w:t>Trend Analysis of Licensure Examination for Teachers (LET) Performance Among Fellowship Baptist College Bachelor of Elementary Education First-Time Examinees (2021–2024): Basis for Institutional Baseline Data Across Board Programs</w:t>
      </w:r>
    </w:p>
    <w:p w14:paraId="317B91DD">
      <w:pPr>
        <w:spacing w:before="80" w:after="60" w:line="240" w:lineRule="auto"/>
        <w:jc w:val="center"/>
      </w:pPr>
      <w:r>
        <w:rPr>
          <w:rFonts w:ascii="Times New Roman" w:hAnsi="Times New Roman" w:eastAsia="Times New Roman" w:cs="Times New Roman"/>
          <w:b/>
          <w:bCs/>
          <w:i w:val="0"/>
          <w:iCs w:val="0"/>
          <w:sz w:val="24"/>
          <w:szCs w:val="24"/>
        </w:rPr>
        <w:t/>
      </w:r>
    </w:p>
    <w:p w14:paraId="0A42B5A2">
      <w:pPr>
        <w:spacing w:before="40" w:after="40" w:line="240" w:lineRule="auto"/>
        <w:jc w:val="center"/>
      </w:pPr>
      <w:r>
        <w:rPr>
          <w:rFonts w:ascii="Times New Roman" w:hAnsi="Times New Roman" w:eastAsia="Times New Roman" w:cs="Times New Roman"/>
          <w:b w:val="0"/>
          <w:bCs w:val="0"/>
          <w:i w:val="0"/>
          <w:iCs w:val="0"/>
          <w:sz w:val="22"/>
          <w:szCs w:val="22"/>
        </w:rPr>
        <w:t/>
      </w:r>
    </w:p>
    <w:p w14:paraId="2757C670">
      <w:pPr>
        <w:spacing w:before="0" w:after="40" w:line="240" w:lineRule="auto"/>
        <w:jc w:val="center"/>
      </w:pPr>
      <w:r>
        <w:rPr>
          <w:rFonts w:ascii="Times New Roman" w:hAnsi="Times New Roman" w:eastAsia="Times New Roman" w:cs="Times New Roman"/>
          <w:b w:val="0"/>
          <w:bCs w:val="0"/>
          <w:i w:val="0"/>
          <w:iCs w:val="0"/>
          <w:sz w:val="22"/>
          <w:szCs w:val="22"/>
        </w:rPr>
        <w:t/>
      </w:r>
    </w:p>
    <w:p w14:paraId="1E211492">
      <w:pPr>
        <w:spacing w:before="20" w:after="20" w:line="240" w:lineRule="auto"/>
        <w:jc w:val="center"/>
      </w:pPr>
      <w:r>
        <w:rPr>
          <w:rFonts w:ascii="Times New Roman" w:hAnsi="Times New Roman" w:eastAsia="Times New Roman" w:cs="Times New Roman"/>
          <w:b/>
          <w:bCs/>
          <w:i w:val="0"/>
          <w:iCs w:val="0"/>
          <w:sz w:val="22"/>
          <w:szCs w:val="22"/>
        </w:rPr>
        <w:t/>
      </w:r>
    </w:p>
    <w:p w14:paraId="12D5B8FE">
      <w:pPr>
        <w:spacing w:before="0" w:after="240" w:line="240" w:lineRule="auto"/>
        <w:jc w:val="center"/>
        <w:rPr>
          <w:rFonts w:hint="default"/>
          <w:lang w:val="en-US"/>
        </w:rPr>
      </w:pPr>
      <w:r>
        <w:rPr>
          <w:rFonts w:ascii="Times New Roman" w:hAnsi="Times New Roman" w:eastAsia="Times New Roman" w:cs="Times New Roman"/>
          <w:b w:val="0"/>
          <w:bCs w:val="0"/>
          <w:i w:val="0"/>
          <w:iCs w:val="0"/>
          <w:sz w:val="20"/>
          <w:szCs w:val="20"/>
        </w:rPr>
        <w:t/>
      </w:r>
      <w:bookmarkStart w:id="0" w:name="_GoBack"/>
      <w:bookmarkEnd w:id="0"/>
    </w:p>
    <w:p w14:paraId="394AF4C6">
      <w:pPr>
        <w:spacing w:before="120" w:after="80" w:line="240" w:lineRule="auto"/>
        <w:jc w:val="left"/>
      </w:pPr>
      <w:r>
        <w:rPr>
          <w:rFonts w:ascii="Times New Roman" w:hAnsi="Times New Roman" w:eastAsia="Times New Roman" w:cs="Times New Roman"/>
          <w:b/>
          <w:bCs/>
          <w:i w:val="0"/>
          <w:iCs w:val="0"/>
          <w:sz w:val="28"/>
          <w:szCs w:val="28"/>
        </w:rPr>
        <w:t>ABSTRACT</w:t>
      </w:r>
    </w:p>
    <w:p w14:paraId="370C6F5F">
      <w:pPr>
        <w:spacing w:before="120" w:after="120" w:line="240" w:lineRule="auto"/>
        <w:jc w:val="both"/>
      </w:pPr>
      <w:r>
        <w:rPr>
          <w:rFonts w:ascii="Times New Roman" w:hAnsi="Times New Roman" w:eastAsia="Times New Roman" w:cs="Times New Roman"/>
          <w:b w:val="0"/>
          <w:bCs w:val="0"/>
          <w:i w:val="0"/>
          <w:iCs w:val="0"/>
          <w:sz w:val="24"/>
          <w:szCs w:val="24"/>
        </w:rPr>
        <w:t xml:space="preserve">This study analyzed the Licensure Examination for Teachers (LET) performance of Fellowship Baptist College (FBC) Bachelor of Elementary Education (BEEd) first-time board </w:t>
      </w:r>
      <w:r>
        <w:rPr>
          <w:rFonts w:hint="default" w:ascii="Times New Roman" w:hAnsi="Times New Roman" w:eastAsia="Times New Roman" w:cs="Times New Roman"/>
          <w:b w:val="0"/>
          <w:bCs w:val="0"/>
          <w:i w:val="0"/>
          <w:iCs w:val="0"/>
          <w:sz w:val="24"/>
          <w:szCs w:val="24"/>
          <w:lang w:val="en-US"/>
        </w:rPr>
        <w:t>takers</w:t>
      </w:r>
      <w:r>
        <w:rPr>
          <w:rFonts w:ascii="Times New Roman" w:hAnsi="Times New Roman" w:eastAsia="Times New Roman" w:cs="Times New Roman"/>
          <w:b w:val="0"/>
          <w:bCs w:val="0"/>
          <w:i w:val="0"/>
          <w:iCs w:val="0"/>
          <w:sz w:val="24"/>
          <w:szCs w:val="24"/>
        </w:rPr>
        <w:t xml:space="preserve"> (FB</w:t>
      </w:r>
      <w:r>
        <w:rPr>
          <w:rFonts w:hint="default" w:ascii="Times New Roman" w:hAnsi="Times New Roman" w:eastAsia="Times New Roman" w:cs="Times New Roman"/>
          <w:b w:val="0"/>
          <w:bCs w:val="0"/>
          <w:i w:val="0"/>
          <w:iCs w:val="0"/>
          <w:sz w:val="24"/>
          <w:szCs w:val="24"/>
          <w:lang w:val="en-US"/>
        </w:rPr>
        <w:t>T</w:t>
      </w:r>
      <w:r>
        <w:rPr>
          <w:rFonts w:ascii="Times New Roman" w:hAnsi="Times New Roman" w:eastAsia="Times New Roman" w:cs="Times New Roman"/>
          <w:b w:val="0"/>
          <w:bCs w:val="0"/>
          <w:i w:val="0"/>
          <w:iCs w:val="0"/>
          <w:sz w:val="24"/>
          <w:szCs w:val="24"/>
        </w:rPr>
        <w:t xml:space="preserve">s) across nine examination administrations from September 2021 to September 2024. Employing a quantitative descriptive-trend research design, the study drew institutional records from official program data, cross-referenced against Professional Regulation Commission (PRC) </w:t>
      </w:r>
      <w:r>
        <w:rPr>
          <w:rFonts w:hint="default" w:ascii="Times New Roman" w:hAnsi="Times New Roman" w:eastAsia="Times New Roman" w:cs="Times New Roman"/>
          <w:b w:val="0"/>
          <w:bCs w:val="0"/>
          <w:i w:val="0"/>
          <w:iCs w:val="0"/>
          <w:sz w:val="24"/>
          <w:szCs w:val="24"/>
          <w:lang w:val="en-US"/>
        </w:rPr>
        <w:t>website</w:t>
      </w:r>
      <w:r>
        <w:rPr>
          <w:rFonts w:ascii="Times New Roman" w:hAnsi="Times New Roman" w:eastAsia="Times New Roman" w:cs="Times New Roman"/>
          <w:b w:val="0"/>
          <w:bCs w:val="0"/>
          <w:i w:val="0"/>
          <w:iCs w:val="0"/>
          <w:sz w:val="24"/>
          <w:szCs w:val="24"/>
        </w:rPr>
        <w:t>. FBC takers were recorded in seven of the nine periods; six qualifying periods (n ≥ 2) were used for formal analysis. Among these, passing rates ranged from 57.89% to 100.00%, consistently exceeding national elementary passing rates across all qualifying administrations, with a mean advantage of +36.35 percentage points. The aggregate passing rate across 78 qualifying takers was 80.77%, representing a sustained institutional performance advantage of more than 30 percentage points above the national benchmark. This consistent above-national performance affirms the quality of pre-service preparation within the BEEd program across the study period. Ordinary least squares linear regression  projected indicative rates declining from 76.90% to 65.69%, all above the recent national elementary benchmark of approximately 45–47%. The low R² reflected high period-to-period variability attributable to small cohort sizes, confirming that linear regression alone is insufficient for reliable institutional forecasting. Advanced modeling approaches — including Artificial Neural Networks, decision trees, ensemble methods, and logistic regression — are recommended for future board examination forecasting investigations. This study constitutes the first systematic institutional baseline dataset for FBC BEEd LET performance, intended to anchor longitudinal monitoring and cross-program benchmarking across all board programs at Fellowship Baptist College.</w:t>
      </w:r>
    </w:p>
    <w:p w14:paraId="7879EA4F">
      <w:pPr>
        <w:spacing w:before="80" w:after="200" w:line="240" w:lineRule="auto"/>
        <w:jc w:val="both"/>
      </w:pPr>
      <w:r>
        <w:rPr>
          <w:rFonts w:ascii="Times New Roman" w:hAnsi="Times New Roman" w:eastAsia="Times New Roman" w:cs="Times New Roman"/>
          <w:b/>
          <w:bCs/>
          <w:i w:val="0"/>
          <w:iCs w:val="0"/>
          <w:sz w:val="24"/>
          <w:szCs w:val="24"/>
        </w:rPr>
        <w:t xml:space="preserve">Keywords: </w:t>
      </w:r>
      <w:r>
        <w:rPr>
          <w:rFonts w:ascii="Times New Roman" w:hAnsi="Times New Roman" w:eastAsia="Times New Roman" w:cs="Times New Roman"/>
          <w:b w:val="0"/>
          <w:bCs w:val="0"/>
          <w:i w:val="0"/>
          <w:iCs w:val="0"/>
          <w:sz w:val="24"/>
          <w:szCs w:val="24"/>
        </w:rPr>
        <w:t>Licensure Examination for Teachers, institutional performance, trend analysis, board examination forecasting, Philippines</w:t>
      </w:r>
    </w:p>
    <w:p w14:paraId="093148BF">
      <w:pPr>
        <w:spacing w:before="200" w:after="100" w:line="240" w:lineRule="auto"/>
        <w:jc w:val="left"/>
      </w:pPr>
      <w:r>
        <w:rPr>
          <w:rFonts w:ascii="Times New Roman" w:hAnsi="Times New Roman" w:eastAsia="Times New Roman" w:cs="Times New Roman"/>
          <w:b/>
          <w:bCs/>
          <w:i w:val="0"/>
          <w:iCs w:val="0"/>
          <w:sz w:val="28"/>
          <w:szCs w:val="28"/>
        </w:rPr>
        <w:t>INTRODUCTION</w:t>
      </w:r>
    </w:p>
    <w:p w14:paraId="73CCFADF">
      <w:pPr>
        <w:spacing w:before="120" w:after="120" w:line="240" w:lineRule="auto"/>
        <w:jc w:val="both"/>
      </w:pPr>
      <w:r>
        <w:rPr>
          <w:rFonts w:ascii="Times New Roman" w:hAnsi="Times New Roman" w:eastAsia="Times New Roman" w:cs="Times New Roman"/>
          <w:b w:val="0"/>
          <w:bCs w:val="0"/>
          <w:i w:val="0"/>
          <w:iCs w:val="0"/>
          <w:sz w:val="24"/>
          <w:szCs w:val="24"/>
        </w:rPr>
        <w:t>The Licensure Examination for Teachers (LET) is the national professional qualifying examination for teacher education graduates in the Philippines, administered by the Professional Regulation Commission (PRC) under Republic Act No. 7836 (1994). The elementary level covers General Education and Professional Education, with a minimum weighted average of 75% required for licensure. Beyond its regulatory function, the LET serves as a critical external performance benchmark for Teacher Education Institutions (TEIs). The Commission on Higher Education (CHED), through Memorandum Order No. 74, Series of 2017, explicitly identifies LET results as a program quality indicator, requiring TEIs to track and report first-time board candidate (FBC) performance as evidence of instructional effectiveness and curricular alignment (CHED, 2017).</w:t>
      </w:r>
    </w:p>
    <w:p w14:paraId="31B59493">
      <w:pPr>
        <w:spacing w:before="120" w:after="120" w:line="240" w:lineRule="auto"/>
        <w:jc w:val="both"/>
      </w:pPr>
      <w:r>
        <w:rPr>
          <w:rFonts w:ascii="Times New Roman" w:hAnsi="Times New Roman" w:eastAsia="Times New Roman" w:cs="Times New Roman"/>
          <w:b w:val="0"/>
          <w:bCs w:val="0"/>
          <w:i w:val="0"/>
          <w:iCs w:val="0"/>
          <w:sz w:val="24"/>
          <w:szCs w:val="24"/>
        </w:rPr>
        <w:t>For small private TEIs such as Fellowship Baptist College (FBC), systematic documentation of LET outcomes is essential not merely for regulatory compliance but for evidence-based program development. First-time board candidate performance is widely recognized as the most unambiguous indicator of pre-service preparation quality, as it reflects examination readiness without the confounding influence of multiple prior attempts (Cadosales et al., 2023; Igcasama et al., 2021). Yet despite this recognized importance, many small private TEIs in the Philippines continue to lack formalized, longitudinally maintained datasets of their LET FBC outcomes — a gap that limits their capacity for program self-assessment, data-driven planning, and participation in national benchmarking initiatives.</w:t>
      </w:r>
    </w:p>
    <w:p w14:paraId="217373F4">
      <w:pPr>
        <w:spacing w:before="120" w:after="120" w:line="240" w:lineRule="auto"/>
        <w:jc w:val="both"/>
      </w:pPr>
      <w:r>
        <w:rPr>
          <w:rFonts w:ascii="Times New Roman" w:hAnsi="Times New Roman" w:eastAsia="Times New Roman" w:cs="Times New Roman"/>
          <w:b w:val="0"/>
          <w:bCs w:val="0"/>
          <w:i w:val="0"/>
          <w:iCs w:val="0"/>
          <w:sz w:val="24"/>
          <w:szCs w:val="24"/>
        </w:rPr>
        <w:t>This study addresses that gap by documenting and analyzing FBC LET performance at FBC's BEEd program across nine examination administrations from September 2021 to September 2024, and generating indicative forecasts through September 2027. It further situates FBC's institutional trajectory relative to national elementary passing rates, providing a directly actionable performance reference for program administrators and institutional researchers. The study serves as the first systematic baseline investigation at Fellowship Baptist College, intended to anchor future cross-program benchmarking across all board programs offered at the institution. In doing so, it responds to calls in the Philippine teacher education literature for expanded institutional-level performance documentation in small and private TEIs, where evidence-based accountability remains underdeveloped relative to large state universities and regional HEIs (Abao et al., 2023; Segumpan et al., 2025).</w:t>
      </w:r>
    </w:p>
    <w:p w14:paraId="53F0737B">
      <w:pPr>
        <w:spacing w:before="140" w:after="60" w:line="240" w:lineRule="auto"/>
        <w:jc w:val="left"/>
      </w:pPr>
      <w:r>
        <w:rPr>
          <w:rFonts w:ascii="Times New Roman" w:hAnsi="Times New Roman" w:eastAsia="Times New Roman" w:cs="Times New Roman"/>
          <w:b/>
          <w:bCs/>
          <w:i w:val="0"/>
          <w:iCs w:val="0"/>
          <w:sz w:val="24"/>
          <w:szCs w:val="24"/>
        </w:rPr>
        <w:t>Research Questions</w:t>
      </w:r>
    </w:p>
    <w:p w14:paraId="65F92C3A">
      <w:pPr>
        <w:spacing w:before="120" w:after="120" w:line="240" w:lineRule="auto"/>
        <w:jc w:val="both"/>
      </w:pPr>
      <w:r>
        <w:rPr>
          <w:rFonts w:ascii="Times New Roman" w:hAnsi="Times New Roman" w:eastAsia="Times New Roman" w:cs="Times New Roman"/>
          <w:b w:val="0"/>
          <w:bCs w:val="0"/>
          <w:i w:val="0"/>
          <w:iCs w:val="0"/>
          <w:sz w:val="24"/>
          <w:szCs w:val="24"/>
        </w:rPr>
        <w:t>This study was guided by the following research questions:</w:t>
      </w:r>
    </w:p>
    <w:p w14:paraId="2E6B0699">
      <w:pPr>
        <w:spacing w:before="80" w:after="80" w:line="240" w:lineRule="auto"/>
        <w:ind w:left="640" w:hanging="360"/>
        <w:jc w:val="both"/>
      </w:pPr>
      <w:r>
        <w:rPr>
          <w:rFonts w:ascii="Times New Roman" w:hAnsi="Times New Roman" w:eastAsia="Times New Roman" w:cs="Times New Roman"/>
          <w:b w:val="0"/>
          <w:bCs w:val="0"/>
          <w:i w:val="0"/>
          <w:iCs w:val="0"/>
          <w:sz w:val="24"/>
          <w:szCs w:val="24"/>
        </w:rPr>
        <w:t>1.  What were the Fellowship Baptist College BEEd FBC passing rates for each examination period from September 2021 to September 2024?</w:t>
      </w:r>
    </w:p>
    <w:p w14:paraId="6590956C">
      <w:pPr>
        <w:spacing w:before="80" w:after="80" w:line="240" w:lineRule="auto"/>
        <w:ind w:left="640" w:hanging="360"/>
        <w:jc w:val="both"/>
      </w:pPr>
      <w:r>
        <w:rPr>
          <w:rFonts w:ascii="Times New Roman" w:hAnsi="Times New Roman" w:eastAsia="Times New Roman" w:cs="Times New Roman"/>
          <w:b w:val="0"/>
          <w:bCs w:val="0"/>
          <w:i w:val="0"/>
          <w:iCs w:val="0"/>
          <w:sz w:val="24"/>
          <w:szCs w:val="24"/>
        </w:rPr>
        <w:t>2.  How did the FBC passing rates compare against national elementary passing rates across the study period?</w:t>
      </w:r>
    </w:p>
    <w:p w14:paraId="03600E0C">
      <w:pPr>
        <w:spacing w:before="80" w:after="80" w:line="240" w:lineRule="auto"/>
        <w:ind w:left="640" w:hanging="360"/>
        <w:jc w:val="both"/>
      </w:pPr>
      <w:r>
        <w:rPr>
          <w:rFonts w:ascii="Times New Roman" w:hAnsi="Times New Roman" w:eastAsia="Times New Roman" w:cs="Times New Roman"/>
          <w:b w:val="0"/>
          <w:bCs w:val="0"/>
          <w:i w:val="0"/>
          <w:iCs w:val="0"/>
          <w:sz w:val="24"/>
          <w:szCs w:val="24"/>
        </w:rPr>
        <w:t>3.  What were the annual aggregate FBC passing rates and the mean FBC advantage over the national rate for each year from 2021 to 2024?</w:t>
      </w:r>
    </w:p>
    <w:p w14:paraId="5C6E7617">
      <w:pPr>
        <w:spacing w:before="80" w:after="80" w:line="240" w:lineRule="auto"/>
        <w:ind w:left="640" w:hanging="360"/>
        <w:jc w:val="both"/>
      </w:pPr>
      <w:r>
        <w:rPr>
          <w:rFonts w:ascii="Times New Roman" w:hAnsi="Times New Roman" w:eastAsia="Times New Roman" w:cs="Times New Roman"/>
          <w:b w:val="0"/>
          <w:bCs w:val="0"/>
          <w:i w:val="0"/>
          <w:iCs w:val="0"/>
          <w:sz w:val="24"/>
          <w:szCs w:val="24"/>
        </w:rPr>
        <w:t>4.  What were the projected FBC passing rates for March 2025 through September 2027 based on OLS linear regression analysis?</w:t>
      </w:r>
    </w:p>
    <w:p w14:paraId="16D59E0D">
      <w:pPr>
        <w:spacing w:before="200" w:after="100" w:line="240" w:lineRule="auto"/>
        <w:jc w:val="left"/>
        <w:rPr>
          <w:rFonts w:ascii="Times New Roman" w:hAnsi="Times New Roman" w:eastAsia="Times New Roman" w:cs="Times New Roman"/>
          <w:b/>
          <w:bCs/>
          <w:i w:val="0"/>
          <w:iCs w:val="0"/>
          <w:sz w:val="28"/>
          <w:szCs w:val="28"/>
        </w:rPr>
      </w:pPr>
    </w:p>
    <w:p w14:paraId="72E57028">
      <w:pPr>
        <w:spacing w:before="200" w:after="100" w:line="240" w:lineRule="auto"/>
        <w:jc w:val="left"/>
      </w:pPr>
      <w:r>
        <w:rPr>
          <w:rFonts w:ascii="Times New Roman" w:hAnsi="Times New Roman" w:eastAsia="Times New Roman" w:cs="Times New Roman"/>
          <w:b/>
          <w:bCs/>
          <w:i w:val="0"/>
          <w:iCs w:val="0"/>
          <w:sz w:val="28"/>
          <w:szCs w:val="28"/>
        </w:rPr>
        <w:t>REVIEW OF RELATED LITERATURE</w:t>
      </w:r>
    </w:p>
    <w:p w14:paraId="4A036A36">
      <w:pPr>
        <w:spacing w:before="140" w:after="60" w:line="240" w:lineRule="auto"/>
        <w:jc w:val="left"/>
      </w:pPr>
      <w:r>
        <w:rPr>
          <w:rFonts w:ascii="Times New Roman" w:hAnsi="Times New Roman" w:eastAsia="Times New Roman" w:cs="Times New Roman"/>
          <w:b/>
          <w:bCs/>
          <w:i w:val="0"/>
          <w:iCs w:val="0"/>
          <w:sz w:val="24"/>
          <w:szCs w:val="24"/>
        </w:rPr>
        <w:t>LET Performance as an Institutional Quality Indicator</w:t>
      </w:r>
    </w:p>
    <w:p w14:paraId="3B94CF7F">
      <w:pPr>
        <w:spacing w:before="120" w:after="120" w:line="240" w:lineRule="auto"/>
        <w:jc w:val="both"/>
      </w:pPr>
      <w:r>
        <w:rPr>
          <w:rFonts w:ascii="Times New Roman" w:hAnsi="Times New Roman" w:eastAsia="Times New Roman" w:cs="Times New Roman"/>
          <w:b w:val="0"/>
          <w:bCs w:val="0"/>
          <w:i w:val="0"/>
          <w:iCs w:val="0"/>
          <w:sz w:val="24"/>
          <w:szCs w:val="24"/>
        </w:rPr>
        <w:t>Segumpan et al. (2025) argued that LET outcomes are direct reflections of the adequacy of teacher preparation programs and must be continuously evaluated for curriculum enhancement. Their documentation of cyclical fluctuations in national LET pass rates across multiple examination cycles underscores that period-to-period variability is a structural feature of Philippine teacher education data — a finding with direct implications for how small-cohort institutional results should be interpreted. Abao et al. (2023), in a national study of 2,780 beginning teachers across all 16 Philippine regions, confirmed that above-national LET pass rates coexist with year-to-year performance variability across TEIs of different sizes, indicating that cohort composition — not programmatic decline — often drives period-level fluctuations. Their study also documented significant performance differences between BEEd and BSEd graduates across examination components, establishing that degree program type moderates LET outcome variance (η² = 0.07).</w:t>
      </w:r>
    </w:p>
    <w:p w14:paraId="3D05A993">
      <w:pPr>
        <w:spacing w:before="120" w:after="120" w:line="240" w:lineRule="auto"/>
        <w:jc w:val="both"/>
      </w:pPr>
      <w:r>
        <w:rPr>
          <w:rFonts w:ascii="Times New Roman" w:hAnsi="Times New Roman" w:eastAsia="Times New Roman" w:cs="Times New Roman"/>
          <w:b w:val="0"/>
          <w:bCs w:val="0"/>
          <w:i w:val="0"/>
          <w:iCs w:val="0"/>
          <w:sz w:val="24"/>
          <w:szCs w:val="24"/>
        </w:rPr>
        <w:t>At the individual-student level, Amanonce and Maramag (2020) demonstrated a strong and significant correlation between college GPA and LET performance in a study of 1,017 BEEd and BSEd graduates, finding that GPA predicted over 80% of LET general average variance for BEEd examinees. Igcasama et al. (2021) similarly identified academic achievement and institutional support mechanisms as significant determinants of LET success at the Saint Michael College of Caraga, arguing that institutional-level trend analysis must be complemented by student-level predictor research to yield actionable insights. Fiscal and Roman (2022) reinforced this conclusion by demonstrating that pre-licensure mock examination performance is a statistically significant predictor of final LET outcomes, providing an empirical basis for institutionalized pre-board review programs at Philippine TEIs.</w:t>
      </w:r>
    </w:p>
    <w:p w14:paraId="4C0048AB">
      <w:pPr>
        <w:spacing w:before="140" w:after="60" w:line="240" w:lineRule="auto"/>
        <w:jc w:val="left"/>
      </w:pPr>
      <w:r>
        <w:rPr>
          <w:rFonts w:ascii="Times New Roman" w:hAnsi="Times New Roman" w:eastAsia="Times New Roman" w:cs="Times New Roman"/>
          <w:b/>
          <w:bCs/>
          <w:i w:val="0"/>
          <w:iCs w:val="0"/>
          <w:sz w:val="24"/>
          <w:szCs w:val="24"/>
        </w:rPr>
        <w:t>Predictive Modeling of LET Performance</w:t>
      </w:r>
    </w:p>
    <w:p w14:paraId="1A62724E">
      <w:pPr>
        <w:spacing w:before="120" w:after="120" w:line="240" w:lineRule="auto"/>
        <w:jc w:val="both"/>
      </w:pPr>
      <w:r>
        <w:rPr>
          <w:rFonts w:ascii="Times New Roman" w:hAnsi="Times New Roman" w:eastAsia="Times New Roman" w:cs="Times New Roman"/>
          <w:b w:val="0"/>
          <w:bCs w:val="0"/>
          <w:i w:val="0"/>
          <w:iCs w:val="0"/>
          <w:sz w:val="24"/>
          <w:szCs w:val="24"/>
        </w:rPr>
        <w:t>The forecasting literature increasingly points beyond linear regression toward more flexible modeling approaches. Acoba (2024) compared multiple linear regression and Artificial Neural Networks (ANN) in predicting LET outcomes and found that ANN outperformed regression, particularly in capturing nonlinear relationships between predictor variables and licensure success. Diwag (2025) applied decision tree methodology to forecast teacher education licensure examination success, demonstrating how classification-based machine learning approaches can identify high-probability pass scenarios with greater granularity than trend-based regression models. Patungan and Joaquin (2024) further established that logistic regression provides a statistically reliable classification framework for predicting individual-level LET performance among prospective mathematics teachers, confirming the practical utility of machine learning methods for student advisory and targeted intervention.</w:t>
      </w:r>
    </w:p>
    <w:p w14:paraId="736283CF">
      <w:pPr>
        <w:spacing w:before="120" w:after="120" w:line="240" w:lineRule="auto"/>
        <w:jc w:val="both"/>
      </w:pPr>
      <w:r>
        <w:rPr>
          <w:rFonts w:ascii="Times New Roman" w:hAnsi="Times New Roman" w:eastAsia="Times New Roman" w:cs="Times New Roman"/>
          <w:b w:val="0"/>
          <w:bCs w:val="0"/>
          <w:i w:val="0"/>
          <w:iCs w:val="0"/>
          <w:sz w:val="24"/>
          <w:szCs w:val="24"/>
        </w:rPr>
        <w:t>At the ensemble level, Rokach (2010) demonstrated that methods combining multiple base learners — such as decision trees and random forests — consistently outperform any individual classification model across educational and other high-dimensional prediction domains. These findings collectively argue that when institutional datasets mature beyond six to ten qualifying periods, a systematic comparison of OLS regression against these advanced alternatives — evaluated using standardized metrics including Mean Absolute Error (MAE), Root Mean Square Error (RMSE), and R² — is both methodologically warranted and practically necessary (Box et al., 2015; Hyndman &amp; Koehler, 2006). Cross-program benchmarking using licensure examination data is an established practice in Philippine higher education research. Bautista et al. (2019) applied this approach to track quality trajectories in nursing education, while Laguador and Refozar (2020) documented five-year declining performance trends in Accountancy board examinations across public and private schools. Cadosales et al. (2023) extended this logic to teacher education, demonstrating that LET results for first-time examinees predict beginning teacher effectiveness — connecting institutional examination performance to downstream teaching quality outcomes. Quendangan et al. (2023) further reinforced the value of longitudinal quantitative approaches for institutional program review.</w:t>
      </w:r>
    </w:p>
    <w:p w14:paraId="78B1A201">
      <w:pPr>
        <w:spacing w:before="140" w:after="60" w:line="240" w:lineRule="auto"/>
        <w:jc w:val="left"/>
      </w:pPr>
      <w:r>
        <w:rPr>
          <w:rFonts w:ascii="Times New Roman" w:hAnsi="Times New Roman" w:eastAsia="Times New Roman" w:cs="Times New Roman"/>
          <w:b/>
          <w:bCs/>
          <w:i w:val="0"/>
          <w:iCs w:val="0"/>
          <w:sz w:val="24"/>
          <w:szCs w:val="24"/>
        </w:rPr>
        <w:t>Research Gaps</w:t>
      </w:r>
    </w:p>
    <w:p w14:paraId="3C73FD96">
      <w:pPr>
        <w:spacing w:before="120" w:after="120" w:line="240" w:lineRule="auto"/>
        <w:jc w:val="both"/>
      </w:pPr>
      <w:r>
        <w:rPr>
          <w:rFonts w:ascii="Times New Roman" w:hAnsi="Times New Roman" w:eastAsia="Times New Roman" w:cs="Times New Roman"/>
          <w:b w:val="0"/>
          <w:bCs w:val="0"/>
          <w:i w:val="0"/>
          <w:iCs w:val="0"/>
          <w:sz w:val="24"/>
          <w:szCs w:val="24"/>
        </w:rPr>
        <w:t>Despite this growing body of work, three gaps directly motivate the present study. First, most Philippine institutional LET studies examine university-level or regional aggregates, leaving small private TEIs — which account for a substantial share of the country's teacher education programs — without comparable institutional benchmarks (Igcasama et al., 2021; Segumpan et al., 2025). Second, forecasting in this literature continues to rely almost exclusively on linear regression without systematic benchmarking against more sophisticated models, even when the limitations of OLS are explicitly acknowledged (Acoba, 2024; Box et al., 2015; Hyndman &amp; Koehler, 2006). Third, cross-program institutional benchmarking remains underexplored at the level of individual institutions, limiting the capacity of small TEIs to conduct the kind of integrated, data-driven self-assessment that CHED quality frameworks increasingly require. This study directly addresses the first gap by generating the first systematic baseline dataset for a small private TEI in Negros Occidental, while acknowledging and documenting the methodological limitations that motivate the latter two.</w:t>
      </w:r>
    </w:p>
    <w:p w14:paraId="66F1AEB3">
      <w:pPr>
        <w:spacing w:before="200" w:after="100" w:line="240" w:lineRule="auto"/>
        <w:jc w:val="left"/>
        <w:rPr>
          <w:rFonts w:ascii="Times New Roman" w:hAnsi="Times New Roman" w:eastAsia="Times New Roman" w:cs="Times New Roman"/>
          <w:b/>
          <w:bCs/>
          <w:i w:val="0"/>
          <w:iCs w:val="0"/>
          <w:sz w:val="28"/>
          <w:szCs w:val="28"/>
        </w:rPr>
      </w:pPr>
    </w:p>
    <w:p w14:paraId="1BFBF7FF">
      <w:pPr>
        <w:spacing w:before="200" w:after="100" w:line="240" w:lineRule="auto"/>
        <w:jc w:val="left"/>
      </w:pPr>
      <w:r>
        <w:rPr>
          <w:rFonts w:ascii="Times New Roman" w:hAnsi="Times New Roman" w:eastAsia="Times New Roman" w:cs="Times New Roman"/>
          <w:b/>
          <w:bCs/>
          <w:i w:val="0"/>
          <w:iCs w:val="0"/>
          <w:sz w:val="28"/>
          <w:szCs w:val="28"/>
        </w:rPr>
        <w:t>METHODOLOGY</w:t>
      </w:r>
    </w:p>
    <w:p w14:paraId="4A534032">
      <w:pPr>
        <w:spacing w:before="140" w:after="60" w:line="240" w:lineRule="auto"/>
        <w:jc w:val="left"/>
      </w:pPr>
      <w:r>
        <w:rPr>
          <w:rFonts w:ascii="Times New Roman" w:hAnsi="Times New Roman" w:eastAsia="Times New Roman" w:cs="Times New Roman"/>
          <w:b/>
          <w:bCs/>
          <w:i w:val="0"/>
          <w:iCs w:val="0"/>
          <w:sz w:val="24"/>
          <w:szCs w:val="24"/>
        </w:rPr>
        <w:t>Research Design</w:t>
      </w:r>
    </w:p>
    <w:p w14:paraId="6633362F">
      <w:pPr>
        <w:spacing w:before="120" w:after="120" w:line="240" w:lineRule="auto"/>
        <w:jc w:val="both"/>
      </w:pPr>
      <w:r>
        <w:rPr>
          <w:rFonts w:ascii="Times New Roman" w:hAnsi="Times New Roman" w:eastAsia="Times New Roman" w:cs="Times New Roman"/>
          <w:b w:val="0"/>
          <w:bCs w:val="0"/>
          <w:i w:val="0"/>
          <w:iCs w:val="0"/>
          <w:sz w:val="24"/>
          <w:szCs w:val="24"/>
        </w:rPr>
        <w:t>This study employed a quantitative descriptive-trend research design (Best &amp; Kahn, 2006; Quendangan et al., 2023). Fellowship Baptist College BEEd examination records were analyzed longitudinally across all nine available LET administrations from September 2021 through September 2024. A descriptive-trend approach was appropriate because the primary objective was to document performance patterns over time, establish comparative benchmarks against national rates, and generate directional forecasts — rather than to test causal hypotheses or establish predictive models for individual-level outcomes.</w:t>
      </w:r>
    </w:p>
    <w:p w14:paraId="62624050">
      <w:pPr>
        <w:spacing w:before="140" w:after="60" w:line="240" w:lineRule="auto"/>
        <w:jc w:val="left"/>
      </w:pPr>
      <w:r>
        <w:rPr>
          <w:rFonts w:ascii="Times New Roman" w:hAnsi="Times New Roman" w:eastAsia="Times New Roman" w:cs="Times New Roman"/>
          <w:b/>
          <w:bCs/>
          <w:i w:val="0"/>
          <w:iCs w:val="0"/>
          <w:sz w:val="24"/>
          <w:szCs w:val="24"/>
        </w:rPr>
        <w:t>Participants</w:t>
      </w:r>
    </w:p>
    <w:p w14:paraId="25A43BC4">
      <w:pPr>
        <w:spacing w:before="120" w:after="120" w:line="240" w:lineRule="auto"/>
        <w:jc w:val="both"/>
      </w:pPr>
      <w:r>
        <w:rPr>
          <w:rFonts w:ascii="Times New Roman" w:hAnsi="Times New Roman" w:eastAsia="Times New Roman" w:cs="Times New Roman"/>
          <w:b w:val="0"/>
          <w:bCs w:val="0"/>
          <w:i w:val="0"/>
          <w:iCs w:val="0"/>
          <w:sz w:val="24"/>
          <w:szCs w:val="24"/>
        </w:rPr>
        <w:t>Fellowship Baptist College is a private faith-based higher education institution located in Kabankalan City, Negros Occidental, Philippines, operating under CHED supervision. The study population comprised all BEEd program graduates who sat for the Licensure Examination for Teachers for the first time across nine examination administrations from September 2021 to September 2024. First-time examinees were defined as candidates with no prior LET attempt in any examination period, consistent with PRC classification protocols and the operational definition used across the Philippine LET performance literature (Cadosales et al., 2023; Igcasama et al., 2021).</w:t>
      </w:r>
    </w:p>
    <w:p w14:paraId="4C8C1294">
      <w:pPr>
        <w:spacing w:before="140" w:after="60" w:line="240" w:lineRule="auto"/>
        <w:jc w:val="left"/>
      </w:pPr>
      <w:r>
        <w:rPr>
          <w:rFonts w:ascii="Times New Roman" w:hAnsi="Times New Roman" w:eastAsia="Times New Roman" w:cs="Times New Roman"/>
          <w:b/>
          <w:bCs/>
          <w:i w:val="0"/>
          <w:iCs w:val="0"/>
          <w:sz w:val="24"/>
          <w:szCs w:val="24"/>
        </w:rPr>
        <w:t>Data Sources</w:t>
      </w:r>
    </w:p>
    <w:p w14:paraId="028A0D8D">
      <w:pPr>
        <w:spacing w:before="120" w:after="120" w:line="240" w:lineRule="auto"/>
        <w:jc w:val="both"/>
      </w:pPr>
      <w:r>
        <w:rPr>
          <w:rFonts w:ascii="Times New Roman" w:hAnsi="Times New Roman" w:eastAsia="Times New Roman" w:cs="Times New Roman"/>
          <w:b w:val="0"/>
          <w:bCs w:val="0"/>
          <w:i w:val="0"/>
          <w:iCs w:val="0"/>
          <w:sz w:val="24"/>
          <w:szCs w:val="24"/>
        </w:rPr>
        <w:t>All FBC examination data were sourced exclusively from the institution's official program performance records, which documented FBC counts (n), number of first-timers who passed, number who failed, and total per examination period. These records were cross-referenced against Professional Regulation Commission (PRC) official examination result announcements for accuracy verification. National elementary LET passing rates were obtained directly from PRC official announcements for each examination period. For the June 2022 administration, the nearest available national comparator was the June 26, 2022 PRC elementary release (50.54%), as no exact-period national figure was separately published; this is documented in all relevant tables. No LET was administered in 2020 due to COVID-19 pandemic restrictions.</w:t>
      </w:r>
    </w:p>
    <w:p w14:paraId="0ACCC440">
      <w:pPr>
        <w:spacing w:before="140" w:after="60" w:line="240" w:lineRule="auto"/>
        <w:jc w:val="left"/>
      </w:pPr>
      <w:r>
        <w:rPr>
          <w:rFonts w:ascii="Times New Roman" w:hAnsi="Times New Roman" w:eastAsia="Times New Roman" w:cs="Times New Roman"/>
          <w:b/>
          <w:bCs/>
          <w:i w:val="0"/>
          <w:iCs w:val="0"/>
          <w:sz w:val="24"/>
          <w:szCs w:val="24"/>
        </w:rPr>
        <w:t>Scope and Delimitations</w:t>
      </w:r>
    </w:p>
    <w:p w14:paraId="4F0992AE">
      <w:pPr>
        <w:spacing w:before="120" w:after="120" w:line="240" w:lineRule="auto"/>
        <w:jc w:val="both"/>
      </w:pPr>
      <w:r>
        <w:rPr>
          <w:rFonts w:ascii="Times New Roman" w:hAnsi="Times New Roman" w:eastAsia="Times New Roman" w:cs="Times New Roman"/>
          <w:b w:val="0"/>
          <w:bCs w:val="0"/>
          <w:i w:val="0"/>
          <w:iCs w:val="0"/>
          <w:sz w:val="24"/>
          <w:szCs w:val="24"/>
        </w:rPr>
        <w:t>Although the BEEd program at Fellowship Baptist College predates 2021, this study deliberately delimits its scope to September 2021 through September 2024 for four complementary and methodologically grounded reasons. First, the COVID-19 pandemic created an involuntary administrative discontinuity: no LET was held in 2020 (Cadosales et al., 2023), meaning that the September 2021 administration was the first post-pandemic LET and represents the most defensible natural baseline anchor for a study initiating a continuous monitoring dataset. Including pre-pandemic data within a single unbroken trend analysis risks conflating structurally different examination cohorts and preparation cycles. Second, systematic institutional disaggregation of first-timer performance at the per-examination-period level commenced at Fellowship Baptist College with the September 2021 administration; earlier records did not maintain this distinction at the granularity required for FBC-specific analysis. Data quality takes precedence over data quantity in institutional research design (Best &amp; Kahn, 2006). Third, CHED Memorandum Order No. 74, Series of 2017 (CHED, 2017) prescribed substantially revised policies, standards, and guidelines for teacher education programs; the first BEEd cohorts fully prepared under the CMO 74 curriculum entered the LET from approximately 2021 onward, making the 2021–2024 window a curriculum-coherent analytical frame. Fourth, this study functions by design as an initial institutional baseline investigation. Baseline studies derive their value from the internal consistency and reliability of the data series they establish, not from maximum historical length (Best &amp; Kahn, 2006). The 2021–2024 dataset is proposed as the reference anchor against which subsequent examination periods and additional program data at Fellowship Baptist College will be benchmarked.</w:t>
      </w:r>
    </w:p>
    <w:p w14:paraId="0E59955B">
      <w:pPr>
        <w:spacing w:before="140" w:after="60" w:line="240" w:lineRule="auto"/>
        <w:jc w:val="left"/>
      </w:pPr>
      <w:r>
        <w:rPr>
          <w:rFonts w:ascii="Times New Roman" w:hAnsi="Times New Roman" w:eastAsia="Times New Roman" w:cs="Times New Roman"/>
          <w:b/>
          <w:bCs/>
          <w:i w:val="0"/>
          <w:iCs w:val="0"/>
          <w:sz w:val="24"/>
          <w:szCs w:val="24"/>
        </w:rPr>
        <w:t>Analytical Procedures</w:t>
      </w:r>
    </w:p>
    <w:p w14:paraId="6C996A3E">
      <w:pPr>
        <w:spacing w:before="120" w:after="120" w:line="240" w:lineRule="auto"/>
        <w:jc w:val="both"/>
      </w:pPr>
      <w:r>
        <w:rPr>
          <w:rFonts w:ascii="Times New Roman" w:hAnsi="Times New Roman" w:eastAsia="Times New Roman" w:cs="Times New Roman"/>
          <w:b w:val="0"/>
          <w:bCs w:val="0"/>
          <w:i w:val="0"/>
          <w:iCs w:val="0"/>
          <w:sz w:val="24"/>
          <w:szCs w:val="24"/>
        </w:rPr>
        <w:t>Data analysis proceeded through five sequential steps. First, FBC passing rates were tabulated per examination period using the formula: FBC rate = (number passed ÷ total FBC takers) × 100. Second, period-on-period changes in FBC rates were computed across qualifying periods (n ≥ 2) to identify directional trends. Third, annual aggregate FBC rates were computed for each calendar year from 2021 to 2024. Fourth, FBC rates were directly compared against national elementary passing rates for each period to quantify institutional performance relative to national benchmarks. Fifth, OLS linear regression forecasting was applied to generate indicative projections for six examination administrations from March 2025 to September 2027.</w:t>
      </w:r>
    </w:p>
    <w:p w14:paraId="19FAA1AC">
      <w:pPr>
        <w:spacing w:before="120" w:after="120" w:line="240" w:lineRule="auto"/>
        <w:jc w:val="both"/>
      </w:pPr>
      <w:r>
        <w:rPr>
          <w:rFonts w:ascii="Times New Roman" w:hAnsi="Times New Roman" w:eastAsia="Times New Roman" w:cs="Times New Roman"/>
          <w:b w:val="0"/>
          <w:bCs w:val="0"/>
          <w:i w:val="0"/>
          <w:iCs w:val="0"/>
          <w:sz w:val="24"/>
          <w:szCs w:val="24"/>
        </w:rPr>
        <w:t>Linear regression was selected as the forecasting method on four methodologically grounded grounds. First, the study yielded only six qualifying data points (n = 6 examination periods with FBC takers of two or more), which falls below the minimum of approximately 30–50 observations required for ARIMA models to estimate autocorrelation structures reliably (Box et al., 2015). Second, machine learning methods — including Artificial Neural Networks and ensemble classifiers — require substantially larger training datasets to avoid overfitting; applying them to six data points would produce models that memorize rather than generalize from the data (Acoba, 2024; Rokach, 2010). Third, OLS linear regression is the established methodological baseline in the Philippine institutional LET research literature (Quendangan et al., 2023), providing a standard reference point against which future, more advanced models can be systematically evaluated. Fourth, for a study whose primary purpose is baseline establishment rather than predictive precision, the interpretability of OLS — where the slope directly quantifies the average period-on-period change in FBC rate — aligns with the study's institutional reporting objectives.</w:t>
      </w:r>
    </w:p>
    <w:p w14:paraId="21AC5E42">
      <w:pPr>
        <w:spacing w:before="120" w:after="120" w:line="240" w:lineRule="auto"/>
        <w:jc w:val="both"/>
      </w:pPr>
      <w:r>
        <w:rPr>
          <w:rFonts w:ascii="Times New Roman" w:hAnsi="Times New Roman" w:eastAsia="Times New Roman" w:cs="Times New Roman"/>
          <w:b w:val="0"/>
          <w:bCs w:val="0"/>
          <w:i w:val="0"/>
          <w:iCs w:val="0"/>
          <w:sz w:val="24"/>
          <w:szCs w:val="24"/>
        </w:rPr>
        <w:t>The OLS regression was applied to the six qualifying FBC data points (September 2021, October 2022, March 2023, September 2023, March 2024, September 2024), assigned x = 1 through x = 6 sequentially. The June 2022 administration (n = 1) was excluded from regression analysis on two complementary statistical grounds. First, a binomial proportion derived from a single trial (n = 1) necessarily equals either 0% or 100% regardless of the true underlying probability, producing a degenerate estimate with undefined standard error and zero degrees of freedom for variance estimation (Agresti, 2002; Fleiss et al., 2003). Second, with a value of 0.00% — approximately 85 percentage points below the qualifying-period series mean of 84.74% — it would function as a high-leverage influential point in OLS, disproportionately distorting the slope and intercept of the regression line (Hyndman &amp; Koehler, 2006). The data point was retained in all descriptive tables and is clearly flagged throughout. Forecast periods were assigned x = 7 through x = 12 (March 2025 through September 2027). Uncertainty bounds were expressed as ±MAE (Mean Absolute Error of the six regression residuals = ±13.12 pp) rather than formal prediction intervals, because the formal OLS prediction interval at x = 7 yields approximately ±70 pp — a range spanning nearly the entire 0–100% outcome space and therefore practically uninformative given n = 6.</w:t>
      </w:r>
    </w:p>
    <w:p w14:paraId="607E061F">
      <w:pPr>
        <w:spacing w:before="200" w:after="100" w:line="240" w:lineRule="auto"/>
        <w:jc w:val="left"/>
      </w:pPr>
      <w:r>
        <w:rPr>
          <w:rFonts w:ascii="Times New Roman" w:hAnsi="Times New Roman" w:eastAsia="Times New Roman" w:cs="Times New Roman"/>
          <w:b/>
          <w:bCs/>
          <w:i w:val="0"/>
          <w:iCs w:val="0"/>
          <w:sz w:val="28"/>
          <w:szCs w:val="28"/>
        </w:rPr>
        <w:t>RESULTS AND DISCUSSION</w:t>
      </w:r>
    </w:p>
    <w:p w14:paraId="149B0D51">
      <w:pPr>
        <w:spacing w:before="140" w:after="60" w:line="240" w:lineRule="auto"/>
        <w:jc w:val="left"/>
      </w:pPr>
      <w:r>
        <w:rPr>
          <w:rFonts w:ascii="Times New Roman" w:hAnsi="Times New Roman" w:eastAsia="Times New Roman" w:cs="Times New Roman"/>
          <w:b/>
          <w:bCs/>
          <w:i w:val="0"/>
          <w:iCs w:val="0"/>
          <w:sz w:val="24"/>
          <w:szCs w:val="24"/>
        </w:rPr>
        <w:t>FBC Performance Overview Across All Examination Periods</w:t>
      </w:r>
    </w:p>
    <w:p w14:paraId="389FAFD7">
      <w:pPr>
        <w:spacing w:before="120" w:after="120" w:line="240" w:lineRule="auto"/>
        <w:jc w:val="both"/>
      </w:pPr>
      <w:r>
        <w:rPr>
          <w:rFonts w:ascii="Times New Roman" w:hAnsi="Times New Roman" w:eastAsia="Times New Roman" w:cs="Times New Roman"/>
          <w:b w:val="0"/>
          <w:bCs w:val="0"/>
          <w:i w:val="0"/>
          <w:iCs w:val="0"/>
          <w:sz w:val="24"/>
          <w:szCs w:val="24"/>
        </w:rPr>
        <w:t>Table 1 presents the complete examination-period-level data for all nine LET administrations from September 2021 to September 2024. FBC takers were present in seven of the nine periods. The January 2022 administration recorded no examinees of any category. The March 2022 administration had no FBC takers, with only repeaters present. The June 2022 administration recorded one FBC taker who did not pass and is excluded from all trend and regression analyses on statistical grounds detailed in the methodology section.</w:t>
      </w:r>
    </w:p>
    <w:p w14:paraId="5D0D0C5A">
      <w:pPr>
        <w:spacing w:before="120" w:after="120" w:line="240" w:lineRule="auto"/>
        <w:jc w:val="both"/>
      </w:pPr>
      <w:r>
        <w:rPr>
          <w:rFonts w:ascii="Times New Roman" w:hAnsi="Times New Roman" w:eastAsia="Times New Roman" w:cs="Times New Roman"/>
          <w:b w:val="0"/>
          <w:bCs w:val="0"/>
          <w:i w:val="0"/>
          <w:iCs w:val="0"/>
          <w:sz w:val="24"/>
          <w:szCs w:val="24"/>
        </w:rPr>
        <w:t>Among the seven periods with FBC takers, the largest cohort was October 2022 (n = 36), accounting for 46.2% of all FBC takers across the study period. The smallest qualifying cohort was September 2021 and September 2023, each with n = 2. Both small-cohort periods recorded passing rates of 100.00% — a result that must be interpreted cautiously, as a single failing examinee in either period would have reduced the rate to 50.00%, illustrating the high sensitivity of rate estimates to individual outcomes when n is small (Abao et al., 2023; Amanonce &amp; Maramag, 2020).</w:t>
      </w:r>
    </w:p>
    <w:p w14:paraId="1567AD3B">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bCs/>
          <w:i w:val="0"/>
          <w:iCs w:val="0"/>
          <w:sz w:val="22"/>
          <w:szCs w:val="22"/>
        </w:rPr>
        <w:t>Table 1. FBC BEEd Performance vs. National Elementary Passing Rate Across All Examination Periods (2021–2024)</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9"/>
        <w:gridCol w:w="1559"/>
        <w:gridCol w:w="1559"/>
        <w:gridCol w:w="1559"/>
        <w:gridCol w:w="1559"/>
        <w:gridCol w:w="1559"/>
      </w:tblGrid>
      <w:tr w14:paraId="252E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145ABE6B">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Examination Period</w:t>
            </w:r>
          </w:p>
        </w:tc>
        <w:tc>
          <w:tcPr>
            <w:tcW w:w="1559" w:type="dxa"/>
            <w:shd w:val="clear" w:color="auto" w:fill="auto"/>
            <w:vAlign w:val="top"/>
          </w:tcPr>
          <w:p w14:paraId="0AF78D22">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FBC Takers (n)</w:t>
            </w:r>
          </w:p>
        </w:tc>
        <w:tc>
          <w:tcPr>
            <w:tcW w:w="1559" w:type="dxa"/>
            <w:shd w:val="clear" w:color="auto" w:fill="auto"/>
            <w:vAlign w:val="top"/>
          </w:tcPr>
          <w:p w14:paraId="05EB9A8D">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FBC Passed</w:t>
            </w:r>
          </w:p>
        </w:tc>
        <w:tc>
          <w:tcPr>
            <w:tcW w:w="1559" w:type="dxa"/>
            <w:shd w:val="clear" w:color="auto" w:fill="auto"/>
            <w:vAlign w:val="top"/>
          </w:tcPr>
          <w:p w14:paraId="62C4D86E">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FBC Rate (%)</w:t>
            </w:r>
          </w:p>
        </w:tc>
        <w:tc>
          <w:tcPr>
            <w:tcW w:w="1559" w:type="dxa"/>
            <w:shd w:val="clear" w:color="auto" w:fill="auto"/>
            <w:vAlign w:val="top"/>
          </w:tcPr>
          <w:p w14:paraId="686D63C3">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National Elem. Rate (%)</w:t>
            </w:r>
          </w:p>
        </w:tc>
        <w:tc>
          <w:tcPr>
            <w:tcW w:w="1559" w:type="dxa"/>
            <w:shd w:val="clear" w:color="auto" w:fill="auto"/>
            <w:vAlign w:val="top"/>
          </w:tcPr>
          <w:p w14:paraId="2A27B7E0">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Gap (pp)</w:t>
            </w:r>
          </w:p>
        </w:tc>
        <w:tc>
          <w:tcPr>
            <w:tcW w:w="1559" w:type="dxa"/>
            <w:shd w:val="clear" w:color="auto" w:fill="auto"/>
            <w:vAlign w:val="top"/>
          </w:tcPr>
          <w:p w14:paraId="5BE62E4A">
            <w:pPr>
              <w:widowControl w:val="0"/>
              <w:spacing w:before="40" w:after="40"/>
              <w:jc w:val="center"/>
              <w:rPr>
                <w:rFonts w:hint="default"/>
                <w:sz w:val="21"/>
                <w:szCs w:val="22"/>
                <w:lang w:val="en-US"/>
              </w:rPr>
            </w:pPr>
            <w:r>
              <w:rPr>
                <w:rFonts w:ascii="Times New Roman" w:hAnsi="Times New Roman" w:eastAsia="Times New Roman" w:cs="Times New Roman"/>
                <w:b/>
                <w:bCs/>
                <w:i w:val="0"/>
                <w:iCs w:val="0"/>
                <w:sz w:val="20"/>
                <w:szCs w:val="20"/>
              </w:rPr>
              <w:t>Qualifying Status</w:t>
            </w:r>
          </w:p>
        </w:tc>
      </w:tr>
      <w:tr w14:paraId="087A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39CDC81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Sep 26, 2021</w:t>
            </w:r>
          </w:p>
        </w:tc>
        <w:tc>
          <w:tcPr>
            <w:tcW w:w="1559" w:type="dxa"/>
            <w:shd w:val="clear" w:color="auto" w:fill="auto"/>
            <w:vAlign w:val="top"/>
          </w:tcPr>
          <w:p w14:paraId="15D9ACE8">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2</w:t>
            </w:r>
          </w:p>
        </w:tc>
        <w:tc>
          <w:tcPr>
            <w:tcW w:w="1559" w:type="dxa"/>
            <w:shd w:val="clear" w:color="auto" w:fill="auto"/>
            <w:vAlign w:val="top"/>
          </w:tcPr>
          <w:p w14:paraId="2E34FB8B">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2</w:t>
            </w:r>
          </w:p>
        </w:tc>
        <w:tc>
          <w:tcPr>
            <w:tcW w:w="1559" w:type="dxa"/>
            <w:shd w:val="clear" w:color="auto" w:fill="auto"/>
            <w:vAlign w:val="top"/>
          </w:tcPr>
          <w:p w14:paraId="301C7550">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100.00</w:t>
            </w:r>
          </w:p>
        </w:tc>
        <w:tc>
          <w:tcPr>
            <w:tcW w:w="1559" w:type="dxa"/>
            <w:shd w:val="clear" w:color="auto" w:fill="auto"/>
            <w:vAlign w:val="top"/>
          </w:tcPr>
          <w:p w14:paraId="5EE5B61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55.96</w:t>
            </w:r>
          </w:p>
        </w:tc>
        <w:tc>
          <w:tcPr>
            <w:tcW w:w="1559" w:type="dxa"/>
            <w:shd w:val="clear" w:color="auto" w:fill="auto"/>
            <w:vAlign w:val="top"/>
          </w:tcPr>
          <w:p w14:paraId="4F53660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+44.04</w:t>
            </w:r>
          </w:p>
        </w:tc>
        <w:tc>
          <w:tcPr>
            <w:tcW w:w="1559" w:type="dxa"/>
            <w:shd w:val="clear" w:color="auto" w:fill="auto"/>
            <w:vAlign w:val="top"/>
          </w:tcPr>
          <w:p w14:paraId="688DD2B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r w14:paraId="2667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091E066B">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Jan 30, 2022</w:t>
            </w:r>
          </w:p>
        </w:tc>
        <w:tc>
          <w:tcPr>
            <w:tcW w:w="1559" w:type="dxa"/>
            <w:shd w:val="clear" w:color="auto" w:fill="auto"/>
            <w:vAlign w:val="top"/>
          </w:tcPr>
          <w:p w14:paraId="7359493F">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0</w:t>
            </w:r>
          </w:p>
        </w:tc>
        <w:tc>
          <w:tcPr>
            <w:tcW w:w="1559" w:type="dxa"/>
            <w:shd w:val="clear" w:color="auto" w:fill="auto"/>
            <w:vAlign w:val="top"/>
          </w:tcPr>
          <w:p w14:paraId="2B31484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7CE528E5">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6E3DFC5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55.66</w:t>
            </w:r>
          </w:p>
        </w:tc>
        <w:tc>
          <w:tcPr>
            <w:tcW w:w="1559" w:type="dxa"/>
            <w:shd w:val="clear" w:color="auto" w:fill="auto"/>
            <w:vAlign w:val="top"/>
          </w:tcPr>
          <w:p w14:paraId="451FC8F0">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1F8A55D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No examinees</w:t>
            </w:r>
          </w:p>
        </w:tc>
      </w:tr>
      <w:tr w14:paraId="023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2260F8C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Mar 27, 2022</w:t>
            </w:r>
          </w:p>
        </w:tc>
        <w:tc>
          <w:tcPr>
            <w:tcW w:w="1559" w:type="dxa"/>
            <w:shd w:val="clear" w:color="auto" w:fill="auto"/>
            <w:vAlign w:val="top"/>
          </w:tcPr>
          <w:p w14:paraId="6F71478A">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0</w:t>
            </w:r>
          </w:p>
        </w:tc>
        <w:tc>
          <w:tcPr>
            <w:tcW w:w="1559" w:type="dxa"/>
            <w:shd w:val="clear" w:color="auto" w:fill="auto"/>
            <w:vAlign w:val="top"/>
          </w:tcPr>
          <w:p w14:paraId="113F2B4B">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47DA4A76">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3A9D0F2B">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48.81</w:t>
            </w:r>
          </w:p>
        </w:tc>
        <w:tc>
          <w:tcPr>
            <w:tcW w:w="1559" w:type="dxa"/>
            <w:shd w:val="clear" w:color="auto" w:fill="auto"/>
            <w:vAlign w:val="top"/>
          </w:tcPr>
          <w:p w14:paraId="101FB116">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w:t>
            </w:r>
          </w:p>
        </w:tc>
        <w:tc>
          <w:tcPr>
            <w:tcW w:w="1559" w:type="dxa"/>
            <w:shd w:val="clear" w:color="auto" w:fill="auto"/>
            <w:vAlign w:val="top"/>
          </w:tcPr>
          <w:p w14:paraId="2F2105D6">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No FBC takers</w:t>
            </w:r>
          </w:p>
        </w:tc>
      </w:tr>
      <w:tr w14:paraId="2AD3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1979DC60">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Jun 06, 2022*</w:t>
            </w:r>
          </w:p>
        </w:tc>
        <w:tc>
          <w:tcPr>
            <w:tcW w:w="1559" w:type="dxa"/>
            <w:shd w:val="clear" w:color="auto" w:fill="auto"/>
            <w:vAlign w:val="top"/>
          </w:tcPr>
          <w:p w14:paraId="27896E64">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w:t>
            </w:r>
          </w:p>
        </w:tc>
        <w:tc>
          <w:tcPr>
            <w:tcW w:w="1559" w:type="dxa"/>
            <w:shd w:val="clear" w:color="auto" w:fill="auto"/>
            <w:vAlign w:val="top"/>
          </w:tcPr>
          <w:p w14:paraId="72DA2FEA">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0</w:t>
            </w:r>
          </w:p>
        </w:tc>
        <w:tc>
          <w:tcPr>
            <w:tcW w:w="1559" w:type="dxa"/>
            <w:shd w:val="clear" w:color="auto" w:fill="auto"/>
            <w:vAlign w:val="top"/>
          </w:tcPr>
          <w:p w14:paraId="1D37A09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0.00</w:t>
            </w:r>
          </w:p>
        </w:tc>
        <w:tc>
          <w:tcPr>
            <w:tcW w:w="1559" w:type="dxa"/>
            <w:shd w:val="clear" w:color="auto" w:fill="auto"/>
            <w:vAlign w:val="top"/>
          </w:tcPr>
          <w:p w14:paraId="313161C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50.54¹</w:t>
            </w:r>
          </w:p>
        </w:tc>
        <w:tc>
          <w:tcPr>
            <w:tcW w:w="1559" w:type="dxa"/>
            <w:shd w:val="clear" w:color="auto" w:fill="auto"/>
            <w:vAlign w:val="top"/>
          </w:tcPr>
          <w:p w14:paraId="68502BE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−50.54</w:t>
            </w:r>
          </w:p>
        </w:tc>
        <w:tc>
          <w:tcPr>
            <w:tcW w:w="1559" w:type="dxa"/>
            <w:shd w:val="clear" w:color="auto" w:fill="auto"/>
            <w:vAlign w:val="top"/>
          </w:tcPr>
          <w:p w14:paraId="666A09CE">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Excluded (n=1)</w:t>
            </w:r>
          </w:p>
        </w:tc>
      </w:tr>
      <w:tr w14:paraId="13C1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599777F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Oct 02, 2022</w:t>
            </w:r>
          </w:p>
        </w:tc>
        <w:tc>
          <w:tcPr>
            <w:tcW w:w="1559" w:type="dxa"/>
            <w:shd w:val="clear" w:color="auto" w:fill="auto"/>
            <w:vAlign w:val="top"/>
          </w:tcPr>
          <w:p w14:paraId="11D3D61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36</w:t>
            </w:r>
          </w:p>
        </w:tc>
        <w:tc>
          <w:tcPr>
            <w:tcW w:w="1559" w:type="dxa"/>
            <w:shd w:val="clear" w:color="auto" w:fill="auto"/>
            <w:vAlign w:val="top"/>
          </w:tcPr>
          <w:p w14:paraId="35298E50">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33</w:t>
            </w:r>
          </w:p>
        </w:tc>
        <w:tc>
          <w:tcPr>
            <w:tcW w:w="1559" w:type="dxa"/>
            <w:shd w:val="clear" w:color="auto" w:fill="auto"/>
            <w:vAlign w:val="top"/>
          </w:tcPr>
          <w:p w14:paraId="5B3E5CE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91.67</w:t>
            </w:r>
          </w:p>
        </w:tc>
        <w:tc>
          <w:tcPr>
            <w:tcW w:w="1559" w:type="dxa"/>
            <w:shd w:val="clear" w:color="auto" w:fill="auto"/>
            <w:vAlign w:val="top"/>
          </w:tcPr>
          <w:p w14:paraId="4F8983EE">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54.43</w:t>
            </w:r>
          </w:p>
        </w:tc>
        <w:tc>
          <w:tcPr>
            <w:tcW w:w="1559" w:type="dxa"/>
            <w:shd w:val="clear" w:color="auto" w:fill="auto"/>
            <w:vAlign w:val="top"/>
          </w:tcPr>
          <w:p w14:paraId="2E5DCD7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+37.24</w:t>
            </w:r>
          </w:p>
        </w:tc>
        <w:tc>
          <w:tcPr>
            <w:tcW w:w="1559" w:type="dxa"/>
            <w:shd w:val="clear" w:color="auto" w:fill="auto"/>
            <w:vAlign w:val="top"/>
          </w:tcPr>
          <w:p w14:paraId="7BEB7328">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r w14:paraId="620C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10981657">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Mar 19, 2023</w:t>
            </w:r>
          </w:p>
        </w:tc>
        <w:tc>
          <w:tcPr>
            <w:tcW w:w="1559" w:type="dxa"/>
            <w:shd w:val="clear" w:color="auto" w:fill="auto"/>
            <w:vAlign w:val="top"/>
          </w:tcPr>
          <w:p w14:paraId="73612A2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19</w:t>
            </w:r>
          </w:p>
        </w:tc>
        <w:tc>
          <w:tcPr>
            <w:tcW w:w="1559" w:type="dxa"/>
            <w:shd w:val="clear" w:color="auto" w:fill="auto"/>
            <w:vAlign w:val="top"/>
          </w:tcPr>
          <w:p w14:paraId="303969F8">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11</w:t>
            </w:r>
          </w:p>
        </w:tc>
        <w:tc>
          <w:tcPr>
            <w:tcW w:w="1559" w:type="dxa"/>
            <w:shd w:val="clear" w:color="auto" w:fill="auto"/>
            <w:vAlign w:val="top"/>
          </w:tcPr>
          <w:p w14:paraId="4DAB416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57.89</w:t>
            </w:r>
          </w:p>
        </w:tc>
        <w:tc>
          <w:tcPr>
            <w:tcW w:w="1559" w:type="dxa"/>
            <w:shd w:val="clear" w:color="auto" w:fill="auto"/>
            <w:vAlign w:val="top"/>
          </w:tcPr>
          <w:p w14:paraId="21DD8BF4">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40.76</w:t>
            </w:r>
          </w:p>
        </w:tc>
        <w:tc>
          <w:tcPr>
            <w:tcW w:w="1559" w:type="dxa"/>
            <w:shd w:val="clear" w:color="auto" w:fill="auto"/>
            <w:vAlign w:val="top"/>
          </w:tcPr>
          <w:p w14:paraId="61412B95">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+17.13</w:t>
            </w:r>
          </w:p>
        </w:tc>
        <w:tc>
          <w:tcPr>
            <w:tcW w:w="1559" w:type="dxa"/>
            <w:shd w:val="clear" w:color="auto" w:fill="auto"/>
            <w:vAlign w:val="top"/>
          </w:tcPr>
          <w:p w14:paraId="7120F6D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r w14:paraId="1AE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shd w:val="clear" w:color="auto" w:fill="auto"/>
            <w:vAlign w:val="top"/>
          </w:tcPr>
          <w:p w14:paraId="1475D5E1">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Sep 24, 2023</w:t>
            </w:r>
          </w:p>
        </w:tc>
        <w:tc>
          <w:tcPr>
            <w:tcW w:w="1559" w:type="dxa"/>
            <w:shd w:val="clear" w:color="auto" w:fill="auto"/>
            <w:vAlign w:val="top"/>
          </w:tcPr>
          <w:p w14:paraId="15DCE18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2</w:t>
            </w:r>
          </w:p>
        </w:tc>
        <w:tc>
          <w:tcPr>
            <w:tcW w:w="1559" w:type="dxa"/>
            <w:shd w:val="clear" w:color="auto" w:fill="auto"/>
            <w:vAlign w:val="top"/>
          </w:tcPr>
          <w:p w14:paraId="15AF350F">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2</w:t>
            </w:r>
          </w:p>
        </w:tc>
        <w:tc>
          <w:tcPr>
            <w:tcW w:w="1559" w:type="dxa"/>
            <w:shd w:val="clear" w:color="auto" w:fill="auto"/>
            <w:vAlign w:val="top"/>
          </w:tcPr>
          <w:p w14:paraId="07518BFF">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100.00</w:t>
            </w:r>
          </w:p>
        </w:tc>
        <w:tc>
          <w:tcPr>
            <w:tcW w:w="1559" w:type="dxa"/>
            <w:shd w:val="clear" w:color="auto" w:fill="auto"/>
            <w:vAlign w:val="top"/>
          </w:tcPr>
          <w:p w14:paraId="1A916B9F">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47.01</w:t>
            </w:r>
          </w:p>
        </w:tc>
        <w:tc>
          <w:tcPr>
            <w:tcW w:w="1559" w:type="dxa"/>
            <w:shd w:val="clear" w:color="auto" w:fill="auto"/>
            <w:vAlign w:val="top"/>
          </w:tcPr>
          <w:p w14:paraId="2B34D8FF">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+52.99</w:t>
            </w:r>
          </w:p>
        </w:tc>
        <w:tc>
          <w:tcPr>
            <w:tcW w:w="1559" w:type="dxa"/>
            <w:shd w:val="clear" w:color="auto" w:fill="auto"/>
            <w:vAlign w:val="top"/>
          </w:tcPr>
          <w:p w14:paraId="451DDFB3">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r w14:paraId="2B66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ABE2312">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Mar 17, 2024</w:t>
            </w:r>
          </w:p>
        </w:tc>
        <w:tc>
          <w:tcPr>
            <w:tcW w:w="0" w:type="auto"/>
            <w:shd w:val="clear" w:color="auto" w:fill="auto"/>
            <w:vAlign w:val="top"/>
          </w:tcPr>
          <w:p w14:paraId="622BA247">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10</w:t>
            </w:r>
          </w:p>
        </w:tc>
        <w:tc>
          <w:tcPr>
            <w:tcW w:w="0" w:type="auto"/>
            <w:shd w:val="clear" w:color="auto" w:fill="auto"/>
            <w:vAlign w:val="top"/>
          </w:tcPr>
          <w:p w14:paraId="0A4138D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7</w:t>
            </w:r>
          </w:p>
        </w:tc>
        <w:tc>
          <w:tcPr>
            <w:tcW w:w="0" w:type="auto"/>
            <w:shd w:val="clear" w:color="auto" w:fill="auto"/>
            <w:vAlign w:val="top"/>
          </w:tcPr>
          <w:p w14:paraId="02FE30D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70.00</w:t>
            </w:r>
          </w:p>
        </w:tc>
        <w:tc>
          <w:tcPr>
            <w:tcW w:w="0" w:type="auto"/>
            <w:shd w:val="clear" w:color="auto" w:fill="auto"/>
            <w:vAlign w:val="top"/>
          </w:tcPr>
          <w:p w14:paraId="688FDF7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46.67</w:t>
            </w:r>
          </w:p>
        </w:tc>
        <w:tc>
          <w:tcPr>
            <w:tcW w:w="0" w:type="auto"/>
            <w:shd w:val="clear" w:color="auto" w:fill="auto"/>
            <w:vAlign w:val="top"/>
          </w:tcPr>
          <w:p w14:paraId="1783014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+23.33</w:t>
            </w:r>
          </w:p>
        </w:tc>
        <w:tc>
          <w:tcPr>
            <w:tcW w:w="0" w:type="auto"/>
            <w:shd w:val="clear" w:color="auto" w:fill="auto"/>
            <w:vAlign w:val="top"/>
          </w:tcPr>
          <w:p w14:paraId="7295F45D">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r w14:paraId="45F5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C7A933A">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Sep 29, 2024</w:t>
            </w:r>
          </w:p>
        </w:tc>
        <w:tc>
          <w:tcPr>
            <w:tcW w:w="0" w:type="auto"/>
            <w:shd w:val="clear" w:color="auto" w:fill="auto"/>
            <w:vAlign w:val="top"/>
          </w:tcPr>
          <w:p w14:paraId="4781A097">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9</w:t>
            </w:r>
          </w:p>
        </w:tc>
        <w:tc>
          <w:tcPr>
            <w:tcW w:w="0" w:type="auto"/>
            <w:shd w:val="clear" w:color="auto" w:fill="auto"/>
            <w:vAlign w:val="top"/>
          </w:tcPr>
          <w:p w14:paraId="33951D3A">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8</w:t>
            </w:r>
          </w:p>
        </w:tc>
        <w:tc>
          <w:tcPr>
            <w:tcW w:w="0" w:type="auto"/>
            <w:shd w:val="clear" w:color="auto" w:fill="auto"/>
            <w:vAlign w:val="top"/>
          </w:tcPr>
          <w:p w14:paraId="7880AAC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88.89</w:t>
            </w:r>
          </w:p>
        </w:tc>
        <w:tc>
          <w:tcPr>
            <w:tcW w:w="0" w:type="auto"/>
            <w:shd w:val="clear" w:color="auto" w:fill="auto"/>
            <w:vAlign w:val="top"/>
          </w:tcPr>
          <w:p w14:paraId="74FEB3E1">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45.51</w:t>
            </w:r>
          </w:p>
        </w:tc>
        <w:tc>
          <w:tcPr>
            <w:tcW w:w="0" w:type="auto"/>
            <w:shd w:val="clear" w:color="auto" w:fill="auto"/>
            <w:vAlign w:val="top"/>
          </w:tcPr>
          <w:p w14:paraId="319BEE98">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+43.38</w:t>
            </w:r>
          </w:p>
        </w:tc>
        <w:tc>
          <w:tcPr>
            <w:tcW w:w="0" w:type="auto"/>
            <w:shd w:val="clear" w:color="auto" w:fill="auto"/>
            <w:vAlign w:val="top"/>
          </w:tcPr>
          <w:p w14:paraId="7EDCFF49">
            <w:pPr>
              <w:widowControl w:val="0"/>
              <w:spacing w:before="40" w:after="40"/>
              <w:jc w:val="center"/>
              <w:rPr>
                <w:rFonts w:hint="default"/>
                <w:sz w:val="21"/>
                <w:szCs w:val="22"/>
                <w:lang w:val="en-US"/>
              </w:rPr>
            </w:pPr>
            <w:r>
              <w:rPr>
                <w:rFonts w:ascii="Times New Roman" w:hAnsi="Times New Roman" w:eastAsia="Times New Roman" w:cs="Times New Roman"/>
                <w:b w:val="0"/>
                <w:bCs w:val="0"/>
                <w:i w:val="0"/>
                <w:iCs w:val="0"/>
                <w:sz w:val="20"/>
                <w:szCs w:val="20"/>
              </w:rPr>
              <w:t>Qualifying</w:t>
            </w:r>
          </w:p>
        </w:tc>
      </w:tr>
    </w:tbl>
    <w:p w14:paraId="740B8B42">
      <w:pPr>
        <w:spacing w:before="160" w:after="60"/>
        <w:jc w:val="left"/>
        <w:rPr>
          <w:rFonts w:hint="default" w:ascii="Times New Roman" w:hAnsi="Times New Roman" w:eastAsia="Times New Roman" w:cs="Times New Roman"/>
          <w:b/>
          <w:bCs/>
          <w:i w:val="0"/>
          <w:iCs w:val="0"/>
          <w:sz w:val="22"/>
          <w:szCs w:val="22"/>
          <w:lang w:val="en-US"/>
        </w:rPr>
      </w:pPr>
      <w:r>
        <w:rPr>
          <w:rFonts w:ascii="Times New Roman" w:hAnsi="Times New Roman" w:eastAsia="Times New Roman" w:cs="Times New Roman"/>
          <w:b w:val="0"/>
          <w:bCs w:val="0"/>
          <w:i/>
          <w:iCs/>
          <w:sz w:val="18"/>
          <w:szCs w:val="18"/>
        </w:rPr>
        <w:t>Note. ¹Jun 2022 national rate sourced from the Jun 26, 2022 PRC elementary examination release, the nearest available comparator. *Jun 2022 (n=1) excluded from regression analysis; a single-trial binomial proportion yields a degenerate estimate with undefined standard error and zero degrees of freedom for variance estimation (Agresti, 2002; Fleiss et al., 2003). Retained for descriptive completeness. Source: FBC institutional program records and PRC official announcement releases (2021–2024).</w:t>
      </w:r>
    </w:p>
    <w:p w14:paraId="00DBD5BD">
      <w:pPr>
        <w:spacing w:before="120" w:after="120" w:line="240" w:lineRule="auto"/>
        <w:jc w:val="both"/>
      </w:pPr>
      <w:r>
        <w:rPr>
          <w:rFonts w:ascii="Times New Roman" w:hAnsi="Times New Roman" w:eastAsia="Times New Roman" w:cs="Times New Roman"/>
          <w:b w:val="0"/>
          <w:bCs w:val="0"/>
          <w:i w:val="0"/>
          <w:iCs w:val="0"/>
          <w:sz w:val="24"/>
          <w:szCs w:val="24"/>
        </w:rPr>
        <w:t>The aggregate passing rate across all 78 qualifying FBC takers was 80.77%, computed as 63 passed out of 78 total across the six qualifying periods. This aggregate rate substantially exceeds the mean national elementary passing rate of approximately 48.39% across the same qualifying periods — a difference of more than 32 percentage points at the aggregate level. These findings align with Abao et al.'s (2023) national documentation that above-national LET pass rates characterize many small to mid-sized Philippine TEIs, while simultaneously exhibiting the cohort-size-driven volatility that is a structural feature of small-institution data (Segumpan et al., 2025).</w:t>
      </w:r>
    </w:p>
    <w:p w14:paraId="012443D1">
      <w:pPr>
        <w:spacing w:before="140" w:after="60" w:line="240" w:lineRule="auto"/>
        <w:jc w:val="left"/>
      </w:pPr>
      <w:r>
        <w:rPr>
          <w:rFonts w:ascii="Times New Roman" w:hAnsi="Times New Roman" w:eastAsia="Times New Roman" w:cs="Times New Roman"/>
          <w:b/>
          <w:bCs/>
          <w:i w:val="0"/>
          <w:iCs w:val="0"/>
          <w:sz w:val="24"/>
          <w:szCs w:val="24"/>
        </w:rPr>
        <w:t>Period-on-Period FBC Trend and National Comparison</w:t>
      </w:r>
    </w:p>
    <w:p w14:paraId="26E7E6CB">
      <w:pPr>
        <w:spacing w:before="120" w:after="120" w:line="240" w:lineRule="auto"/>
        <w:jc w:val="both"/>
      </w:pPr>
      <w:r>
        <w:rPr>
          <w:rFonts w:ascii="Times New Roman" w:hAnsi="Times New Roman" w:eastAsia="Times New Roman" w:cs="Times New Roman"/>
          <w:b w:val="0"/>
          <w:bCs w:val="0"/>
          <w:i w:val="0"/>
          <w:iCs w:val="0"/>
          <w:sz w:val="24"/>
          <w:szCs w:val="24"/>
        </w:rPr>
        <w:t>Table 2 presents period-on-period FBC rate changes and national comparisons across the six qualifying examination periods. The FBC rate exceeded the national elementary rate in all six qualifying administrations, with a mean advantage of +36.35 percentage points. This consistent above-national performance across all qualifying periods — spanning three calendar years and varying cohort sizes — provides strong evidence of sustained institutional preparation quality within the FBC BEEd program, notwithstanding the volatility in period-level rates.</w:t>
      </w:r>
    </w:p>
    <w:p w14:paraId="76A2BC10">
      <w:pPr>
        <w:spacing w:before="120" w:after="120" w:line="240" w:lineRule="auto"/>
        <w:jc w:val="both"/>
      </w:pPr>
      <w:r>
        <w:rPr>
          <w:rFonts w:ascii="Times New Roman" w:hAnsi="Times New Roman" w:eastAsia="Times New Roman" w:cs="Times New Roman"/>
          <w:b w:val="0"/>
          <w:bCs w:val="0"/>
          <w:i w:val="0"/>
          <w:iCs w:val="0"/>
          <w:sz w:val="24"/>
          <w:szCs w:val="24"/>
        </w:rPr>
        <w:t>Period-on-period changes were highly variable, ranging from a decline of −33.78 pp (October 2022 to March 2023) to a recovery of +42.11 pp (March 2023 to September 2023). This volatility is primarily attributable to cohort size effects rather than genuine programmatic instability. The October 2022 cohort (n = 36) and March 2023 cohort (n = 19) represent the two largest qualifying cohorts and thus provide the most statistically stable rate estimates; their consecutive decline from 91.67% to 57.89% is the most methodologically reliable trend signal in the dataset. Conversely, the recovery from 57.89% (March 2023, n = 19) to 100.00% (September 2023, n = 2) reflects a mathematically trivial outcome: both examinees in a cohort of two passed. The subsequent decline from 100.00% to 70.00% (March 2024, n = 10) and partial recovery to 88.89% (September 2024, n = 9) are likewise sensitive to individual-level outcomes given small cohort sizes. These dynamics are consistent with Abao et al.'s (2023) finding that year-to-year performance variability in small Philippine TEIs is structurally driven by cohort composition rather than by systematic programmatic factors.</w:t>
      </w:r>
    </w:p>
    <w:p w14:paraId="4B8D4D48">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bCs/>
          <w:i w:val="0"/>
          <w:iCs w:val="0"/>
          <w:sz w:val="22"/>
          <w:szCs w:val="22"/>
        </w:rPr>
        <w:t>Table 2. FBC BEEd First-Time Examinee Trend vs. National Elementary Rate — Qualifying Periods Only (n ≥ 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364"/>
        <w:gridCol w:w="1364"/>
        <w:gridCol w:w="1364"/>
        <w:gridCol w:w="1364"/>
        <w:gridCol w:w="1364"/>
        <w:gridCol w:w="1364"/>
        <w:gridCol w:w="1364"/>
      </w:tblGrid>
      <w:tr w14:paraId="159B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7D28DB9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Examination Period</w:t>
            </w:r>
          </w:p>
        </w:tc>
        <w:tc>
          <w:tcPr>
            <w:tcW w:w="1364" w:type="dxa"/>
            <w:vAlign w:val="top"/>
          </w:tcPr>
          <w:p w14:paraId="32DD457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n</w:t>
            </w:r>
          </w:p>
        </w:tc>
        <w:tc>
          <w:tcPr>
            <w:tcW w:w="1364" w:type="dxa"/>
            <w:vAlign w:val="top"/>
          </w:tcPr>
          <w:p w14:paraId="08FDEBB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FBC Rate (%)</w:t>
            </w:r>
          </w:p>
        </w:tc>
        <w:tc>
          <w:tcPr>
            <w:tcW w:w="1364" w:type="dxa"/>
            <w:vAlign w:val="top"/>
          </w:tcPr>
          <w:p w14:paraId="3C01925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Period-on-Period Change</w:t>
            </w:r>
          </w:p>
        </w:tc>
        <w:tc>
          <w:tcPr>
            <w:tcW w:w="1364" w:type="dxa"/>
            <w:vAlign w:val="top"/>
          </w:tcPr>
          <w:p w14:paraId="7EBC0E9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National Elem. Rate (%)</w:t>
            </w:r>
          </w:p>
        </w:tc>
        <w:tc>
          <w:tcPr>
            <w:tcW w:w="1364" w:type="dxa"/>
            <w:vAlign w:val="top"/>
          </w:tcPr>
          <w:p w14:paraId="687A93E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Gap (pp)</w:t>
            </w:r>
          </w:p>
        </w:tc>
        <w:tc>
          <w:tcPr>
            <w:tcW w:w="1364" w:type="dxa"/>
            <w:vAlign w:val="top"/>
          </w:tcPr>
          <w:p w14:paraId="64D663A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Status vs. National</w:t>
            </w:r>
          </w:p>
        </w:tc>
        <w:tc>
          <w:tcPr>
            <w:tcW w:w="1364" w:type="dxa"/>
            <w:vAlign w:val="top"/>
          </w:tcPr>
          <w:p w14:paraId="1C4FB1D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Examination Period</w:t>
            </w:r>
          </w:p>
        </w:tc>
      </w:tr>
      <w:tr w14:paraId="6A5B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02C2F69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26, 2021</w:t>
            </w:r>
          </w:p>
        </w:tc>
        <w:tc>
          <w:tcPr>
            <w:tcW w:w="1364" w:type="dxa"/>
            <w:vAlign w:val="top"/>
          </w:tcPr>
          <w:p w14:paraId="7B70BF4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w:t>
            </w:r>
          </w:p>
        </w:tc>
        <w:tc>
          <w:tcPr>
            <w:tcW w:w="1364" w:type="dxa"/>
            <w:vAlign w:val="top"/>
          </w:tcPr>
          <w:p w14:paraId="532EE7C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100.00</w:t>
            </w:r>
          </w:p>
        </w:tc>
        <w:tc>
          <w:tcPr>
            <w:tcW w:w="1364" w:type="dxa"/>
            <w:vAlign w:val="top"/>
          </w:tcPr>
          <w:p w14:paraId="3E1E8BD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(baseline)</w:t>
            </w:r>
          </w:p>
        </w:tc>
        <w:tc>
          <w:tcPr>
            <w:tcW w:w="1364" w:type="dxa"/>
            <w:vAlign w:val="top"/>
          </w:tcPr>
          <w:p w14:paraId="53B2491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55.96</w:t>
            </w:r>
          </w:p>
        </w:tc>
        <w:tc>
          <w:tcPr>
            <w:tcW w:w="1364" w:type="dxa"/>
            <w:vAlign w:val="top"/>
          </w:tcPr>
          <w:p w14:paraId="2AACA1D5">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+44.04</w:t>
            </w:r>
          </w:p>
        </w:tc>
        <w:tc>
          <w:tcPr>
            <w:tcW w:w="1364" w:type="dxa"/>
            <w:vAlign w:val="top"/>
          </w:tcPr>
          <w:p w14:paraId="7E0B9EF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0160388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26, 2021</w:t>
            </w:r>
          </w:p>
        </w:tc>
      </w:tr>
      <w:tr w14:paraId="33D5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09D8AA0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Oct 02, 2022</w:t>
            </w:r>
          </w:p>
        </w:tc>
        <w:tc>
          <w:tcPr>
            <w:tcW w:w="1364" w:type="dxa"/>
            <w:vAlign w:val="top"/>
          </w:tcPr>
          <w:p w14:paraId="340E9911">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36</w:t>
            </w:r>
          </w:p>
        </w:tc>
        <w:tc>
          <w:tcPr>
            <w:tcW w:w="1364" w:type="dxa"/>
            <w:vAlign w:val="top"/>
          </w:tcPr>
          <w:p w14:paraId="0A2E774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91.67</w:t>
            </w:r>
          </w:p>
        </w:tc>
        <w:tc>
          <w:tcPr>
            <w:tcW w:w="1364" w:type="dxa"/>
            <w:vAlign w:val="top"/>
          </w:tcPr>
          <w:p w14:paraId="4B452DB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−8.33 pp</w:t>
            </w:r>
          </w:p>
        </w:tc>
        <w:tc>
          <w:tcPr>
            <w:tcW w:w="1364" w:type="dxa"/>
            <w:vAlign w:val="top"/>
          </w:tcPr>
          <w:p w14:paraId="154B000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54.43</w:t>
            </w:r>
          </w:p>
        </w:tc>
        <w:tc>
          <w:tcPr>
            <w:tcW w:w="1364" w:type="dxa"/>
            <w:vAlign w:val="top"/>
          </w:tcPr>
          <w:p w14:paraId="676536E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+37.24</w:t>
            </w:r>
          </w:p>
        </w:tc>
        <w:tc>
          <w:tcPr>
            <w:tcW w:w="1364" w:type="dxa"/>
            <w:vAlign w:val="top"/>
          </w:tcPr>
          <w:p w14:paraId="1AC4B877">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35C4123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Oct 02, 2022</w:t>
            </w:r>
          </w:p>
        </w:tc>
      </w:tr>
      <w:tr w14:paraId="02A2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4886CAA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 19, 2023</w:t>
            </w:r>
          </w:p>
        </w:tc>
        <w:tc>
          <w:tcPr>
            <w:tcW w:w="1364" w:type="dxa"/>
            <w:vAlign w:val="top"/>
          </w:tcPr>
          <w:p w14:paraId="042D5B9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19</w:t>
            </w:r>
          </w:p>
        </w:tc>
        <w:tc>
          <w:tcPr>
            <w:tcW w:w="1364" w:type="dxa"/>
            <w:vAlign w:val="top"/>
          </w:tcPr>
          <w:p w14:paraId="7DBB600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57.89</w:t>
            </w:r>
          </w:p>
        </w:tc>
        <w:tc>
          <w:tcPr>
            <w:tcW w:w="1364" w:type="dxa"/>
            <w:vAlign w:val="top"/>
          </w:tcPr>
          <w:p w14:paraId="246F371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−33.78 pp</w:t>
            </w:r>
          </w:p>
        </w:tc>
        <w:tc>
          <w:tcPr>
            <w:tcW w:w="1364" w:type="dxa"/>
            <w:vAlign w:val="top"/>
          </w:tcPr>
          <w:p w14:paraId="2B15E15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40.76</w:t>
            </w:r>
          </w:p>
        </w:tc>
        <w:tc>
          <w:tcPr>
            <w:tcW w:w="1364" w:type="dxa"/>
            <w:vAlign w:val="top"/>
          </w:tcPr>
          <w:p w14:paraId="7FE7838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+17.13</w:t>
            </w:r>
          </w:p>
        </w:tc>
        <w:tc>
          <w:tcPr>
            <w:tcW w:w="1364" w:type="dxa"/>
            <w:vAlign w:val="top"/>
          </w:tcPr>
          <w:p w14:paraId="2EE1DBE7">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7FCDDA7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 19, 2023</w:t>
            </w:r>
          </w:p>
        </w:tc>
      </w:tr>
      <w:tr w14:paraId="3597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0FA89317">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24, 2023</w:t>
            </w:r>
          </w:p>
        </w:tc>
        <w:tc>
          <w:tcPr>
            <w:tcW w:w="1364" w:type="dxa"/>
            <w:vAlign w:val="top"/>
          </w:tcPr>
          <w:p w14:paraId="57D4AF7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w:t>
            </w:r>
          </w:p>
        </w:tc>
        <w:tc>
          <w:tcPr>
            <w:tcW w:w="1364" w:type="dxa"/>
            <w:vAlign w:val="top"/>
          </w:tcPr>
          <w:p w14:paraId="5D3FADA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100.00</w:t>
            </w:r>
          </w:p>
        </w:tc>
        <w:tc>
          <w:tcPr>
            <w:tcW w:w="1364" w:type="dxa"/>
            <w:vAlign w:val="top"/>
          </w:tcPr>
          <w:p w14:paraId="5AD7FBC6">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+42.11 pp</w:t>
            </w:r>
          </w:p>
        </w:tc>
        <w:tc>
          <w:tcPr>
            <w:tcW w:w="1364" w:type="dxa"/>
            <w:vAlign w:val="top"/>
          </w:tcPr>
          <w:p w14:paraId="6028B31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47.01</w:t>
            </w:r>
          </w:p>
        </w:tc>
        <w:tc>
          <w:tcPr>
            <w:tcW w:w="1364" w:type="dxa"/>
            <w:vAlign w:val="top"/>
          </w:tcPr>
          <w:p w14:paraId="36E6BF3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+52.99</w:t>
            </w:r>
          </w:p>
        </w:tc>
        <w:tc>
          <w:tcPr>
            <w:tcW w:w="1364" w:type="dxa"/>
            <w:vAlign w:val="top"/>
          </w:tcPr>
          <w:p w14:paraId="2BC66BE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27A3C37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24, 2023</w:t>
            </w:r>
          </w:p>
        </w:tc>
      </w:tr>
      <w:tr w14:paraId="357C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7101133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 17, 2024</w:t>
            </w:r>
          </w:p>
        </w:tc>
        <w:tc>
          <w:tcPr>
            <w:tcW w:w="1364" w:type="dxa"/>
            <w:vAlign w:val="top"/>
          </w:tcPr>
          <w:p w14:paraId="0195895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10</w:t>
            </w:r>
          </w:p>
        </w:tc>
        <w:tc>
          <w:tcPr>
            <w:tcW w:w="1364" w:type="dxa"/>
            <w:vAlign w:val="top"/>
          </w:tcPr>
          <w:p w14:paraId="0640D7D5">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70.00</w:t>
            </w:r>
          </w:p>
        </w:tc>
        <w:tc>
          <w:tcPr>
            <w:tcW w:w="1364" w:type="dxa"/>
            <w:vAlign w:val="top"/>
          </w:tcPr>
          <w:p w14:paraId="12D7C0F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−30.00 pp</w:t>
            </w:r>
          </w:p>
        </w:tc>
        <w:tc>
          <w:tcPr>
            <w:tcW w:w="1364" w:type="dxa"/>
            <w:vAlign w:val="top"/>
          </w:tcPr>
          <w:p w14:paraId="7593E09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46.67</w:t>
            </w:r>
          </w:p>
        </w:tc>
        <w:tc>
          <w:tcPr>
            <w:tcW w:w="1364" w:type="dxa"/>
            <w:vAlign w:val="top"/>
          </w:tcPr>
          <w:p w14:paraId="1986EFF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+23.33</w:t>
            </w:r>
          </w:p>
        </w:tc>
        <w:tc>
          <w:tcPr>
            <w:tcW w:w="1364" w:type="dxa"/>
            <w:vAlign w:val="top"/>
          </w:tcPr>
          <w:p w14:paraId="21D9A20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31475FB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 17, 2024</w:t>
            </w:r>
          </w:p>
        </w:tc>
      </w:tr>
      <w:tr w14:paraId="74DF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Align w:val="top"/>
          </w:tcPr>
          <w:p w14:paraId="5CAC780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29, 2024</w:t>
            </w:r>
          </w:p>
        </w:tc>
        <w:tc>
          <w:tcPr>
            <w:tcW w:w="1364" w:type="dxa"/>
            <w:vAlign w:val="top"/>
          </w:tcPr>
          <w:p w14:paraId="41BADA8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9</w:t>
            </w:r>
          </w:p>
        </w:tc>
        <w:tc>
          <w:tcPr>
            <w:tcW w:w="1364" w:type="dxa"/>
            <w:vAlign w:val="top"/>
          </w:tcPr>
          <w:p w14:paraId="118DBBB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88.89</w:t>
            </w:r>
          </w:p>
        </w:tc>
        <w:tc>
          <w:tcPr>
            <w:tcW w:w="1364" w:type="dxa"/>
            <w:vAlign w:val="top"/>
          </w:tcPr>
          <w:p w14:paraId="72A59D37">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 +18.89 pp</w:t>
            </w:r>
          </w:p>
        </w:tc>
        <w:tc>
          <w:tcPr>
            <w:tcW w:w="1364" w:type="dxa"/>
            <w:vAlign w:val="top"/>
          </w:tcPr>
          <w:p w14:paraId="26FBFA4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45.51</w:t>
            </w:r>
          </w:p>
        </w:tc>
        <w:tc>
          <w:tcPr>
            <w:tcW w:w="1364" w:type="dxa"/>
            <w:vAlign w:val="top"/>
          </w:tcPr>
          <w:p w14:paraId="7A35666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+43.38</w:t>
            </w:r>
          </w:p>
        </w:tc>
        <w:tc>
          <w:tcPr>
            <w:tcW w:w="1364" w:type="dxa"/>
            <w:vAlign w:val="top"/>
          </w:tcPr>
          <w:p w14:paraId="166C18F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c>
          <w:tcPr>
            <w:tcW w:w="1364" w:type="dxa"/>
            <w:vAlign w:val="top"/>
          </w:tcPr>
          <w:p w14:paraId="16ACF06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 29, 2024</w:t>
            </w:r>
          </w:p>
        </w:tc>
      </w:tr>
    </w:tbl>
    <w:p w14:paraId="4A85176E">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val="0"/>
          <w:bCs w:val="0"/>
          <w:i/>
          <w:iCs/>
          <w:sz w:val="18"/>
          <w:szCs w:val="18"/>
        </w:rPr>
        <w:t>Note. Period-on-period change computed relative to the immediately preceding qualifying period. Jun 2022 (n=1) excluded. Mean FBC advantage of +36.35 pp computed across six qualifying periods. National elementary rates sourced from official PRC announcements.</w:t>
      </w:r>
    </w:p>
    <w:p w14:paraId="3FDB06B7">
      <w:pPr>
        <w:spacing w:before="140" w:after="60" w:line="240" w:lineRule="auto"/>
        <w:jc w:val="left"/>
      </w:pPr>
      <w:r>
        <w:rPr>
          <w:rFonts w:ascii="Times New Roman" w:hAnsi="Times New Roman" w:eastAsia="Times New Roman" w:cs="Times New Roman"/>
          <w:b/>
          <w:bCs/>
          <w:i w:val="0"/>
          <w:iCs w:val="0"/>
          <w:sz w:val="24"/>
          <w:szCs w:val="24"/>
        </w:rPr>
        <w:t>Annual Aggregate FBC Performance (2021–2024)</w:t>
      </w:r>
    </w:p>
    <w:p w14:paraId="0030362F">
      <w:pPr>
        <w:spacing w:before="120" w:after="120" w:line="240" w:lineRule="auto"/>
        <w:jc w:val="both"/>
      </w:pPr>
      <w:r>
        <w:rPr>
          <w:rFonts w:ascii="Times New Roman" w:hAnsi="Times New Roman" w:eastAsia="Times New Roman" w:cs="Times New Roman"/>
          <w:b w:val="0"/>
          <w:bCs w:val="0"/>
          <w:i w:val="0"/>
          <w:iCs w:val="0"/>
          <w:sz w:val="24"/>
          <w:szCs w:val="24"/>
        </w:rPr>
        <w:t>Table 3 presents annual aggregate FBC performance, collapsing qualifying examination periods within each calendar year. Annual FBC advantages over national rates were positive in every year of the study period (2021–2024). The highest annual aggregate rate was recorded in 2021 (100.00%, n = 2), reflecting the small-cohort limitations noted above. The lowest annual aggregate was 2023 (61.90%, n = 21), which was also the year with the largest combined qualifying cohort and therefore the most statistically reliable annual estimate in the dataset. Notably, even in 2023, the FBC aggregate exceeded the national elementary average of approximately 43.89% by +18.01 percentage points. The upward trajectory from 2023 (61.90%) to 2024 (78.95%) represents the most substantively meaningful trend signal in the annual data, as both years involved cohorts of sufficient size to produce interpretable estimates.</w:t>
      </w:r>
    </w:p>
    <w:p w14:paraId="0CBA5062">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bCs/>
          <w:i w:val="0"/>
          <w:iCs w:val="0"/>
          <w:sz w:val="22"/>
          <w:szCs w:val="22"/>
        </w:rPr>
        <w:t>Table 3. Annual Aggregate FBC BEEd Performance vs. National Elementary Rate by Year</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9"/>
        <w:gridCol w:w="1559"/>
        <w:gridCol w:w="1559"/>
        <w:gridCol w:w="1559"/>
        <w:gridCol w:w="1559"/>
        <w:gridCol w:w="1559"/>
      </w:tblGrid>
      <w:tr w14:paraId="534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6F9269A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Year</w:t>
            </w:r>
          </w:p>
        </w:tc>
        <w:tc>
          <w:tcPr>
            <w:tcW w:w="1559" w:type="dxa"/>
            <w:vAlign w:val="top"/>
          </w:tcPr>
          <w:p w14:paraId="40A2B20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FBC Takers (n)</w:t>
            </w:r>
          </w:p>
        </w:tc>
        <w:tc>
          <w:tcPr>
            <w:tcW w:w="1559" w:type="dxa"/>
            <w:vAlign w:val="top"/>
          </w:tcPr>
          <w:p w14:paraId="7FEC403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FBC Passed</w:t>
            </w:r>
          </w:p>
        </w:tc>
        <w:tc>
          <w:tcPr>
            <w:tcW w:w="1559" w:type="dxa"/>
            <w:vAlign w:val="top"/>
          </w:tcPr>
          <w:p w14:paraId="5B62855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FBC Agg. Rate (%)</w:t>
            </w:r>
          </w:p>
        </w:tc>
        <w:tc>
          <w:tcPr>
            <w:tcW w:w="1559" w:type="dxa"/>
            <w:vAlign w:val="top"/>
          </w:tcPr>
          <w:p w14:paraId="7657D3A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National Elem. Rate (%)</w:t>
            </w:r>
          </w:p>
        </w:tc>
        <w:tc>
          <w:tcPr>
            <w:tcW w:w="1559" w:type="dxa"/>
            <w:vAlign w:val="top"/>
          </w:tcPr>
          <w:p w14:paraId="14B10BD6">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Advantage (pp)</w:t>
            </w:r>
          </w:p>
        </w:tc>
        <w:tc>
          <w:tcPr>
            <w:tcW w:w="1559" w:type="dxa"/>
            <w:vAlign w:val="top"/>
          </w:tcPr>
          <w:p w14:paraId="2558023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Qualifying Periods</w:t>
            </w:r>
          </w:p>
        </w:tc>
      </w:tr>
      <w:tr w14:paraId="36F0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1C6F59B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2021</w:t>
            </w:r>
          </w:p>
        </w:tc>
        <w:tc>
          <w:tcPr>
            <w:tcW w:w="1559" w:type="dxa"/>
            <w:vAlign w:val="top"/>
          </w:tcPr>
          <w:p w14:paraId="22C4036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w:t>
            </w:r>
          </w:p>
        </w:tc>
        <w:tc>
          <w:tcPr>
            <w:tcW w:w="1559" w:type="dxa"/>
            <w:vAlign w:val="top"/>
          </w:tcPr>
          <w:p w14:paraId="35507701">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w:t>
            </w:r>
          </w:p>
        </w:tc>
        <w:tc>
          <w:tcPr>
            <w:tcW w:w="1559" w:type="dxa"/>
            <w:vAlign w:val="top"/>
          </w:tcPr>
          <w:p w14:paraId="7D9403D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100.00</w:t>
            </w:r>
          </w:p>
        </w:tc>
        <w:tc>
          <w:tcPr>
            <w:tcW w:w="1559" w:type="dxa"/>
            <w:vAlign w:val="top"/>
          </w:tcPr>
          <w:p w14:paraId="1EC58C9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55.96</w:t>
            </w:r>
          </w:p>
        </w:tc>
        <w:tc>
          <w:tcPr>
            <w:tcW w:w="1559" w:type="dxa"/>
            <w:vAlign w:val="top"/>
          </w:tcPr>
          <w:p w14:paraId="1A485A5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+44.04</w:t>
            </w:r>
          </w:p>
        </w:tc>
        <w:tc>
          <w:tcPr>
            <w:tcW w:w="1559" w:type="dxa"/>
            <w:vAlign w:val="top"/>
          </w:tcPr>
          <w:p w14:paraId="4EC1232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 (Sep 2021)</w:t>
            </w:r>
          </w:p>
        </w:tc>
      </w:tr>
      <w:tr w14:paraId="0CDB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550F5A1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2022</w:t>
            </w:r>
          </w:p>
        </w:tc>
        <w:tc>
          <w:tcPr>
            <w:tcW w:w="1559" w:type="dxa"/>
            <w:vAlign w:val="top"/>
          </w:tcPr>
          <w:p w14:paraId="3FC69FF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36</w:t>
            </w:r>
          </w:p>
        </w:tc>
        <w:tc>
          <w:tcPr>
            <w:tcW w:w="1559" w:type="dxa"/>
            <w:vAlign w:val="top"/>
          </w:tcPr>
          <w:p w14:paraId="64B4B5D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33</w:t>
            </w:r>
          </w:p>
        </w:tc>
        <w:tc>
          <w:tcPr>
            <w:tcW w:w="1559" w:type="dxa"/>
            <w:vAlign w:val="top"/>
          </w:tcPr>
          <w:p w14:paraId="1F85E681">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91.67</w:t>
            </w:r>
          </w:p>
        </w:tc>
        <w:tc>
          <w:tcPr>
            <w:tcW w:w="1559" w:type="dxa"/>
            <w:vAlign w:val="top"/>
          </w:tcPr>
          <w:p w14:paraId="758FCA8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54.43</w:t>
            </w:r>
          </w:p>
        </w:tc>
        <w:tc>
          <w:tcPr>
            <w:tcW w:w="1559" w:type="dxa"/>
            <w:vAlign w:val="top"/>
          </w:tcPr>
          <w:p w14:paraId="0ED543A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+37.24</w:t>
            </w:r>
          </w:p>
        </w:tc>
        <w:tc>
          <w:tcPr>
            <w:tcW w:w="1559" w:type="dxa"/>
            <w:vAlign w:val="top"/>
          </w:tcPr>
          <w:p w14:paraId="5EA15D3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 (Oct 2022; Jun excl.)</w:t>
            </w:r>
          </w:p>
        </w:tc>
      </w:tr>
      <w:tr w14:paraId="15CB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1A918C05">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2023</w:t>
            </w:r>
          </w:p>
        </w:tc>
        <w:tc>
          <w:tcPr>
            <w:tcW w:w="1559" w:type="dxa"/>
            <w:vAlign w:val="top"/>
          </w:tcPr>
          <w:p w14:paraId="2EE318C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21</w:t>
            </w:r>
          </w:p>
        </w:tc>
        <w:tc>
          <w:tcPr>
            <w:tcW w:w="1559" w:type="dxa"/>
            <w:vAlign w:val="top"/>
          </w:tcPr>
          <w:p w14:paraId="356981E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13</w:t>
            </w:r>
          </w:p>
        </w:tc>
        <w:tc>
          <w:tcPr>
            <w:tcW w:w="1559" w:type="dxa"/>
            <w:vAlign w:val="top"/>
          </w:tcPr>
          <w:p w14:paraId="5402AFD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61.90</w:t>
            </w:r>
          </w:p>
        </w:tc>
        <w:tc>
          <w:tcPr>
            <w:tcW w:w="1559" w:type="dxa"/>
            <w:vAlign w:val="top"/>
          </w:tcPr>
          <w:p w14:paraId="68DF6F4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43.89 (avg)</w:t>
            </w:r>
          </w:p>
        </w:tc>
        <w:tc>
          <w:tcPr>
            <w:tcW w:w="1559" w:type="dxa"/>
            <w:vAlign w:val="top"/>
          </w:tcPr>
          <w:p w14:paraId="1254073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+18.01</w:t>
            </w:r>
          </w:p>
        </w:tc>
        <w:tc>
          <w:tcPr>
            <w:tcW w:w="1559" w:type="dxa"/>
            <w:vAlign w:val="top"/>
          </w:tcPr>
          <w:p w14:paraId="733DDBD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 (Mar + Sep 2023)</w:t>
            </w:r>
          </w:p>
        </w:tc>
      </w:tr>
      <w:tr w14:paraId="0A4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7EE3213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2024</w:t>
            </w:r>
          </w:p>
        </w:tc>
        <w:tc>
          <w:tcPr>
            <w:tcW w:w="1559" w:type="dxa"/>
            <w:vAlign w:val="top"/>
          </w:tcPr>
          <w:p w14:paraId="449D110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19</w:t>
            </w:r>
          </w:p>
        </w:tc>
        <w:tc>
          <w:tcPr>
            <w:tcW w:w="1559" w:type="dxa"/>
            <w:vAlign w:val="top"/>
          </w:tcPr>
          <w:p w14:paraId="1716EC3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15</w:t>
            </w:r>
          </w:p>
        </w:tc>
        <w:tc>
          <w:tcPr>
            <w:tcW w:w="1559" w:type="dxa"/>
            <w:vAlign w:val="top"/>
          </w:tcPr>
          <w:p w14:paraId="26733AAD">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78.95</w:t>
            </w:r>
          </w:p>
        </w:tc>
        <w:tc>
          <w:tcPr>
            <w:tcW w:w="1559" w:type="dxa"/>
            <w:vAlign w:val="top"/>
          </w:tcPr>
          <w:p w14:paraId="544AA42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46.09 (avg)</w:t>
            </w:r>
          </w:p>
        </w:tc>
        <w:tc>
          <w:tcPr>
            <w:tcW w:w="1559" w:type="dxa"/>
            <w:vAlign w:val="top"/>
          </w:tcPr>
          <w:p w14:paraId="1B3FB6C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+32.86</w:t>
            </w:r>
          </w:p>
        </w:tc>
        <w:tc>
          <w:tcPr>
            <w:tcW w:w="1559" w:type="dxa"/>
            <w:vAlign w:val="top"/>
          </w:tcPr>
          <w:p w14:paraId="27D7242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2 (Mar + Sep 2024)</w:t>
            </w:r>
          </w:p>
        </w:tc>
      </w:tr>
      <w:tr w14:paraId="64A8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top"/>
          </w:tcPr>
          <w:p w14:paraId="3FF7A9D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Total / Mean</w:t>
            </w:r>
          </w:p>
        </w:tc>
        <w:tc>
          <w:tcPr>
            <w:tcW w:w="1559" w:type="dxa"/>
            <w:vAlign w:val="top"/>
          </w:tcPr>
          <w:p w14:paraId="5D8F1BD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78</w:t>
            </w:r>
          </w:p>
        </w:tc>
        <w:tc>
          <w:tcPr>
            <w:tcW w:w="1559" w:type="dxa"/>
            <w:vAlign w:val="top"/>
          </w:tcPr>
          <w:p w14:paraId="66D0E53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63</w:t>
            </w:r>
          </w:p>
        </w:tc>
        <w:tc>
          <w:tcPr>
            <w:tcW w:w="1559" w:type="dxa"/>
            <w:vAlign w:val="top"/>
          </w:tcPr>
          <w:p w14:paraId="627CC56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80.77</w:t>
            </w:r>
          </w:p>
        </w:tc>
        <w:tc>
          <w:tcPr>
            <w:tcW w:w="1559" w:type="dxa"/>
            <w:vAlign w:val="top"/>
          </w:tcPr>
          <w:p w14:paraId="444B671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w:t>
            </w:r>
          </w:p>
        </w:tc>
        <w:tc>
          <w:tcPr>
            <w:tcW w:w="1559" w:type="dxa"/>
            <w:vAlign w:val="top"/>
          </w:tcPr>
          <w:p w14:paraId="76664EB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+36.35 (mean)</w:t>
            </w:r>
          </w:p>
        </w:tc>
        <w:tc>
          <w:tcPr>
            <w:tcW w:w="1559" w:type="dxa"/>
            <w:vAlign w:val="top"/>
          </w:tcPr>
          <w:p w14:paraId="60FF199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6 qualifying periods</w:t>
            </w:r>
          </w:p>
        </w:tc>
      </w:tr>
    </w:tbl>
    <w:p w14:paraId="53573936">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val="0"/>
          <w:bCs w:val="0"/>
          <w:i/>
          <w:iCs/>
          <w:sz w:val="18"/>
          <w:szCs w:val="18"/>
        </w:rPr>
        <w:t>Note. Annual aggregates computed from qualifying periods (n ≥ 2) only. Jun 2022 (n=1) excluded. For years with two qualifying periods, national rates are averaged across those periods. Aggregate passing rate across all 78 qualifying takers = 80.77%.</w:t>
      </w:r>
    </w:p>
    <w:p w14:paraId="1FC2E89E">
      <w:pPr>
        <w:spacing w:before="120" w:after="120" w:line="240" w:lineRule="auto"/>
        <w:jc w:val="both"/>
      </w:pPr>
      <w:r>
        <w:rPr>
          <w:rFonts w:ascii="Times New Roman" w:hAnsi="Times New Roman" w:eastAsia="Times New Roman" w:cs="Times New Roman"/>
          <w:b w:val="0"/>
          <w:bCs w:val="0"/>
          <w:i w:val="0"/>
          <w:iCs w:val="0"/>
          <w:sz w:val="24"/>
          <w:szCs w:val="24"/>
        </w:rPr>
        <w:t>These annual trends are broadly consistent with patterns documented in the Philippine LET literature. Segumpan et al. (2025) found that above-national LET pass rates reflect programmatic strengths in curriculum delivery while coexisting with year-to-year variability, particularly in programs with small and fluctuating cohort sizes. The FBC 2023–2024 recovery pattern — from 61.90% to 78.95% — is consistent with the natural cohort-level fluctuations described by Abao et al. (2023) rather than evidence of sustained decline or recovery driven by programmatic intervention.</w:t>
      </w:r>
    </w:p>
    <w:p w14:paraId="2A392A69">
      <w:pPr>
        <w:spacing w:before="140" w:after="60" w:line="240" w:lineRule="auto"/>
        <w:jc w:val="left"/>
      </w:pPr>
      <w:r>
        <w:rPr>
          <w:rFonts w:ascii="Times New Roman" w:hAnsi="Times New Roman" w:eastAsia="Times New Roman" w:cs="Times New Roman"/>
          <w:b/>
          <w:bCs/>
          <w:i w:val="0"/>
          <w:iCs w:val="0"/>
          <w:sz w:val="24"/>
          <w:szCs w:val="24"/>
        </w:rPr>
        <w:t>Linear Regression Forecast (2025–2027)</w:t>
      </w:r>
    </w:p>
    <w:p w14:paraId="4C2A41D5">
      <w:pPr>
        <w:spacing w:before="120" w:after="120" w:line="240" w:lineRule="auto"/>
        <w:jc w:val="both"/>
      </w:pPr>
      <w:r>
        <w:rPr>
          <w:rFonts w:ascii="Times New Roman" w:hAnsi="Times New Roman" w:eastAsia="Times New Roman" w:cs="Times New Roman"/>
          <w:b w:val="0"/>
          <w:bCs w:val="0"/>
          <w:i w:val="0"/>
          <w:iCs w:val="0"/>
          <w:sz w:val="24"/>
          <w:szCs w:val="24"/>
        </w:rPr>
        <w:t>Ordinary least squares linear regression applied to the six qualifying FBC data points produced the following equation:</w:t>
      </w:r>
    </w:p>
    <w:p w14:paraId="7829EF24">
      <w:pPr>
        <w:spacing w:before="100" w:after="100" w:line="240" w:lineRule="auto"/>
        <w:jc w:val="center"/>
      </w:pPr>
      <w:r>
        <w:rPr>
          <w:rFonts w:ascii="Times New Roman" w:hAnsi="Times New Roman" w:eastAsia="Times New Roman" w:cs="Times New Roman"/>
          <w:b/>
          <w:bCs/>
          <w:i/>
          <w:iCs/>
          <w:sz w:val="24"/>
          <w:szCs w:val="24"/>
        </w:rPr>
        <w:t>ŷ = 92.587 − 2.241x   (R² = 0.060, n = 6)</w:t>
      </w:r>
    </w:p>
    <w:p w14:paraId="56046D58">
      <w:pPr>
        <w:spacing w:before="120" w:after="120" w:line="240" w:lineRule="auto"/>
        <w:jc w:val="both"/>
      </w:pPr>
      <w:r>
        <w:rPr>
          <w:rFonts w:ascii="Times New Roman" w:hAnsi="Times New Roman" w:eastAsia="Times New Roman" w:cs="Times New Roman"/>
          <w:b w:val="0"/>
          <w:bCs w:val="0"/>
          <w:i w:val="0"/>
          <w:iCs w:val="0"/>
          <w:sz w:val="24"/>
          <w:szCs w:val="24"/>
        </w:rPr>
        <w:t>The negative slope (b = −2.241) reflects the composite effect of the early high values (100.00% and 91.67%), the March 2023 dip (57.89%), and the partial recovery in 2024 (70.00% and 88.89%) on the OLS line-fitting algorithm. The R² of 0.060 indicates that the linear model explains only 6% of the variance in FBC rates — a finding that is statistically expected given the small sample size, high period-to-period variability, and the known influence of cohort size on individual rate estimates. Critically, the downward direction of the regression line is a mathematical artifact of OLS applied to a short, volatile series in which extreme early observations disproportionately anchor the intercept and pull the slope negative, even though the three most recent qualifying periods have averaged 86.3% (Hyndman &amp; Koehler, 2006). This artifact should not be interpreted as evidence of programmatic decline; the low R² itself confirms that the straight line is a poor fit to the actual data trajectory.</w:t>
      </w:r>
    </w:p>
    <w:p w14:paraId="711FFFA8">
      <w:pPr>
        <w:spacing w:before="120" w:after="120" w:line="240" w:lineRule="auto"/>
        <w:jc w:val="both"/>
      </w:pPr>
      <w:r>
        <w:rPr>
          <w:rFonts w:ascii="Times New Roman" w:hAnsi="Times New Roman" w:eastAsia="Times New Roman" w:cs="Times New Roman"/>
          <w:b w:val="0"/>
          <w:bCs w:val="0"/>
          <w:i w:val="0"/>
          <w:iCs w:val="0"/>
          <w:sz w:val="24"/>
          <w:szCs w:val="24"/>
        </w:rPr>
        <w:t>Table 4 presents projected FBC rates for March 2025 through September 2027. All six projected values (76.90% to 65.69%) remain substantially above the recent national elementary passing rate range of approximately 45–47%, with the narrowest projected advantage of +18.69 pp (September 2027 at 65.69% versus ~47.00%). The ±13.12 pp MAE-based uncertainty bounds reflect the average magnitude of forecast error observed across the six historical data points; the wide residual spread (observed values ranging from 57.89% to 100.00% against fitted values of 90.35% to 79.15%) underscores the need for caution in treating these projections as anything more than directional indicators.</w:t>
      </w:r>
    </w:p>
    <w:p w14:paraId="3BBC49FD">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bCs/>
          <w:i w:val="0"/>
          <w:iCs w:val="0"/>
          <w:sz w:val="22"/>
          <w:szCs w:val="22"/>
        </w:rPr>
        <w:t>Table 4. OLS Linear Regression Forecast — FBC BEEd First-Time Passing Rate (2025–2027)</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818"/>
        <w:gridCol w:w="1819"/>
        <w:gridCol w:w="1819"/>
        <w:gridCol w:w="1819"/>
        <w:gridCol w:w="1819"/>
      </w:tblGrid>
      <w:tr w14:paraId="4CF9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3F10CE2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Examination Period</w:t>
            </w:r>
          </w:p>
        </w:tc>
        <w:tc>
          <w:tcPr>
            <w:tcW w:w="1818" w:type="dxa"/>
            <w:vAlign w:val="top"/>
          </w:tcPr>
          <w:p w14:paraId="55B961A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x</w:t>
            </w:r>
          </w:p>
        </w:tc>
        <w:tc>
          <w:tcPr>
            <w:tcW w:w="1819" w:type="dxa"/>
            <w:vAlign w:val="top"/>
          </w:tcPr>
          <w:p w14:paraId="3DC64CA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Projected FBC Rate (%)</w:t>
            </w:r>
          </w:p>
        </w:tc>
        <w:tc>
          <w:tcPr>
            <w:tcW w:w="1819" w:type="dxa"/>
            <w:vAlign w:val="top"/>
          </w:tcPr>
          <w:p w14:paraId="031CCCB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Lower Bound (−13.12 pp)</w:t>
            </w:r>
          </w:p>
        </w:tc>
        <w:tc>
          <w:tcPr>
            <w:tcW w:w="1819" w:type="dxa"/>
            <w:vAlign w:val="top"/>
          </w:tcPr>
          <w:p w14:paraId="6402607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Upper Bound (+13.12 pp)</w:t>
            </w:r>
          </w:p>
        </w:tc>
        <w:tc>
          <w:tcPr>
            <w:tcW w:w="1819" w:type="dxa"/>
            <w:vAlign w:val="top"/>
          </w:tcPr>
          <w:p w14:paraId="4D7D502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bCs/>
                <w:i w:val="0"/>
                <w:iCs w:val="0"/>
                <w:sz w:val="20"/>
                <w:szCs w:val="20"/>
              </w:rPr>
              <w:t>vs. National (~45–47%)</w:t>
            </w:r>
          </w:p>
        </w:tc>
      </w:tr>
      <w:tr w14:paraId="757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16ABB7F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March 2025</w:t>
            </w:r>
          </w:p>
        </w:tc>
        <w:tc>
          <w:tcPr>
            <w:tcW w:w="1818" w:type="dxa"/>
            <w:vAlign w:val="top"/>
          </w:tcPr>
          <w:p w14:paraId="57DC149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w:t>
            </w:r>
          </w:p>
        </w:tc>
        <w:tc>
          <w:tcPr>
            <w:tcW w:w="1819" w:type="dxa"/>
            <w:vAlign w:val="top"/>
          </w:tcPr>
          <w:p w14:paraId="3118F5F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76.90</w:t>
            </w:r>
          </w:p>
        </w:tc>
        <w:tc>
          <w:tcPr>
            <w:tcW w:w="1819" w:type="dxa"/>
            <w:vAlign w:val="top"/>
          </w:tcPr>
          <w:p w14:paraId="5194B97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63.78</w:t>
            </w:r>
          </w:p>
        </w:tc>
        <w:tc>
          <w:tcPr>
            <w:tcW w:w="1819" w:type="dxa"/>
            <w:vAlign w:val="top"/>
          </w:tcPr>
          <w:p w14:paraId="7DF1536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90.02</w:t>
            </w:r>
          </w:p>
        </w:tc>
        <w:tc>
          <w:tcPr>
            <w:tcW w:w="1819" w:type="dxa"/>
            <w:vAlign w:val="top"/>
          </w:tcPr>
          <w:p w14:paraId="13A20E3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r w14:paraId="3CDF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4D89FDE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September 2025</w:t>
            </w:r>
          </w:p>
        </w:tc>
        <w:tc>
          <w:tcPr>
            <w:tcW w:w="1818" w:type="dxa"/>
            <w:vAlign w:val="top"/>
          </w:tcPr>
          <w:p w14:paraId="1BAD2B3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w:t>
            </w:r>
          </w:p>
        </w:tc>
        <w:tc>
          <w:tcPr>
            <w:tcW w:w="1819" w:type="dxa"/>
            <w:vAlign w:val="top"/>
          </w:tcPr>
          <w:p w14:paraId="08585C11">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74.66</w:t>
            </w:r>
          </w:p>
        </w:tc>
        <w:tc>
          <w:tcPr>
            <w:tcW w:w="1819" w:type="dxa"/>
            <w:vAlign w:val="top"/>
          </w:tcPr>
          <w:p w14:paraId="11C4ED7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61.54</w:t>
            </w:r>
          </w:p>
        </w:tc>
        <w:tc>
          <w:tcPr>
            <w:tcW w:w="1819" w:type="dxa"/>
            <w:vAlign w:val="top"/>
          </w:tcPr>
          <w:p w14:paraId="4D5ECCB6">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87.78</w:t>
            </w:r>
          </w:p>
        </w:tc>
        <w:tc>
          <w:tcPr>
            <w:tcW w:w="1819" w:type="dxa"/>
            <w:vAlign w:val="top"/>
          </w:tcPr>
          <w:p w14:paraId="4D06B6E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r w14:paraId="52E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55DAED05">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March 2026</w:t>
            </w:r>
          </w:p>
        </w:tc>
        <w:tc>
          <w:tcPr>
            <w:tcW w:w="1818" w:type="dxa"/>
            <w:vAlign w:val="top"/>
          </w:tcPr>
          <w:p w14:paraId="6F6326A9">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9</w:t>
            </w:r>
          </w:p>
        </w:tc>
        <w:tc>
          <w:tcPr>
            <w:tcW w:w="1819" w:type="dxa"/>
            <w:vAlign w:val="top"/>
          </w:tcPr>
          <w:p w14:paraId="643FDF1A">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72.42</w:t>
            </w:r>
          </w:p>
        </w:tc>
        <w:tc>
          <w:tcPr>
            <w:tcW w:w="1819" w:type="dxa"/>
            <w:vAlign w:val="top"/>
          </w:tcPr>
          <w:p w14:paraId="4E38E1F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59.30</w:t>
            </w:r>
          </w:p>
        </w:tc>
        <w:tc>
          <w:tcPr>
            <w:tcW w:w="1819" w:type="dxa"/>
            <w:vAlign w:val="top"/>
          </w:tcPr>
          <w:p w14:paraId="3C6789F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85.53</w:t>
            </w:r>
          </w:p>
        </w:tc>
        <w:tc>
          <w:tcPr>
            <w:tcW w:w="1819" w:type="dxa"/>
            <w:vAlign w:val="top"/>
          </w:tcPr>
          <w:p w14:paraId="3B8D07E3">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r w14:paraId="7B86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5F27DAD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September 2026</w:t>
            </w:r>
          </w:p>
        </w:tc>
        <w:tc>
          <w:tcPr>
            <w:tcW w:w="1818" w:type="dxa"/>
            <w:vAlign w:val="top"/>
          </w:tcPr>
          <w:p w14:paraId="275FB83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10</w:t>
            </w:r>
          </w:p>
        </w:tc>
        <w:tc>
          <w:tcPr>
            <w:tcW w:w="1819" w:type="dxa"/>
            <w:vAlign w:val="top"/>
          </w:tcPr>
          <w:p w14:paraId="33CFB01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70.18</w:t>
            </w:r>
          </w:p>
        </w:tc>
        <w:tc>
          <w:tcPr>
            <w:tcW w:w="1819" w:type="dxa"/>
            <w:vAlign w:val="top"/>
          </w:tcPr>
          <w:p w14:paraId="6C3A890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57.06</w:t>
            </w:r>
          </w:p>
        </w:tc>
        <w:tc>
          <w:tcPr>
            <w:tcW w:w="1819" w:type="dxa"/>
            <w:vAlign w:val="top"/>
          </w:tcPr>
          <w:p w14:paraId="089A0FD1">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83.29</w:t>
            </w:r>
          </w:p>
        </w:tc>
        <w:tc>
          <w:tcPr>
            <w:tcW w:w="1819" w:type="dxa"/>
            <w:vAlign w:val="top"/>
          </w:tcPr>
          <w:p w14:paraId="2590E01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r w14:paraId="340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21F9B908">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March 2027</w:t>
            </w:r>
          </w:p>
        </w:tc>
        <w:tc>
          <w:tcPr>
            <w:tcW w:w="1818" w:type="dxa"/>
            <w:vAlign w:val="top"/>
          </w:tcPr>
          <w:p w14:paraId="3D05E07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11</w:t>
            </w:r>
          </w:p>
        </w:tc>
        <w:tc>
          <w:tcPr>
            <w:tcW w:w="1819" w:type="dxa"/>
            <w:vAlign w:val="top"/>
          </w:tcPr>
          <w:p w14:paraId="714C700F">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67.94</w:t>
            </w:r>
          </w:p>
        </w:tc>
        <w:tc>
          <w:tcPr>
            <w:tcW w:w="1819" w:type="dxa"/>
            <w:vAlign w:val="top"/>
          </w:tcPr>
          <w:p w14:paraId="17A70C70">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54.82</w:t>
            </w:r>
          </w:p>
        </w:tc>
        <w:tc>
          <w:tcPr>
            <w:tcW w:w="1819" w:type="dxa"/>
            <w:vAlign w:val="top"/>
          </w:tcPr>
          <w:p w14:paraId="0E2BE35B">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81.05</w:t>
            </w:r>
          </w:p>
        </w:tc>
        <w:tc>
          <w:tcPr>
            <w:tcW w:w="1819" w:type="dxa"/>
            <w:vAlign w:val="top"/>
          </w:tcPr>
          <w:p w14:paraId="1F54DCC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r w14:paraId="7DAC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vAlign w:val="top"/>
          </w:tcPr>
          <w:p w14:paraId="5D6B108E">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September 2027</w:t>
            </w:r>
          </w:p>
        </w:tc>
        <w:tc>
          <w:tcPr>
            <w:tcW w:w="1818" w:type="dxa"/>
            <w:vAlign w:val="top"/>
          </w:tcPr>
          <w:p w14:paraId="136DE967">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12</w:t>
            </w:r>
          </w:p>
        </w:tc>
        <w:tc>
          <w:tcPr>
            <w:tcW w:w="1819" w:type="dxa"/>
            <w:vAlign w:val="top"/>
          </w:tcPr>
          <w:p w14:paraId="0A83215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65.69</w:t>
            </w:r>
          </w:p>
        </w:tc>
        <w:tc>
          <w:tcPr>
            <w:tcW w:w="1819" w:type="dxa"/>
            <w:vAlign w:val="top"/>
          </w:tcPr>
          <w:p w14:paraId="7B724B2C">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52.58</w:t>
            </w:r>
          </w:p>
        </w:tc>
        <w:tc>
          <w:tcPr>
            <w:tcW w:w="1819" w:type="dxa"/>
            <w:vAlign w:val="top"/>
          </w:tcPr>
          <w:p w14:paraId="0E92C142">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78.81</w:t>
            </w:r>
          </w:p>
        </w:tc>
        <w:tc>
          <w:tcPr>
            <w:tcW w:w="1819" w:type="dxa"/>
            <w:vAlign w:val="top"/>
          </w:tcPr>
          <w:p w14:paraId="0DEB5AB4">
            <w:pPr>
              <w:widowControl w:val="0"/>
              <w:spacing w:before="40" w:after="40"/>
              <w:jc w:val="center"/>
              <w:rPr>
                <w:rFonts w:ascii="Times New Roman" w:hAnsi="Times New Roman" w:eastAsia="Times New Roman" w:cs="Times New Roman"/>
                <w:b/>
                <w:bCs/>
                <w:i w:val="0"/>
                <w:iCs w:val="0"/>
                <w:sz w:val="22"/>
                <w:szCs w:val="22"/>
                <w:vertAlign w:val="baseline"/>
              </w:rPr>
            </w:pPr>
            <w:r>
              <w:rPr>
                <w:rFonts w:ascii="Times New Roman" w:hAnsi="Times New Roman" w:eastAsia="Times New Roman" w:cs="Times New Roman"/>
                <w:b w:val="0"/>
                <w:bCs w:val="0"/>
                <w:i w:val="0"/>
                <w:iCs w:val="0"/>
                <w:sz w:val="20"/>
                <w:szCs w:val="20"/>
              </w:rPr>
              <w:t>Above</w:t>
            </w:r>
          </w:p>
        </w:tc>
      </w:tr>
    </w:tbl>
    <w:p w14:paraId="699431F6">
      <w:pPr>
        <w:spacing w:before="160" w:after="60"/>
        <w:jc w:val="left"/>
        <w:rPr>
          <w:rFonts w:ascii="Times New Roman" w:hAnsi="Times New Roman" w:eastAsia="Times New Roman" w:cs="Times New Roman"/>
          <w:b/>
          <w:bCs/>
          <w:i w:val="0"/>
          <w:iCs w:val="0"/>
          <w:sz w:val="22"/>
          <w:szCs w:val="22"/>
        </w:rPr>
      </w:pPr>
      <w:r>
        <w:rPr>
          <w:rFonts w:ascii="Times New Roman" w:hAnsi="Times New Roman" w:eastAsia="Times New Roman" w:cs="Times New Roman"/>
          <w:b w:val="0"/>
          <w:bCs w:val="0"/>
          <w:i/>
          <w:iCs/>
          <w:sz w:val="18"/>
          <w:szCs w:val="18"/>
        </w:rPr>
        <w:t>Note. Regression equation: ŷ = 92.587 − 2.241x (R² = 0.060). x = 1–6: qualifying FBC periods (Sep 2021–Sep 2024); x = 7–12: forecast periods. Uncertainty bounds are MAE-based (±13.12 pp, Mean Absolute Error of six regression residuals) and should not be interpreted as formal 95% confidence intervals; a formal OLS prediction interval at x = 7 yields approximately ±70 pp — too wide to be informative given n = 6 (Hyndman &amp; Koehler, 2006). All projections are directional estimates only.</w:t>
      </w:r>
    </w:p>
    <w:p w14:paraId="4483931D">
      <w:pPr>
        <w:spacing w:before="120" w:after="120" w:line="240" w:lineRule="auto"/>
        <w:jc w:val="both"/>
      </w:pPr>
      <w:r>
        <w:rPr>
          <w:rFonts w:ascii="Times New Roman" w:hAnsi="Times New Roman" w:eastAsia="Times New Roman" w:cs="Times New Roman"/>
          <w:b w:val="0"/>
          <w:bCs w:val="0"/>
          <w:i w:val="0"/>
          <w:iCs w:val="0"/>
          <w:sz w:val="24"/>
          <w:szCs w:val="24"/>
        </w:rPr>
        <w:t>These forecasting limitations reinforce the recommendations of Acoba (2024), Diwag (2025), and Rokach (2010) for advanced modeling approaches once institutional datasets achieve sufficient depth. At the same time, the consistent above-national projections across all six forecast periods — even under the conservative downward-sloping OLS model — provide an empirically grounded basis for qualified institutional optimism about FBC BEEd examinees' continued relative performance advantage, subject to the caveat that cohort-size stability and pre-examination preparation quality are maintained.</w:t>
      </w:r>
    </w:p>
    <w:p w14:paraId="35510376">
      <w:pPr>
        <w:spacing w:before="200" w:after="100" w:line="240" w:lineRule="auto"/>
        <w:jc w:val="left"/>
      </w:pPr>
      <w:r>
        <w:rPr>
          <w:rFonts w:ascii="Times New Roman" w:hAnsi="Times New Roman" w:eastAsia="Times New Roman" w:cs="Times New Roman"/>
          <w:b/>
          <w:bCs/>
          <w:i w:val="0"/>
          <w:iCs w:val="0"/>
          <w:sz w:val="28"/>
          <w:szCs w:val="28"/>
        </w:rPr>
        <w:t>LIMITATIONS OF THE STUDY</w:t>
      </w:r>
    </w:p>
    <w:p w14:paraId="348C037C">
      <w:pPr>
        <w:spacing w:before="120" w:after="120" w:line="240" w:lineRule="auto"/>
        <w:jc w:val="both"/>
      </w:pPr>
      <w:r>
        <w:rPr>
          <w:rFonts w:ascii="Times New Roman" w:hAnsi="Times New Roman" w:eastAsia="Times New Roman" w:cs="Times New Roman"/>
          <w:b w:val="0"/>
          <w:bCs w:val="0"/>
          <w:i w:val="0"/>
          <w:iCs w:val="0"/>
          <w:sz w:val="24"/>
          <w:szCs w:val="24"/>
        </w:rPr>
        <w:t>While this study provides a systematic and empirically grounded institutional baseline, several limitations must be acknowledged. First, the study is restricted to a single institution — Fellowship Baptist College — and to one board program (BEEd), which limits the generalizability of the findings to other TEIs or other licensure programs. Second, the analytical dataset comprised only six qualifying examination periods (n = 6), falling well below the threshold for reliable time-series modeling; the resulting OLS regression explained only 6% of FBC rate variance (R² = 0.060), making all forecasts strictly directional. Third, two qualifying periods had cohort sizes of only n = 2, producing rate estimates with extreme sensitivity to individual outcomes; these periods contributed disproportionate instability to the period-level trend. Fourth, the study relied exclusively on aggregate institutional records and did not incorporate examinee-level predictors such as GPA, pre-board examination scores, attendance, or instructional variables — limiting explanatory power and precluding individual-level analysis. Fifth, the study does not account for external factors that may influence LET pass rates, including changes in PRC examination administration, curriculum transitions, or broader shifts in the national pool of examinees that affect the national benchmark itself. These limitations do not invalidate the study's contribution as an inaugural institutional baseline; rather, they define the boundaries within which its findings should be interpreted and motivate the recommendations for future research.</w:t>
      </w:r>
    </w:p>
    <w:p w14:paraId="5C9779C3">
      <w:pPr>
        <w:spacing w:before="200" w:after="100" w:line="240" w:lineRule="auto"/>
        <w:jc w:val="left"/>
      </w:pPr>
      <w:r>
        <w:rPr>
          <w:rFonts w:ascii="Times New Roman" w:hAnsi="Times New Roman" w:eastAsia="Times New Roman" w:cs="Times New Roman"/>
          <w:b/>
          <w:bCs/>
          <w:i w:val="0"/>
          <w:iCs w:val="0"/>
          <w:sz w:val="28"/>
          <w:szCs w:val="28"/>
        </w:rPr>
        <w:t>CONCLUSION</w:t>
      </w:r>
    </w:p>
    <w:p w14:paraId="7671D4C0">
      <w:pPr>
        <w:spacing w:before="120" w:after="120" w:line="240" w:lineRule="auto"/>
        <w:jc w:val="both"/>
      </w:pPr>
      <w:r>
        <w:rPr>
          <w:rFonts w:ascii="Times New Roman" w:hAnsi="Times New Roman" w:eastAsia="Times New Roman" w:cs="Times New Roman"/>
          <w:b w:val="0"/>
          <w:bCs w:val="0"/>
          <w:i w:val="0"/>
          <w:iCs w:val="0"/>
          <w:sz w:val="24"/>
          <w:szCs w:val="24"/>
        </w:rPr>
        <w:t>This study documented and analyzed the Licensure Examination for Teachers (LET) first-time board candidate performance of Fellowship Baptist College BEEd graduates across nine examination administrations from September 2021 to September 2024, and generated indicative forecast estimates for March 2025 through September 2027 using OLS linear regression. The 2021–2024 scope was deliberate, grounded in three converging conditions: the September 2021 examination was the first post-COVID-19 pandemic LET administration; it coincided with the commencement of systematic FBC-level record disaggregation at the institution; and it broadly captured cohorts prepared under the CMO 74 curriculum framework (CHED, 2017). These three conditions — pandemic discontinuity, data availability, and curriculum coherence — establish the 2021–2024 window as the most internally valid and structurally coherent period for initial baseline construction at Fellowship Baptist College.</w:t>
      </w:r>
    </w:p>
    <w:p w14:paraId="0036BBD2">
      <w:pPr>
        <w:spacing w:before="120" w:after="120" w:line="240" w:lineRule="auto"/>
        <w:jc w:val="both"/>
      </w:pPr>
      <w:r>
        <w:rPr>
          <w:rFonts w:ascii="Times New Roman" w:hAnsi="Times New Roman" w:eastAsia="Times New Roman" w:cs="Times New Roman"/>
          <w:b w:val="0"/>
          <w:bCs w:val="0"/>
          <w:i w:val="0"/>
          <w:iCs w:val="0"/>
          <w:sz w:val="24"/>
          <w:szCs w:val="24"/>
        </w:rPr>
        <w:t>Five substantive findings emerged from the study. First, FBC takers were present in seven of nine examination periods, with six qualifying periods (n ≥ 2) used for formal analysis; the June 2022 administration (n = 1) was excluded from trend and regression analyses on established statistical grounds. Second, the FBC passing rate exceeded the national elementary rate in all six qualifying periods — a consistent and meaningful finding that affirms the quality of BEEd pre-service preparation at Fellowship Baptist College across the study period, regardless of period-level fluctuations. Third, the aggregate FBC rate of 80.77% across 78 qualifying takers represents a +32.38 pp advantage over the mean national elementary rate across qualifying periods. Fourth, annual FBC performance advantages over national rates were positive in every year from 2021 to 2024, with the smallest annual advantage recorded in 2023 (+18.01 pp). Fifth, OLS linear regression (R² = 0.060) projected indicative rates declining from 76.90% (March 2025) to 65.69% (September 2027), with all projections remaining above the national benchmark; however, the low R² confirms that this trajectory is a poor-fit summary of a highly variable series and must be treated strictly as a directional estimate.</w:t>
      </w:r>
    </w:p>
    <w:p w14:paraId="0B54714E">
      <w:pPr>
        <w:spacing w:before="120" w:after="120" w:line="240" w:lineRule="auto"/>
        <w:jc w:val="both"/>
      </w:pPr>
      <w:r>
        <w:rPr>
          <w:rFonts w:ascii="Times New Roman" w:hAnsi="Times New Roman" w:eastAsia="Times New Roman" w:cs="Times New Roman"/>
          <w:b w:val="0"/>
          <w:bCs w:val="0"/>
          <w:i w:val="0"/>
          <w:iCs w:val="0"/>
          <w:sz w:val="24"/>
          <w:szCs w:val="24"/>
        </w:rPr>
        <w:t>A key interpretive conclusion is that period-to-period volatility in FBC passing rates — ranging from 57.89% to 100.00% across qualifying periods — reflects cohort-size dynamics rather than programmatic instability. This is consistent with Abao et al.'s (2023) national documentation that above-national LET pass rates coexist with structural year-to-year variability in small Philippine TEIs, and with Segumpan et al.'s (2025) argument that cyclical fluctuations are a normal feature of Philippine LET data. Notwithstanding the study's limitations, it successfully establishes the first institutional baseline for FBC BEEd LET performance, constituting a foundational reference for longitudinal monitoring and cross-program benchmarking at Fellowship Baptist College.</w:t>
      </w:r>
    </w:p>
    <w:p w14:paraId="0FE8A0FB">
      <w:pPr>
        <w:spacing w:before="200" w:after="100" w:line="240" w:lineRule="auto"/>
        <w:jc w:val="left"/>
      </w:pPr>
      <w:r>
        <w:rPr>
          <w:rFonts w:ascii="Times New Roman" w:hAnsi="Times New Roman" w:eastAsia="Times New Roman" w:cs="Times New Roman"/>
          <w:b/>
          <w:bCs/>
          <w:i w:val="0"/>
          <w:iCs w:val="0"/>
          <w:sz w:val="28"/>
          <w:szCs w:val="28"/>
        </w:rPr>
        <w:t>RECOMMENDATIONS</w:t>
      </w:r>
    </w:p>
    <w:p w14:paraId="3445E148">
      <w:pPr>
        <w:spacing w:before="120" w:after="120" w:line="240" w:lineRule="auto"/>
        <w:jc w:val="both"/>
      </w:pPr>
      <w:r>
        <w:rPr>
          <w:rFonts w:ascii="Times New Roman" w:hAnsi="Times New Roman" w:eastAsia="Times New Roman" w:cs="Times New Roman"/>
          <w:b w:val="0"/>
          <w:bCs w:val="0"/>
          <w:i w:val="0"/>
          <w:iCs w:val="0"/>
          <w:sz w:val="24"/>
          <w:szCs w:val="24"/>
        </w:rPr>
        <w:t>Based on the findings and limitations of this study, the following recommendations are proposed:</w:t>
      </w:r>
    </w:p>
    <w:p w14:paraId="57E1E60E">
      <w:pPr>
        <w:spacing w:before="80" w:after="80" w:line="240" w:lineRule="auto"/>
        <w:ind w:left="640" w:hanging="360"/>
        <w:jc w:val="both"/>
      </w:pPr>
      <w:r>
        <w:rPr>
          <w:rFonts w:ascii="Times New Roman" w:hAnsi="Times New Roman" w:eastAsia="Times New Roman" w:cs="Times New Roman"/>
          <w:b w:val="0"/>
          <w:bCs w:val="0"/>
          <w:i w:val="0"/>
          <w:iCs w:val="0"/>
          <w:sz w:val="24"/>
          <w:szCs w:val="24"/>
        </w:rPr>
        <w:t>1.  Fellowship Baptist College should formalize and sustain per-period institutional monitoring of first-time LET examinees across all board programs, building on the 2021–2024 BEEd baseline established here. The systematic expansion of this dataset across subsequent examination cycles will progressively increase the statistical reliability of trend estimates and enable more meaningful cross-program benchmarking (Cadosales et al., 2023; Segumpan et al., 2025).</w:t>
      </w:r>
    </w:p>
    <w:p w14:paraId="74BCC064">
      <w:pPr>
        <w:spacing w:before="80" w:after="80" w:line="240" w:lineRule="auto"/>
        <w:ind w:left="640" w:hanging="360"/>
        <w:jc w:val="both"/>
      </w:pPr>
      <w:r>
        <w:rPr>
          <w:rFonts w:ascii="Times New Roman" w:hAnsi="Times New Roman" w:eastAsia="Times New Roman" w:cs="Times New Roman"/>
          <w:b w:val="0"/>
          <w:bCs w:val="0"/>
          <w:i w:val="0"/>
          <w:iCs w:val="0"/>
          <w:sz w:val="24"/>
          <w:szCs w:val="24"/>
        </w:rPr>
        <w:t>2.  The institution should take deliberate steps to maximize qualifying FBC cohort sizes where practicable. As demonstrated in this study, small cohort sizes (n = 2) produce highly unstable rate estimates that limit both trend analysis and forecasting reliability. Igcasama et al. (2021) identified cohort-level factors and institutional conditions as significant drivers of LET performance variability in small TEIs, underscoring that larger, more consistent cohorts are a prerequisite for robust institutional performance monitoring.</w:t>
      </w:r>
    </w:p>
    <w:p w14:paraId="70E7CB55">
      <w:pPr>
        <w:spacing w:before="80" w:after="80" w:line="240" w:lineRule="auto"/>
        <w:ind w:left="640" w:hanging="360"/>
        <w:jc w:val="both"/>
      </w:pPr>
      <w:r>
        <w:rPr>
          <w:rFonts w:ascii="Times New Roman" w:hAnsi="Times New Roman" w:eastAsia="Times New Roman" w:cs="Times New Roman"/>
          <w:b w:val="0"/>
          <w:bCs w:val="0"/>
          <w:i w:val="0"/>
          <w:iCs w:val="0"/>
          <w:sz w:val="24"/>
          <w:szCs w:val="24"/>
        </w:rPr>
        <w:t>3.  The March 2023 administration — which recorded the lowest qualifying FBC passing rate (57.89%) — warrants targeted program review. Academic administrators should examine whether curricular delivery, instructional quality, pre-board review program intensity, or examinee cohort characteristics in the 2022–2023 academic year contributed to this outcome. Fiscal and Roman (2022) demonstrated that mock examination performance is a statistically significant predictor of final LET outcomes, providing an actionable evidence base for institutionalized pre-board preparation programs.</w:t>
      </w:r>
    </w:p>
    <w:p w14:paraId="44AA6547">
      <w:pPr>
        <w:spacing w:before="80" w:after="80" w:line="240" w:lineRule="auto"/>
        <w:ind w:left="640" w:hanging="360"/>
        <w:jc w:val="both"/>
      </w:pPr>
      <w:r>
        <w:rPr>
          <w:rFonts w:ascii="Times New Roman" w:hAnsi="Times New Roman" w:eastAsia="Times New Roman" w:cs="Times New Roman"/>
          <w:b w:val="0"/>
          <w:bCs w:val="0"/>
          <w:i w:val="0"/>
          <w:iCs w:val="0"/>
          <w:sz w:val="24"/>
          <w:szCs w:val="24"/>
        </w:rPr>
        <w:t>4.  Future institutional research should incorporate student-level predictor variables — including academic achievement (GPA), pre-board mock examination scores, attendance, review center participation, and demographic characteristics — to move beyond aggregate trend description toward explanatory and predictive modeling. Amanonce and Maramag (2020) established that GPA alone predicts over 80% of LET general average variance in BEEd graduates; this finding makes GPA the most immediately actionable predictor variable for FBC to begin tracking systematically.</w:t>
      </w:r>
    </w:p>
    <w:p w14:paraId="4A2788F2">
      <w:pPr>
        <w:spacing w:before="80" w:after="80" w:line="240" w:lineRule="auto"/>
        <w:ind w:left="640" w:hanging="360"/>
        <w:jc w:val="both"/>
      </w:pPr>
      <w:r>
        <w:rPr>
          <w:rFonts w:ascii="Times New Roman" w:hAnsi="Times New Roman" w:eastAsia="Times New Roman" w:cs="Times New Roman"/>
          <w:b w:val="0"/>
          <w:bCs w:val="0"/>
          <w:i w:val="0"/>
          <w:iCs w:val="0"/>
          <w:sz w:val="24"/>
          <w:szCs w:val="24"/>
        </w:rPr>
        <w:t>5. As the FBC institutional dataset grows beyond 20–30 qualifying periods, researchers should systematically compare OLS regression against advanced predictive models, including Decision Tree Regression (Diwag, 2025), Artificial Neural Networks (Acoba, 2024), Logistic Regression (Patungan &amp; Joaquin, 2024), Random Forest and Ensemble methods (Rokach, 2010), ARIMA and other time-series models (Box et al., 2015; Hyndman &amp; Koehler, 2006), and Long Short-Term Memory (LSTM) networks. Each model should be evaluated using standardized metrics — MAE, RMSE, and R² — to determine whether added model complexity yields meaningful gains in predictive accuracy.</w:t>
      </w:r>
    </w:p>
    <w:p w14:paraId="1470DB2B">
      <w:pPr>
        <w:spacing w:before="80" w:after="80" w:line="240" w:lineRule="auto"/>
        <w:ind w:left="640" w:hanging="360"/>
        <w:jc w:val="both"/>
      </w:pPr>
      <w:r>
        <w:rPr>
          <w:rFonts w:ascii="Times New Roman" w:hAnsi="Times New Roman" w:eastAsia="Times New Roman" w:cs="Times New Roman"/>
          <w:b w:val="0"/>
          <w:bCs w:val="0"/>
          <w:i w:val="0"/>
          <w:iCs w:val="0"/>
          <w:sz w:val="24"/>
          <w:szCs w:val="24"/>
        </w:rPr>
        <w:t>6.  A retrospective reconstruction of pre-2021 FBC performance data is encouraged for future investigation, provided that institutional records permit reliable disaggregation of first-time from repeat examinees for those periods. Any such reconstruction should transparently document data classification methodology and explicitly account for pre-CMO 74 curriculum cohort differences where relevant (CHED, 2017).</w:t>
      </w:r>
    </w:p>
    <w:p w14:paraId="6A523A6E">
      <w:pPr>
        <w:spacing w:before="80" w:after="80" w:line="240" w:lineRule="auto"/>
        <w:ind w:left="640" w:hanging="360"/>
        <w:jc w:val="both"/>
      </w:pPr>
      <w:r>
        <w:rPr>
          <w:rFonts w:ascii="Times New Roman" w:hAnsi="Times New Roman" w:eastAsia="Times New Roman" w:cs="Times New Roman"/>
          <w:b w:val="0"/>
          <w:bCs w:val="0"/>
          <w:i w:val="0"/>
          <w:iCs w:val="0"/>
          <w:sz w:val="24"/>
          <w:szCs w:val="24"/>
        </w:rPr>
        <w:t>7.  The cross-program benchmarking agenda implied by this study's subtitle should be operationalized through replication studies covering other board programs at Fellowship Baptist College — including BSEd, BSCrim, and related programs. Systematic institution-wide documentation of first-time board examination performance will position Fellowship Baptist College to undertake the kind of integrated, data-driven program self-assessment increasingly expected under CHED quality assurance frameworks (Abao et al., 2023; Laguador &amp; Refozar, 2020).</w:t>
      </w:r>
    </w:p>
    <w:p w14:paraId="5E1F4140">
      <w:pPr>
        <w:spacing w:before="200" w:after="100" w:line="240" w:lineRule="auto"/>
        <w:jc w:val="left"/>
      </w:pPr>
      <w:r>
        <w:rPr>
          <w:rFonts w:ascii="Times New Roman" w:hAnsi="Times New Roman" w:eastAsia="Times New Roman" w:cs="Times New Roman"/>
          <w:b/>
          <w:bCs/>
          <w:i w:val="0"/>
          <w:iCs w:val="0"/>
          <w:sz w:val="28"/>
          <w:szCs w:val="28"/>
        </w:rPr>
        <w:t>REFERENCES</w:t>
      </w:r>
    </w:p>
    <w:p w14:paraId="2EAB48BD">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  Abao, E. L., Petancio, J. A. M., Sanchez, J. M. P., &amp; Sumalinog, G. G. (2023). Performance of beginning teachers in the licensure examination for teachers: A national study. </w:t>
      </w:r>
      <w:r>
        <w:rPr>
          <w:rFonts w:ascii="Times New Roman" w:hAnsi="Times New Roman" w:eastAsia="Times New Roman" w:cs="Times New Roman"/>
          <w:b w:val="0"/>
          <w:bCs w:val="0"/>
          <w:i/>
          <w:iCs/>
          <w:sz w:val="22"/>
          <w:szCs w:val="22"/>
        </w:rPr>
        <w:t>Frontiers in Education, 8</w:t>
      </w:r>
      <w:r>
        <w:rPr>
          <w:rFonts w:ascii="Times New Roman" w:hAnsi="Times New Roman" w:eastAsia="Times New Roman" w:cs="Times New Roman"/>
          <w:b w:val="0"/>
          <w:bCs w:val="0"/>
          <w:i w:val="0"/>
          <w:iCs w:val="0"/>
          <w:sz w:val="22"/>
          <w:szCs w:val="22"/>
        </w:rPr>
        <w:t>, Article 1240658. https://doi.org/10.3389/feduc.2023.1240658</w:t>
      </w:r>
    </w:p>
    <w:p w14:paraId="61F75C33">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2.  Acoba, R. (2024). Predictors of Licensure Examination for Teachers: A comparative analysis of multiple linear regression and artificial neural network. </w:t>
      </w:r>
      <w:r>
        <w:rPr>
          <w:rFonts w:ascii="Times New Roman" w:hAnsi="Times New Roman" w:eastAsia="Times New Roman" w:cs="Times New Roman"/>
          <w:b w:val="0"/>
          <w:bCs w:val="0"/>
          <w:i/>
          <w:iCs/>
          <w:sz w:val="22"/>
          <w:szCs w:val="22"/>
        </w:rPr>
        <w:t>Journal of Education, Social Sciences and Allied Health, 1</w:t>
      </w:r>
      <w:r>
        <w:rPr>
          <w:rFonts w:ascii="Times New Roman" w:hAnsi="Times New Roman" w:eastAsia="Times New Roman" w:cs="Times New Roman"/>
          <w:b w:val="0"/>
          <w:bCs w:val="0"/>
          <w:i w:val="0"/>
          <w:iCs w:val="0"/>
          <w:sz w:val="22"/>
          <w:szCs w:val="22"/>
        </w:rPr>
        <w:t>(2), 66–75.</w:t>
      </w:r>
    </w:p>
    <w:p w14:paraId="36AEED37">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3.  Agresti, A. (2002). </w:t>
      </w:r>
      <w:r>
        <w:rPr>
          <w:rFonts w:ascii="Times New Roman" w:hAnsi="Times New Roman" w:eastAsia="Times New Roman" w:cs="Times New Roman"/>
          <w:b w:val="0"/>
          <w:bCs w:val="0"/>
          <w:i/>
          <w:iCs/>
          <w:sz w:val="22"/>
          <w:szCs w:val="22"/>
        </w:rPr>
        <w:t>Categorical data analysis</w:t>
      </w:r>
      <w:r>
        <w:rPr>
          <w:rFonts w:ascii="Times New Roman" w:hAnsi="Times New Roman" w:eastAsia="Times New Roman" w:cs="Times New Roman"/>
          <w:b w:val="0"/>
          <w:bCs w:val="0"/>
          <w:i w:val="0"/>
          <w:iCs w:val="0"/>
          <w:sz w:val="22"/>
          <w:szCs w:val="22"/>
        </w:rPr>
        <w:t xml:space="preserve"> (2nd ed.). Wiley-Interscience.</w:t>
      </w:r>
    </w:p>
    <w:p w14:paraId="4B3765EE">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4.  Amanonce, J. T., &amp; Maramag, A. M. (2020). Licensure examination performance and academic achievement of teacher education graduates. </w:t>
      </w:r>
      <w:r>
        <w:rPr>
          <w:rFonts w:ascii="Times New Roman" w:hAnsi="Times New Roman" w:eastAsia="Times New Roman" w:cs="Times New Roman"/>
          <w:b w:val="0"/>
          <w:bCs w:val="0"/>
          <w:i/>
          <w:iCs/>
          <w:sz w:val="22"/>
          <w:szCs w:val="22"/>
        </w:rPr>
        <w:t>International Journal of Evaluation and Research in Education, 9</w:t>
      </w:r>
      <w:r>
        <w:rPr>
          <w:rFonts w:ascii="Times New Roman" w:hAnsi="Times New Roman" w:eastAsia="Times New Roman" w:cs="Times New Roman"/>
          <w:b w:val="0"/>
          <w:bCs w:val="0"/>
          <w:i w:val="0"/>
          <w:iCs w:val="0"/>
          <w:sz w:val="22"/>
          <w:szCs w:val="22"/>
        </w:rPr>
        <w:t>(3), 510–516. https://doi.org/10.11591/ijere.v9i3.20614</w:t>
      </w:r>
    </w:p>
    <w:p w14:paraId="2A266D2B">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5.  Bautista, J. R., Ducanes, G., &amp; David, C. C. (2019). Quality of nursing schools in the Philippines: Trends and evidence from the 2010–2016 Nurse Licensure Examination results. </w:t>
      </w:r>
      <w:r>
        <w:rPr>
          <w:rFonts w:ascii="Times New Roman" w:hAnsi="Times New Roman" w:eastAsia="Times New Roman" w:cs="Times New Roman"/>
          <w:b w:val="0"/>
          <w:bCs w:val="0"/>
          <w:i/>
          <w:iCs/>
          <w:sz w:val="22"/>
          <w:szCs w:val="22"/>
        </w:rPr>
        <w:t>Nursing Outlook, 67</w:t>
      </w:r>
      <w:r>
        <w:rPr>
          <w:rFonts w:ascii="Times New Roman" w:hAnsi="Times New Roman" w:eastAsia="Times New Roman" w:cs="Times New Roman"/>
          <w:b w:val="0"/>
          <w:bCs w:val="0"/>
          <w:i w:val="0"/>
          <w:iCs w:val="0"/>
          <w:sz w:val="22"/>
          <w:szCs w:val="22"/>
        </w:rPr>
        <w:t>(3), 259–269. https://doi.org/10.1016/j.outlook.2018.12.012</w:t>
      </w:r>
    </w:p>
    <w:p w14:paraId="742F1BDC">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6.  Best, J. W., &amp; Kahn, J. V. (2006). </w:t>
      </w:r>
      <w:r>
        <w:rPr>
          <w:rFonts w:ascii="Times New Roman" w:hAnsi="Times New Roman" w:eastAsia="Times New Roman" w:cs="Times New Roman"/>
          <w:b w:val="0"/>
          <w:bCs w:val="0"/>
          <w:i/>
          <w:iCs/>
          <w:sz w:val="22"/>
          <w:szCs w:val="22"/>
        </w:rPr>
        <w:t>Research in education</w:t>
      </w:r>
      <w:r>
        <w:rPr>
          <w:rFonts w:ascii="Times New Roman" w:hAnsi="Times New Roman" w:eastAsia="Times New Roman" w:cs="Times New Roman"/>
          <w:b w:val="0"/>
          <w:bCs w:val="0"/>
          <w:i w:val="0"/>
          <w:iCs w:val="0"/>
          <w:sz w:val="22"/>
          <w:szCs w:val="22"/>
        </w:rPr>
        <w:t xml:space="preserve"> (10th ed.). Pearson.</w:t>
      </w:r>
    </w:p>
    <w:p w14:paraId="55A560A8">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7.  Box, G. E. P., Jenkins, G. M., Reinsel, G. C., &amp; Ljung, G. M. (2015). </w:t>
      </w:r>
      <w:r>
        <w:rPr>
          <w:rFonts w:ascii="Times New Roman" w:hAnsi="Times New Roman" w:eastAsia="Times New Roman" w:cs="Times New Roman"/>
          <w:b w:val="0"/>
          <w:bCs w:val="0"/>
          <w:i/>
          <w:iCs/>
          <w:sz w:val="22"/>
          <w:szCs w:val="22"/>
        </w:rPr>
        <w:t>Time series analysis: Forecasting and control</w:t>
      </w:r>
      <w:r>
        <w:rPr>
          <w:rFonts w:ascii="Times New Roman" w:hAnsi="Times New Roman" w:eastAsia="Times New Roman" w:cs="Times New Roman"/>
          <w:b w:val="0"/>
          <w:bCs w:val="0"/>
          <w:i w:val="0"/>
          <w:iCs w:val="0"/>
          <w:sz w:val="22"/>
          <w:szCs w:val="22"/>
        </w:rPr>
        <w:t xml:space="preserve"> (5th ed.). Wiley.</w:t>
      </w:r>
    </w:p>
    <w:p w14:paraId="1DE64259">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8.  Cadosales, M. N. Q., Sanchez, J. M. P., Cordova, M. E., Merin, J. A., &amp; Augusto, W. S., Jr. (2023). Exploring the predictive influence of licensure examination results for beginning teachers' performance: The case of the Philippines. </w:t>
      </w:r>
      <w:r>
        <w:rPr>
          <w:rFonts w:ascii="Times New Roman" w:hAnsi="Times New Roman" w:eastAsia="Times New Roman" w:cs="Times New Roman"/>
          <w:b w:val="0"/>
          <w:bCs w:val="0"/>
          <w:i/>
          <w:iCs/>
          <w:sz w:val="22"/>
          <w:szCs w:val="22"/>
        </w:rPr>
        <w:t>Frontiers in Education, 8</w:t>
      </w:r>
      <w:r>
        <w:rPr>
          <w:rFonts w:ascii="Times New Roman" w:hAnsi="Times New Roman" w:eastAsia="Times New Roman" w:cs="Times New Roman"/>
          <w:b w:val="0"/>
          <w:bCs w:val="0"/>
          <w:i w:val="0"/>
          <w:iCs w:val="0"/>
          <w:sz w:val="22"/>
          <w:szCs w:val="22"/>
        </w:rPr>
        <w:t>, 1252368. https://doi.org/10.3389/feduc.2023.1252368</w:t>
      </w:r>
    </w:p>
    <w:p w14:paraId="26EFF689">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9.  Commission on Higher Education. (2017). </w:t>
      </w:r>
      <w:r>
        <w:rPr>
          <w:rFonts w:ascii="Times New Roman" w:hAnsi="Times New Roman" w:eastAsia="Times New Roman" w:cs="Times New Roman"/>
          <w:b w:val="0"/>
          <w:bCs w:val="0"/>
          <w:i/>
          <w:iCs/>
          <w:sz w:val="22"/>
          <w:szCs w:val="22"/>
        </w:rPr>
        <w:t>CHED Memorandum Order (CMO) No. 74, Series of 2017: Policies, standards and guidelines for Bachelor of Elementary Education (BEEd)</w:t>
      </w:r>
      <w:r>
        <w:rPr>
          <w:rFonts w:ascii="Times New Roman" w:hAnsi="Times New Roman" w:eastAsia="Times New Roman" w:cs="Times New Roman"/>
          <w:b w:val="0"/>
          <w:bCs w:val="0"/>
          <w:i w:val="0"/>
          <w:iCs w:val="0"/>
          <w:sz w:val="22"/>
          <w:szCs w:val="22"/>
        </w:rPr>
        <w:t>. Commission on Higher Education. https://ched.gov.ph/wp-content/uploads/2017/11/CMO-No.-74-s.-2017.pdf</w:t>
      </w:r>
    </w:p>
    <w:p w14:paraId="0998859A">
      <w:pPr>
        <w:spacing w:before="60" w:after="60" w:line="240" w:lineRule="auto"/>
        <w:ind w:left="640" w:hanging="360"/>
        <w:jc w:val="both"/>
      </w:pPr>
      <w:r>
        <w:rPr>
          <w:rFonts w:ascii="Times New Roman" w:hAnsi="Times New Roman" w:eastAsia="Times New Roman" w:cs="Times New Roman"/>
          <w:b w:val="0"/>
          <w:bCs w:val="0"/>
          <w:i w:val="0"/>
          <w:iCs w:val="0"/>
          <w:sz w:val="22"/>
          <w:szCs w:val="22"/>
        </w:rPr>
        <w:t>10.  Diwag, G. S. (2025). Cracking the code: Using decision tree to forecast 100% chance of teacher education licensure exam success [Institutional working paper]. University of Eastern Pangasinan.</w:t>
      </w:r>
    </w:p>
    <w:p w14:paraId="28F66C88">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11.  Fiscal, R. R., &amp; Roman, A. G. (2022). Pre-licensure examination as predictor of licensure examination for teachers result. </w:t>
      </w:r>
      <w:r>
        <w:rPr>
          <w:rFonts w:ascii="Times New Roman" w:hAnsi="Times New Roman" w:eastAsia="Times New Roman" w:cs="Times New Roman"/>
          <w:b w:val="0"/>
          <w:bCs w:val="0"/>
          <w:i/>
          <w:iCs/>
          <w:sz w:val="22"/>
          <w:szCs w:val="22"/>
        </w:rPr>
        <w:t>International Journal of Evaluation and Research in Education, 11</w:t>
      </w:r>
      <w:r>
        <w:rPr>
          <w:rFonts w:ascii="Times New Roman" w:hAnsi="Times New Roman" w:eastAsia="Times New Roman" w:cs="Times New Roman"/>
          <w:b w:val="0"/>
          <w:bCs w:val="0"/>
          <w:i w:val="0"/>
          <w:iCs w:val="0"/>
          <w:sz w:val="22"/>
          <w:szCs w:val="22"/>
        </w:rPr>
        <w:t>(1), 136–142. https://doi.org/10.11591/ijere.v11i1.22133</w:t>
      </w:r>
    </w:p>
    <w:p w14:paraId="4F3A7AA4">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12.  Fleiss, J. L., Levin, B., &amp; Paik, M. C. (2003). </w:t>
      </w:r>
      <w:r>
        <w:rPr>
          <w:rFonts w:ascii="Times New Roman" w:hAnsi="Times New Roman" w:eastAsia="Times New Roman" w:cs="Times New Roman"/>
          <w:b w:val="0"/>
          <w:bCs w:val="0"/>
          <w:i/>
          <w:iCs/>
          <w:sz w:val="22"/>
          <w:szCs w:val="22"/>
        </w:rPr>
        <w:t>Statistical methods for rates and proportions</w:t>
      </w:r>
      <w:r>
        <w:rPr>
          <w:rFonts w:ascii="Times New Roman" w:hAnsi="Times New Roman" w:eastAsia="Times New Roman" w:cs="Times New Roman"/>
          <w:b w:val="0"/>
          <w:bCs w:val="0"/>
          <w:i w:val="0"/>
          <w:iCs w:val="0"/>
          <w:sz w:val="22"/>
          <w:szCs w:val="22"/>
        </w:rPr>
        <w:t xml:space="preserve"> (3rd ed.). Wiley.</w:t>
      </w:r>
    </w:p>
    <w:p w14:paraId="60C2039F">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13.  Hyndman, R. J., &amp; Koehler, A. B. (2006). Another look at measures of forecast accuracy. </w:t>
      </w:r>
      <w:r>
        <w:rPr>
          <w:rFonts w:ascii="Times New Roman" w:hAnsi="Times New Roman" w:eastAsia="Times New Roman" w:cs="Times New Roman"/>
          <w:b w:val="0"/>
          <w:bCs w:val="0"/>
          <w:i/>
          <w:iCs/>
          <w:sz w:val="22"/>
          <w:szCs w:val="22"/>
        </w:rPr>
        <w:t>International Journal of Forecasting, 22</w:t>
      </w:r>
      <w:r>
        <w:rPr>
          <w:rFonts w:ascii="Times New Roman" w:hAnsi="Times New Roman" w:eastAsia="Times New Roman" w:cs="Times New Roman"/>
          <w:b w:val="0"/>
          <w:bCs w:val="0"/>
          <w:i w:val="0"/>
          <w:iCs w:val="0"/>
          <w:sz w:val="22"/>
          <w:szCs w:val="22"/>
        </w:rPr>
        <w:t>(4), 679–688. https://doi.org/10.1016/j.ijforecast.2006.03.001</w:t>
      </w:r>
    </w:p>
    <w:p w14:paraId="27C7963B">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14.  Igcasama, A. M. C., Layao, J. A., Magallano, S. M. C., &amp; Maloloy-on, M. C. (2021). Factors affecting the Licensure Examination for Teachers (LET) performance of Saint Michael College of Caraga from 2017–2019. </w:t>
      </w:r>
      <w:r>
        <w:rPr>
          <w:rFonts w:ascii="Times New Roman" w:hAnsi="Times New Roman" w:eastAsia="Times New Roman" w:cs="Times New Roman"/>
          <w:b w:val="0"/>
          <w:bCs w:val="0"/>
          <w:i/>
          <w:iCs/>
          <w:sz w:val="22"/>
          <w:szCs w:val="22"/>
        </w:rPr>
        <w:t>SMCC Higher Education Research Journal (Teacher Education Journal), 3</w:t>
      </w:r>
      <w:r>
        <w:rPr>
          <w:rFonts w:ascii="Times New Roman" w:hAnsi="Times New Roman" w:eastAsia="Times New Roman" w:cs="Times New Roman"/>
          <w:b w:val="0"/>
          <w:bCs w:val="0"/>
          <w:i w:val="0"/>
          <w:iCs w:val="0"/>
          <w:sz w:val="22"/>
          <w:szCs w:val="22"/>
        </w:rPr>
        <w:t>(1). https://doi.org/10.18868/cte.03.060121.01</w:t>
      </w:r>
    </w:p>
    <w:p w14:paraId="1B3D5216">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15.  Laguador, J. M., &amp; Refozar, R. F. G. (2020). Five-year declining performance of private and public schools in the Philippine certified public accountant licensure examination. </w:t>
      </w:r>
      <w:r>
        <w:rPr>
          <w:rFonts w:ascii="Times New Roman" w:hAnsi="Times New Roman" w:eastAsia="Times New Roman" w:cs="Times New Roman"/>
          <w:b w:val="0"/>
          <w:bCs w:val="0"/>
          <w:i/>
          <w:iCs/>
          <w:sz w:val="22"/>
          <w:szCs w:val="22"/>
        </w:rPr>
        <w:t>European Journal of Educational Research, 9</w:t>
      </w:r>
      <w:r>
        <w:rPr>
          <w:rFonts w:ascii="Times New Roman" w:hAnsi="Times New Roman" w:eastAsia="Times New Roman" w:cs="Times New Roman"/>
          <w:b w:val="0"/>
          <w:bCs w:val="0"/>
          <w:i w:val="0"/>
          <w:iCs w:val="0"/>
          <w:sz w:val="22"/>
          <w:szCs w:val="22"/>
        </w:rPr>
        <w:t>(3), 995–1007. https://doi.org/10.12973/eu-jer.9.3.995</w:t>
      </w:r>
    </w:p>
    <w:p w14:paraId="52D39A51">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16.  Patungan, A. J., &amp; Joaquin, M. N. B. (2024). Predicting LET results for mathematics teachers using machine learning. </w:t>
      </w:r>
      <w:r>
        <w:rPr>
          <w:rFonts w:ascii="Times New Roman" w:hAnsi="Times New Roman" w:eastAsia="Times New Roman" w:cs="Times New Roman"/>
          <w:b w:val="0"/>
          <w:bCs w:val="0"/>
          <w:i/>
          <w:iCs/>
          <w:sz w:val="22"/>
          <w:szCs w:val="22"/>
        </w:rPr>
        <w:t>AIP Conference Proceedings, 3201</w:t>
      </w:r>
      <w:r>
        <w:rPr>
          <w:rFonts w:ascii="Times New Roman" w:hAnsi="Times New Roman" w:eastAsia="Times New Roman" w:cs="Times New Roman"/>
          <w:b w:val="0"/>
          <w:bCs w:val="0"/>
          <w:i w:val="0"/>
          <w:iCs w:val="0"/>
          <w:sz w:val="22"/>
          <w:szCs w:val="22"/>
        </w:rPr>
        <w:t>(1), Article 070006. https://doi.org/10.1063/5.0230585</w:t>
      </w:r>
    </w:p>
    <w:p w14:paraId="4BFBD433">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17.  Quendangan, M., Garcia, R., &amp; Balbin, S. (2023). Trends in licensure examination success among psychology and teacher education graduates. </w:t>
      </w:r>
      <w:r>
        <w:rPr>
          <w:rFonts w:ascii="Times New Roman" w:hAnsi="Times New Roman" w:eastAsia="Times New Roman" w:cs="Times New Roman"/>
          <w:b w:val="0"/>
          <w:bCs w:val="0"/>
          <w:i/>
          <w:iCs/>
          <w:sz w:val="22"/>
          <w:szCs w:val="22"/>
        </w:rPr>
        <w:t>Journal of Interdisciplinary Perspectives, 1</w:t>
      </w:r>
      <w:r>
        <w:rPr>
          <w:rFonts w:ascii="Times New Roman" w:hAnsi="Times New Roman" w:eastAsia="Times New Roman" w:cs="Times New Roman"/>
          <w:b w:val="0"/>
          <w:bCs w:val="0"/>
          <w:i w:val="0"/>
          <w:iCs w:val="0"/>
          <w:sz w:val="22"/>
          <w:szCs w:val="22"/>
        </w:rPr>
        <w:t>(4), 25–32. https://doi.org/10.69569/jip.2023.0027</w:t>
      </w:r>
    </w:p>
    <w:p w14:paraId="32A50DB7">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18.  Republic Act No. 7836 (1994). </w:t>
      </w:r>
      <w:r>
        <w:rPr>
          <w:rFonts w:ascii="Times New Roman" w:hAnsi="Times New Roman" w:eastAsia="Times New Roman" w:cs="Times New Roman"/>
          <w:b w:val="0"/>
          <w:bCs w:val="0"/>
          <w:i/>
          <w:iCs/>
          <w:sz w:val="22"/>
          <w:szCs w:val="22"/>
        </w:rPr>
        <w:t>Philippine Teachers Professionalization Act of 1994</w:t>
      </w:r>
      <w:r>
        <w:rPr>
          <w:rFonts w:ascii="Times New Roman" w:hAnsi="Times New Roman" w:eastAsia="Times New Roman" w:cs="Times New Roman"/>
          <w:b w:val="0"/>
          <w:bCs w:val="0"/>
          <w:i w:val="0"/>
          <w:iCs w:val="0"/>
          <w:sz w:val="22"/>
          <w:szCs w:val="22"/>
        </w:rPr>
        <w:t>. Congress of the Philippines.</w:t>
      </w:r>
    </w:p>
    <w:p w14:paraId="3A1D9BBD">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19.  Rokach, L. (2010). Ensemble-based classifiers. </w:t>
      </w:r>
      <w:r>
        <w:rPr>
          <w:rFonts w:ascii="Times New Roman" w:hAnsi="Times New Roman" w:eastAsia="Times New Roman" w:cs="Times New Roman"/>
          <w:b w:val="0"/>
          <w:bCs w:val="0"/>
          <w:i/>
          <w:iCs/>
          <w:sz w:val="22"/>
          <w:szCs w:val="22"/>
        </w:rPr>
        <w:t>Artificial Intelligence Review, 33</w:t>
      </w:r>
      <w:r>
        <w:rPr>
          <w:rFonts w:ascii="Times New Roman" w:hAnsi="Times New Roman" w:eastAsia="Times New Roman" w:cs="Times New Roman"/>
          <w:b w:val="0"/>
          <w:bCs w:val="0"/>
          <w:i w:val="0"/>
          <w:iCs w:val="0"/>
          <w:sz w:val="22"/>
          <w:szCs w:val="22"/>
        </w:rPr>
        <w:t>(1–2), 1–39. https://doi.org/10.1007/s10462-009-9124-7</w:t>
      </w:r>
    </w:p>
    <w:p w14:paraId="7C109295">
      <w:pPr>
        <w:spacing w:before="60" w:after="60" w:line="240" w:lineRule="auto"/>
        <w:ind w:left="640" w:hanging="360"/>
        <w:jc w:val="both"/>
      </w:pPr>
      <w:r>
        <w:rPr>
          <w:rFonts w:ascii="Times New Roman" w:hAnsi="Times New Roman" w:eastAsia="Times New Roman" w:cs="Times New Roman"/>
          <w:b w:val="0"/>
          <w:bCs w:val="0"/>
          <w:i w:val="0"/>
          <w:iCs w:val="0"/>
          <w:sz w:val="22"/>
          <w:szCs w:val="22"/>
        </w:rPr>
        <w:t xml:space="preserve">20.  Segumpan, S. M. I., Tac-an, T. N. F., Tidal, A. R., Trasmonte, C. B., &amp; Mahinay, R. B. D. (2025). Licensure Exam for Teachers elementary and secondary performance: Implications for teacher preparation. </w:t>
      </w:r>
      <w:r>
        <w:rPr>
          <w:rFonts w:ascii="Times New Roman" w:hAnsi="Times New Roman" w:eastAsia="Times New Roman" w:cs="Times New Roman"/>
          <w:b w:val="0"/>
          <w:bCs w:val="0"/>
          <w:i/>
          <w:iCs/>
          <w:sz w:val="22"/>
          <w:szCs w:val="22"/>
        </w:rPr>
        <w:t>Journal of Interdisciplinary Perspectives, 3</w:t>
      </w:r>
      <w:r>
        <w:rPr>
          <w:rFonts w:ascii="Times New Roman" w:hAnsi="Times New Roman" w:eastAsia="Times New Roman" w:cs="Times New Roman"/>
          <w:b w:val="0"/>
          <w:bCs w:val="0"/>
          <w:i w:val="0"/>
          <w:iCs w:val="0"/>
          <w:sz w:val="22"/>
          <w:szCs w:val="22"/>
        </w:rPr>
        <w:t>(9), 290–300. https://doi.org/10.69569/jip.2025.551</w:t>
      </w:r>
    </w:p>
    <w:sectPr>
      <w:pgSz w:w="11906" w:h="16838"/>
      <w:pgMar w:top="1080" w:right="605" w:bottom="605" w:left="605" w:header="346" w:footer="40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isplayBackgroundShape w:val="1"/>
  <w:documentProtection w:enforcement="0"/>
  <w:compat>
    <w:compatSetting w:name="compatibilityMode" w:uri="http://schemas.microsoft.com/office/word" w:val="15"/>
  </w:compat>
  <w:rsids>
    <w:rsidRoot w:val="00000000"/>
    <w:rsid w:val="292F5D0E"/>
    <w:rsid w:val="2AFC4314"/>
    <w:rsid w:val="344835B8"/>
    <w:rsid w:val="45175AE9"/>
    <w:rsid w:val="50904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character" w:styleId="12">
    <w:name w:val="footnote reference"/>
    <w:semiHidden/>
    <w:unhideWhenUsed/>
    <w:qFormat/>
    <w:uiPriority w:val="99"/>
    <w:rPr>
      <w:vertAlign w:val="superscript"/>
    </w:rPr>
  </w:style>
  <w:style w:type="paragraph" w:styleId="13">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character" w:styleId="14">
    <w:name w:val="Hyperlink"/>
    <w:unhideWhenUsed/>
    <w:qFormat/>
    <w:uiPriority w:val="99"/>
    <w:rPr>
      <w:color w:val="0563C1"/>
      <w:u w:val="single"/>
    </w:rPr>
  </w:style>
  <w:style w:type="table" w:styleId="15">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qFormat/>
    <w:uiPriority w:val="0"/>
    <w:rPr>
      <w:rFonts w:asciiTheme="minorHAnsi" w:hAnsiTheme="minorHAnsi" w:eastAsiaTheme="minorEastAsia" w:cstheme="minorBidi"/>
      <w:sz w:val="56"/>
      <w:szCs w:val="56"/>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3"/>
    <w:semiHidden/>
    <w:unhideWhenUsed/>
    <w:qFormat/>
    <w:uiPriority w:val="99"/>
    <w:rPr>
      <w:sz w:val="20"/>
      <w:szCs w:val="20"/>
    </w:rPr>
  </w:style>
  <w:style w:type="character" w:customStyle="1" w:styleId="19">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5997</Words>
  <Characters>36962</Characters>
  <TotalTime>18</TotalTime>
  <ScaleCrop>false</ScaleCrop>
  <LinksUpToDate>false</LinksUpToDate>
  <CharactersWithSpaces>42680</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2026-06-24T13:40:00Z</dcterms:created>
  <dc:creator>Un-named</dc:creator>
  <cp:lastModifiedBy>User</cp:lastModifiedBy>
  <dcterms:modified xsi:type="dcterms:W3CDTF">2026-06-26T04:27:58Z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eyJoZGlkIjoiMTUxNDM5ZmQ2ODRiNWUzMDZjOWYzMDIyOGNkZDQ4NzIiLCJ1c2VySWQiOiI3MDQ5MjA5MDYyNjIifQ==</vt:lpwstr>
  </property>
  <property fmtid="{D5CDD505-2E9C-101B-9397-08002B2CF9AE}" pid="3" name="KSOProductBuildVer">
    <vt:lpwstr>1033-12.1.0.26372</vt:lpwstr>
  </property>
  <property fmtid="{D5CDD505-2E9C-101B-9397-08002B2CF9AE}" pid="4" name="ICV">
    <vt:lpwstr>D830ABF8ED444DAF9F8C29359DB1E1A8_13</vt:lpwstr>
  </property>
</Properties>
</file>