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487" w:rsidRPr="00836487" w:rsidRDefault="00836487" w:rsidP="00BA585F">
      <w:pPr>
        <w:rPr>
          <w:rFonts w:ascii="Times New Roman" w:hAnsi="Times New Roman" w:cs="Times New Roman"/>
          <w:b/>
          <w:sz w:val="28"/>
          <w:szCs w:val="24"/>
        </w:rPr>
      </w:pPr>
      <w:r w:rsidRPr="00836487">
        <w:rPr>
          <w:rFonts w:ascii="Times New Roman" w:hAnsi="Times New Roman" w:cs="Times New Roman"/>
          <w:b/>
          <w:sz w:val="28"/>
          <w:szCs w:val="24"/>
        </w:rPr>
        <w:t xml:space="preserve">A Comprehensive Review on </w:t>
      </w:r>
      <w:r w:rsidR="00BA585F" w:rsidRPr="00836487">
        <w:rPr>
          <w:rFonts w:ascii="Times New Roman" w:hAnsi="Times New Roman" w:cs="Times New Roman"/>
          <w:b/>
          <w:sz w:val="28"/>
          <w:szCs w:val="24"/>
        </w:rPr>
        <w:t xml:space="preserve">Role of Ayurveda in the Management of Ankylosing Spondylitis </w:t>
      </w:r>
    </w:p>
    <w:p w:rsidR="00F94C90" w:rsidRDefault="00F94C90" w:rsidP="00BA585F">
      <w:pPr>
        <w:rPr>
          <w:rFonts w:ascii="Times New Roman" w:hAnsi="Times New Roman" w:cs="Times New Roman"/>
          <w:b/>
          <w:sz w:val="24"/>
          <w:szCs w:val="24"/>
        </w:rPr>
      </w:pPr>
      <w:r>
        <w:rPr>
          <w:rFonts w:ascii="Times New Roman" w:hAnsi="Times New Roman" w:cs="Times New Roman"/>
          <w:b/>
          <w:sz w:val="24"/>
          <w:szCs w:val="24"/>
        </w:rPr>
        <w:t xml:space="preserve">Dr Vaibhav P Jaybhaye </w:t>
      </w:r>
      <w:r w:rsidR="00AC2C99">
        <w:rPr>
          <w:rFonts w:ascii="Times New Roman" w:hAnsi="Times New Roman" w:cs="Times New Roman"/>
          <w:b/>
          <w:sz w:val="24"/>
          <w:szCs w:val="24"/>
          <w:vertAlign w:val="superscript"/>
        </w:rPr>
        <w:t>1</w:t>
      </w:r>
      <w:r w:rsidR="00AC2C99" w:rsidRPr="00AC2C99">
        <w:rPr>
          <w:rFonts w:ascii="Times New Roman" w:hAnsi="Times New Roman" w:cs="Times New Roman"/>
          <w:b/>
          <w:sz w:val="24"/>
          <w:szCs w:val="24"/>
        </w:rPr>
        <w:t xml:space="preserve"> </w:t>
      </w:r>
      <w:r w:rsidR="0081749F">
        <w:rPr>
          <w:rFonts w:ascii="Times New Roman" w:hAnsi="Times New Roman" w:cs="Times New Roman"/>
          <w:b/>
          <w:sz w:val="24"/>
          <w:szCs w:val="24"/>
        </w:rPr>
        <w:t xml:space="preserve">, </w:t>
      </w:r>
      <w:r w:rsidR="00AC2C99">
        <w:rPr>
          <w:rFonts w:ascii="Times New Roman" w:hAnsi="Times New Roman" w:cs="Times New Roman"/>
          <w:b/>
          <w:sz w:val="24"/>
          <w:szCs w:val="24"/>
        </w:rPr>
        <w:t>Dr Ashish C. Zanwar</w:t>
      </w:r>
      <w:r w:rsidR="00AC2C99">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
    <w:p w:rsidR="00AC2C99" w:rsidRPr="0081749F" w:rsidRDefault="00F94C90" w:rsidP="00F94C90">
      <w:pPr>
        <w:spacing w:after="0"/>
        <w:rPr>
          <w:rFonts w:ascii="Times New Roman" w:hAnsi="Times New Roman" w:cs="Times New Roman"/>
          <w:b/>
          <w:szCs w:val="24"/>
          <w:vertAlign w:val="superscript"/>
        </w:rPr>
      </w:pPr>
      <w:r w:rsidRPr="0081749F">
        <w:rPr>
          <w:rFonts w:ascii="Times New Roman" w:hAnsi="Times New Roman" w:cs="Times New Roman"/>
          <w:b/>
          <w:szCs w:val="24"/>
          <w:vertAlign w:val="superscript"/>
        </w:rPr>
        <w:t xml:space="preserve">1. </w:t>
      </w:r>
      <w:r w:rsidR="00AC2C99" w:rsidRPr="0081749F">
        <w:rPr>
          <w:rFonts w:ascii="Times New Roman" w:hAnsi="Times New Roman" w:cs="Times New Roman"/>
          <w:b/>
          <w:szCs w:val="24"/>
          <w:vertAlign w:val="superscript"/>
        </w:rPr>
        <w:t>Assistant Professor, Dept. of Rasashastra &amp; Bhaishajya Kalpana,Indutai Gaikwad Patil Ayurved College, Hospital &amp; Research Centre,</w:t>
      </w:r>
      <w:r w:rsidR="00AC2C99" w:rsidRPr="0081749F">
        <w:rPr>
          <w:rFonts w:ascii="Arial" w:hAnsi="Arial" w:cs="Arial"/>
          <w:color w:val="000000"/>
          <w:sz w:val="14"/>
          <w:szCs w:val="16"/>
          <w:shd w:val="clear" w:color="auto" w:fill="F7F7F0"/>
        </w:rPr>
        <w:t xml:space="preserve"> </w:t>
      </w:r>
      <w:r w:rsidR="00AC2C99" w:rsidRPr="0081749F">
        <w:rPr>
          <w:rFonts w:ascii="Times New Roman" w:hAnsi="Times New Roman" w:cs="Times New Roman"/>
          <w:b/>
          <w:szCs w:val="24"/>
          <w:vertAlign w:val="superscript"/>
        </w:rPr>
        <w:t xml:space="preserve">Dongargaon, Wardha Road , Nagpur </w:t>
      </w:r>
    </w:p>
    <w:p w:rsidR="00AC2C99" w:rsidRPr="0081749F" w:rsidRDefault="00F94C90" w:rsidP="00AC2C99">
      <w:pPr>
        <w:spacing w:after="0"/>
        <w:rPr>
          <w:rFonts w:ascii="Times New Roman" w:hAnsi="Times New Roman" w:cs="Times New Roman"/>
          <w:b/>
          <w:szCs w:val="24"/>
          <w:vertAlign w:val="superscript"/>
        </w:rPr>
      </w:pPr>
      <w:r w:rsidRPr="0081749F">
        <w:rPr>
          <w:rFonts w:ascii="Times New Roman" w:hAnsi="Times New Roman" w:cs="Times New Roman"/>
          <w:b/>
          <w:szCs w:val="24"/>
          <w:vertAlign w:val="superscript"/>
        </w:rPr>
        <w:t>2.</w:t>
      </w:r>
      <w:r w:rsidRPr="0081749F">
        <w:rPr>
          <w:sz w:val="20"/>
        </w:rPr>
        <w:t xml:space="preserve"> </w:t>
      </w:r>
      <w:r w:rsidR="00AC2C99" w:rsidRPr="0081749F">
        <w:rPr>
          <w:rFonts w:ascii="Times New Roman" w:hAnsi="Times New Roman" w:cs="Times New Roman"/>
          <w:b/>
          <w:szCs w:val="24"/>
          <w:vertAlign w:val="superscript"/>
        </w:rPr>
        <w:t>Assistant Professor, Dept.of kayachikitsa, Sau. Shantadevi V Patil Ayurved Coillege And Research Institute, Hatta, Tq Basmat, Dist Hingoli</w:t>
      </w:r>
    </w:p>
    <w:p w:rsidR="00AC2C99" w:rsidRDefault="00BA585F" w:rsidP="00F94C90">
      <w:pPr>
        <w:pStyle w:val="NormalWeb"/>
        <w:spacing w:after="0" w:afterAutospacing="0"/>
      </w:pPr>
      <w:r>
        <w:rPr>
          <w:b/>
          <w:bCs/>
        </w:rPr>
        <w:t>Background:</w:t>
      </w:r>
      <w:r>
        <w:t xml:space="preserve"> </w:t>
      </w:r>
    </w:p>
    <w:p w:rsidR="00BA585F" w:rsidRDefault="00AC2C99" w:rsidP="00F94C90">
      <w:pPr>
        <w:pStyle w:val="NormalWeb"/>
        <w:spacing w:after="0" w:afterAutospacing="0"/>
      </w:pPr>
      <w:r>
        <w:tab/>
      </w:r>
      <w:r w:rsidR="00BA585F">
        <w:t xml:space="preserve">Ankylosing Spondylitis (AS) is a chronic, progressive autoimmune spondyloarthropathy characterized by axial inflammation and potential bony ankylosis. Despite the efficacy of modern </w:t>
      </w:r>
      <w:r w:rsidR="006E7EF6">
        <w:t>biological</w:t>
      </w:r>
      <w:r w:rsidR="00BA585F">
        <w:t xml:space="preserve">, challenges regarding cost, accessibility, and long-term safety persist. This review systematically evaluates the role of Ayurvedic interventions—focusing on </w:t>
      </w:r>
      <w:r w:rsidR="00BA585F">
        <w:rPr>
          <w:i/>
          <w:iCs/>
        </w:rPr>
        <w:t>Panchakarma</w:t>
      </w:r>
      <w:r w:rsidR="00BA585F">
        <w:t xml:space="preserve"> and herbo-mineral formulations—in managing AS symptoms and slowing radiological progression.</w:t>
      </w:r>
    </w:p>
    <w:p w:rsidR="00AC2C99" w:rsidRDefault="00BA585F" w:rsidP="00BA585F">
      <w:pPr>
        <w:pStyle w:val="NormalWeb"/>
      </w:pPr>
      <w:r>
        <w:rPr>
          <w:b/>
          <w:bCs/>
        </w:rPr>
        <w:t>Materials and Methods:</w:t>
      </w:r>
      <w:r>
        <w:t xml:space="preserve"> </w:t>
      </w:r>
    </w:p>
    <w:p w:rsidR="00BA585F" w:rsidRDefault="00AC2C99" w:rsidP="00BA585F">
      <w:pPr>
        <w:pStyle w:val="NormalWeb"/>
      </w:pPr>
      <w:r>
        <w:tab/>
      </w:r>
      <w:r w:rsidR="00BA585F">
        <w:t>A systematic search of electronic databases (PubMed, AYUSH Research Portal, and Google Scholar) was conducted for studies published between 2010 and 2026. Inclusion criteria focused on clinical trials and case series evaluating Ayurvedic protocols, specifically those utilizing the Bath Ankylosing Spondylitis Disease Activity Index (BASDAI) and Functional Index (BASFI) as primary outcome measures.</w:t>
      </w:r>
    </w:p>
    <w:p w:rsidR="00BA585F" w:rsidRDefault="00BA585F" w:rsidP="00BA585F">
      <w:pPr>
        <w:pStyle w:val="NormalWeb"/>
      </w:pPr>
      <w:r>
        <w:rPr>
          <w:b/>
          <w:bCs/>
        </w:rPr>
        <w:t>Results:</w:t>
      </w:r>
      <w:r>
        <w:t xml:space="preserve"> Synthesis of the literature indicates that multi-modal Ayurvedic therapy—comprising </w:t>
      </w:r>
      <w:r>
        <w:rPr>
          <w:i/>
          <w:iCs/>
        </w:rPr>
        <w:t>Deepana-Pachana</w:t>
      </w:r>
      <w:r>
        <w:t xml:space="preserve"> (metabolic regulation), </w:t>
      </w:r>
      <w:r>
        <w:rPr>
          <w:i/>
          <w:iCs/>
        </w:rPr>
        <w:t>Virechana</w:t>
      </w:r>
      <w:r>
        <w:t xml:space="preserve"> (purgation), and </w:t>
      </w:r>
      <w:r>
        <w:rPr>
          <w:i/>
          <w:iCs/>
        </w:rPr>
        <w:t>Vaitarana Basti</w:t>
      </w:r>
      <w:r>
        <w:t xml:space="preserve"> (medicated enema)—leads to a statistically significant reduction in BASDAI scores (ranging from 30% to 50% improvement). Evidence suggests that </w:t>
      </w:r>
      <w:r>
        <w:rPr>
          <w:i/>
          <w:iCs/>
        </w:rPr>
        <w:t>Guggulu</w:t>
      </w:r>
      <w:r>
        <w:t xml:space="preserve">-based formulations and </w:t>
      </w:r>
      <w:r>
        <w:rPr>
          <w:i/>
          <w:iCs/>
        </w:rPr>
        <w:t>Boswellia serrata</w:t>
      </w:r>
      <w:r>
        <w:t xml:space="preserve"> act as potent NF-κB and 5-LOX inhibitors, providing a biochemical basis for reduced synovial inflammation. Furthermore, integrated protocols were associated with improved spinal mobility and a reduction in the required dosage of conventional NSAIDs.</w:t>
      </w:r>
      <w:r w:rsidR="0071041A">
        <w:t xml:space="preserve"> </w:t>
      </w:r>
      <w:r>
        <w:rPr>
          <w:b/>
          <w:bCs/>
        </w:rPr>
        <w:t>Conclusion:</w:t>
      </w:r>
      <w:r>
        <w:t xml:space="preserve"> Ayurveda offers a comprehensive, disease-modifying approach to Ankylosing Spondylitis by addressing the "Gut-Joint Axis" and systemic Vata imbalance. While current clinical data is promising, standardized large-scale Randomized Controlled Trials (RCTs) are essential to establish Ayurveda as a primary or adjunctive standard of care in global rheumatology.</w:t>
      </w:r>
    </w:p>
    <w:p w:rsidR="00BA585F" w:rsidRDefault="00BA585F" w:rsidP="00BA585F">
      <w:pPr>
        <w:pStyle w:val="NormalWeb"/>
      </w:pPr>
      <w:r>
        <w:rPr>
          <w:b/>
          <w:bCs/>
        </w:rPr>
        <w:t>Keywords:</w:t>
      </w:r>
      <w:r>
        <w:t xml:space="preserve"> Ankylosing Spondylitis, Ayurveda, Panchakarma, Basti, HLA-B27, Amavata, Inflammation, Systematic Review.</w:t>
      </w:r>
    </w:p>
    <w:p w:rsidR="00AC2C99" w:rsidRDefault="00AC2C99" w:rsidP="00BA585F">
      <w:pPr>
        <w:pStyle w:val="NormalWeb"/>
      </w:pPr>
    </w:p>
    <w:p w:rsidR="0081749F" w:rsidRDefault="0081749F" w:rsidP="00BA585F">
      <w:pPr>
        <w:pStyle w:val="NormalWeb"/>
      </w:pPr>
    </w:p>
    <w:p w:rsidR="00BA585F" w:rsidRPr="00BA585F" w:rsidRDefault="00BA585F" w:rsidP="00BA585F">
      <w:pPr>
        <w:rPr>
          <w:rFonts w:ascii="Times New Roman" w:hAnsi="Times New Roman" w:cs="Times New Roman"/>
          <w:b/>
          <w:sz w:val="24"/>
          <w:szCs w:val="24"/>
        </w:rPr>
      </w:pPr>
      <w:r w:rsidRPr="00BA585F">
        <w:rPr>
          <w:rFonts w:ascii="Times New Roman" w:hAnsi="Times New Roman" w:cs="Times New Roman"/>
          <w:b/>
          <w:sz w:val="24"/>
          <w:szCs w:val="24"/>
        </w:rPr>
        <w:lastRenderedPageBreak/>
        <w:t xml:space="preserve"> Introduction</w:t>
      </w:r>
    </w:p>
    <w:p w:rsidR="00E22899" w:rsidRDefault="00BA585F" w:rsidP="00BA585F">
      <w:pPr>
        <w:rPr>
          <w:rFonts w:ascii="Times New Roman" w:hAnsi="Times New Roman" w:cs="Times New Roman"/>
          <w:sz w:val="24"/>
          <w:szCs w:val="24"/>
        </w:rPr>
      </w:pPr>
      <w:r>
        <w:rPr>
          <w:rFonts w:ascii="Times New Roman" w:hAnsi="Times New Roman" w:cs="Times New Roman"/>
          <w:sz w:val="24"/>
          <w:szCs w:val="24"/>
        </w:rPr>
        <w:tab/>
      </w:r>
      <w:r w:rsidRPr="00BA585F">
        <w:rPr>
          <w:rFonts w:ascii="Times New Roman" w:hAnsi="Times New Roman" w:cs="Times New Roman"/>
          <w:sz w:val="24"/>
          <w:szCs w:val="24"/>
        </w:rPr>
        <w:t>Ankylosing Spondylitis is a seronegative spondyloarthropathy characterized by inflammation of the sacroiliac joints and the spine, strongly associ</w:t>
      </w:r>
      <w:r w:rsidR="00837BA1">
        <w:rPr>
          <w:rFonts w:ascii="Times New Roman" w:hAnsi="Times New Roman" w:cs="Times New Roman"/>
          <w:sz w:val="24"/>
          <w:szCs w:val="24"/>
        </w:rPr>
        <w:t>ated with the HLA-B27 antigen</w:t>
      </w:r>
      <w:r w:rsidRPr="00BA585F">
        <w:rPr>
          <w:rFonts w:ascii="Times New Roman" w:hAnsi="Times New Roman" w:cs="Times New Roman"/>
          <w:sz w:val="24"/>
          <w:szCs w:val="24"/>
        </w:rPr>
        <w:t>. Over time, this leads to syndesmophyte formation and bony ankylosis, resulting in</w:t>
      </w:r>
      <w:r w:rsidR="00E22899">
        <w:rPr>
          <w:rFonts w:ascii="Times New Roman" w:hAnsi="Times New Roman" w:cs="Times New Roman"/>
          <w:sz w:val="24"/>
          <w:szCs w:val="24"/>
        </w:rPr>
        <w:t xml:space="preserve"> the "Bamboo Spine" appearance.</w:t>
      </w:r>
      <w:r w:rsidR="00E22899" w:rsidRPr="00E22899">
        <w:rPr>
          <w:rFonts w:ascii="Times New Roman" w:hAnsi="Times New Roman" w:cs="Times New Roman"/>
          <w:sz w:val="24"/>
          <w:szCs w:val="24"/>
          <w:vertAlign w:val="superscript"/>
        </w:rPr>
        <w:t>1</w:t>
      </w:r>
    </w:p>
    <w:p w:rsidR="00E22899" w:rsidRDefault="00E22899" w:rsidP="00BA585F">
      <w:pPr>
        <w:rPr>
          <w:rFonts w:ascii="Times New Roman" w:hAnsi="Times New Roman" w:cs="Times New Roman"/>
          <w:sz w:val="24"/>
          <w:szCs w:val="24"/>
        </w:rPr>
      </w:pPr>
      <w:r>
        <w:rPr>
          <w:rFonts w:ascii="Times New Roman" w:hAnsi="Times New Roman" w:cs="Times New Roman"/>
          <w:sz w:val="24"/>
          <w:szCs w:val="24"/>
        </w:rPr>
        <w:tab/>
      </w:r>
      <w:r w:rsidR="00BA585F" w:rsidRPr="00BA585F">
        <w:rPr>
          <w:rFonts w:ascii="Times New Roman" w:hAnsi="Times New Roman" w:cs="Times New Roman"/>
          <w:sz w:val="24"/>
          <w:szCs w:val="24"/>
        </w:rPr>
        <w:t>In Ayurveda, the clinical presentation of AS closely correlates with Amavata and Asthi-Maja Gata Vata</w:t>
      </w:r>
      <w:r w:rsidR="00AC2C99">
        <w:rPr>
          <w:rFonts w:ascii="Times New Roman" w:hAnsi="Times New Roman" w:cs="Times New Roman"/>
          <w:sz w:val="24"/>
          <w:szCs w:val="24"/>
        </w:rPr>
        <w:t>.</w:t>
      </w:r>
      <w:r w:rsidR="0081749F">
        <w:rPr>
          <w:rFonts w:ascii="Times New Roman" w:hAnsi="Times New Roman" w:cs="Times New Roman"/>
          <w:sz w:val="24"/>
          <w:szCs w:val="24"/>
        </w:rPr>
        <w:t xml:space="preserve"> </w:t>
      </w:r>
      <w:r w:rsidR="00BA585F" w:rsidRPr="00BA585F">
        <w:rPr>
          <w:rFonts w:ascii="Times New Roman" w:hAnsi="Times New Roman" w:cs="Times New Roman"/>
          <w:sz w:val="24"/>
          <w:szCs w:val="24"/>
        </w:rPr>
        <w:t>The Ayurvedic perspective posits that the pathogenesis begins with Mandagni (impaired digestion), leading to the formation of Ama (undigested toxic metabolites). This Ama circulates and settles in the Sandhis (joints), trigger</w:t>
      </w:r>
      <w:r w:rsidR="0081749F">
        <w:rPr>
          <w:rFonts w:ascii="Times New Roman" w:hAnsi="Times New Roman" w:cs="Times New Roman"/>
          <w:sz w:val="24"/>
          <w:szCs w:val="24"/>
        </w:rPr>
        <w:t>ed by an aggravated Vata Dosha.</w:t>
      </w:r>
      <w:r w:rsidRPr="00E22899">
        <w:rPr>
          <w:rFonts w:ascii="Times New Roman" w:hAnsi="Times New Roman" w:cs="Times New Roman"/>
          <w:sz w:val="24"/>
          <w:szCs w:val="24"/>
          <w:vertAlign w:val="superscript"/>
        </w:rPr>
        <w:t>2</w:t>
      </w:r>
      <w:r w:rsidRPr="00E22899">
        <w:rPr>
          <w:rFonts w:ascii="Times New Roman" w:hAnsi="Times New Roman" w:cs="Times New Roman"/>
          <w:sz w:val="24"/>
          <w:szCs w:val="24"/>
        </w:rPr>
        <w:t xml:space="preserve"> </w:t>
      </w:r>
    </w:p>
    <w:p w:rsidR="00E22899" w:rsidRDefault="00E22899" w:rsidP="00BA585F">
      <w:pPr>
        <w:rPr>
          <w:rFonts w:ascii="Times New Roman" w:hAnsi="Times New Roman" w:cs="Times New Roman"/>
          <w:sz w:val="24"/>
          <w:szCs w:val="24"/>
        </w:rPr>
      </w:pPr>
      <w:r>
        <w:rPr>
          <w:rFonts w:ascii="Times New Roman" w:hAnsi="Times New Roman" w:cs="Times New Roman"/>
          <w:sz w:val="24"/>
          <w:szCs w:val="24"/>
        </w:rPr>
        <w:tab/>
      </w:r>
      <w:r w:rsidRPr="00E22899">
        <w:rPr>
          <w:rFonts w:ascii="Times New Roman" w:hAnsi="Times New Roman" w:cs="Times New Roman"/>
          <w:sz w:val="24"/>
          <w:szCs w:val="24"/>
        </w:rPr>
        <w:t>New imaging techniques and therapies have substantially changed the management of this disease in the past decade. Whether inhibition of radiographic progression and structural damage can be reached with available drugs is as yet unclear. Furthermore, treatment with non-steroidal anti-inflammatory agents and physiotherapy remains an important approach to long-term management of patients with ankylosing spondylitis. The new treatment options with tumour necrosis factor blockers seems a breakthrough for patients refractory to conventional treatment.</w:t>
      </w:r>
      <w:r>
        <w:rPr>
          <w:rFonts w:ascii="Times New Roman" w:hAnsi="Times New Roman" w:cs="Times New Roman"/>
          <w:sz w:val="24"/>
          <w:szCs w:val="24"/>
          <w:vertAlign w:val="superscript"/>
        </w:rPr>
        <w:t>3</w:t>
      </w:r>
    </w:p>
    <w:p w:rsidR="00D9266A" w:rsidRPr="00BA585F" w:rsidRDefault="00E22899" w:rsidP="00BA585F">
      <w:pPr>
        <w:rPr>
          <w:rFonts w:ascii="Times New Roman" w:hAnsi="Times New Roman" w:cs="Times New Roman"/>
          <w:sz w:val="24"/>
          <w:szCs w:val="24"/>
        </w:rPr>
      </w:pPr>
      <w:r>
        <w:rPr>
          <w:rFonts w:ascii="Times New Roman" w:hAnsi="Times New Roman" w:cs="Times New Roman"/>
          <w:sz w:val="24"/>
          <w:szCs w:val="24"/>
        </w:rPr>
        <w:tab/>
      </w:r>
      <w:r w:rsidRPr="00E22899">
        <w:rPr>
          <w:rFonts w:ascii="Times New Roman" w:hAnsi="Times New Roman" w:cs="Times New Roman"/>
          <w:sz w:val="24"/>
          <w:szCs w:val="24"/>
        </w:rPr>
        <w:t xml:space="preserve"> Modern rheumatology has validated the gut-joint axis, finding that up to 60-70% of ankylosing spondylitis (AS) patient’s exhibit subclinical gut inflammation or dysbiosis. Ayurveda’s traditional focus on treating the gut (</w:t>
      </w:r>
      <w:hyperlink r:id="rId8" w:history="1">
        <w:r w:rsidRPr="00E22899">
          <w:t>Kostha</w:t>
        </w:r>
      </w:hyperlink>
      <w:r w:rsidRPr="00E22899">
        <w:rPr>
          <w:rFonts w:ascii="Times New Roman" w:hAnsi="Times New Roman" w:cs="Times New Roman"/>
          <w:sz w:val="24"/>
          <w:szCs w:val="24"/>
        </w:rPr>
        <w:t>) to resolve joint pain parallels these findings, specifically targeting "Agni" (digestive fire) and removing "Ama" (toxins).</w:t>
      </w:r>
      <w:r w:rsidR="00FB5639" w:rsidRPr="00FB5639">
        <w:rPr>
          <w:rFonts w:ascii="Times New Roman" w:hAnsi="Times New Roman" w:cs="Times New Roman"/>
          <w:sz w:val="24"/>
          <w:szCs w:val="24"/>
          <w:vertAlign w:val="superscript"/>
        </w:rPr>
        <w:t>4</w:t>
      </w:r>
    </w:p>
    <w:p w:rsidR="00AC2C99" w:rsidRDefault="00BA585F" w:rsidP="00AC2C99">
      <w:pPr>
        <w:pStyle w:val="Heading3"/>
      </w:pPr>
      <w:r>
        <w:t>Materials and Methods</w:t>
      </w:r>
    </w:p>
    <w:p w:rsidR="00BA585F" w:rsidRDefault="00BA585F" w:rsidP="00AC2C99">
      <w:pPr>
        <w:pStyle w:val="Heading3"/>
      </w:pPr>
      <w:r>
        <w:t xml:space="preserve"> Search Strategy and Data Sources</w:t>
      </w:r>
    </w:p>
    <w:p w:rsidR="00BA585F" w:rsidRDefault="00BA585F" w:rsidP="00BA585F">
      <w:pPr>
        <w:pStyle w:val="NormalWeb"/>
      </w:pPr>
      <w:r>
        <w:t xml:space="preserve">A systematic search was conducted across electronic databases, including </w:t>
      </w:r>
      <w:r>
        <w:rPr>
          <w:b/>
          <w:bCs/>
        </w:rPr>
        <w:t>PubMed</w:t>
      </w:r>
      <w:r>
        <w:t xml:space="preserve">, </w:t>
      </w:r>
      <w:r>
        <w:rPr>
          <w:b/>
          <w:bCs/>
        </w:rPr>
        <w:t>Ayush Research Portal</w:t>
      </w:r>
      <w:r>
        <w:t xml:space="preserve">, </w:t>
      </w:r>
      <w:r>
        <w:rPr>
          <w:b/>
          <w:bCs/>
        </w:rPr>
        <w:t>DHARA</w:t>
      </w:r>
      <w:r>
        <w:t xml:space="preserve">, </w:t>
      </w:r>
      <w:r>
        <w:rPr>
          <w:b/>
          <w:bCs/>
        </w:rPr>
        <w:t>Google Scholar</w:t>
      </w:r>
      <w:r>
        <w:t xml:space="preserve">, and </w:t>
      </w:r>
      <w:r>
        <w:rPr>
          <w:b/>
          <w:bCs/>
        </w:rPr>
        <w:t>Cochrane Library</w:t>
      </w:r>
      <w:r>
        <w:t>. The search encompassed articles published from January 2010 to March 2026. The following Boolean search strings were utilized:</w:t>
      </w:r>
    </w:p>
    <w:p w:rsidR="00BA585F" w:rsidRDefault="00BA585F" w:rsidP="00BA585F">
      <w:pPr>
        <w:pStyle w:val="NormalWeb"/>
        <w:numPr>
          <w:ilvl w:val="0"/>
          <w:numId w:val="8"/>
        </w:numPr>
      </w:pPr>
      <w:r>
        <w:t>("Ankylosing Spondylitis" OR "Axial Spondyloarthritis") AND ("Ayurveda" OR "Panchakarma")</w:t>
      </w:r>
    </w:p>
    <w:p w:rsidR="00BA585F" w:rsidRDefault="00BA585F" w:rsidP="00BA585F">
      <w:pPr>
        <w:pStyle w:val="NormalWeb"/>
        <w:numPr>
          <w:ilvl w:val="0"/>
          <w:numId w:val="8"/>
        </w:numPr>
      </w:pPr>
      <w:r>
        <w:t>("Amavata" OR "Katigraha") AND ("Guggulu" OR "Basti")</w:t>
      </w:r>
    </w:p>
    <w:p w:rsidR="00BA585F" w:rsidRDefault="00BA585F" w:rsidP="00BA585F">
      <w:pPr>
        <w:pStyle w:val="NormalWeb"/>
        <w:numPr>
          <w:ilvl w:val="0"/>
          <w:numId w:val="8"/>
        </w:numPr>
      </w:pPr>
      <w:r>
        <w:t>("HLA-B27") AND ("Integrative Medicine")</w:t>
      </w:r>
    </w:p>
    <w:p w:rsidR="00BA585F" w:rsidRPr="00AC2C99" w:rsidRDefault="00BA585F" w:rsidP="00BA585F">
      <w:pPr>
        <w:pStyle w:val="Heading4"/>
        <w:rPr>
          <w:color w:val="auto"/>
        </w:rPr>
      </w:pPr>
      <w:r w:rsidRPr="00AC2C99">
        <w:rPr>
          <w:color w:val="auto"/>
        </w:rPr>
        <w:t>Selection Criteria</w:t>
      </w:r>
    </w:p>
    <w:p w:rsidR="00BA585F" w:rsidRDefault="00BA585F" w:rsidP="00BA585F">
      <w:pPr>
        <w:pStyle w:val="NormalWeb"/>
      </w:pPr>
      <w:r>
        <w:t>Articles were screened based on the following inclusion and exclusion criteria:</w:t>
      </w:r>
    </w:p>
    <w:p w:rsidR="00BA585F" w:rsidRDefault="00BA585F" w:rsidP="00BA585F">
      <w:pPr>
        <w:pStyle w:val="NormalWeb"/>
        <w:numPr>
          <w:ilvl w:val="0"/>
          <w:numId w:val="9"/>
        </w:numPr>
      </w:pPr>
      <w:r>
        <w:rPr>
          <w:b/>
          <w:bCs/>
        </w:rPr>
        <w:lastRenderedPageBreak/>
        <w:t>Inclusion Criteria:</w:t>
      </w:r>
      <w:r>
        <w:t xml:space="preserve"> Clinical trials (RCTs and non-RCTs), case series with more than five patients, systematic reviews, and pharmacological studies on Ayurvedic herbs related to AS.</w:t>
      </w:r>
    </w:p>
    <w:p w:rsidR="00BA585F" w:rsidRDefault="00BA585F" w:rsidP="00BA585F">
      <w:pPr>
        <w:pStyle w:val="NormalWeb"/>
        <w:numPr>
          <w:ilvl w:val="0"/>
          <w:numId w:val="9"/>
        </w:numPr>
      </w:pPr>
      <w:r>
        <w:rPr>
          <w:b/>
          <w:bCs/>
        </w:rPr>
        <w:t>Exclusion Criteria:</w:t>
      </w:r>
      <w:r>
        <w:t xml:space="preserve"> Studies involving non-human subjects, single-case reports with insufficient follow-up, and articles not available in English or translated Sanskrit.</w:t>
      </w:r>
    </w:p>
    <w:p w:rsidR="00BA585F" w:rsidRPr="00AC2C99" w:rsidRDefault="00BA585F" w:rsidP="00BA585F">
      <w:pPr>
        <w:pStyle w:val="Heading4"/>
        <w:rPr>
          <w:color w:val="auto"/>
        </w:rPr>
      </w:pPr>
      <w:r w:rsidRPr="00AC2C99">
        <w:rPr>
          <w:color w:val="auto"/>
        </w:rPr>
        <w:t>Study Selection and Data Extraction</w:t>
      </w:r>
    </w:p>
    <w:p w:rsidR="00BA585F" w:rsidRDefault="00BA585F" w:rsidP="00BA585F">
      <w:pPr>
        <w:pStyle w:val="NormalWeb"/>
      </w:pPr>
      <w:r>
        <w:t xml:space="preserve">Initial screening involved 142 titles, out of which 45 abstracts were reviewed. A total of 18 studies met the rigorous criteria for inclusion in this review. Data were extracted regarding the intervention duration, the specific </w:t>
      </w:r>
      <w:r>
        <w:rPr>
          <w:i/>
          <w:iCs/>
        </w:rPr>
        <w:t>Panchakarma</w:t>
      </w:r>
      <w:r>
        <w:t xml:space="preserve"> procedures used, and the primary outcomes measured (BASDAI and BASFI).</w:t>
      </w:r>
    </w:p>
    <w:p w:rsidR="00BA585F" w:rsidRPr="00AC2C99" w:rsidRDefault="00BA585F" w:rsidP="00BA585F">
      <w:pPr>
        <w:pStyle w:val="Heading4"/>
        <w:rPr>
          <w:color w:val="auto"/>
        </w:rPr>
      </w:pPr>
      <w:r w:rsidRPr="00AC2C99">
        <w:rPr>
          <w:color w:val="auto"/>
        </w:rPr>
        <w:t>Clinical Assessment Parameters (Ayurvedic &amp; Modern)</w:t>
      </w:r>
    </w:p>
    <w:p w:rsidR="00BA585F" w:rsidRDefault="00BA585F" w:rsidP="00BA585F">
      <w:pPr>
        <w:pStyle w:val="NormalWeb"/>
      </w:pPr>
      <w:r>
        <w:t>To bridge the diagnostic gap, the review utilized a dual-metric assessment:</w:t>
      </w:r>
    </w:p>
    <w:p w:rsidR="00BA585F" w:rsidRDefault="00BA585F" w:rsidP="00BA585F">
      <w:pPr>
        <w:pStyle w:val="NormalWeb"/>
        <w:numPr>
          <w:ilvl w:val="0"/>
          <w:numId w:val="10"/>
        </w:numPr>
      </w:pPr>
      <w:r>
        <w:rPr>
          <w:b/>
          <w:bCs/>
        </w:rPr>
        <w:t>Modern Metrics:</w:t>
      </w:r>
      <w:r>
        <w:t xml:space="preserve"> Bath Ankylosing Spondylitis Disease Activity Index (BASDAI) for disease activity and Bath Ankylosing Spondylitis Functional Inde</w:t>
      </w:r>
      <w:r w:rsidR="00E22899">
        <w:t>x (BASFI) for physical function</w:t>
      </w:r>
      <w:r>
        <w:t>.</w:t>
      </w:r>
    </w:p>
    <w:p w:rsidR="00BA585F" w:rsidRDefault="00BA585F" w:rsidP="00BA585F">
      <w:pPr>
        <w:pStyle w:val="NormalWeb"/>
        <w:numPr>
          <w:ilvl w:val="0"/>
          <w:numId w:val="10"/>
        </w:numPr>
      </w:pPr>
      <w:r>
        <w:rPr>
          <w:b/>
          <w:bCs/>
        </w:rPr>
        <w:t>Ayurvedic Metrics:</w:t>
      </w:r>
      <w:r>
        <w:t xml:space="preserve"> Grading of </w:t>
      </w:r>
      <w:r>
        <w:rPr>
          <w:i/>
          <w:iCs/>
        </w:rPr>
        <w:t>Stambha</w:t>
      </w:r>
      <w:r>
        <w:t xml:space="preserve"> (stiffness), </w:t>
      </w:r>
      <w:r>
        <w:rPr>
          <w:i/>
          <w:iCs/>
        </w:rPr>
        <w:t>Shoola</w:t>
      </w:r>
      <w:r>
        <w:t xml:space="preserve"> (pain), and </w:t>
      </w:r>
      <w:r>
        <w:rPr>
          <w:i/>
          <w:iCs/>
        </w:rPr>
        <w:t>Agni</w:t>
      </w:r>
      <w:r>
        <w:t xml:space="preserve"> (digestive capacity) based on classical Ayurvedic scales (</w:t>
      </w:r>
      <w:r>
        <w:rPr>
          <w:i/>
          <w:iCs/>
        </w:rPr>
        <w:t>Dashavidha Pariksha</w:t>
      </w:r>
      <w:r>
        <w:t>).</w:t>
      </w:r>
    </w:p>
    <w:p w:rsidR="00BA585F" w:rsidRPr="00FB5639" w:rsidRDefault="00BA585F" w:rsidP="00BA585F">
      <w:pPr>
        <w:pStyle w:val="Heading4"/>
        <w:rPr>
          <w:rFonts w:ascii="Times New Roman" w:hAnsi="Times New Roman" w:cs="Times New Roman"/>
          <w:i w:val="0"/>
          <w:color w:val="auto"/>
          <w:sz w:val="28"/>
        </w:rPr>
      </w:pPr>
      <w:r w:rsidRPr="00FB5639">
        <w:rPr>
          <w:rFonts w:ascii="Times New Roman" w:hAnsi="Times New Roman" w:cs="Times New Roman"/>
          <w:i w:val="0"/>
          <w:color w:val="auto"/>
          <w:sz w:val="28"/>
        </w:rPr>
        <w:t>Intervention Analysis</w:t>
      </w:r>
    </w:p>
    <w:p w:rsidR="00FB5639" w:rsidRPr="00FB5639" w:rsidRDefault="00FB5639" w:rsidP="00151776">
      <w:pPr>
        <w:spacing w:before="100" w:beforeAutospacing="1" w:after="100" w:afterAutospacing="1" w:line="240" w:lineRule="auto"/>
        <w:outlineLvl w:val="2"/>
        <w:rPr>
          <w:rFonts w:ascii="Times New Roman" w:eastAsia="Times New Roman" w:hAnsi="Times New Roman" w:cs="Times New Roman"/>
          <w:b/>
          <w:bCs/>
          <w:i/>
          <w:sz w:val="27"/>
          <w:szCs w:val="27"/>
        </w:rPr>
      </w:pPr>
      <w:r w:rsidRPr="00FB5639">
        <w:rPr>
          <w:rFonts w:ascii="Times New Roman" w:eastAsia="Times New Roman" w:hAnsi="Times New Roman" w:cs="Times New Roman"/>
          <w:b/>
          <w:bCs/>
          <w:i/>
          <w:sz w:val="27"/>
          <w:szCs w:val="27"/>
        </w:rPr>
        <w:t>Samprapti</w:t>
      </w:r>
      <w:r>
        <w:rPr>
          <w:rFonts w:ascii="Times New Roman" w:eastAsia="Times New Roman" w:hAnsi="Times New Roman" w:cs="Times New Roman"/>
          <w:b/>
          <w:bCs/>
          <w:i/>
          <w:sz w:val="27"/>
          <w:szCs w:val="27"/>
        </w:rPr>
        <w:t xml:space="preserve"> </w:t>
      </w:r>
      <w:r w:rsidRPr="00FB5639">
        <w:rPr>
          <w:rFonts w:ascii="Times New Roman" w:eastAsia="Times New Roman" w:hAnsi="Times New Roman" w:cs="Times New Roman"/>
          <w:b/>
          <w:bCs/>
          <w:i/>
          <w:sz w:val="27"/>
          <w:szCs w:val="27"/>
          <w:vertAlign w:val="superscript"/>
        </w:rPr>
        <w:t>5</w:t>
      </w:r>
      <w:r w:rsidRPr="00FB5639">
        <w:rPr>
          <w:rFonts w:ascii="Times New Roman" w:eastAsia="Times New Roman" w:hAnsi="Times New Roman" w:cs="Times New Roman"/>
          <w:b/>
          <w:bCs/>
          <w:i/>
          <w:sz w:val="27"/>
          <w:szCs w:val="27"/>
        </w:rPr>
        <w:t xml:space="preserve"> </w:t>
      </w:r>
    </w:p>
    <w:p w:rsidR="00151776" w:rsidRPr="00151776" w:rsidRDefault="00FB5639" w:rsidP="0015177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i/>
          <w:sz w:val="27"/>
          <w:szCs w:val="27"/>
        </w:rPr>
        <w:t xml:space="preserve">1. </w:t>
      </w:r>
      <w:r w:rsidR="00151776" w:rsidRPr="00151776">
        <w:rPr>
          <w:rFonts w:ascii="Times New Roman" w:eastAsia="Times New Roman" w:hAnsi="Times New Roman" w:cs="Times New Roman"/>
          <w:b/>
          <w:bCs/>
          <w:i/>
          <w:sz w:val="27"/>
          <w:szCs w:val="27"/>
        </w:rPr>
        <w:t>Nidana Sevana</w:t>
      </w:r>
      <w:r w:rsidR="00151776" w:rsidRPr="00151776">
        <w:rPr>
          <w:rFonts w:ascii="Times New Roman" w:eastAsia="Times New Roman" w:hAnsi="Times New Roman" w:cs="Times New Roman"/>
          <w:b/>
          <w:bCs/>
          <w:sz w:val="27"/>
          <w:szCs w:val="27"/>
        </w:rPr>
        <w:t xml:space="preserve"> </w:t>
      </w:r>
    </w:p>
    <w:p w:rsidR="00151776" w:rsidRPr="00151776" w:rsidRDefault="00151776" w:rsidP="00151776">
      <w:pPr>
        <w:spacing w:before="100" w:beforeAutospacing="1" w:after="100" w:afterAutospacing="1" w:line="240" w:lineRule="auto"/>
        <w:rPr>
          <w:rFonts w:ascii="Times New Roman" w:eastAsia="Times New Roman" w:hAnsi="Times New Roman" w:cs="Times New Roman"/>
          <w:sz w:val="24"/>
          <w:szCs w:val="24"/>
        </w:rPr>
      </w:pPr>
      <w:r w:rsidRPr="00151776">
        <w:rPr>
          <w:rFonts w:ascii="Times New Roman" w:eastAsia="Times New Roman" w:hAnsi="Times New Roman" w:cs="Times New Roman"/>
          <w:sz w:val="24"/>
          <w:szCs w:val="24"/>
        </w:rPr>
        <w:t xml:space="preserve">Consumption of Vata-aggravating foods (cold, dry, light), irregular lifestyle, and factors that deplete </w:t>
      </w:r>
      <w:r w:rsidRPr="00151776">
        <w:rPr>
          <w:rFonts w:ascii="Times New Roman" w:eastAsia="Times New Roman" w:hAnsi="Times New Roman" w:cs="Times New Roman"/>
          <w:i/>
          <w:iCs/>
          <w:sz w:val="24"/>
          <w:szCs w:val="24"/>
        </w:rPr>
        <w:t>Ojas</w:t>
      </w:r>
      <w:r w:rsidRPr="00151776">
        <w:rPr>
          <w:rFonts w:ascii="Times New Roman" w:eastAsia="Times New Roman" w:hAnsi="Times New Roman" w:cs="Times New Roman"/>
          <w:sz w:val="24"/>
          <w:szCs w:val="24"/>
        </w:rPr>
        <w:t xml:space="preserve"> or suppress natural urges lead to the initial weakening of </w:t>
      </w:r>
      <w:r w:rsidRPr="00151776">
        <w:rPr>
          <w:rFonts w:ascii="Times New Roman" w:eastAsia="Times New Roman" w:hAnsi="Times New Roman" w:cs="Times New Roman"/>
          <w:b/>
          <w:bCs/>
          <w:sz w:val="24"/>
          <w:szCs w:val="24"/>
        </w:rPr>
        <w:t>Jatharagni</w:t>
      </w:r>
      <w:r w:rsidRPr="00151776">
        <w:rPr>
          <w:rFonts w:ascii="Times New Roman" w:eastAsia="Times New Roman" w:hAnsi="Times New Roman" w:cs="Times New Roman"/>
          <w:sz w:val="24"/>
          <w:szCs w:val="24"/>
        </w:rPr>
        <w:t>.</w:t>
      </w:r>
    </w:p>
    <w:p w:rsidR="00151776" w:rsidRPr="00151776" w:rsidRDefault="00151776" w:rsidP="00151776">
      <w:pPr>
        <w:spacing w:before="100" w:beforeAutospacing="1" w:after="100" w:afterAutospacing="1" w:line="240" w:lineRule="auto"/>
        <w:outlineLvl w:val="2"/>
        <w:rPr>
          <w:rFonts w:ascii="Times New Roman" w:eastAsia="Times New Roman" w:hAnsi="Times New Roman" w:cs="Times New Roman"/>
          <w:b/>
          <w:bCs/>
          <w:i/>
          <w:sz w:val="27"/>
          <w:szCs w:val="27"/>
        </w:rPr>
      </w:pPr>
      <w:r w:rsidRPr="00151776">
        <w:rPr>
          <w:rFonts w:ascii="Times New Roman" w:eastAsia="Times New Roman" w:hAnsi="Times New Roman" w:cs="Times New Roman"/>
          <w:b/>
          <w:bCs/>
          <w:sz w:val="27"/>
          <w:szCs w:val="27"/>
        </w:rPr>
        <w:t xml:space="preserve">2. </w:t>
      </w:r>
      <w:r w:rsidRPr="00151776">
        <w:rPr>
          <w:rFonts w:ascii="Times New Roman" w:eastAsia="Times New Roman" w:hAnsi="Times New Roman" w:cs="Times New Roman"/>
          <w:b/>
          <w:bCs/>
          <w:i/>
          <w:sz w:val="27"/>
          <w:szCs w:val="27"/>
        </w:rPr>
        <w:t xml:space="preserve">Ama Utpatti </w:t>
      </w:r>
    </w:p>
    <w:p w:rsidR="00151776" w:rsidRPr="00151776" w:rsidRDefault="00151776" w:rsidP="00151776">
      <w:pPr>
        <w:spacing w:before="100" w:beforeAutospacing="1" w:after="100" w:afterAutospacing="1" w:line="240" w:lineRule="auto"/>
        <w:rPr>
          <w:rFonts w:ascii="Times New Roman" w:eastAsia="Times New Roman" w:hAnsi="Times New Roman" w:cs="Times New Roman"/>
          <w:sz w:val="24"/>
          <w:szCs w:val="24"/>
        </w:rPr>
      </w:pPr>
      <w:r w:rsidRPr="00151776">
        <w:rPr>
          <w:rFonts w:ascii="Times New Roman" w:eastAsia="Times New Roman" w:hAnsi="Times New Roman" w:cs="Times New Roman"/>
          <w:sz w:val="24"/>
          <w:szCs w:val="24"/>
        </w:rPr>
        <w:t xml:space="preserve">Due to weakened digestion, improperly processed food turns into </w:t>
      </w:r>
      <w:r w:rsidRPr="00151776">
        <w:rPr>
          <w:rFonts w:ascii="Times New Roman" w:eastAsia="Times New Roman" w:hAnsi="Times New Roman" w:cs="Times New Roman"/>
          <w:b/>
          <w:bCs/>
          <w:sz w:val="24"/>
          <w:szCs w:val="24"/>
        </w:rPr>
        <w:t>Ama</w:t>
      </w:r>
      <w:r w:rsidRPr="00151776">
        <w:rPr>
          <w:rFonts w:ascii="Times New Roman" w:eastAsia="Times New Roman" w:hAnsi="Times New Roman" w:cs="Times New Roman"/>
          <w:sz w:val="24"/>
          <w:szCs w:val="24"/>
        </w:rPr>
        <w:t xml:space="preserve"> (unmetabolized toxic byproduct). This </w:t>
      </w:r>
      <w:r w:rsidRPr="00151776">
        <w:rPr>
          <w:rFonts w:ascii="Times New Roman" w:eastAsia="Times New Roman" w:hAnsi="Times New Roman" w:cs="Times New Roman"/>
          <w:i/>
          <w:iCs/>
          <w:sz w:val="24"/>
          <w:szCs w:val="24"/>
        </w:rPr>
        <w:t>Ama</w:t>
      </w:r>
      <w:r w:rsidRPr="00151776">
        <w:rPr>
          <w:rFonts w:ascii="Times New Roman" w:eastAsia="Times New Roman" w:hAnsi="Times New Roman" w:cs="Times New Roman"/>
          <w:sz w:val="24"/>
          <w:szCs w:val="24"/>
        </w:rPr>
        <w:t xml:space="preserve"> is heavy and sticky, circulating through the </w:t>
      </w:r>
      <w:r w:rsidRPr="00151776">
        <w:rPr>
          <w:rFonts w:ascii="Times New Roman" w:eastAsia="Times New Roman" w:hAnsi="Times New Roman" w:cs="Times New Roman"/>
          <w:i/>
          <w:iCs/>
          <w:sz w:val="24"/>
          <w:szCs w:val="24"/>
        </w:rPr>
        <w:t>Rasavaha Srotas</w:t>
      </w:r>
      <w:r w:rsidRPr="00151776">
        <w:rPr>
          <w:rFonts w:ascii="Times New Roman" w:eastAsia="Times New Roman" w:hAnsi="Times New Roman" w:cs="Times New Roman"/>
          <w:sz w:val="24"/>
          <w:szCs w:val="24"/>
        </w:rPr>
        <w:t>.</w:t>
      </w:r>
    </w:p>
    <w:p w:rsidR="00151776" w:rsidRPr="00151776" w:rsidRDefault="00151776" w:rsidP="00151776">
      <w:pPr>
        <w:spacing w:before="100" w:beforeAutospacing="1" w:after="100" w:afterAutospacing="1" w:line="240" w:lineRule="auto"/>
        <w:outlineLvl w:val="2"/>
        <w:rPr>
          <w:rFonts w:ascii="Times New Roman" w:eastAsia="Times New Roman" w:hAnsi="Times New Roman" w:cs="Times New Roman"/>
          <w:b/>
          <w:bCs/>
          <w:i/>
          <w:sz w:val="27"/>
          <w:szCs w:val="27"/>
        </w:rPr>
      </w:pPr>
      <w:r w:rsidRPr="00151776">
        <w:rPr>
          <w:rFonts w:ascii="Times New Roman" w:eastAsia="Times New Roman" w:hAnsi="Times New Roman" w:cs="Times New Roman"/>
          <w:b/>
          <w:bCs/>
          <w:sz w:val="27"/>
          <w:szCs w:val="27"/>
        </w:rPr>
        <w:t xml:space="preserve">3. </w:t>
      </w:r>
      <w:r>
        <w:rPr>
          <w:rFonts w:ascii="Times New Roman" w:eastAsia="Times New Roman" w:hAnsi="Times New Roman" w:cs="Times New Roman"/>
          <w:b/>
          <w:bCs/>
          <w:i/>
          <w:sz w:val="27"/>
          <w:szCs w:val="27"/>
        </w:rPr>
        <w:t>Srotobandha</w:t>
      </w:r>
    </w:p>
    <w:p w:rsidR="00151776" w:rsidRPr="00151776" w:rsidRDefault="00151776" w:rsidP="00151776">
      <w:pPr>
        <w:spacing w:before="100" w:beforeAutospacing="1" w:after="100" w:afterAutospacing="1" w:line="240" w:lineRule="auto"/>
        <w:rPr>
          <w:rFonts w:ascii="Times New Roman" w:eastAsia="Times New Roman" w:hAnsi="Times New Roman" w:cs="Times New Roman"/>
          <w:sz w:val="24"/>
          <w:szCs w:val="24"/>
        </w:rPr>
      </w:pPr>
      <w:r w:rsidRPr="00151776">
        <w:rPr>
          <w:rFonts w:ascii="Times New Roman" w:eastAsia="Times New Roman" w:hAnsi="Times New Roman" w:cs="Times New Roman"/>
          <w:sz w:val="24"/>
          <w:szCs w:val="24"/>
        </w:rPr>
        <w:t xml:space="preserve">The circulating </w:t>
      </w:r>
      <w:r w:rsidRPr="00151776">
        <w:rPr>
          <w:rFonts w:ascii="Times New Roman" w:eastAsia="Times New Roman" w:hAnsi="Times New Roman" w:cs="Times New Roman"/>
          <w:i/>
          <w:iCs/>
          <w:sz w:val="24"/>
          <w:szCs w:val="24"/>
        </w:rPr>
        <w:t>Ama</w:t>
      </w:r>
      <w:r w:rsidRPr="00151776">
        <w:rPr>
          <w:rFonts w:ascii="Times New Roman" w:eastAsia="Times New Roman" w:hAnsi="Times New Roman" w:cs="Times New Roman"/>
          <w:sz w:val="24"/>
          <w:szCs w:val="24"/>
        </w:rPr>
        <w:t xml:space="preserve"> combines with aggravated </w:t>
      </w:r>
      <w:r w:rsidRPr="00151776">
        <w:rPr>
          <w:rFonts w:ascii="Times New Roman" w:eastAsia="Times New Roman" w:hAnsi="Times New Roman" w:cs="Times New Roman"/>
          <w:i/>
          <w:iCs/>
          <w:sz w:val="24"/>
          <w:szCs w:val="24"/>
        </w:rPr>
        <w:t>Vata</w:t>
      </w:r>
      <w:r w:rsidRPr="00151776">
        <w:rPr>
          <w:rFonts w:ascii="Times New Roman" w:eastAsia="Times New Roman" w:hAnsi="Times New Roman" w:cs="Times New Roman"/>
          <w:sz w:val="24"/>
          <w:szCs w:val="24"/>
        </w:rPr>
        <w:t xml:space="preserve"> (</w:t>
      </w:r>
      <w:r w:rsidRPr="00151776">
        <w:rPr>
          <w:rFonts w:ascii="Times New Roman" w:eastAsia="Times New Roman" w:hAnsi="Times New Roman" w:cs="Times New Roman"/>
          <w:b/>
          <w:bCs/>
          <w:sz w:val="24"/>
          <w:szCs w:val="24"/>
        </w:rPr>
        <w:t>Sama Vata</w:t>
      </w:r>
      <w:r w:rsidRPr="00151776">
        <w:rPr>
          <w:rFonts w:ascii="Times New Roman" w:eastAsia="Times New Roman" w:hAnsi="Times New Roman" w:cs="Times New Roman"/>
          <w:sz w:val="24"/>
          <w:szCs w:val="24"/>
        </w:rPr>
        <w:t xml:space="preserve">). This complex settles in the "Khavaigunya" (pre-existing weak areas), which in AS is typically the </w:t>
      </w:r>
      <w:r w:rsidRPr="00151776">
        <w:rPr>
          <w:rFonts w:ascii="Times New Roman" w:eastAsia="Times New Roman" w:hAnsi="Times New Roman" w:cs="Times New Roman"/>
          <w:b/>
          <w:bCs/>
          <w:sz w:val="24"/>
          <w:szCs w:val="24"/>
        </w:rPr>
        <w:t>Trika Sandhi</w:t>
      </w:r>
      <w:r w:rsidRPr="00151776">
        <w:rPr>
          <w:rFonts w:ascii="Times New Roman" w:eastAsia="Times New Roman" w:hAnsi="Times New Roman" w:cs="Times New Roman"/>
          <w:sz w:val="24"/>
          <w:szCs w:val="24"/>
        </w:rPr>
        <w:t xml:space="preserve"> (Sacroiliac joints). It blocks the microscopic channels (</w:t>
      </w:r>
      <w:r w:rsidRPr="00151776">
        <w:rPr>
          <w:rFonts w:ascii="Times New Roman" w:eastAsia="Times New Roman" w:hAnsi="Times New Roman" w:cs="Times New Roman"/>
          <w:i/>
          <w:iCs/>
          <w:sz w:val="24"/>
          <w:szCs w:val="24"/>
        </w:rPr>
        <w:t>Srotas</w:t>
      </w:r>
      <w:r w:rsidRPr="00151776">
        <w:rPr>
          <w:rFonts w:ascii="Times New Roman" w:eastAsia="Times New Roman" w:hAnsi="Times New Roman" w:cs="Times New Roman"/>
          <w:sz w:val="24"/>
          <w:szCs w:val="24"/>
        </w:rPr>
        <w:t>) that nourish the bone tissues.</w:t>
      </w:r>
    </w:p>
    <w:p w:rsidR="00151776" w:rsidRPr="00151776" w:rsidRDefault="00151776" w:rsidP="00151776">
      <w:pPr>
        <w:spacing w:before="100" w:beforeAutospacing="1" w:after="100" w:afterAutospacing="1" w:line="240" w:lineRule="auto"/>
        <w:outlineLvl w:val="2"/>
        <w:rPr>
          <w:rFonts w:ascii="Times New Roman" w:eastAsia="Times New Roman" w:hAnsi="Times New Roman" w:cs="Times New Roman"/>
          <w:b/>
          <w:bCs/>
          <w:sz w:val="27"/>
          <w:szCs w:val="27"/>
        </w:rPr>
      </w:pPr>
      <w:r w:rsidRPr="00151776">
        <w:rPr>
          <w:rFonts w:ascii="Times New Roman" w:eastAsia="Times New Roman" w:hAnsi="Times New Roman" w:cs="Times New Roman"/>
          <w:b/>
          <w:bCs/>
          <w:sz w:val="27"/>
          <w:szCs w:val="27"/>
        </w:rPr>
        <w:t xml:space="preserve">4. </w:t>
      </w:r>
      <w:r w:rsidRPr="00151776">
        <w:rPr>
          <w:rFonts w:ascii="Times New Roman" w:eastAsia="Times New Roman" w:hAnsi="Times New Roman" w:cs="Times New Roman"/>
          <w:b/>
          <w:bCs/>
          <w:i/>
          <w:sz w:val="27"/>
          <w:szCs w:val="27"/>
        </w:rPr>
        <w:t>Dhatu Kshaya &amp; Soshana</w:t>
      </w:r>
      <w:r>
        <w:rPr>
          <w:rFonts w:ascii="Times New Roman" w:eastAsia="Times New Roman" w:hAnsi="Times New Roman" w:cs="Times New Roman"/>
          <w:b/>
          <w:bCs/>
          <w:sz w:val="27"/>
          <w:szCs w:val="27"/>
        </w:rPr>
        <w:t xml:space="preserve"> </w:t>
      </w:r>
    </w:p>
    <w:p w:rsidR="00151776" w:rsidRPr="00151776" w:rsidRDefault="00151776" w:rsidP="00151776">
      <w:pPr>
        <w:spacing w:before="100" w:beforeAutospacing="1" w:after="100" w:afterAutospacing="1" w:line="240" w:lineRule="auto"/>
        <w:rPr>
          <w:rFonts w:ascii="Times New Roman" w:eastAsia="Times New Roman" w:hAnsi="Times New Roman" w:cs="Times New Roman"/>
          <w:sz w:val="24"/>
          <w:szCs w:val="24"/>
        </w:rPr>
      </w:pPr>
      <w:r w:rsidRPr="00151776">
        <w:rPr>
          <w:rFonts w:ascii="Times New Roman" w:eastAsia="Times New Roman" w:hAnsi="Times New Roman" w:cs="Times New Roman"/>
          <w:sz w:val="24"/>
          <w:szCs w:val="24"/>
        </w:rPr>
        <w:lastRenderedPageBreak/>
        <w:t xml:space="preserve">Because the channels are blocked, the </w:t>
      </w:r>
      <w:r w:rsidRPr="00151776">
        <w:rPr>
          <w:rFonts w:ascii="Times New Roman" w:eastAsia="Times New Roman" w:hAnsi="Times New Roman" w:cs="Times New Roman"/>
          <w:b/>
          <w:bCs/>
          <w:sz w:val="24"/>
          <w:szCs w:val="24"/>
        </w:rPr>
        <w:t>Asthi Dhatu</w:t>
      </w:r>
      <w:r w:rsidRPr="00151776">
        <w:rPr>
          <w:rFonts w:ascii="Times New Roman" w:eastAsia="Times New Roman" w:hAnsi="Times New Roman" w:cs="Times New Roman"/>
          <w:sz w:val="24"/>
          <w:szCs w:val="24"/>
        </w:rPr>
        <w:t xml:space="preserve"> (bone) and </w:t>
      </w:r>
      <w:r w:rsidRPr="00151776">
        <w:rPr>
          <w:rFonts w:ascii="Times New Roman" w:eastAsia="Times New Roman" w:hAnsi="Times New Roman" w:cs="Times New Roman"/>
          <w:b/>
          <w:bCs/>
          <w:sz w:val="24"/>
          <w:szCs w:val="24"/>
        </w:rPr>
        <w:t>Majja Dhatu</w:t>
      </w:r>
      <w:r w:rsidRPr="00151776">
        <w:rPr>
          <w:rFonts w:ascii="Times New Roman" w:eastAsia="Times New Roman" w:hAnsi="Times New Roman" w:cs="Times New Roman"/>
          <w:sz w:val="24"/>
          <w:szCs w:val="24"/>
        </w:rPr>
        <w:t xml:space="preserve"> (marrow) do not receive adequate nourishment.</w:t>
      </w:r>
    </w:p>
    <w:p w:rsidR="00151776" w:rsidRPr="00151776" w:rsidRDefault="00151776" w:rsidP="0015177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51776">
        <w:rPr>
          <w:rFonts w:ascii="Times New Roman" w:eastAsia="Times New Roman" w:hAnsi="Times New Roman" w:cs="Times New Roman"/>
          <w:sz w:val="24"/>
          <w:szCs w:val="24"/>
        </w:rPr>
        <w:t>The dry (</w:t>
      </w:r>
      <w:r w:rsidRPr="00151776">
        <w:rPr>
          <w:rFonts w:ascii="Times New Roman" w:eastAsia="Times New Roman" w:hAnsi="Times New Roman" w:cs="Times New Roman"/>
          <w:i/>
          <w:iCs/>
          <w:sz w:val="24"/>
          <w:szCs w:val="24"/>
        </w:rPr>
        <w:t>Ruksha</w:t>
      </w:r>
      <w:r w:rsidRPr="00151776">
        <w:rPr>
          <w:rFonts w:ascii="Times New Roman" w:eastAsia="Times New Roman" w:hAnsi="Times New Roman" w:cs="Times New Roman"/>
          <w:sz w:val="24"/>
          <w:szCs w:val="24"/>
        </w:rPr>
        <w:t>) and cold (</w:t>
      </w:r>
      <w:r w:rsidRPr="00151776">
        <w:rPr>
          <w:rFonts w:ascii="Times New Roman" w:eastAsia="Times New Roman" w:hAnsi="Times New Roman" w:cs="Times New Roman"/>
          <w:i/>
          <w:iCs/>
          <w:sz w:val="24"/>
          <w:szCs w:val="24"/>
        </w:rPr>
        <w:t>Sheeta</w:t>
      </w:r>
      <w:r w:rsidRPr="00151776">
        <w:rPr>
          <w:rFonts w:ascii="Times New Roman" w:eastAsia="Times New Roman" w:hAnsi="Times New Roman" w:cs="Times New Roman"/>
          <w:sz w:val="24"/>
          <w:szCs w:val="24"/>
        </w:rPr>
        <w:t xml:space="preserve">) qualities of </w:t>
      </w:r>
      <w:r w:rsidRPr="00151776">
        <w:rPr>
          <w:rFonts w:ascii="Times New Roman" w:eastAsia="Times New Roman" w:hAnsi="Times New Roman" w:cs="Times New Roman"/>
          <w:i/>
          <w:iCs/>
          <w:sz w:val="24"/>
          <w:szCs w:val="24"/>
        </w:rPr>
        <w:t>Vata</w:t>
      </w:r>
      <w:r w:rsidRPr="00151776">
        <w:rPr>
          <w:rFonts w:ascii="Times New Roman" w:eastAsia="Times New Roman" w:hAnsi="Times New Roman" w:cs="Times New Roman"/>
          <w:sz w:val="24"/>
          <w:szCs w:val="24"/>
        </w:rPr>
        <w:t xml:space="preserve"> begin to "dry up" the essential synovial fluids and the soft intervertebral structures.</w:t>
      </w:r>
    </w:p>
    <w:p w:rsidR="00151776" w:rsidRPr="00151776" w:rsidRDefault="00151776" w:rsidP="0015177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51776">
        <w:rPr>
          <w:rFonts w:ascii="Times New Roman" w:eastAsia="Times New Roman" w:hAnsi="Times New Roman" w:cs="Times New Roman"/>
          <w:sz w:val="24"/>
          <w:szCs w:val="24"/>
        </w:rPr>
        <w:t xml:space="preserve">This leads to </w:t>
      </w:r>
      <w:r w:rsidRPr="00151776">
        <w:rPr>
          <w:rFonts w:ascii="Times New Roman" w:eastAsia="Times New Roman" w:hAnsi="Times New Roman" w:cs="Times New Roman"/>
          <w:b/>
          <w:bCs/>
          <w:sz w:val="24"/>
          <w:szCs w:val="24"/>
        </w:rPr>
        <w:t>Sandhi-Stambha</w:t>
      </w:r>
      <w:r w:rsidRPr="00151776">
        <w:rPr>
          <w:rFonts w:ascii="Times New Roman" w:eastAsia="Times New Roman" w:hAnsi="Times New Roman" w:cs="Times New Roman"/>
          <w:sz w:val="24"/>
          <w:szCs w:val="24"/>
        </w:rPr>
        <w:t xml:space="preserve"> (joint stiffness).</w:t>
      </w:r>
    </w:p>
    <w:p w:rsidR="00151776" w:rsidRPr="00151776" w:rsidRDefault="00151776" w:rsidP="00151776">
      <w:pPr>
        <w:spacing w:before="100" w:beforeAutospacing="1" w:after="100" w:afterAutospacing="1" w:line="240" w:lineRule="auto"/>
        <w:outlineLvl w:val="2"/>
        <w:rPr>
          <w:rFonts w:ascii="Times New Roman" w:eastAsia="Times New Roman" w:hAnsi="Times New Roman" w:cs="Times New Roman"/>
          <w:b/>
          <w:bCs/>
          <w:sz w:val="27"/>
          <w:szCs w:val="27"/>
        </w:rPr>
      </w:pPr>
      <w:r w:rsidRPr="00151776">
        <w:rPr>
          <w:rFonts w:ascii="Times New Roman" w:eastAsia="Times New Roman" w:hAnsi="Times New Roman" w:cs="Times New Roman"/>
          <w:b/>
          <w:bCs/>
          <w:sz w:val="27"/>
          <w:szCs w:val="27"/>
        </w:rPr>
        <w:t xml:space="preserve">5. </w:t>
      </w:r>
      <w:r w:rsidRPr="00151776">
        <w:rPr>
          <w:rFonts w:ascii="Times New Roman" w:eastAsia="Times New Roman" w:hAnsi="Times New Roman" w:cs="Times New Roman"/>
          <w:b/>
          <w:bCs/>
          <w:i/>
          <w:sz w:val="27"/>
          <w:szCs w:val="27"/>
        </w:rPr>
        <w:t>Vikalpa Samprapti</w:t>
      </w:r>
      <w:r w:rsidR="00FB5639" w:rsidRPr="00FB5639">
        <w:rPr>
          <w:rFonts w:ascii="Times New Roman" w:eastAsia="Times New Roman" w:hAnsi="Times New Roman" w:cs="Times New Roman"/>
          <w:b/>
          <w:bCs/>
          <w:i/>
          <w:sz w:val="27"/>
          <w:szCs w:val="27"/>
          <w:vertAlign w:val="superscript"/>
        </w:rPr>
        <w:t>6</w:t>
      </w:r>
      <w:r w:rsidR="00FB5639">
        <w:rPr>
          <w:rFonts w:ascii="Times New Roman" w:eastAsia="Times New Roman" w:hAnsi="Times New Roman" w:cs="Times New Roman"/>
          <w:b/>
          <w:bCs/>
          <w:i/>
          <w:sz w:val="27"/>
          <w:szCs w:val="27"/>
        </w:rPr>
        <w:t xml:space="preserve"> </w:t>
      </w:r>
      <w:r w:rsidRPr="00151776">
        <w:rPr>
          <w:rFonts w:ascii="Times New Roman" w:eastAsia="Times New Roman" w:hAnsi="Times New Roman" w:cs="Times New Roman"/>
          <w:b/>
          <w:bCs/>
          <w:i/>
          <w:sz w:val="27"/>
          <w:szCs w:val="27"/>
        </w:rPr>
        <w:t xml:space="preserve"> </w:t>
      </w:r>
    </w:p>
    <w:p w:rsidR="00151776" w:rsidRPr="00151776" w:rsidRDefault="00151776" w:rsidP="00151776">
      <w:pPr>
        <w:spacing w:before="100" w:beforeAutospacing="1" w:after="100" w:afterAutospacing="1" w:line="240" w:lineRule="auto"/>
        <w:rPr>
          <w:rFonts w:ascii="Times New Roman" w:eastAsia="Times New Roman" w:hAnsi="Times New Roman" w:cs="Times New Roman"/>
          <w:sz w:val="24"/>
          <w:szCs w:val="24"/>
        </w:rPr>
      </w:pPr>
      <w:r w:rsidRPr="00151776">
        <w:rPr>
          <w:rFonts w:ascii="Times New Roman" w:eastAsia="Times New Roman" w:hAnsi="Times New Roman" w:cs="Times New Roman"/>
          <w:sz w:val="24"/>
          <w:szCs w:val="24"/>
        </w:rPr>
        <w:t xml:space="preserve">In the advanced stages, the body attempts to stabilize the "weakened" bone by depositing calcium pathologically—this is the Ayurvedic equivalent of </w:t>
      </w:r>
      <w:r w:rsidRPr="00151776">
        <w:rPr>
          <w:rFonts w:ascii="Times New Roman" w:eastAsia="Times New Roman" w:hAnsi="Times New Roman" w:cs="Times New Roman"/>
          <w:b/>
          <w:bCs/>
          <w:sz w:val="24"/>
          <w:szCs w:val="24"/>
        </w:rPr>
        <w:t>Syndesmophyte</w:t>
      </w:r>
      <w:r w:rsidRPr="00151776">
        <w:rPr>
          <w:rFonts w:ascii="Times New Roman" w:eastAsia="Times New Roman" w:hAnsi="Times New Roman" w:cs="Times New Roman"/>
          <w:sz w:val="24"/>
          <w:szCs w:val="24"/>
        </w:rPr>
        <w:t xml:space="preserve"> formation. The </w:t>
      </w:r>
      <w:r w:rsidRPr="00151776">
        <w:rPr>
          <w:rFonts w:ascii="Times New Roman" w:eastAsia="Times New Roman" w:hAnsi="Times New Roman" w:cs="Times New Roman"/>
          <w:i/>
          <w:iCs/>
          <w:sz w:val="24"/>
          <w:szCs w:val="24"/>
        </w:rPr>
        <w:t>Vata</w:t>
      </w:r>
      <w:r w:rsidRPr="00151776">
        <w:rPr>
          <w:rFonts w:ascii="Times New Roman" w:eastAsia="Times New Roman" w:hAnsi="Times New Roman" w:cs="Times New Roman"/>
          <w:sz w:val="24"/>
          <w:szCs w:val="24"/>
        </w:rPr>
        <w:t xml:space="preserve"> pushes the </w:t>
      </w:r>
      <w:r w:rsidRPr="00151776">
        <w:rPr>
          <w:rFonts w:ascii="Times New Roman" w:eastAsia="Times New Roman" w:hAnsi="Times New Roman" w:cs="Times New Roman"/>
          <w:i/>
          <w:iCs/>
          <w:sz w:val="24"/>
          <w:szCs w:val="24"/>
        </w:rPr>
        <w:t>Kapha</w:t>
      </w:r>
      <w:r w:rsidRPr="00151776">
        <w:rPr>
          <w:rFonts w:ascii="Times New Roman" w:eastAsia="Times New Roman" w:hAnsi="Times New Roman" w:cs="Times New Roman"/>
          <w:sz w:val="24"/>
          <w:szCs w:val="24"/>
        </w:rPr>
        <w:t xml:space="preserve"> and </w:t>
      </w:r>
      <w:r w:rsidRPr="00151776">
        <w:rPr>
          <w:rFonts w:ascii="Times New Roman" w:eastAsia="Times New Roman" w:hAnsi="Times New Roman" w:cs="Times New Roman"/>
          <w:i/>
          <w:iCs/>
          <w:sz w:val="24"/>
          <w:szCs w:val="24"/>
        </w:rPr>
        <w:t>Asthi</w:t>
      </w:r>
      <w:r w:rsidRPr="00151776">
        <w:rPr>
          <w:rFonts w:ascii="Times New Roman" w:eastAsia="Times New Roman" w:hAnsi="Times New Roman" w:cs="Times New Roman"/>
          <w:sz w:val="24"/>
          <w:szCs w:val="24"/>
        </w:rPr>
        <w:t xml:space="preserve"> elements into abnormal growth, resulting in the "Bamboo Spine" appearance, or </w:t>
      </w:r>
      <w:r w:rsidRPr="00151776">
        <w:rPr>
          <w:rFonts w:ascii="Times New Roman" w:eastAsia="Times New Roman" w:hAnsi="Times New Roman" w:cs="Times New Roman"/>
          <w:b/>
          <w:bCs/>
          <w:sz w:val="24"/>
          <w:szCs w:val="24"/>
        </w:rPr>
        <w:t>Pristha-Vamsha Gatatva</w:t>
      </w:r>
      <w:r w:rsidRPr="00151776">
        <w:rPr>
          <w:rFonts w:ascii="Times New Roman" w:eastAsia="Times New Roman" w:hAnsi="Times New Roman" w:cs="Times New Roman"/>
          <w:sz w:val="24"/>
          <w:szCs w:val="24"/>
        </w:rPr>
        <w:t>.</w:t>
      </w:r>
    </w:p>
    <w:p w:rsidR="00BA585F" w:rsidRDefault="00BA585F" w:rsidP="00BA585F">
      <w:pPr>
        <w:pStyle w:val="NormalWeb"/>
      </w:pPr>
      <w:r>
        <w:t>The methodologies of the reviewed studies typically followed a phased approach:</w:t>
      </w:r>
    </w:p>
    <w:p w:rsidR="00BA585F" w:rsidRDefault="00BA585F" w:rsidP="00BA585F">
      <w:pPr>
        <w:pStyle w:val="NormalWeb"/>
        <w:numPr>
          <w:ilvl w:val="0"/>
          <w:numId w:val="11"/>
        </w:numPr>
      </w:pPr>
      <w:r>
        <w:rPr>
          <w:b/>
          <w:bCs/>
        </w:rPr>
        <w:t>Deepana-Pachana Phase:</w:t>
      </w:r>
      <w:r>
        <w:t xml:space="preserve"> Administration of </w:t>
      </w:r>
      <w:r>
        <w:rPr>
          <w:i/>
          <w:iCs/>
        </w:rPr>
        <w:t>Chitrakadi Vati</w:t>
      </w:r>
      <w:r>
        <w:t xml:space="preserve"> or </w:t>
      </w:r>
      <w:r>
        <w:rPr>
          <w:i/>
          <w:iCs/>
        </w:rPr>
        <w:t>Amapachana Vati</w:t>
      </w:r>
      <w:r>
        <w:t xml:space="preserve"> for 3–7 days to correct metabolic errors.</w:t>
      </w:r>
    </w:p>
    <w:p w:rsidR="00BA585F" w:rsidRDefault="00BA585F" w:rsidP="00BA585F">
      <w:pPr>
        <w:pStyle w:val="NormalWeb"/>
        <w:numPr>
          <w:ilvl w:val="0"/>
          <w:numId w:val="11"/>
        </w:numPr>
      </w:pPr>
      <w:r>
        <w:rPr>
          <w:b/>
          <w:bCs/>
        </w:rPr>
        <w:t>Snehana-Swedana Phase:</w:t>
      </w:r>
      <w:r>
        <w:t xml:space="preserve"> External application of </w:t>
      </w:r>
      <w:r>
        <w:rPr>
          <w:i/>
          <w:iCs/>
        </w:rPr>
        <w:t>Brihat Saindhavadya Taila</w:t>
      </w:r>
      <w:r>
        <w:t xml:space="preserve"> followed by </w:t>
      </w:r>
      <w:r>
        <w:rPr>
          <w:i/>
          <w:iCs/>
        </w:rPr>
        <w:t>Nadi Sweda</w:t>
      </w:r>
      <w:r>
        <w:t>.</w:t>
      </w:r>
    </w:p>
    <w:p w:rsidR="00BA585F" w:rsidRDefault="00BA585F" w:rsidP="00BA585F">
      <w:pPr>
        <w:pStyle w:val="NormalWeb"/>
        <w:numPr>
          <w:ilvl w:val="0"/>
          <w:numId w:val="11"/>
        </w:numPr>
      </w:pPr>
      <w:r>
        <w:rPr>
          <w:b/>
          <w:bCs/>
        </w:rPr>
        <w:t>Basti Karma:</w:t>
      </w:r>
      <w:r>
        <w:t xml:space="preserve"> A 16-day cycle of </w:t>
      </w:r>
      <w:r>
        <w:rPr>
          <w:i/>
          <w:iCs/>
        </w:rPr>
        <w:t>Kala Basti</w:t>
      </w:r>
      <w:r>
        <w:t xml:space="preserve">, alternating between </w:t>
      </w:r>
      <w:r>
        <w:rPr>
          <w:i/>
          <w:iCs/>
        </w:rPr>
        <w:t>Vaitarana Basti</w:t>
      </w:r>
      <w:r>
        <w:t xml:space="preserve"> (Niruha) and </w:t>
      </w:r>
      <w:r>
        <w:rPr>
          <w:i/>
          <w:iCs/>
        </w:rPr>
        <w:t>Dhanwantara Taila</w:t>
      </w:r>
      <w:r>
        <w:t xml:space="preserve"> (Anuvasana) (14).</w:t>
      </w:r>
    </w:p>
    <w:p w:rsidR="00BA585F" w:rsidRPr="00BA585F" w:rsidRDefault="00BA585F" w:rsidP="00BA585F">
      <w:pPr>
        <w:pStyle w:val="NormalWeb"/>
      </w:pPr>
      <w:r>
        <w:tab/>
        <w:t xml:space="preserve">Synthesis of the gathered data indicates that integrated Ayurvedic management results in a statistically significant reduction in morning stiffness duration compared to baseline. Specifically, the combination of </w:t>
      </w:r>
      <w:r>
        <w:rPr>
          <w:i/>
          <w:iCs/>
        </w:rPr>
        <w:t>Basti</w:t>
      </w:r>
      <w:r>
        <w:t xml:space="preserve"> and </w:t>
      </w:r>
      <w:r>
        <w:rPr>
          <w:i/>
          <w:iCs/>
        </w:rPr>
        <w:t>Guggulu</w:t>
      </w:r>
      <w:r>
        <w:t xml:space="preserve">-based formulations showed a 30-45% improvement in spinal flexion (Schober’s Test) over a 12-week period </w:t>
      </w:r>
      <w:r w:rsidR="00B32BCE">
        <w:t>.</w:t>
      </w:r>
    </w:p>
    <w:p w:rsidR="00BA585F" w:rsidRPr="00151776" w:rsidRDefault="00BA585F" w:rsidP="00BA585F">
      <w:pPr>
        <w:rPr>
          <w:rFonts w:ascii="Times New Roman" w:hAnsi="Times New Roman" w:cs="Times New Roman"/>
          <w:b/>
          <w:sz w:val="24"/>
          <w:szCs w:val="24"/>
        </w:rPr>
      </w:pPr>
      <w:r w:rsidRPr="00151776">
        <w:rPr>
          <w:rFonts w:ascii="Times New Roman" w:hAnsi="Times New Roman" w:cs="Times New Roman"/>
          <w:b/>
          <w:sz w:val="24"/>
          <w:szCs w:val="24"/>
        </w:rPr>
        <w:t>Shodhana Therapy (Panchakarma)</w:t>
      </w:r>
      <w:r w:rsidR="00FB5639" w:rsidRPr="00FB5639">
        <w:rPr>
          <w:rFonts w:ascii="Times New Roman" w:hAnsi="Times New Roman" w:cs="Times New Roman"/>
          <w:b/>
          <w:sz w:val="24"/>
          <w:szCs w:val="24"/>
          <w:vertAlign w:val="superscript"/>
        </w:rPr>
        <w:t>7</w:t>
      </w:r>
    </w:p>
    <w:p w:rsidR="00BA585F" w:rsidRPr="00BA585F" w:rsidRDefault="006E7EF6" w:rsidP="00BA585F">
      <w:pPr>
        <w:rPr>
          <w:rFonts w:ascii="Times New Roman" w:hAnsi="Times New Roman" w:cs="Times New Roman"/>
          <w:sz w:val="24"/>
          <w:szCs w:val="24"/>
        </w:rPr>
      </w:pPr>
      <w:r>
        <w:rPr>
          <w:rFonts w:ascii="Times New Roman" w:hAnsi="Times New Roman" w:cs="Times New Roman"/>
          <w:sz w:val="24"/>
          <w:szCs w:val="24"/>
        </w:rPr>
        <w:t xml:space="preserve">1. </w:t>
      </w:r>
      <w:r w:rsidR="00BA585F" w:rsidRPr="00BA585F">
        <w:rPr>
          <w:rFonts w:ascii="Times New Roman" w:hAnsi="Times New Roman" w:cs="Times New Roman"/>
          <w:sz w:val="24"/>
          <w:szCs w:val="24"/>
        </w:rPr>
        <w:t xml:space="preserve">Virechana (Therapeutic Purgation): Administered to clear systemic Ama and balance Pitta, reducing the acute inflammatory phase </w:t>
      </w:r>
      <w:r w:rsidR="00B32BCE">
        <w:rPr>
          <w:rFonts w:ascii="Times New Roman" w:hAnsi="Times New Roman" w:cs="Times New Roman"/>
          <w:sz w:val="24"/>
          <w:szCs w:val="24"/>
        </w:rPr>
        <w:t>.</w:t>
      </w:r>
    </w:p>
    <w:p w:rsidR="00BA585F" w:rsidRPr="00BA585F" w:rsidRDefault="006E7EF6" w:rsidP="00BA585F">
      <w:pPr>
        <w:rPr>
          <w:rFonts w:ascii="Times New Roman" w:hAnsi="Times New Roman" w:cs="Times New Roman"/>
          <w:sz w:val="24"/>
          <w:szCs w:val="24"/>
        </w:rPr>
      </w:pPr>
      <w:r>
        <w:rPr>
          <w:rFonts w:ascii="Times New Roman" w:hAnsi="Times New Roman" w:cs="Times New Roman"/>
          <w:sz w:val="24"/>
          <w:szCs w:val="24"/>
        </w:rPr>
        <w:t xml:space="preserve">2. </w:t>
      </w:r>
      <w:r w:rsidR="00BA585F" w:rsidRPr="00BA585F">
        <w:rPr>
          <w:rFonts w:ascii="Times New Roman" w:hAnsi="Times New Roman" w:cs="Times New Roman"/>
          <w:sz w:val="24"/>
          <w:szCs w:val="24"/>
        </w:rPr>
        <w:t>Basti (Medicated Enemas): Considered the "Gold Standard" for AS. Specifically, Vaitarana Basti and Anuvasana Basti help in restoring joint lubrication and reducing bone marrow edema by acting on the colo</w:t>
      </w:r>
      <w:r w:rsidR="00BA585F">
        <w:rPr>
          <w:rFonts w:ascii="Times New Roman" w:hAnsi="Times New Roman" w:cs="Times New Roman"/>
          <w:sz w:val="24"/>
          <w:szCs w:val="24"/>
        </w:rPr>
        <w:t xml:space="preserve">n—the primary seat of Vata </w:t>
      </w:r>
      <w:r w:rsidR="00B32BCE">
        <w:rPr>
          <w:rFonts w:ascii="Times New Roman" w:hAnsi="Times New Roman" w:cs="Times New Roman"/>
          <w:sz w:val="24"/>
          <w:szCs w:val="24"/>
        </w:rPr>
        <w:t>.</w:t>
      </w:r>
    </w:p>
    <w:p w:rsidR="00BA585F" w:rsidRPr="00151776" w:rsidRDefault="00BA585F" w:rsidP="00BA585F">
      <w:pPr>
        <w:rPr>
          <w:rFonts w:ascii="Times New Roman" w:hAnsi="Times New Roman" w:cs="Times New Roman"/>
          <w:b/>
          <w:sz w:val="24"/>
          <w:szCs w:val="24"/>
        </w:rPr>
      </w:pPr>
      <w:r w:rsidRPr="00151776">
        <w:rPr>
          <w:rFonts w:ascii="Times New Roman" w:hAnsi="Times New Roman" w:cs="Times New Roman"/>
          <w:b/>
          <w:sz w:val="24"/>
          <w:szCs w:val="24"/>
        </w:rPr>
        <w:t>Shamana Chikitsa (Internal Medicine)</w:t>
      </w:r>
      <w:r w:rsidR="00DE4529" w:rsidRPr="00DE4529">
        <w:rPr>
          <w:rFonts w:ascii="Times New Roman" w:hAnsi="Times New Roman" w:cs="Times New Roman"/>
          <w:b/>
          <w:sz w:val="24"/>
          <w:szCs w:val="24"/>
          <w:vertAlign w:val="superscript"/>
        </w:rPr>
        <w:t>8</w:t>
      </w:r>
    </w:p>
    <w:p w:rsidR="00BA585F" w:rsidRPr="00BA585F" w:rsidRDefault="00BA585F" w:rsidP="00BA585F">
      <w:pPr>
        <w:rPr>
          <w:rFonts w:ascii="Times New Roman" w:hAnsi="Times New Roman" w:cs="Times New Roman"/>
          <w:sz w:val="24"/>
          <w:szCs w:val="24"/>
        </w:rPr>
      </w:pPr>
      <w:r w:rsidRPr="00BA585F">
        <w:rPr>
          <w:rFonts w:ascii="Times New Roman" w:hAnsi="Times New Roman" w:cs="Times New Roman"/>
          <w:sz w:val="24"/>
          <w:szCs w:val="24"/>
        </w:rPr>
        <w:t>Herbo-mineral formulations are utilized for the</w:t>
      </w:r>
      <w:r>
        <w:rPr>
          <w:rFonts w:ascii="Times New Roman" w:hAnsi="Times New Roman" w:cs="Times New Roman"/>
          <w:sz w:val="24"/>
          <w:szCs w:val="24"/>
        </w:rPr>
        <w:t xml:space="preserve">ir </w:t>
      </w:r>
      <w:r w:rsidR="006E7EF6">
        <w:rPr>
          <w:rFonts w:ascii="Times New Roman" w:hAnsi="Times New Roman" w:cs="Times New Roman"/>
          <w:sz w:val="24"/>
          <w:szCs w:val="24"/>
        </w:rPr>
        <w:t>immunomodulatory</w:t>
      </w:r>
      <w:r>
        <w:rPr>
          <w:rFonts w:ascii="Times New Roman" w:hAnsi="Times New Roman" w:cs="Times New Roman"/>
          <w:sz w:val="24"/>
          <w:szCs w:val="24"/>
        </w:rPr>
        <w:t xml:space="preserve"> properties:</w:t>
      </w:r>
    </w:p>
    <w:p w:rsidR="00BA585F" w:rsidRPr="00BA585F" w:rsidRDefault="006E7EF6" w:rsidP="00BA585F">
      <w:pPr>
        <w:rPr>
          <w:rFonts w:ascii="Times New Roman" w:hAnsi="Times New Roman" w:cs="Times New Roman"/>
          <w:sz w:val="24"/>
          <w:szCs w:val="24"/>
        </w:rPr>
      </w:pPr>
      <w:r>
        <w:rPr>
          <w:rFonts w:ascii="Times New Roman" w:hAnsi="Times New Roman" w:cs="Times New Roman"/>
          <w:sz w:val="24"/>
          <w:szCs w:val="24"/>
        </w:rPr>
        <w:t xml:space="preserve">1. </w:t>
      </w:r>
      <w:r w:rsidR="00BA585F" w:rsidRPr="00BA585F">
        <w:rPr>
          <w:rFonts w:ascii="Times New Roman" w:hAnsi="Times New Roman" w:cs="Times New Roman"/>
          <w:sz w:val="24"/>
          <w:szCs w:val="24"/>
        </w:rPr>
        <w:t xml:space="preserve">Guggulu (Commiphora mukul): Contains Guggulsterones, which inhibit NF-κB, a key regulator of the inflammatory response </w:t>
      </w:r>
      <w:r w:rsidR="00B32BCE">
        <w:rPr>
          <w:rFonts w:ascii="Times New Roman" w:hAnsi="Times New Roman" w:cs="Times New Roman"/>
          <w:sz w:val="24"/>
          <w:szCs w:val="24"/>
        </w:rPr>
        <w:t>.</w:t>
      </w:r>
    </w:p>
    <w:p w:rsidR="00BA585F" w:rsidRPr="00BA585F" w:rsidRDefault="006E7EF6" w:rsidP="00BA585F">
      <w:pPr>
        <w:rPr>
          <w:rFonts w:ascii="Times New Roman" w:hAnsi="Times New Roman" w:cs="Times New Roman"/>
          <w:sz w:val="24"/>
          <w:szCs w:val="24"/>
        </w:rPr>
      </w:pPr>
      <w:r>
        <w:rPr>
          <w:rFonts w:ascii="Times New Roman" w:hAnsi="Times New Roman" w:cs="Times New Roman"/>
          <w:sz w:val="24"/>
          <w:szCs w:val="24"/>
        </w:rPr>
        <w:t xml:space="preserve">2. </w:t>
      </w:r>
      <w:r w:rsidR="00BA585F" w:rsidRPr="00BA585F">
        <w:rPr>
          <w:rFonts w:ascii="Times New Roman" w:hAnsi="Times New Roman" w:cs="Times New Roman"/>
          <w:sz w:val="24"/>
          <w:szCs w:val="24"/>
        </w:rPr>
        <w:t>S</w:t>
      </w:r>
      <w:r>
        <w:rPr>
          <w:rFonts w:ascii="Times New Roman" w:hAnsi="Times New Roman" w:cs="Times New Roman"/>
          <w:sz w:val="24"/>
          <w:szCs w:val="24"/>
        </w:rPr>
        <w:t>h</w:t>
      </w:r>
      <w:r w:rsidR="00BA585F" w:rsidRPr="00BA585F">
        <w:rPr>
          <w:rFonts w:ascii="Times New Roman" w:hAnsi="Times New Roman" w:cs="Times New Roman"/>
          <w:sz w:val="24"/>
          <w:szCs w:val="24"/>
        </w:rPr>
        <w:t xml:space="preserve">allaki (Boswellia serrata): A natural 5-LOX inhibitor that preserves cartilage </w:t>
      </w:r>
      <w:r w:rsidR="00BA585F">
        <w:rPr>
          <w:rFonts w:ascii="Times New Roman" w:hAnsi="Times New Roman" w:cs="Times New Roman"/>
          <w:sz w:val="24"/>
          <w:szCs w:val="24"/>
        </w:rPr>
        <w:t xml:space="preserve">and reduces joint swelling </w:t>
      </w:r>
      <w:r w:rsidR="00B32BCE">
        <w:rPr>
          <w:rFonts w:ascii="Times New Roman" w:hAnsi="Times New Roman" w:cs="Times New Roman"/>
          <w:sz w:val="24"/>
          <w:szCs w:val="24"/>
        </w:rPr>
        <w:t>.</w:t>
      </w:r>
    </w:p>
    <w:p w:rsidR="00BA585F" w:rsidRDefault="006E7EF6" w:rsidP="00BA585F">
      <w:pPr>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BA585F" w:rsidRPr="00BA585F">
        <w:rPr>
          <w:rFonts w:ascii="Times New Roman" w:hAnsi="Times New Roman" w:cs="Times New Roman"/>
          <w:sz w:val="24"/>
          <w:szCs w:val="24"/>
        </w:rPr>
        <w:t xml:space="preserve">Rasna Saptak Kwatha: Frequently used for Katigraha (low back stiffness) to improve nerve conduction and reduce localized pain </w:t>
      </w:r>
      <w:r w:rsidR="00B32BCE">
        <w:rPr>
          <w:rFonts w:ascii="Times New Roman" w:hAnsi="Times New Roman" w:cs="Times New Roman"/>
          <w:sz w:val="24"/>
          <w:szCs w:val="24"/>
        </w:rPr>
        <w:t>.</w:t>
      </w:r>
    </w:p>
    <w:p w:rsidR="00D9266A" w:rsidRPr="00987387" w:rsidRDefault="00987387" w:rsidP="00BA585F">
      <w:pPr>
        <w:rPr>
          <w:rFonts w:ascii="Times New Roman" w:hAnsi="Times New Roman" w:cs="Times New Roman"/>
          <w:b/>
          <w:sz w:val="24"/>
          <w:szCs w:val="24"/>
        </w:rPr>
      </w:pPr>
      <w:r w:rsidRPr="00987387">
        <w:rPr>
          <w:rFonts w:ascii="Times New Roman" w:hAnsi="Times New Roman" w:cs="Times New Roman"/>
          <w:b/>
          <w:sz w:val="24"/>
          <w:szCs w:val="24"/>
        </w:rPr>
        <w:t>Pathyapathya</w:t>
      </w:r>
      <w:r w:rsidR="00DF4053">
        <w:rPr>
          <w:rFonts w:ascii="Times New Roman" w:hAnsi="Times New Roman" w:cs="Times New Roman"/>
          <w:b/>
          <w:sz w:val="24"/>
          <w:szCs w:val="24"/>
        </w:rPr>
        <w:t xml:space="preserve"> </w:t>
      </w:r>
      <w:r w:rsidRPr="00987387">
        <w:rPr>
          <w:rFonts w:ascii="Times New Roman" w:hAnsi="Times New Roman" w:cs="Times New Roman"/>
          <w:b/>
          <w:sz w:val="24"/>
          <w:szCs w:val="24"/>
          <w:vertAlign w:val="superscript"/>
        </w:rPr>
        <w:t>9</w:t>
      </w:r>
      <w:r w:rsidRPr="00987387">
        <w:rPr>
          <w:rFonts w:ascii="Times New Roman" w:hAnsi="Times New Roman" w:cs="Times New Roman"/>
          <w:b/>
          <w:sz w:val="24"/>
          <w:szCs w:val="24"/>
        </w:rPr>
        <w:t xml:space="preserve"> </w:t>
      </w:r>
    </w:p>
    <w:tbl>
      <w:tblPr>
        <w:tblStyle w:val="TableGrid"/>
        <w:tblW w:w="0" w:type="auto"/>
        <w:tblLook w:val="04A0"/>
      </w:tblPr>
      <w:tblGrid>
        <w:gridCol w:w="4841"/>
        <w:gridCol w:w="4735"/>
      </w:tblGrid>
      <w:tr w:rsidR="00D9266A" w:rsidRPr="00D9266A" w:rsidTr="00D9266A">
        <w:tc>
          <w:tcPr>
            <w:tcW w:w="0" w:type="auto"/>
            <w:hideMark/>
          </w:tcPr>
          <w:p w:rsidR="00D9266A" w:rsidRPr="00D9266A" w:rsidRDefault="00D9266A" w:rsidP="00D9266A">
            <w:pPr>
              <w:rPr>
                <w:rFonts w:ascii="Times New Roman" w:eastAsia="Times New Roman" w:hAnsi="Times New Roman" w:cs="Times New Roman"/>
                <w:color w:val="1F1F1F"/>
                <w:sz w:val="24"/>
                <w:szCs w:val="24"/>
              </w:rPr>
            </w:pPr>
            <w:r w:rsidRPr="00D9266A">
              <w:rPr>
                <w:rFonts w:ascii="Times New Roman" w:eastAsia="Times New Roman" w:hAnsi="Times New Roman" w:cs="Times New Roman"/>
                <w:b/>
                <w:bCs/>
                <w:color w:val="1F1F1F"/>
                <w:sz w:val="24"/>
                <w:szCs w:val="24"/>
              </w:rPr>
              <w:t>Pathya</w:t>
            </w:r>
          </w:p>
        </w:tc>
        <w:tc>
          <w:tcPr>
            <w:tcW w:w="0" w:type="auto"/>
            <w:hideMark/>
          </w:tcPr>
          <w:p w:rsidR="00D9266A" w:rsidRPr="00D9266A" w:rsidRDefault="00D9266A" w:rsidP="00D9266A">
            <w:pPr>
              <w:rPr>
                <w:rFonts w:ascii="Times New Roman" w:eastAsia="Times New Roman" w:hAnsi="Times New Roman" w:cs="Times New Roman"/>
                <w:color w:val="1F1F1F"/>
                <w:sz w:val="24"/>
                <w:szCs w:val="24"/>
              </w:rPr>
            </w:pPr>
            <w:r w:rsidRPr="00D9266A">
              <w:rPr>
                <w:rFonts w:ascii="Times New Roman" w:eastAsia="Times New Roman" w:hAnsi="Times New Roman" w:cs="Times New Roman"/>
                <w:b/>
                <w:bCs/>
                <w:color w:val="1F1F1F"/>
                <w:sz w:val="24"/>
                <w:szCs w:val="24"/>
              </w:rPr>
              <w:t>Apathya</w:t>
            </w:r>
          </w:p>
        </w:tc>
      </w:tr>
      <w:tr w:rsidR="00D9266A" w:rsidRPr="00D9266A" w:rsidTr="00D9266A">
        <w:tc>
          <w:tcPr>
            <w:tcW w:w="0" w:type="auto"/>
            <w:hideMark/>
          </w:tcPr>
          <w:p w:rsidR="00D9266A" w:rsidRPr="00D9266A" w:rsidRDefault="00D9266A" w:rsidP="00D9266A">
            <w:pPr>
              <w:rPr>
                <w:rFonts w:ascii="Times New Roman" w:eastAsia="Times New Roman" w:hAnsi="Times New Roman" w:cs="Times New Roman"/>
                <w:color w:val="1F1F1F"/>
                <w:sz w:val="24"/>
                <w:szCs w:val="24"/>
              </w:rPr>
            </w:pPr>
            <w:r w:rsidRPr="00D9266A">
              <w:rPr>
                <w:rFonts w:ascii="Times New Roman" w:eastAsia="Times New Roman" w:hAnsi="Times New Roman" w:cs="Times New Roman"/>
                <w:b/>
                <w:bCs/>
                <w:color w:val="1F1F1F"/>
                <w:sz w:val="24"/>
                <w:szCs w:val="24"/>
                <w:bdr w:val="none" w:sz="0" w:space="0" w:color="auto" w:frame="1"/>
              </w:rPr>
              <w:t>Grains:</w:t>
            </w:r>
            <w:r w:rsidRPr="00D9266A">
              <w:rPr>
                <w:rFonts w:ascii="Times New Roman" w:eastAsia="Times New Roman" w:hAnsi="Times New Roman" w:cs="Times New Roman"/>
                <w:color w:val="1F1F1F"/>
                <w:sz w:val="24"/>
                <w:szCs w:val="24"/>
                <w:bdr w:val="none" w:sz="0" w:space="0" w:color="auto" w:frame="1"/>
              </w:rPr>
              <w:t xml:space="preserve"> Old rice, barley, and garlic-infused preparations.</w:t>
            </w:r>
          </w:p>
        </w:tc>
        <w:tc>
          <w:tcPr>
            <w:tcW w:w="0" w:type="auto"/>
            <w:hideMark/>
          </w:tcPr>
          <w:p w:rsidR="00D9266A" w:rsidRPr="00D9266A" w:rsidRDefault="00D9266A" w:rsidP="00D9266A">
            <w:pPr>
              <w:rPr>
                <w:rFonts w:ascii="Times New Roman" w:eastAsia="Times New Roman" w:hAnsi="Times New Roman" w:cs="Times New Roman"/>
                <w:color w:val="1F1F1F"/>
                <w:sz w:val="24"/>
                <w:szCs w:val="24"/>
              </w:rPr>
            </w:pPr>
            <w:r w:rsidRPr="00D9266A">
              <w:rPr>
                <w:rFonts w:ascii="Times New Roman" w:eastAsia="Times New Roman" w:hAnsi="Times New Roman" w:cs="Times New Roman"/>
                <w:b/>
                <w:bCs/>
                <w:color w:val="1F1F1F"/>
                <w:sz w:val="24"/>
                <w:szCs w:val="24"/>
                <w:bdr w:val="none" w:sz="0" w:space="0" w:color="auto" w:frame="1"/>
              </w:rPr>
              <w:t>Heavy Foods:</w:t>
            </w:r>
            <w:r w:rsidRPr="00D9266A">
              <w:rPr>
                <w:rFonts w:ascii="Times New Roman" w:eastAsia="Times New Roman" w:hAnsi="Times New Roman" w:cs="Times New Roman"/>
                <w:color w:val="1F1F1F"/>
                <w:sz w:val="24"/>
                <w:szCs w:val="24"/>
                <w:bdr w:val="none" w:sz="0" w:space="0" w:color="auto" w:frame="1"/>
              </w:rPr>
              <w:t xml:space="preserve"> Curd, refined flour, and excessive sweets.</w:t>
            </w:r>
          </w:p>
        </w:tc>
      </w:tr>
      <w:tr w:rsidR="00D9266A" w:rsidRPr="00D9266A" w:rsidTr="00D9266A">
        <w:tc>
          <w:tcPr>
            <w:tcW w:w="0" w:type="auto"/>
            <w:hideMark/>
          </w:tcPr>
          <w:p w:rsidR="00D9266A" w:rsidRPr="00D9266A" w:rsidRDefault="00D9266A" w:rsidP="00D9266A">
            <w:pPr>
              <w:rPr>
                <w:rFonts w:ascii="Times New Roman" w:eastAsia="Times New Roman" w:hAnsi="Times New Roman" w:cs="Times New Roman"/>
                <w:color w:val="1F1F1F"/>
                <w:sz w:val="24"/>
                <w:szCs w:val="24"/>
              </w:rPr>
            </w:pPr>
            <w:r w:rsidRPr="00D9266A">
              <w:rPr>
                <w:rFonts w:ascii="Times New Roman" w:eastAsia="Times New Roman" w:hAnsi="Times New Roman" w:cs="Times New Roman"/>
                <w:b/>
                <w:bCs/>
                <w:color w:val="1F1F1F"/>
                <w:sz w:val="24"/>
                <w:szCs w:val="24"/>
                <w:bdr w:val="none" w:sz="0" w:space="0" w:color="auto" w:frame="1"/>
              </w:rPr>
              <w:t>Spices:</w:t>
            </w:r>
            <w:r w:rsidRPr="00D9266A">
              <w:rPr>
                <w:rFonts w:ascii="Times New Roman" w:eastAsia="Times New Roman" w:hAnsi="Times New Roman" w:cs="Times New Roman"/>
                <w:color w:val="1F1F1F"/>
                <w:sz w:val="24"/>
                <w:szCs w:val="24"/>
                <w:bdr w:val="none" w:sz="0" w:space="0" w:color="auto" w:frame="1"/>
              </w:rPr>
              <w:t xml:space="preserve"> Ginger, turmeric, and cumin to stimulate </w:t>
            </w:r>
            <w:r w:rsidRPr="00D9266A">
              <w:rPr>
                <w:rFonts w:ascii="Times New Roman" w:eastAsia="Times New Roman" w:hAnsi="Times New Roman" w:cs="Times New Roman"/>
                <w:i/>
                <w:iCs/>
                <w:color w:val="1F1F1F"/>
                <w:sz w:val="24"/>
                <w:szCs w:val="24"/>
                <w:bdr w:val="none" w:sz="0" w:space="0" w:color="auto" w:frame="1"/>
              </w:rPr>
              <w:t>Agni</w:t>
            </w:r>
            <w:r w:rsidRPr="00D9266A">
              <w:rPr>
                <w:rFonts w:ascii="Times New Roman" w:eastAsia="Times New Roman" w:hAnsi="Times New Roman" w:cs="Times New Roman"/>
                <w:color w:val="1F1F1F"/>
                <w:sz w:val="24"/>
                <w:szCs w:val="24"/>
                <w:bdr w:val="none" w:sz="0" w:space="0" w:color="auto" w:frame="1"/>
              </w:rPr>
              <w:t xml:space="preserve"> (digestive fire).</w:t>
            </w:r>
          </w:p>
        </w:tc>
        <w:tc>
          <w:tcPr>
            <w:tcW w:w="0" w:type="auto"/>
            <w:hideMark/>
          </w:tcPr>
          <w:p w:rsidR="00D9266A" w:rsidRPr="00D9266A" w:rsidRDefault="00D9266A" w:rsidP="00D9266A">
            <w:pPr>
              <w:rPr>
                <w:rFonts w:ascii="Times New Roman" w:eastAsia="Times New Roman" w:hAnsi="Times New Roman" w:cs="Times New Roman"/>
                <w:color w:val="1F1F1F"/>
                <w:sz w:val="24"/>
                <w:szCs w:val="24"/>
              </w:rPr>
            </w:pPr>
            <w:r w:rsidRPr="00D9266A">
              <w:rPr>
                <w:rFonts w:ascii="Times New Roman" w:eastAsia="Times New Roman" w:hAnsi="Times New Roman" w:cs="Times New Roman"/>
                <w:b/>
                <w:bCs/>
                <w:color w:val="1F1F1F"/>
                <w:sz w:val="24"/>
                <w:szCs w:val="24"/>
                <w:bdr w:val="none" w:sz="0" w:space="0" w:color="auto" w:frame="1"/>
              </w:rPr>
              <w:t>Incompatible Foods:</w:t>
            </w:r>
            <w:r w:rsidRPr="00D9266A">
              <w:rPr>
                <w:rFonts w:ascii="Times New Roman" w:eastAsia="Times New Roman" w:hAnsi="Times New Roman" w:cs="Times New Roman"/>
                <w:color w:val="1F1F1F"/>
                <w:sz w:val="24"/>
                <w:szCs w:val="24"/>
                <w:bdr w:val="none" w:sz="0" w:space="0" w:color="auto" w:frame="1"/>
              </w:rPr>
              <w:t xml:space="preserve"> Fish with milk or excessive fermented foods.</w:t>
            </w:r>
          </w:p>
        </w:tc>
      </w:tr>
      <w:tr w:rsidR="00D9266A" w:rsidRPr="00D9266A" w:rsidTr="00D9266A">
        <w:tc>
          <w:tcPr>
            <w:tcW w:w="0" w:type="auto"/>
            <w:hideMark/>
          </w:tcPr>
          <w:p w:rsidR="00D9266A" w:rsidRPr="00D9266A" w:rsidRDefault="00D9266A" w:rsidP="00D9266A">
            <w:pPr>
              <w:rPr>
                <w:rFonts w:ascii="Times New Roman" w:eastAsia="Times New Roman" w:hAnsi="Times New Roman" w:cs="Times New Roman"/>
                <w:color w:val="1F1F1F"/>
                <w:sz w:val="24"/>
                <w:szCs w:val="24"/>
              </w:rPr>
            </w:pPr>
            <w:r w:rsidRPr="00D9266A">
              <w:rPr>
                <w:rFonts w:ascii="Times New Roman" w:eastAsia="Times New Roman" w:hAnsi="Times New Roman" w:cs="Times New Roman"/>
                <w:b/>
                <w:bCs/>
                <w:color w:val="1F1F1F"/>
                <w:sz w:val="24"/>
                <w:szCs w:val="24"/>
                <w:bdr w:val="none" w:sz="0" w:space="0" w:color="auto" w:frame="1"/>
              </w:rPr>
              <w:t>Hydration:</w:t>
            </w:r>
            <w:r w:rsidRPr="00D9266A">
              <w:rPr>
                <w:rFonts w:ascii="Times New Roman" w:eastAsia="Times New Roman" w:hAnsi="Times New Roman" w:cs="Times New Roman"/>
                <w:color w:val="1F1F1F"/>
                <w:sz w:val="24"/>
                <w:szCs w:val="24"/>
                <w:bdr w:val="none" w:sz="0" w:space="0" w:color="auto" w:frame="1"/>
              </w:rPr>
              <w:t xml:space="preserve"> Warm water to assist in the digestion of </w:t>
            </w:r>
            <w:r w:rsidRPr="00D9266A">
              <w:rPr>
                <w:rFonts w:ascii="Times New Roman" w:eastAsia="Times New Roman" w:hAnsi="Times New Roman" w:cs="Times New Roman"/>
                <w:i/>
                <w:iCs/>
                <w:color w:val="1F1F1F"/>
                <w:sz w:val="24"/>
                <w:szCs w:val="24"/>
                <w:bdr w:val="none" w:sz="0" w:space="0" w:color="auto" w:frame="1"/>
              </w:rPr>
              <w:t>Ama</w:t>
            </w:r>
            <w:r w:rsidRPr="00D9266A">
              <w:rPr>
                <w:rFonts w:ascii="Times New Roman" w:eastAsia="Times New Roman" w:hAnsi="Times New Roman" w:cs="Times New Roman"/>
                <w:color w:val="1F1F1F"/>
                <w:sz w:val="24"/>
                <w:szCs w:val="24"/>
                <w:bdr w:val="none" w:sz="0" w:space="0" w:color="auto" w:frame="1"/>
              </w:rPr>
              <w:t>.</w:t>
            </w:r>
          </w:p>
        </w:tc>
        <w:tc>
          <w:tcPr>
            <w:tcW w:w="0" w:type="auto"/>
            <w:hideMark/>
          </w:tcPr>
          <w:p w:rsidR="00D9266A" w:rsidRPr="00D9266A" w:rsidRDefault="00D9266A" w:rsidP="00D9266A">
            <w:pPr>
              <w:rPr>
                <w:rFonts w:ascii="Times New Roman" w:eastAsia="Times New Roman" w:hAnsi="Times New Roman" w:cs="Times New Roman"/>
                <w:color w:val="1F1F1F"/>
                <w:sz w:val="24"/>
                <w:szCs w:val="24"/>
              </w:rPr>
            </w:pPr>
            <w:r w:rsidRPr="00D9266A">
              <w:rPr>
                <w:rFonts w:ascii="Times New Roman" w:eastAsia="Times New Roman" w:hAnsi="Times New Roman" w:cs="Times New Roman"/>
                <w:b/>
                <w:bCs/>
                <w:color w:val="1F1F1F"/>
                <w:sz w:val="24"/>
                <w:szCs w:val="24"/>
                <w:bdr w:val="none" w:sz="0" w:space="0" w:color="auto" w:frame="1"/>
              </w:rPr>
              <w:t>Lifestyle:</w:t>
            </w:r>
            <w:r w:rsidRPr="00D9266A">
              <w:rPr>
                <w:rFonts w:ascii="Times New Roman" w:eastAsia="Times New Roman" w:hAnsi="Times New Roman" w:cs="Times New Roman"/>
                <w:color w:val="1F1F1F"/>
                <w:sz w:val="24"/>
                <w:szCs w:val="24"/>
                <w:bdr w:val="none" w:sz="0" w:space="0" w:color="auto" w:frame="1"/>
              </w:rPr>
              <w:t xml:space="preserve"> Day sleeping and exposure to cold, damp drafts.</w:t>
            </w:r>
          </w:p>
        </w:tc>
      </w:tr>
    </w:tbl>
    <w:p w:rsidR="00D9266A" w:rsidRPr="00BA585F" w:rsidRDefault="00D9266A" w:rsidP="00BA585F">
      <w:pPr>
        <w:rPr>
          <w:rFonts w:ascii="Times New Roman" w:hAnsi="Times New Roman" w:cs="Times New Roman"/>
          <w:sz w:val="24"/>
          <w:szCs w:val="24"/>
        </w:rPr>
      </w:pPr>
    </w:p>
    <w:p w:rsidR="00BA585F" w:rsidRPr="00F94C90" w:rsidRDefault="00BA585F" w:rsidP="00BA585F">
      <w:pPr>
        <w:rPr>
          <w:rFonts w:ascii="Times New Roman" w:hAnsi="Times New Roman" w:cs="Times New Roman"/>
          <w:b/>
          <w:sz w:val="24"/>
          <w:szCs w:val="24"/>
        </w:rPr>
      </w:pPr>
      <w:r w:rsidRPr="00F94C90">
        <w:rPr>
          <w:rFonts w:ascii="Times New Roman" w:hAnsi="Times New Roman" w:cs="Times New Roman"/>
          <w:b/>
          <w:sz w:val="24"/>
          <w:szCs w:val="24"/>
        </w:rPr>
        <w:t xml:space="preserve">Discussion: </w:t>
      </w:r>
    </w:p>
    <w:p w:rsidR="00F94C90" w:rsidRDefault="00F94C90" w:rsidP="00F94C90">
      <w:pPr>
        <w:pStyle w:val="Heading4"/>
      </w:pPr>
      <w:r>
        <w:t>Clinic</w:t>
      </w:r>
      <w:r w:rsidR="00987387">
        <w:t>al Efficacy and Validation of Bo</w:t>
      </w:r>
      <w:r>
        <w:t>th Indices</w:t>
      </w:r>
    </w:p>
    <w:p w:rsidR="00F94C90" w:rsidRDefault="00151776" w:rsidP="00F94C90">
      <w:pPr>
        <w:pStyle w:val="NormalWeb"/>
      </w:pPr>
      <w:r>
        <w:tab/>
      </w:r>
      <w:r w:rsidR="00F94C90">
        <w:t xml:space="preserve">Recent clinical data from 2024 and 2025 has demonstrated a robust correlation between multi-modal Ayurvedic therapy and standard rheumatological outcome measures. In a landmark case series, patients undergoing intensive </w:t>
      </w:r>
      <w:r w:rsidR="00F94C90">
        <w:rPr>
          <w:i/>
          <w:iCs/>
        </w:rPr>
        <w:t>Panchakarma</w:t>
      </w:r>
      <w:r w:rsidR="00F94C90">
        <w:t xml:space="preserve"> (specifically </w:t>
      </w:r>
      <w:r w:rsidR="00F94C90">
        <w:rPr>
          <w:i/>
          <w:iCs/>
        </w:rPr>
        <w:t>Basti</w:t>
      </w:r>
      <w:r w:rsidR="00F94C90">
        <w:t xml:space="preserve"> and </w:t>
      </w:r>
      <w:r w:rsidR="00F94C90">
        <w:rPr>
          <w:i/>
          <w:iCs/>
        </w:rPr>
        <w:t>Kizhi</w:t>
      </w:r>
      <w:r w:rsidR="00F94C90">
        <w:t xml:space="preserve">) showed a </w:t>
      </w:r>
      <w:r w:rsidR="00F94C90">
        <w:rPr>
          <w:b/>
          <w:bCs/>
        </w:rPr>
        <w:t>52% reduction in BASDAI</w:t>
      </w:r>
      <w:r w:rsidR="00F94C90">
        <w:t xml:space="preserve"> and a </w:t>
      </w:r>
      <w:r w:rsidR="00F94C90">
        <w:rPr>
          <w:b/>
          <w:bCs/>
        </w:rPr>
        <w:t>58% improvement in BASFI</w:t>
      </w:r>
      <w:r w:rsidR="00F94C90">
        <w:t xml:space="preserve"> scores. For instance, baseline BASDAI scores of 7.0 were observed to decrease to 3.0 following a 15-day protocol of </w:t>
      </w:r>
      <w:r w:rsidR="00F94C90">
        <w:rPr>
          <w:i/>
          <w:iCs/>
        </w:rPr>
        <w:t>Kala Basti</w:t>
      </w:r>
      <w:r w:rsidR="00F94C90">
        <w:t xml:space="preserve"> and </w:t>
      </w:r>
      <w:r w:rsidR="00F94C90">
        <w:rPr>
          <w:i/>
          <w:iCs/>
        </w:rPr>
        <w:t>Patra Pinda Sweda</w:t>
      </w:r>
      <w:r w:rsidR="00F94C90">
        <w:t>, indicating a significant shift from "high disease activity</w:t>
      </w:r>
      <w:r w:rsidR="00FB5639">
        <w:t>" to "moderate-to-low activity".</w:t>
      </w:r>
      <w:r w:rsidR="00987387" w:rsidRPr="00987387">
        <w:rPr>
          <w:vertAlign w:val="superscript"/>
        </w:rPr>
        <w:t>10-</w:t>
      </w:r>
      <w:r w:rsidR="00DF4053">
        <w:rPr>
          <w:vertAlign w:val="superscript"/>
        </w:rPr>
        <w:t>13</w:t>
      </w:r>
    </w:p>
    <w:p w:rsidR="00F94C90" w:rsidRDefault="00F94C90" w:rsidP="00F94C90">
      <w:pPr>
        <w:pStyle w:val="Heading4"/>
      </w:pPr>
      <w:r>
        <w:t>Gut-Joint Axis and the "Ama" Hypothesis</w:t>
      </w:r>
      <w:r w:rsidR="00206CD5">
        <w:t xml:space="preserve"> </w:t>
      </w:r>
      <w:r w:rsidR="00206CD5" w:rsidRPr="00206CD5">
        <w:rPr>
          <w:vertAlign w:val="superscript"/>
        </w:rPr>
        <w:t>14</w:t>
      </w:r>
    </w:p>
    <w:p w:rsidR="00F94C90" w:rsidRDefault="00206CD5" w:rsidP="00F94C90">
      <w:pPr>
        <w:pStyle w:val="NormalWeb"/>
      </w:pPr>
      <w:r>
        <w:tab/>
      </w:r>
      <w:r w:rsidR="00F94C90">
        <w:t xml:space="preserve">The concept of </w:t>
      </w:r>
      <w:r w:rsidR="00F94C90">
        <w:rPr>
          <w:i/>
          <w:iCs/>
        </w:rPr>
        <w:t>Ama</w:t>
      </w:r>
      <w:r w:rsidR="00F94C90">
        <w:t xml:space="preserve"> (metabolic toxins) as the primary driver of </w:t>
      </w:r>
      <w:r w:rsidR="00F94C90">
        <w:rPr>
          <w:i/>
          <w:iCs/>
        </w:rPr>
        <w:t>Amavata</w:t>
      </w:r>
      <w:r w:rsidR="00F94C90">
        <w:t xml:space="preserve"> finds strong parallels in the emerging "Gut-Joint Axis" theory of modern rheumatology. Approximately 70% of AS patients exhibit subclinical gut</w:t>
      </w:r>
      <w:r>
        <w:t xml:space="preserve"> inflammation and dysbiosis </w:t>
      </w:r>
      <w:r w:rsidR="00F94C90">
        <w:t xml:space="preserve">. Recent discussions highlight that </w:t>
      </w:r>
      <w:r w:rsidR="00F94C90">
        <w:rPr>
          <w:b/>
          <w:bCs/>
        </w:rPr>
        <w:t>Basti therapy</w:t>
      </w:r>
      <w:r w:rsidR="00F94C90">
        <w:t xml:space="preserve"> (specifically </w:t>
      </w:r>
      <w:r w:rsidR="00F94C90">
        <w:rPr>
          <w:i/>
          <w:iCs/>
        </w:rPr>
        <w:t>Kshar Basti</w:t>
      </w:r>
      <w:r w:rsidR="00F94C90">
        <w:t xml:space="preserve"> and </w:t>
      </w:r>
      <w:r w:rsidR="00F94C90">
        <w:rPr>
          <w:i/>
          <w:iCs/>
        </w:rPr>
        <w:t>Erandmooladi Basti</w:t>
      </w:r>
      <w:r w:rsidR="00F94C90">
        <w:t>) may act by:</w:t>
      </w:r>
    </w:p>
    <w:p w:rsidR="00F94C90" w:rsidRDefault="00F94C90" w:rsidP="00F94C90">
      <w:pPr>
        <w:pStyle w:val="NormalWeb"/>
        <w:numPr>
          <w:ilvl w:val="0"/>
          <w:numId w:val="13"/>
        </w:numPr>
      </w:pPr>
      <w:r>
        <w:rPr>
          <w:b/>
          <w:bCs/>
        </w:rPr>
        <w:t>Restoring Gut Barrier Function:</w:t>
      </w:r>
      <w:r>
        <w:t xml:space="preserve"> Correcting "leaky gut" and preventing the translocation of bacterial peptides like LPS into the systemic </w:t>
      </w:r>
      <w:r w:rsidR="00206CD5">
        <w:t>circulation.</w:t>
      </w:r>
    </w:p>
    <w:p w:rsidR="00F94C90" w:rsidRDefault="00F94C90" w:rsidP="00F94C90">
      <w:pPr>
        <w:pStyle w:val="NormalWeb"/>
        <w:numPr>
          <w:ilvl w:val="0"/>
          <w:numId w:val="13"/>
        </w:numPr>
      </w:pPr>
      <w:r>
        <w:rPr>
          <w:b/>
          <w:bCs/>
        </w:rPr>
        <w:t>Modulating Th17 Response:</w:t>
      </w:r>
      <w:r>
        <w:t xml:space="preserve"> By stabilizing the gut microbiome, </w:t>
      </w:r>
      <w:r>
        <w:rPr>
          <w:i/>
          <w:iCs/>
        </w:rPr>
        <w:t>Basti</w:t>
      </w:r>
      <w:r>
        <w:t xml:space="preserve"> may indirectly </w:t>
      </w:r>
      <w:r w:rsidR="00EE00D9">
        <w:t>down regulate</w:t>
      </w:r>
      <w:r>
        <w:t xml:space="preserve"> the IL-23/IL-17 axis, which is the primary pathological driver of </w:t>
      </w:r>
      <w:r w:rsidR="00206CD5">
        <w:t>AS.</w:t>
      </w:r>
    </w:p>
    <w:p w:rsidR="00BA585F" w:rsidRPr="00BA585F" w:rsidRDefault="00EE00D9" w:rsidP="00BA585F">
      <w:pPr>
        <w:rPr>
          <w:rFonts w:ascii="Times New Roman" w:hAnsi="Times New Roman" w:cs="Times New Roman"/>
          <w:sz w:val="24"/>
          <w:szCs w:val="24"/>
        </w:rPr>
      </w:pPr>
      <w:r>
        <w:rPr>
          <w:rFonts w:ascii="Times New Roman" w:hAnsi="Times New Roman" w:cs="Times New Roman"/>
          <w:sz w:val="24"/>
          <w:szCs w:val="24"/>
        </w:rPr>
        <w:tab/>
      </w:r>
      <w:r w:rsidR="00BA585F" w:rsidRPr="00BA585F">
        <w:rPr>
          <w:rFonts w:ascii="Times New Roman" w:hAnsi="Times New Roman" w:cs="Times New Roman"/>
          <w:sz w:val="24"/>
          <w:szCs w:val="24"/>
        </w:rPr>
        <w:t>The management of AS remains a challenge due to the risk of spinal fusion. While TNF-alpha inhibitors are effective, they are cost-prohibitive and carry r</w:t>
      </w:r>
      <w:r w:rsidR="00BA585F">
        <w:rPr>
          <w:rFonts w:ascii="Times New Roman" w:hAnsi="Times New Roman" w:cs="Times New Roman"/>
          <w:sz w:val="24"/>
          <w:szCs w:val="24"/>
        </w:rPr>
        <w:t xml:space="preserve">isks of </w:t>
      </w:r>
      <w:r w:rsidR="00F94C90">
        <w:rPr>
          <w:rFonts w:ascii="Times New Roman" w:hAnsi="Times New Roman" w:cs="Times New Roman"/>
          <w:sz w:val="24"/>
          <w:szCs w:val="24"/>
        </w:rPr>
        <w:t xml:space="preserve">immune </w:t>
      </w:r>
      <w:r w:rsidR="00BA585F">
        <w:rPr>
          <w:rFonts w:ascii="Times New Roman" w:hAnsi="Times New Roman" w:cs="Times New Roman"/>
          <w:sz w:val="24"/>
          <w:szCs w:val="24"/>
        </w:rPr>
        <w:t>suppression</w:t>
      </w:r>
      <w:r w:rsidR="00FB5639">
        <w:rPr>
          <w:rFonts w:ascii="Times New Roman" w:hAnsi="Times New Roman" w:cs="Times New Roman"/>
          <w:sz w:val="24"/>
          <w:szCs w:val="24"/>
        </w:rPr>
        <w:t>.</w:t>
      </w:r>
      <w:r>
        <w:rPr>
          <w:rFonts w:ascii="Times New Roman" w:hAnsi="Times New Roman" w:cs="Times New Roman"/>
          <w:sz w:val="24"/>
          <w:szCs w:val="24"/>
        </w:rPr>
        <w:t xml:space="preserve"> </w:t>
      </w:r>
      <w:r w:rsidR="00BA585F" w:rsidRPr="00BA585F">
        <w:rPr>
          <w:rFonts w:ascii="Times New Roman" w:hAnsi="Times New Roman" w:cs="Times New Roman"/>
          <w:sz w:val="24"/>
          <w:szCs w:val="24"/>
        </w:rPr>
        <w:t>Ayurvedic protocols offer a dual-action mechanism. Firstly, Srotoshodhana (channel clearing) through Swedana (fomentation) improves microcirculation in the spinal ligaments, potentially delaying syndesmophyte formation. Secondly, the use of Rasayana (rejuvenative) herbs like Ashwagandha (Withania somnifera) helps in modulating the overactive immune response w</w:t>
      </w:r>
      <w:r w:rsidR="00D33928">
        <w:rPr>
          <w:rFonts w:ascii="Times New Roman" w:hAnsi="Times New Roman" w:cs="Times New Roman"/>
          <w:sz w:val="24"/>
          <w:szCs w:val="24"/>
        </w:rPr>
        <w:t>ithout complete suppression.</w:t>
      </w:r>
      <w:r w:rsidRPr="00EE00D9">
        <w:rPr>
          <w:rFonts w:ascii="Times New Roman" w:hAnsi="Times New Roman" w:cs="Times New Roman"/>
          <w:sz w:val="24"/>
          <w:szCs w:val="24"/>
          <w:vertAlign w:val="superscript"/>
        </w:rPr>
        <w:t>1</w:t>
      </w:r>
      <w:r>
        <w:rPr>
          <w:rFonts w:ascii="Times New Roman" w:hAnsi="Times New Roman" w:cs="Times New Roman"/>
          <w:sz w:val="24"/>
          <w:szCs w:val="24"/>
          <w:vertAlign w:val="superscript"/>
        </w:rPr>
        <w:t>5</w:t>
      </w:r>
    </w:p>
    <w:p w:rsidR="00BA585F" w:rsidRPr="00BA585F" w:rsidRDefault="00FB5639" w:rsidP="00BA585F">
      <w:pPr>
        <w:rPr>
          <w:rFonts w:ascii="Times New Roman" w:hAnsi="Times New Roman" w:cs="Times New Roman"/>
          <w:sz w:val="24"/>
          <w:szCs w:val="24"/>
        </w:rPr>
      </w:pPr>
      <w:r>
        <w:rPr>
          <w:rFonts w:ascii="Times New Roman" w:hAnsi="Times New Roman" w:cs="Times New Roman"/>
          <w:sz w:val="24"/>
          <w:szCs w:val="24"/>
        </w:rPr>
        <w:lastRenderedPageBreak/>
        <w:tab/>
      </w:r>
      <w:r w:rsidR="00BA585F" w:rsidRPr="00BA585F">
        <w:rPr>
          <w:rFonts w:ascii="Times New Roman" w:hAnsi="Times New Roman" w:cs="Times New Roman"/>
          <w:sz w:val="24"/>
          <w:szCs w:val="24"/>
        </w:rPr>
        <w:t>Clinical observations suggest that patients undergoing integrated Ayurvedic care show significant reduction in BASDAI (Bath Ankylosing Spondylitis Disease Activity Index) scores and improved BASFI</w:t>
      </w:r>
      <w:r w:rsidR="00D33928">
        <w:rPr>
          <w:rFonts w:ascii="Times New Roman" w:hAnsi="Times New Roman" w:cs="Times New Roman"/>
          <w:sz w:val="24"/>
          <w:szCs w:val="24"/>
        </w:rPr>
        <w:t xml:space="preserve"> (Functional Index) markers. </w:t>
      </w:r>
      <w:r w:rsidR="00BA585F" w:rsidRPr="00BA585F">
        <w:rPr>
          <w:rFonts w:ascii="Times New Roman" w:hAnsi="Times New Roman" w:cs="Times New Roman"/>
          <w:sz w:val="24"/>
          <w:szCs w:val="24"/>
        </w:rPr>
        <w:t>This suggests that Ayurveda does not just provide analgesia but improves the actual functional capacity of the spine.</w:t>
      </w:r>
      <w:r w:rsidR="00EE00D9" w:rsidRPr="00EE00D9">
        <w:rPr>
          <w:rFonts w:ascii="Times New Roman" w:hAnsi="Times New Roman" w:cs="Times New Roman"/>
          <w:sz w:val="24"/>
          <w:szCs w:val="24"/>
          <w:vertAlign w:val="superscript"/>
        </w:rPr>
        <w:t>16</w:t>
      </w:r>
    </w:p>
    <w:p w:rsidR="00BA585F" w:rsidRPr="00BA585F" w:rsidRDefault="00BA585F" w:rsidP="00BA585F">
      <w:pPr>
        <w:rPr>
          <w:rFonts w:ascii="Times New Roman" w:hAnsi="Times New Roman" w:cs="Times New Roman"/>
          <w:sz w:val="24"/>
          <w:szCs w:val="24"/>
        </w:rPr>
      </w:pPr>
    </w:p>
    <w:p w:rsidR="00BA585F" w:rsidRPr="00CB29FA" w:rsidRDefault="00BA585F" w:rsidP="00BA585F">
      <w:pPr>
        <w:rPr>
          <w:rFonts w:ascii="Times New Roman" w:hAnsi="Times New Roman" w:cs="Times New Roman"/>
          <w:b/>
          <w:sz w:val="24"/>
          <w:szCs w:val="24"/>
        </w:rPr>
      </w:pPr>
      <w:r w:rsidRPr="00CB29FA">
        <w:rPr>
          <w:rFonts w:ascii="Times New Roman" w:hAnsi="Times New Roman" w:cs="Times New Roman"/>
          <w:b/>
          <w:sz w:val="24"/>
          <w:szCs w:val="24"/>
        </w:rPr>
        <w:t>Conclusion</w:t>
      </w:r>
    </w:p>
    <w:p w:rsidR="00BA585F" w:rsidRPr="00BA585F" w:rsidRDefault="00CB29FA" w:rsidP="00BA585F">
      <w:pPr>
        <w:rPr>
          <w:rFonts w:ascii="Times New Roman" w:hAnsi="Times New Roman" w:cs="Times New Roman"/>
          <w:sz w:val="24"/>
          <w:szCs w:val="24"/>
        </w:rPr>
      </w:pPr>
      <w:r>
        <w:rPr>
          <w:rFonts w:ascii="Times New Roman" w:hAnsi="Times New Roman" w:cs="Times New Roman"/>
          <w:sz w:val="24"/>
          <w:szCs w:val="24"/>
        </w:rPr>
        <w:tab/>
      </w:r>
      <w:r w:rsidR="00BA585F" w:rsidRPr="00BA585F">
        <w:rPr>
          <w:rFonts w:ascii="Times New Roman" w:hAnsi="Times New Roman" w:cs="Times New Roman"/>
          <w:sz w:val="24"/>
          <w:szCs w:val="24"/>
        </w:rPr>
        <w:t>Ayurvedic intervention provides a sustainable, long-term strategy for AS. By correcting metabolic errors (Agni) and emp</w:t>
      </w:r>
      <w:r w:rsidR="00F94C90">
        <w:rPr>
          <w:rFonts w:ascii="Times New Roman" w:hAnsi="Times New Roman" w:cs="Times New Roman"/>
          <w:sz w:val="24"/>
          <w:szCs w:val="24"/>
        </w:rPr>
        <w:t xml:space="preserve">loying targeted detoxification with </w:t>
      </w:r>
      <w:r w:rsidR="00BA585F" w:rsidRPr="00BA585F">
        <w:rPr>
          <w:rFonts w:ascii="Times New Roman" w:hAnsi="Times New Roman" w:cs="Times New Roman"/>
          <w:sz w:val="24"/>
          <w:szCs w:val="24"/>
        </w:rPr>
        <w:t>Basti</w:t>
      </w:r>
      <w:r w:rsidR="00F94C90">
        <w:rPr>
          <w:rFonts w:ascii="Times New Roman" w:hAnsi="Times New Roman" w:cs="Times New Roman"/>
          <w:sz w:val="24"/>
          <w:szCs w:val="24"/>
        </w:rPr>
        <w:t xml:space="preserve"> and virechan,</w:t>
      </w:r>
      <w:r w:rsidR="00BA585F" w:rsidRPr="00BA585F">
        <w:rPr>
          <w:rFonts w:ascii="Times New Roman" w:hAnsi="Times New Roman" w:cs="Times New Roman"/>
          <w:sz w:val="24"/>
          <w:szCs w:val="24"/>
        </w:rPr>
        <w:t xml:space="preserve"> it addresses the systemic nature of the disease. Future research should focus on longitudinal radiological studies to quantify the rate of spinal fusion inhibition under Ayurvedic care.</w:t>
      </w:r>
    </w:p>
    <w:p w:rsidR="00CB29FA" w:rsidRPr="00BA585F" w:rsidRDefault="00CB29FA" w:rsidP="00BA585F">
      <w:pPr>
        <w:rPr>
          <w:rFonts w:ascii="Times New Roman" w:hAnsi="Times New Roman" w:cs="Times New Roman"/>
          <w:b/>
          <w:sz w:val="24"/>
          <w:szCs w:val="24"/>
        </w:rPr>
      </w:pPr>
    </w:p>
    <w:p w:rsidR="00BA585F" w:rsidRDefault="0081749F" w:rsidP="00BA585F">
      <w:pPr>
        <w:rPr>
          <w:rFonts w:ascii="Times New Roman" w:hAnsi="Times New Roman" w:cs="Times New Roman"/>
          <w:b/>
          <w:sz w:val="24"/>
          <w:szCs w:val="24"/>
        </w:rPr>
      </w:pPr>
      <w:r>
        <w:rPr>
          <w:rFonts w:ascii="Times New Roman" w:hAnsi="Times New Roman" w:cs="Times New Roman"/>
          <w:b/>
          <w:sz w:val="24"/>
          <w:szCs w:val="24"/>
        </w:rPr>
        <w:t>References</w:t>
      </w:r>
    </w:p>
    <w:p w:rsidR="0081749F" w:rsidRPr="0081749F" w:rsidRDefault="0081749F" w:rsidP="0081749F">
      <w:pPr>
        <w:pStyle w:val="ListParagraph"/>
        <w:numPr>
          <w:ilvl w:val="0"/>
          <w:numId w:val="16"/>
        </w:numPr>
        <w:rPr>
          <w:rFonts w:ascii="Times New Roman" w:hAnsi="Times New Roman" w:cs="Times New Roman"/>
          <w:sz w:val="24"/>
          <w:szCs w:val="24"/>
        </w:rPr>
      </w:pPr>
      <w:r w:rsidRPr="0081749F">
        <w:rPr>
          <w:rFonts w:ascii="Times New Roman" w:hAnsi="Times New Roman" w:cs="Times New Roman"/>
          <w:sz w:val="24"/>
          <w:szCs w:val="24"/>
        </w:rPr>
        <w:t>Singh K, Mangal G. Ayurvedic approach to ankylosing spondylitis: A case study. J Ayurveda Case Rep 2020;3:20-4.</w:t>
      </w:r>
    </w:p>
    <w:p w:rsidR="0081749F" w:rsidRDefault="0081749F" w:rsidP="0081749F">
      <w:pPr>
        <w:pStyle w:val="ListParagraph"/>
        <w:numPr>
          <w:ilvl w:val="0"/>
          <w:numId w:val="16"/>
        </w:numPr>
        <w:rPr>
          <w:rFonts w:ascii="Times New Roman" w:hAnsi="Times New Roman" w:cs="Times New Roman"/>
          <w:sz w:val="24"/>
          <w:szCs w:val="24"/>
        </w:rPr>
      </w:pPr>
      <w:r w:rsidRPr="0081749F">
        <w:rPr>
          <w:rFonts w:ascii="Times New Roman" w:hAnsi="Times New Roman" w:cs="Times New Roman"/>
          <w:sz w:val="24"/>
          <w:szCs w:val="24"/>
        </w:rPr>
        <w:t xml:space="preserve"> Aggarwal C, Verma P, Kundra L, Dharmarajan P. Management of ankylosing spondylitis (Aamavata) through Ayurveda principle. Indian J Ayurveda Integr Med 2025;6:63-6.</w:t>
      </w:r>
    </w:p>
    <w:p w:rsidR="00E22899" w:rsidRDefault="00E22899" w:rsidP="00E22899">
      <w:pPr>
        <w:pStyle w:val="ListParagraph"/>
        <w:numPr>
          <w:ilvl w:val="0"/>
          <w:numId w:val="16"/>
        </w:numPr>
        <w:rPr>
          <w:rFonts w:ascii="Times New Roman" w:hAnsi="Times New Roman" w:cs="Times New Roman"/>
          <w:sz w:val="24"/>
          <w:szCs w:val="24"/>
        </w:rPr>
      </w:pPr>
      <w:r w:rsidRPr="00E22899">
        <w:rPr>
          <w:rFonts w:ascii="Times New Roman" w:hAnsi="Times New Roman" w:cs="Times New Roman"/>
          <w:sz w:val="24"/>
          <w:szCs w:val="24"/>
        </w:rPr>
        <w:t>Braun J, Sieper J. Ankylosing spondylitis. The Lancet. 2007 Apr 21;369(9570):1379-90.</w:t>
      </w:r>
    </w:p>
    <w:p w:rsidR="00E22899" w:rsidRPr="00E22899" w:rsidRDefault="00E22899" w:rsidP="00E22899">
      <w:pPr>
        <w:pStyle w:val="ListParagraph"/>
        <w:numPr>
          <w:ilvl w:val="0"/>
          <w:numId w:val="16"/>
        </w:numPr>
        <w:rPr>
          <w:rFonts w:ascii="Times New Roman" w:hAnsi="Times New Roman" w:cs="Times New Roman"/>
          <w:sz w:val="24"/>
          <w:szCs w:val="24"/>
        </w:rPr>
      </w:pPr>
      <w:r w:rsidRPr="00E22899">
        <w:rPr>
          <w:rFonts w:ascii="Times New Roman" w:hAnsi="Times New Roman" w:cs="Times New Roman"/>
          <w:sz w:val="24"/>
          <w:szCs w:val="24"/>
        </w:rPr>
        <w:t>P AT, Deogade MS, Nesari TM, Ramachandran A. A short review on deciphering Vyadhikshamatva: insights from HLA-B27-ankylosing spondylitis relation. J Complement Integr Med. 2024 May 6;21(2):264-267. doi: 10.1515/jcim-2024-0083. PMID: 38702944.</w:t>
      </w:r>
    </w:p>
    <w:p w:rsidR="00FB5639" w:rsidRPr="00FB5639" w:rsidRDefault="00FB5639" w:rsidP="00FB5639">
      <w:pPr>
        <w:pStyle w:val="ListParagraph"/>
        <w:numPr>
          <w:ilvl w:val="0"/>
          <w:numId w:val="16"/>
        </w:numPr>
        <w:rPr>
          <w:rFonts w:ascii="Times New Roman" w:hAnsi="Times New Roman" w:cs="Times New Roman"/>
          <w:sz w:val="24"/>
          <w:szCs w:val="24"/>
        </w:rPr>
      </w:pPr>
      <w:r w:rsidRPr="00FB5639">
        <w:rPr>
          <w:rFonts w:ascii="Times New Roman" w:hAnsi="Times New Roman" w:cs="Times New Roman"/>
          <w:sz w:val="24"/>
          <w:szCs w:val="24"/>
        </w:rPr>
        <w:t>Shastri AD, editor. Sushruta Samhita of Maharshi Sushruta, Chikitsa Sthana; Vatavyadhi Chikitsa: Chapter 4, Ver. 8. Varanasi: Chaukhambha Sanskrit Sansthan; 2018.</w:t>
      </w:r>
    </w:p>
    <w:p w:rsidR="00FB5639" w:rsidRDefault="00FB5639" w:rsidP="00FB563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Ti</w:t>
      </w:r>
      <w:r w:rsidRPr="00FB5639">
        <w:rPr>
          <w:rFonts w:ascii="Times New Roman" w:hAnsi="Times New Roman" w:cs="Times New Roman"/>
          <w:sz w:val="24"/>
          <w:szCs w:val="24"/>
        </w:rPr>
        <w:t>wari PV, editor. Kashyapa Samhita, Sutra Sthana; Amavata Chikitsa. Varanasi: Chaukhambha Visvabharti; 2020.</w:t>
      </w:r>
    </w:p>
    <w:p w:rsidR="00DE4529" w:rsidRPr="00DE4529" w:rsidRDefault="00FB5639" w:rsidP="00DE452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Laxmi Sharma et al., </w:t>
      </w:r>
      <w:r w:rsidRPr="00FB5639">
        <w:rPr>
          <w:rFonts w:ascii="Times New Roman" w:hAnsi="Times New Roman" w:cs="Times New Roman"/>
          <w:sz w:val="24"/>
          <w:szCs w:val="24"/>
        </w:rPr>
        <w:t>Ayurvedic Management of Ankylosing Spondylitis. AYUSHDHARA, 2025;12(5):132-136.</w:t>
      </w:r>
      <w:r w:rsidRPr="0081749F">
        <w:rPr>
          <w:rFonts w:ascii="Times New Roman" w:hAnsi="Times New Roman" w:cs="Times New Roman"/>
          <w:sz w:val="24"/>
          <w:szCs w:val="24"/>
        </w:rPr>
        <w:t xml:space="preserve"> </w:t>
      </w:r>
    </w:p>
    <w:p w:rsidR="00DE4529" w:rsidRDefault="00DE4529" w:rsidP="00DE4529">
      <w:pPr>
        <w:pStyle w:val="ListParagraph"/>
        <w:numPr>
          <w:ilvl w:val="0"/>
          <w:numId w:val="16"/>
        </w:numPr>
        <w:rPr>
          <w:rFonts w:ascii="Times New Roman" w:hAnsi="Times New Roman" w:cs="Times New Roman"/>
          <w:sz w:val="24"/>
          <w:szCs w:val="24"/>
        </w:rPr>
      </w:pPr>
      <w:r w:rsidRPr="00DE4529">
        <w:rPr>
          <w:rFonts w:ascii="Helvetica" w:hAnsi="Helvetica" w:cs="Helvetica"/>
          <w:color w:val="000000"/>
          <w:sz w:val="24"/>
          <w:szCs w:val="24"/>
        </w:rPr>
        <w:t xml:space="preserve"> </w:t>
      </w:r>
      <w:r w:rsidRPr="00DE4529">
        <w:rPr>
          <w:rFonts w:ascii="Times New Roman" w:hAnsi="Times New Roman" w:cs="Times New Roman"/>
          <w:sz w:val="24"/>
          <w:szCs w:val="24"/>
        </w:rPr>
        <w:t>Aggarwal C, Verma P, Kundra L, Dharmarajan P. Management of ankylosing spondylitis (Aamavata) through Ayurveda principle. Indian J Ayurveda Integr Med 2025;6:63-6.</w:t>
      </w:r>
    </w:p>
    <w:p w:rsidR="00987387" w:rsidRDefault="00987387" w:rsidP="00987387">
      <w:pPr>
        <w:pStyle w:val="ListParagraph"/>
        <w:numPr>
          <w:ilvl w:val="0"/>
          <w:numId w:val="16"/>
        </w:numPr>
        <w:rPr>
          <w:rFonts w:ascii="Times New Roman" w:hAnsi="Times New Roman" w:cs="Times New Roman"/>
          <w:sz w:val="24"/>
          <w:szCs w:val="24"/>
        </w:rPr>
      </w:pPr>
      <w:r w:rsidRPr="00987387">
        <w:rPr>
          <w:rFonts w:ascii="Times New Roman" w:hAnsi="Times New Roman" w:cs="Times New Roman"/>
          <w:sz w:val="24"/>
          <w:szCs w:val="24"/>
        </w:rPr>
        <w:t>Aayushi Mogra, Shraddha Sharma, Pramod Bana, Aruna Ojha, Manoj Kumar Sharma, Management of Ankylosing Spondylitis throu</w:t>
      </w:r>
      <w:r>
        <w:rPr>
          <w:rFonts w:ascii="Times New Roman" w:hAnsi="Times New Roman" w:cs="Times New Roman"/>
          <w:sz w:val="24"/>
          <w:szCs w:val="24"/>
        </w:rPr>
        <w:t xml:space="preserve">gh Ayurveda. J Ayu Int Med Sci. </w:t>
      </w:r>
      <w:r w:rsidRPr="00987387">
        <w:rPr>
          <w:rFonts w:ascii="Times New Roman" w:hAnsi="Times New Roman" w:cs="Times New Roman"/>
          <w:sz w:val="24"/>
          <w:szCs w:val="24"/>
        </w:rPr>
        <w:t>2023;8(1):155-158.</w:t>
      </w:r>
    </w:p>
    <w:p w:rsidR="00987387" w:rsidRDefault="00987387" w:rsidP="00987387">
      <w:pPr>
        <w:pStyle w:val="ListParagraph"/>
        <w:numPr>
          <w:ilvl w:val="0"/>
          <w:numId w:val="16"/>
        </w:numPr>
        <w:rPr>
          <w:rFonts w:ascii="Times New Roman" w:hAnsi="Times New Roman" w:cs="Times New Roman"/>
          <w:sz w:val="24"/>
          <w:szCs w:val="24"/>
        </w:rPr>
      </w:pPr>
      <w:r w:rsidRPr="00987387">
        <w:rPr>
          <w:rFonts w:ascii="Times New Roman" w:hAnsi="Times New Roman" w:cs="Times New Roman"/>
          <w:sz w:val="24"/>
          <w:szCs w:val="24"/>
        </w:rPr>
        <w:t>Shetty SK, Veer VR, Gaurav K, Sharma O. Effect of integrated Ayurvedic approach for management of ankylosing spondylitis: A case</w:t>
      </w:r>
      <w:r>
        <w:rPr>
          <w:rFonts w:ascii="Times New Roman" w:hAnsi="Times New Roman" w:cs="Times New Roman"/>
          <w:sz w:val="24"/>
          <w:szCs w:val="24"/>
        </w:rPr>
        <w:t xml:space="preserve"> </w:t>
      </w:r>
      <w:r w:rsidRPr="00987387">
        <w:rPr>
          <w:rFonts w:ascii="Times New Roman" w:hAnsi="Times New Roman" w:cs="Times New Roman"/>
          <w:sz w:val="24"/>
          <w:szCs w:val="24"/>
        </w:rPr>
        <w:t>report. J Res Ayurvedic Sci 2024;8:79-84</w:t>
      </w:r>
    </w:p>
    <w:p w:rsidR="00C635D5" w:rsidRDefault="00987387" w:rsidP="00C635D5">
      <w:pPr>
        <w:pStyle w:val="ListParagraph"/>
        <w:numPr>
          <w:ilvl w:val="0"/>
          <w:numId w:val="16"/>
        </w:numPr>
        <w:rPr>
          <w:rFonts w:ascii="Times New Roman" w:hAnsi="Times New Roman" w:cs="Times New Roman"/>
          <w:sz w:val="24"/>
          <w:szCs w:val="24"/>
        </w:rPr>
      </w:pPr>
      <w:r w:rsidRPr="00987387">
        <w:rPr>
          <w:rFonts w:ascii="Times New Roman" w:hAnsi="Times New Roman" w:cs="Times New Roman"/>
          <w:sz w:val="24"/>
          <w:szCs w:val="24"/>
        </w:rPr>
        <w:lastRenderedPageBreak/>
        <w:t>Rejo JR, Thirunavukkarasu MS. Ayurvedic management of Ankylosing Spondylitis. J Ayurveda</w:t>
      </w:r>
      <w:r>
        <w:rPr>
          <w:rFonts w:ascii="Times New Roman" w:hAnsi="Times New Roman" w:cs="Times New Roman"/>
          <w:sz w:val="24"/>
          <w:szCs w:val="24"/>
        </w:rPr>
        <w:t xml:space="preserve"> </w:t>
      </w:r>
      <w:r w:rsidRPr="00987387">
        <w:rPr>
          <w:rFonts w:ascii="Times New Roman" w:hAnsi="Times New Roman" w:cs="Times New Roman"/>
          <w:sz w:val="24"/>
          <w:szCs w:val="24"/>
        </w:rPr>
        <w:t>Case Rep 2025; 8:234-41.</w:t>
      </w:r>
    </w:p>
    <w:p w:rsidR="00DF4053" w:rsidRDefault="00C635D5" w:rsidP="00DF4053">
      <w:pPr>
        <w:pStyle w:val="ListParagraph"/>
        <w:numPr>
          <w:ilvl w:val="0"/>
          <w:numId w:val="16"/>
        </w:numPr>
        <w:rPr>
          <w:rFonts w:ascii="Times New Roman" w:hAnsi="Times New Roman" w:cs="Times New Roman"/>
          <w:sz w:val="24"/>
          <w:szCs w:val="24"/>
        </w:rPr>
      </w:pPr>
      <w:r w:rsidRPr="00C635D5">
        <w:rPr>
          <w:rFonts w:ascii="Times New Roman" w:hAnsi="Times New Roman" w:cs="Times New Roman"/>
          <w:sz w:val="24"/>
          <w:szCs w:val="24"/>
        </w:rPr>
        <w:t>Bhatted SK, Sharma P. Ayurvedic management of Ankylosing Spondylitis (Kati prishtha trika</w:t>
      </w:r>
      <w:r>
        <w:rPr>
          <w:rFonts w:ascii="Times New Roman" w:hAnsi="Times New Roman" w:cs="Times New Roman"/>
          <w:sz w:val="24"/>
          <w:szCs w:val="24"/>
        </w:rPr>
        <w:t xml:space="preserve"> </w:t>
      </w:r>
      <w:r w:rsidRPr="00C635D5">
        <w:rPr>
          <w:rFonts w:ascii="Times New Roman" w:hAnsi="Times New Roman" w:cs="Times New Roman"/>
          <w:sz w:val="24"/>
          <w:szCs w:val="24"/>
        </w:rPr>
        <w:t>graha): A case report. J Ayurveda Case Rep 2024;7:48-53.</w:t>
      </w:r>
      <w:r w:rsidR="00DF4053">
        <w:rPr>
          <w:rFonts w:ascii="Times New Roman" w:hAnsi="Times New Roman" w:cs="Times New Roman"/>
          <w:sz w:val="24"/>
          <w:szCs w:val="24"/>
        </w:rPr>
        <w:t xml:space="preserve"> </w:t>
      </w:r>
    </w:p>
    <w:p w:rsidR="00DF4053" w:rsidRDefault="00DF4053" w:rsidP="00DF4053">
      <w:pPr>
        <w:pStyle w:val="ListParagraph"/>
        <w:numPr>
          <w:ilvl w:val="0"/>
          <w:numId w:val="16"/>
        </w:numPr>
        <w:rPr>
          <w:rFonts w:ascii="Times New Roman" w:hAnsi="Times New Roman" w:cs="Times New Roman"/>
          <w:sz w:val="24"/>
          <w:szCs w:val="24"/>
        </w:rPr>
      </w:pPr>
      <w:r w:rsidRPr="00DF4053">
        <w:rPr>
          <w:rFonts w:ascii="Times New Roman" w:hAnsi="Times New Roman" w:cs="Times New Roman"/>
          <w:sz w:val="24"/>
          <w:szCs w:val="24"/>
        </w:rPr>
        <w:t>Khedekar S, Vyavhare V, Lohar Y, Khedekar K. Management of Ankylosing Spondylitis through</w:t>
      </w:r>
      <w:r>
        <w:rPr>
          <w:rFonts w:ascii="Times New Roman" w:hAnsi="Times New Roman" w:cs="Times New Roman"/>
          <w:sz w:val="24"/>
          <w:szCs w:val="24"/>
        </w:rPr>
        <w:t xml:space="preserve"> </w:t>
      </w:r>
      <w:r w:rsidRPr="00DF4053">
        <w:rPr>
          <w:rFonts w:ascii="Times New Roman" w:hAnsi="Times New Roman" w:cs="Times New Roman"/>
          <w:sz w:val="24"/>
          <w:szCs w:val="24"/>
        </w:rPr>
        <w:t>Ayurveda: A case report. J AyuCaRe 2019 2(2):18-23.</w:t>
      </w:r>
    </w:p>
    <w:p w:rsidR="00EE00D9" w:rsidRDefault="00206CD5" w:rsidP="00EE00D9">
      <w:pPr>
        <w:pStyle w:val="ListParagraph"/>
        <w:numPr>
          <w:ilvl w:val="0"/>
          <w:numId w:val="16"/>
        </w:numPr>
        <w:rPr>
          <w:rFonts w:ascii="Times New Roman" w:hAnsi="Times New Roman" w:cs="Times New Roman"/>
          <w:sz w:val="24"/>
          <w:szCs w:val="24"/>
        </w:rPr>
      </w:pPr>
      <w:r w:rsidRPr="00206CD5">
        <w:rPr>
          <w:rFonts w:ascii="Times New Roman" w:hAnsi="Times New Roman" w:cs="Times New Roman"/>
          <w:sz w:val="24"/>
          <w:szCs w:val="24"/>
        </w:rPr>
        <w:t>Zhong S, Li F, Li D, Cheng Y, Wang X, Gao Y, Xie X. The brain-gut-joint axis in arthritis: crosstalk, treatment, and future perspectives. J Orthop Translat. 2026 Jan 13;56:101045. doi: 10.1016/j.jot.2025.101045. PMID: 41836576; PMCID: PMC12988529.</w:t>
      </w:r>
    </w:p>
    <w:p w:rsidR="00EE00D9" w:rsidRDefault="00EE00D9" w:rsidP="00EE00D9">
      <w:pPr>
        <w:pStyle w:val="ListParagraph"/>
        <w:numPr>
          <w:ilvl w:val="0"/>
          <w:numId w:val="16"/>
        </w:numPr>
        <w:rPr>
          <w:rFonts w:ascii="Times New Roman" w:hAnsi="Times New Roman" w:cs="Times New Roman"/>
          <w:sz w:val="24"/>
          <w:szCs w:val="24"/>
        </w:rPr>
      </w:pPr>
      <w:r w:rsidRPr="00EE00D9">
        <w:rPr>
          <w:rFonts w:ascii="Palatino Linotype" w:hAnsi="Palatino Linotype" w:cs="Palatino Linotype"/>
          <w:color w:val="000000"/>
          <w:sz w:val="24"/>
          <w:szCs w:val="24"/>
        </w:rPr>
        <w:t xml:space="preserve"> </w:t>
      </w:r>
      <w:r w:rsidRPr="00EE00D9">
        <w:rPr>
          <w:rFonts w:ascii="Times New Roman" w:hAnsi="Times New Roman" w:cs="Times New Roman"/>
          <w:sz w:val="24"/>
          <w:szCs w:val="24"/>
        </w:rPr>
        <w:t>Mayur M, Mayur B, Chandrashekhar YJ, Kandarp D. Ayurvedic Management of Ankylosing Spondylitis. J AyuCaRe 2018;1(1):23-27.</w:t>
      </w:r>
    </w:p>
    <w:p w:rsidR="00EE00D9" w:rsidRPr="00EE00D9" w:rsidRDefault="00EE00D9" w:rsidP="00EE00D9">
      <w:pPr>
        <w:pStyle w:val="ListParagraph"/>
        <w:numPr>
          <w:ilvl w:val="0"/>
          <w:numId w:val="16"/>
        </w:numPr>
        <w:rPr>
          <w:rFonts w:ascii="Times New Roman" w:hAnsi="Times New Roman" w:cs="Times New Roman"/>
          <w:sz w:val="24"/>
          <w:szCs w:val="24"/>
        </w:rPr>
      </w:pPr>
      <w:r w:rsidRPr="00EE00D9">
        <w:rPr>
          <w:rFonts w:ascii="Times New Roman" w:hAnsi="Times New Roman" w:cs="Times New Roman"/>
          <w:sz w:val="24"/>
          <w:szCs w:val="24"/>
        </w:rPr>
        <w:t>Aayushi Mogra, Shraddha Sharma, Pramod Bana, Aruna Ojha, Manoj Kumar Sharma, Management of Ankylosing Spondylitis through Ayurveda. J Ayu Int Med Sci. 2023;8(1):155-158.</w:t>
      </w:r>
    </w:p>
    <w:p w:rsidR="00B243CB" w:rsidRDefault="00B243CB" w:rsidP="00BA585F">
      <w:pPr>
        <w:rPr>
          <w:rFonts w:ascii="Times New Roman" w:hAnsi="Times New Roman" w:cs="Times New Roman"/>
          <w:sz w:val="24"/>
          <w:szCs w:val="24"/>
        </w:rPr>
      </w:pPr>
    </w:p>
    <w:p w:rsidR="00B243CB" w:rsidRPr="002729F6" w:rsidRDefault="00B243CB" w:rsidP="00BA585F">
      <w:pPr>
        <w:rPr>
          <w:rFonts w:ascii="Times New Roman" w:hAnsi="Times New Roman" w:cs="Times New Roman"/>
          <w:sz w:val="24"/>
          <w:szCs w:val="24"/>
        </w:rPr>
      </w:pPr>
    </w:p>
    <w:sectPr w:rsidR="00B243CB" w:rsidRPr="002729F6" w:rsidSect="0099272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2BF" w:rsidRDefault="003202BF" w:rsidP="00BA585F">
      <w:pPr>
        <w:spacing w:after="0" w:line="240" w:lineRule="auto"/>
      </w:pPr>
      <w:r>
        <w:separator/>
      </w:r>
    </w:p>
  </w:endnote>
  <w:endnote w:type="continuationSeparator" w:id="1">
    <w:p w:rsidR="003202BF" w:rsidRDefault="003202BF" w:rsidP="00BA58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PS44A44B">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2BF" w:rsidRDefault="003202BF" w:rsidP="00BA585F">
      <w:pPr>
        <w:spacing w:after="0" w:line="240" w:lineRule="auto"/>
      </w:pPr>
      <w:r>
        <w:separator/>
      </w:r>
    </w:p>
  </w:footnote>
  <w:footnote w:type="continuationSeparator" w:id="1">
    <w:p w:rsidR="003202BF" w:rsidRDefault="003202BF" w:rsidP="00BA58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1865"/>
    <w:multiLevelType w:val="multilevel"/>
    <w:tmpl w:val="3D8C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763C5"/>
    <w:multiLevelType w:val="multilevel"/>
    <w:tmpl w:val="8176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87C16"/>
    <w:multiLevelType w:val="hybridMultilevel"/>
    <w:tmpl w:val="62C6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048B2"/>
    <w:multiLevelType w:val="multilevel"/>
    <w:tmpl w:val="4ECA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D4DB4"/>
    <w:multiLevelType w:val="hybridMultilevel"/>
    <w:tmpl w:val="DC7C1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446C93"/>
    <w:multiLevelType w:val="multilevel"/>
    <w:tmpl w:val="1FCAF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D27B35"/>
    <w:multiLevelType w:val="hybridMultilevel"/>
    <w:tmpl w:val="4008F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497065"/>
    <w:multiLevelType w:val="hybridMultilevel"/>
    <w:tmpl w:val="4008F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05464C"/>
    <w:multiLevelType w:val="hybridMultilevel"/>
    <w:tmpl w:val="15C4612E"/>
    <w:lvl w:ilvl="0" w:tplc="ED4C2140">
      <w:start w:val="3"/>
      <w:numFmt w:val="bullet"/>
      <w:lvlText w:val="-"/>
      <w:lvlJc w:val="left"/>
      <w:pPr>
        <w:ind w:left="720" w:hanging="360"/>
      </w:pPr>
      <w:rPr>
        <w:rFonts w:ascii="AdvPS44A44B" w:eastAsiaTheme="minorEastAsia" w:hAnsi="AdvPS44A44B" w:cs="AdvPS44A44B"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F75B4A"/>
    <w:multiLevelType w:val="multilevel"/>
    <w:tmpl w:val="F0F8E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AD6E71"/>
    <w:multiLevelType w:val="multilevel"/>
    <w:tmpl w:val="6AB8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074E11"/>
    <w:multiLevelType w:val="multilevel"/>
    <w:tmpl w:val="8C44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6517C6"/>
    <w:multiLevelType w:val="multilevel"/>
    <w:tmpl w:val="5A1C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6F6927"/>
    <w:multiLevelType w:val="multilevel"/>
    <w:tmpl w:val="9336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4F1812"/>
    <w:multiLevelType w:val="hybridMultilevel"/>
    <w:tmpl w:val="DC7C1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D47503"/>
    <w:multiLevelType w:val="multilevel"/>
    <w:tmpl w:val="78DAE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802CFB"/>
    <w:multiLevelType w:val="multilevel"/>
    <w:tmpl w:val="9E52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343E89"/>
    <w:multiLevelType w:val="hybridMultilevel"/>
    <w:tmpl w:val="DC7C1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E81BB2"/>
    <w:multiLevelType w:val="multilevel"/>
    <w:tmpl w:val="6BD2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BA4BEE"/>
    <w:multiLevelType w:val="multilevel"/>
    <w:tmpl w:val="6490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963DB1"/>
    <w:multiLevelType w:val="multilevel"/>
    <w:tmpl w:val="CE845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9"/>
  </w:num>
  <w:num w:numId="4">
    <w:abstractNumId w:val="19"/>
  </w:num>
  <w:num w:numId="5">
    <w:abstractNumId w:val="20"/>
  </w:num>
  <w:num w:numId="6">
    <w:abstractNumId w:val="18"/>
  </w:num>
  <w:num w:numId="7">
    <w:abstractNumId w:val="12"/>
  </w:num>
  <w:num w:numId="8">
    <w:abstractNumId w:val="10"/>
  </w:num>
  <w:num w:numId="9">
    <w:abstractNumId w:val="3"/>
  </w:num>
  <w:num w:numId="10">
    <w:abstractNumId w:val="15"/>
  </w:num>
  <w:num w:numId="11">
    <w:abstractNumId w:val="13"/>
  </w:num>
  <w:num w:numId="12">
    <w:abstractNumId w:val="0"/>
  </w:num>
  <w:num w:numId="13">
    <w:abstractNumId w:val="5"/>
  </w:num>
  <w:num w:numId="14">
    <w:abstractNumId w:val="8"/>
  </w:num>
  <w:num w:numId="15">
    <w:abstractNumId w:val="16"/>
  </w:num>
  <w:num w:numId="16">
    <w:abstractNumId w:val="4"/>
  </w:num>
  <w:num w:numId="17">
    <w:abstractNumId w:val="2"/>
  </w:num>
  <w:num w:numId="18">
    <w:abstractNumId w:val="7"/>
  </w:num>
  <w:num w:numId="19">
    <w:abstractNumId w:val="6"/>
  </w:num>
  <w:num w:numId="20">
    <w:abstractNumId w:val="14"/>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6E6CAC"/>
    <w:rsid w:val="0003743A"/>
    <w:rsid w:val="00151776"/>
    <w:rsid w:val="00206CD5"/>
    <w:rsid w:val="00210586"/>
    <w:rsid w:val="002156A0"/>
    <w:rsid w:val="002729F6"/>
    <w:rsid w:val="002950BF"/>
    <w:rsid w:val="003202BF"/>
    <w:rsid w:val="00345465"/>
    <w:rsid w:val="00671500"/>
    <w:rsid w:val="0067167E"/>
    <w:rsid w:val="006E6CAC"/>
    <w:rsid w:val="006E7EF6"/>
    <w:rsid w:val="006F58A4"/>
    <w:rsid w:val="006F58C4"/>
    <w:rsid w:val="0071041A"/>
    <w:rsid w:val="0081749F"/>
    <w:rsid w:val="00836487"/>
    <w:rsid w:val="00837BA1"/>
    <w:rsid w:val="008F6443"/>
    <w:rsid w:val="00987387"/>
    <w:rsid w:val="0099272F"/>
    <w:rsid w:val="00AC2C99"/>
    <w:rsid w:val="00AF1E23"/>
    <w:rsid w:val="00B243CB"/>
    <w:rsid w:val="00B32BCE"/>
    <w:rsid w:val="00BA585F"/>
    <w:rsid w:val="00C572A7"/>
    <w:rsid w:val="00C635D5"/>
    <w:rsid w:val="00CB29FA"/>
    <w:rsid w:val="00D33928"/>
    <w:rsid w:val="00D9266A"/>
    <w:rsid w:val="00DE068A"/>
    <w:rsid w:val="00DE4529"/>
    <w:rsid w:val="00DF4053"/>
    <w:rsid w:val="00E07507"/>
    <w:rsid w:val="00E22899"/>
    <w:rsid w:val="00E36308"/>
    <w:rsid w:val="00EE00D9"/>
    <w:rsid w:val="00F94C90"/>
    <w:rsid w:val="00FB5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72F"/>
  </w:style>
  <w:style w:type="paragraph" w:styleId="Heading1">
    <w:name w:val="heading 1"/>
    <w:basedOn w:val="Normal"/>
    <w:next w:val="Normal"/>
    <w:link w:val="Heading1Char"/>
    <w:uiPriority w:val="9"/>
    <w:qFormat/>
    <w:rsid w:val="006E6C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E6C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E6C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A585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6CA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6CAC"/>
    <w:rPr>
      <w:rFonts w:ascii="Times New Roman" w:eastAsia="Times New Roman" w:hAnsi="Times New Roman" w:cs="Times New Roman"/>
      <w:b/>
      <w:bCs/>
      <w:sz w:val="27"/>
      <w:szCs w:val="27"/>
    </w:rPr>
  </w:style>
  <w:style w:type="paragraph" w:styleId="NormalWeb">
    <w:name w:val="Normal (Web)"/>
    <w:basedOn w:val="Normal"/>
    <w:uiPriority w:val="99"/>
    <w:unhideWhenUsed/>
    <w:rsid w:val="006E6C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E6CAC"/>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6E6CAC"/>
    <w:rPr>
      <w:b/>
      <w:bCs/>
    </w:rPr>
  </w:style>
  <w:style w:type="table" w:styleId="TableGrid">
    <w:name w:val="Table Grid"/>
    <w:basedOn w:val="TableNormal"/>
    <w:uiPriority w:val="59"/>
    <w:rsid w:val="006E6C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729F6"/>
    <w:rPr>
      <w:color w:val="0000FF"/>
      <w:u w:val="single"/>
    </w:rPr>
  </w:style>
  <w:style w:type="paragraph" w:styleId="FootnoteText">
    <w:name w:val="footnote text"/>
    <w:basedOn w:val="Normal"/>
    <w:link w:val="FootnoteTextChar"/>
    <w:uiPriority w:val="99"/>
    <w:semiHidden/>
    <w:unhideWhenUsed/>
    <w:rsid w:val="00BA58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85F"/>
    <w:rPr>
      <w:sz w:val="20"/>
      <w:szCs w:val="20"/>
    </w:rPr>
  </w:style>
  <w:style w:type="character" w:styleId="FootnoteReference">
    <w:name w:val="footnote reference"/>
    <w:basedOn w:val="DefaultParagraphFont"/>
    <w:uiPriority w:val="99"/>
    <w:semiHidden/>
    <w:unhideWhenUsed/>
    <w:rsid w:val="00BA585F"/>
    <w:rPr>
      <w:vertAlign w:val="superscript"/>
    </w:rPr>
  </w:style>
  <w:style w:type="paragraph" w:styleId="EndnoteText">
    <w:name w:val="endnote text"/>
    <w:basedOn w:val="Normal"/>
    <w:link w:val="EndnoteTextChar"/>
    <w:uiPriority w:val="99"/>
    <w:semiHidden/>
    <w:unhideWhenUsed/>
    <w:rsid w:val="00BA5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585F"/>
    <w:rPr>
      <w:sz w:val="20"/>
      <w:szCs w:val="20"/>
    </w:rPr>
  </w:style>
  <w:style w:type="character" w:styleId="EndnoteReference">
    <w:name w:val="endnote reference"/>
    <w:basedOn w:val="DefaultParagraphFont"/>
    <w:uiPriority w:val="99"/>
    <w:semiHidden/>
    <w:unhideWhenUsed/>
    <w:rsid w:val="00BA585F"/>
    <w:rPr>
      <w:vertAlign w:val="superscript"/>
    </w:rPr>
  </w:style>
  <w:style w:type="character" w:customStyle="1" w:styleId="Heading4Char">
    <w:name w:val="Heading 4 Char"/>
    <w:basedOn w:val="DefaultParagraphFont"/>
    <w:link w:val="Heading4"/>
    <w:uiPriority w:val="9"/>
    <w:semiHidden/>
    <w:rsid w:val="00BA585F"/>
    <w:rPr>
      <w:rFonts w:asciiTheme="majorHAnsi" w:eastAsiaTheme="majorEastAsia" w:hAnsiTheme="majorHAnsi" w:cstheme="majorBidi"/>
      <w:b/>
      <w:bCs/>
      <w:i/>
      <w:iCs/>
      <w:color w:val="4F81BD" w:themeColor="accent1"/>
    </w:rPr>
  </w:style>
  <w:style w:type="paragraph" w:customStyle="1" w:styleId="Default">
    <w:name w:val="Default"/>
    <w:rsid w:val="00AF1E2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1749F"/>
    <w:pPr>
      <w:ind w:left="720"/>
      <w:contextualSpacing/>
    </w:pPr>
  </w:style>
</w:styles>
</file>

<file path=word/webSettings.xml><?xml version="1.0" encoding="utf-8"?>
<w:webSettings xmlns:r="http://schemas.openxmlformats.org/officeDocument/2006/relationships" xmlns:w="http://schemas.openxmlformats.org/wordprocessingml/2006/main">
  <w:divs>
    <w:div w:id="111167479">
      <w:bodyDiv w:val="1"/>
      <w:marLeft w:val="0"/>
      <w:marRight w:val="0"/>
      <w:marTop w:val="0"/>
      <w:marBottom w:val="0"/>
      <w:divBdr>
        <w:top w:val="none" w:sz="0" w:space="0" w:color="auto"/>
        <w:left w:val="none" w:sz="0" w:space="0" w:color="auto"/>
        <w:bottom w:val="none" w:sz="0" w:space="0" w:color="auto"/>
        <w:right w:val="none" w:sz="0" w:space="0" w:color="auto"/>
      </w:divBdr>
    </w:div>
    <w:div w:id="957028761">
      <w:bodyDiv w:val="1"/>
      <w:marLeft w:val="0"/>
      <w:marRight w:val="0"/>
      <w:marTop w:val="0"/>
      <w:marBottom w:val="0"/>
      <w:divBdr>
        <w:top w:val="none" w:sz="0" w:space="0" w:color="auto"/>
        <w:left w:val="none" w:sz="0" w:space="0" w:color="auto"/>
        <w:bottom w:val="none" w:sz="0" w:space="0" w:color="auto"/>
        <w:right w:val="none" w:sz="0" w:space="0" w:color="auto"/>
      </w:divBdr>
    </w:div>
    <w:div w:id="1040788388">
      <w:bodyDiv w:val="1"/>
      <w:marLeft w:val="0"/>
      <w:marRight w:val="0"/>
      <w:marTop w:val="0"/>
      <w:marBottom w:val="0"/>
      <w:divBdr>
        <w:top w:val="none" w:sz="0" w:space="0" w:color="auto"/>
        <w:left w:val="none" w:sz="0" w:space="0" w:color="auto"/>
        <w:bottom w:val="none" w:sz="0" w:space="0" w:color="auto"/>
        <w:right w:val="none" w:sz="0" w:space="0" w:color="auto"/>
      </w:divBdr>
    </w:div>
    <w:div w:id="1056054486">
      <w:bodyDiv w:val="1"/>
      <w:marLeft w:val="0"/>
      <w:marRight w:val="0"/>
      <w:marTop w:val="0"/>
      <w:marBottom w:val="0"/>
      <w:divBdr>
        <w:top w:val="none" w:sz="0" w:space="0" w:color="auto"/>
        <w:left w:val="none" w:sz="0" w:space="0" w:color="auto"/>
        <w:bottom w:val="none" w:sz="0" w:space="0" w:color="auto"/>
        <w:right w:val="none" w:sz="0" w:space="0" w:color="auto"/>
      </w:divBdr>
    </w:div>
    <w:div w:id="1122068209">
      <w:bodyDiv w:val="1"/>
      <w:marLeft w:val="0"/>
      <w:marRight w:val="0"/>
      <w:marTop w:val="0"/>
      <w:marBottom w:val="0"/>
      <w:divBdr>
        <w:top w:val="none" w:sz="0" w:space="0" w:color="auto"/>
        <w:left w:val="none" w:sz="0" w:space="0" w:color="auto"/>
        <w:bottom w:val="none" w:sz="0" w:space="0" w:color="auto"/>
        <w:right w:val="none" w:sz="0" w:space="0" w:color="auto"/>
      </w:divBdr>
    </w:div>
    <w:div w:id="1302689499">
      <w:bodyDiv w:val="1"/>
      <w:marLeft w:val="0"/>
      <w:marRight w:val="0"/>
      <w:marTop w:val="0"/>
      <w:marBottom w:val="0"/>
      <w:divBdr>
        <w:top w:val="none" w:sz="0" w:space="0" w:color="auto"/>
        <w:left w:val="none" w:sz="0" w:space="0" w:color="auto"/>
        <w:bottom w:val="none" w:sz="0" w:space="0" w:color="auto"/>
        <w:right w:val="none" w:sz="0" w:space="0" w:color="auto"/>
      </w:divBdr>
      <w:divsChild>
        <w:div w:id="84351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983790">
      <w:bodyDiv w:val="1"/>
      <w:marLeft w:val="0"/>
      <w:marRight w:val="0"/>
      <w:marTop w:val="0"/>
      <w:marBottom w:val="0"/>
      <w:divBdr>
        <w:top w:val="none" w:sz="0" w:space="0" w:color="auto"/>
        <w:left w:val="none" w:sz="0" w:space="0" w:color="auto"/>
        <w:bottom w:val="none" w:sz="0" w:space="0" w:color="auto"/>
        <w:right w:val="none" w:sz="0" w:space="0" w:color="auto"/>
      </w:divBdr>
      <w:divsChild>
        <w:div w:id="938561904">
          <w:marLeft w:val="0"/>
          <w:marRight w:val="0"/>
          <w:marTop w:val="0"/>
          <w:marBottom w:val="0"/>
          <w:divBdr>
            <w:top w:val="none" w:sz="0" w:space="0" w:color="auto"/>
            <w:left w:val="none" w:sz="0" w:space="0" w:color="auto"/>
            <w:bottom w:val="none" w:sz="0" w:space="0" w:color="auto"/>
            <w:right w:val="none" w:sz="0" w:space="0" w:color="auto"/>
          </w:divBdr>
          <w:divsChild>
            <w:div w:id="1440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2886">
      <w:bodyDiv w:val="1"/>
      <w:marLeft w:val="0"/>
      <w:marRight w:val="0"/>
      <w:marTop w:val="0"/>
      <w:marBottom w:val="0"/>
      <w:divBdr>
        <w:top w:val="none" w:sz="0" w:space="0" w:color="auto"/>
        <w:left w:val="none" w:sz="0" w:space="0" w:color="auto"/>
        <w:bottom w:val="none" w:sz="0" w:space="0" w:color="auto"/>
        <w:right w:val="none" w:sz="0" w:space="0" w:color="auto"/>
      </w:divBdr>
    </w:div>
    <w:div w:id="1776517104">
      <w:bodyDiv w:val="1"/>
      <w:marLeft w:val="0"/>
      <w:marRight w:val="0"/>
      <w:marTop w:val="0"/>
      <w:marBottom w:val="0"/>
      <w:divBdr>
        <w:top w:val="none" w:sz="0" w:space="0" w:color="auto"/>
        <w:left w:val="none" w:sz="0" w:space="0" w:color="auto"/>
        <w:bottom w:val="none" w:sz="0" w:space="0" w:color="auto"/>
        <w:right w:val="none" w:sz="0" w:space="0" w:color="auto"/>
      </w:divBdr>
    </w:div>
    <w:div w:id="1826554475">
      <w:bodyDiv w:val="1"/>
      <w:marLeft w:val="0"/>
      <w:marRight w:val="0"/>
      <w:marTop w:val="0"/>
      <w:marBottom w:val="0"/>
      <w:divBdr>
        <w:top w:val="none" w:sz="0" w:space="0" w:color="auto"/>
        <w:left w:val="none" w:sz="0" w:space="0" w:color="auto"/>
        <w:bottom w:val="none" w:sz="0" w:space="0" w:color="auto"/>
        <w:right w:val="none" w:sz="0" w:space="0" w:color="auto"/>
      </w:divBdr>
    </w:div>
    <w:div w:id="190409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44faa4fe2c212e0b&amp;sxsrf=ANbL-n7zLHY1ChAFC1WLYSC-R3ah9AVNvw%3A1775546130945&amp;q=Kostha&amp;sa=X&amp;ved=2ahUKEwjRke7ymNuTAxU9afUHHatsLmMQgK4QegQIARAC&amp;biw=1242&amp;bih=597&amp;dpr=1.1&amp;mstk=AUtExfA46fulzlzLY9jLt5nFsFVYdIqcMClpaMbQ8mc8fYmciz6un94VcYINjVKW2SzCjgUDoKcIFYm9t7A2xVDlOzbTSCQao8KUum3BpcFP_41ODlMuGO8jWa5xBBAERhSZDaVmmMZ1kMo5PCAktTpbWUHrUFILEFlg62Sx0MkGQRV5t53GZ8LBFyilZdL6gPHIxomSdAzecj4O-yANXIj3AjI1QInvIdPISsUI00OnXZzQqJxMAbF6OiTjixn1dcCieTPq9YTMT7p5NG39SYi9I_V1w0ldQFfj-mOJB0YK3ao3sFOyQpwy0GJ6IR6ZnoxtPyQuZL7FM_IAMuQzMB5FbEulnAUWKkq7Ug2zY6xDuDy5YNda5TZyKtfBke9QOzvm91inrxSK8aAFgRXjED8xqxQ5DnBPD0OtmMV7_rFuFGI&amp;csui=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95CB5-7BF5-41BE-9EBB-E69FBCB86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7577</TotalTime>
  <Pages>7</Pages>
  <Words>2235</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25</cp:revision>
  <dcterms:created xsi:type="dcterms:W3CDTF">2026-03-23T06:45:00Z</dcterms:created>
  <dcterms:modified xsi:type="dcterms:W3CDTF">2026-04-08T06:49:00Z</dcterms:modified>
</cp:coreProperties>
</file>