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04F45" w14:textId="5FE3EF65" w:rsidR="00927D03" w:rsidRPr="00927D03" w:rsidRDefault="00927D03" w:rsidP="00927D03">
      <w:pPr>
        <w:jc w:val="center"/>
        <w:rPr>
          <w:b/>
          <w:bCs/>
        </w:rPr>
      </w:pPr>
      <w:r w:rsidRPr="00927D03">
        <w:rPr>
          <w:b/>
          <w:bCs/>
        </w:rPr>
        <w:t>TITLE</w:t>
      </w:r>
      <w:r>
        <w:rPr>
          <w:b/>
          <w:bCs/>
        </w:rPr>
        <w:t>:</w:t>
      </w:r>
      <w:r w:rsidRPr="00927D03">
        <w:rPr>
          <w:b/>
          <w:bCs/>
        </w:rPr>
        <w:t xml:space="preserve"> HARNESSING AI, DATA SCIENCE, AND CYBERSECURITY FOR INCLUSIVE DIGITAL TRANSFORMATION IN KENYA AND BEYOND</w:t>
      </w:r>
    </w:p>
    <w:p w14:paraId="45C4768E" w14:textId="357A49FC" w:rsidR="00927D03" w:rsidRPr="00927D03" w:rsidRDefault="00927D03" w:rsidP="00927D03">
      <w:pPr>
        <w:jc w:val="center"/>
        <w:rPr>
          <w:b/>
          <w:bCs/>
        </w:rPr>
      </w:pPr>
      <w:r w:rsidRPr="00A3055A">
        <w:rPr>
          <w:b/>
          <w:bCs/>
        </w:rPr>
        <w:t>ABSTRAC</w:t>
      </w:r>
      <w:r>
        <w:rPr>
          <w:b/>
          <w:bCs/>
        </w:rPr>
        <w:t>T</w:t>
      </w:r>
    </w:p>
    <w:p w14:paraId="615C913E" w14:textId="77777777" w:rsidR="001A1D53" w:rsidRPr="001A1D53" w:rsidRDefault="001A1D53" w:rsidP="001A1D53">
      <w:pPr>
        <w:spacing w:after="0" w:line="240" w:lineRule="auto"/>
        <w:jc w:val="both"/>
      </w:pPr>
      <w:r w:rsidRPr="001A1D53">
        <w:t>The advent of digital transformation has been a pivotal force in socio-economic development at a global scale, fundamentally reshaping industrial structures, governance frameworks, and citizen engagement. However, many developing countries, such as Kenya, still face a protracted journey before inclusive, secure, and sustainable digital ecosystems are fully realized. This paper explores the potential of leveraging Artificial Intelligence (AI), Data Science, and Cybersecurity to drive inclusive digital transformation in Kenya and the broader sub-Saharan context.</w:t>
      </w:r>
    </w:p>
    <w:p w14:paraId="373CEB5D" w14:textId="6A5E608A" w:rsidR="001A1D53" w:rsidRPr="001A1D53" w:rsidRDefault="001A1D53" w:rsidP="001A1D53">
      <w:pPr>
        <w:spacing w:after="0" w:line="240" w:lineRule="auto"/>
        <w:jc w:val="both"/>
      </w:pPr>
      <w:r w:rsidRPr="001A1D53">
        <w:t xml:space="preserve">The primary goal of the study is to investigate how emerging intelligent systems can </w:t>
      </w:r>
      <w:r w:rsidR="009E2317">
        <w:t>improve access to digital services while also</w:t>
      </w:r>
      <w:r w:rsidRPr="001A1D53">
        <w:t xml:space="preserve"> providing robust data protection, digital trust, and social equity. The core problem is that despite high internet penetration rates, a pronounced digital divide persists. Furthermore, there is insufficient institutional protection against sophisticated, AI-driven cybersecurity threats, and data-driven decision-making is not yet fully integrated into public and private sector systems, thereby limiting inclusive development and marginalizing vulnerable groups.</w:t>
      </w:r>
    </w:p>
    <w:p w14:paraId="371E2195" w14:textId="77777777" w:rsidR="001A1D53" w:rsidRPr="001A1D53" w:rsidRDefault="001A1D53" w:rsidP="001A1D53">
      <w:pPr>
        <w:spacing w:after="0" w:line="240" w:lineRule="auto"/>
        <w:jc w:val="both"/>
      </w:pPr>
      <w:r w:rsidRPr="001A1D53">
        <w:t>To address these dynamics, the study adopts a qualitative approach to desk research, drawing on extensive evidence from peer-reviewed literature, national strategy documents—such as the Kenya National Digital Master Plan (2022–2032)—policy reports from regulatory bodies, and regional case studies in developing economies. Utilizing a thematic analysis framework, the research uncovers critical patterns, opportunities, and structural vulnerabilities in the deployment of AI, data science, and cybersecurity frameworks across digital transformation initiatives.</w:t>
      </w:r>
    </w:p>
    <w:p w14:paraId="19FB1FF5" w14:textId="77777777" w:rsidR="001A1D53" w:rsidRPr="001A1D53" w:rsidRDefault="001A1D53" w:rsidP="001A1D53">
      <w:pPr>
        <w:spacing w:after="0" w:line="240" w:lineRule="auto"/>
        <w:jc w:val="both"/>
      </w:pPr>
      <w:r w:rsidRPr="001A1D53">
        <w:t>The key findings indicate that AI technologies offer revolutionary benefits when strategically deployed within localized contexts. In the healthcare sector, AI-powered diagnostic tools integrated with telemedicine platforms optimize patient care and expand clinical access to underserved, rural regions. In agriculture, predictive AI models and data analytics boost efficiency, optimize supply chains, and enhance productivity for smallholder farmers. In education, adaptive learning technologies facilitate personalized learning and track student performance in real time, enabling timely interventions for at-risk learners in under-resourced environments. Beyond sectoral applications, data science plays a pivotal role in evidence-based policymaking by converting raw mobile and financial transaction metrics into actionable business intelligence, which directly supports micro, small, and medium enterprises (MSMEs) and enhances financial inclusion.</w:t>
      </w:r>
    </w:p>
    <w:p w14:paraId="5205B0C7" w14:textId="5DAC6654" w:rsidR="001A1D53" w:rsidRPr="001A1D53" w:rsidRDefault="001A1D53" w:rsidP="001A1D53">
      <w:pPr>
        <w:spacing w:after="0" w:line="240" w:lineRule="auto"/>
        <w:jc w:val="both"/>
      </w:pPr>
      <w:r w:rsidRPr="001A1D53">
        <w:t xml:space="preserve">Concurrently, the study highlights that robust cybersecurity frameworks are vital for fostering public trust and securing critical national digital infrastructure against escalating, sophisticated threats. However, significant structural impediments remain. A persistent lack of widespread digital literacy, fragmented legal frameworks—such as the absence of standalone, comprehensive AI governance laws—and deficits in technological infrastructure </w:t>
      </w:r>
      <w:r>
        <w:t>pose severe bottlenecks that prevent full</w:t>
      </w:r>
      <w:r w:rsidRPr="001A1D53">
        <w:t xml:space="preserve"> digital inclusion. The paper concludes that for Kenya and similar developing nations to transition into equitable digital powerhouses, they must establish an integrated approach. This requires balancing technological innovation with human-centered regulation, investing in renewable-energy-powered data infrastructure, and executing multi-stakeholder governance frameworks that safeguard digital rights while accelerating human capital development.</w:t>
      </w:r>
    </w:p>
    <w:p w14:paraId="065E0163" w14:textId="54DA9A41" w:rsidR="00927D03" w:rsidRPr="00927D03" w:rsidRDefault="00562F65" w:rsidP="00113B3D">
      <w:pPr>
        <w:spacing w:after="0" w:line="240" w:lineRule="auto"/>
        <w:jc w:val="both"/>
      </w:pPr>
      <w:r>
        <w:t>.</w:t>
      </w:r>
      <w:r w:rsidR="00927D03" w:rsidRPr="00927D03">
        <w:rPr>
          <w:b/>
          <w:bCs/>
        </w:rPr>
        <w:t xml:space="preserve"> </w:t>
      </w:r>
    </w:p>
    <w:p w14:paraId="4419A621" w14:textId="77777777" w:rsidR="00B52643" w:rsidRDefault="00B52643" w:rsidP="00927D03">
      <w:pPr>
        <w:jc w:val="both"/>
        <w:rPr>
          <w:b/>
          <w:bCs/>
        </w:rPr>
      </w:pPr>
    </w:p>
    <w:p w14:paraId="31285050" w14:textId="135BCECF" w:rsidR="000539B5" w:rsidRDefault="00927D03" w:rsidP="00927D03">
      <w:pPr>
        <w:jc w:val="both"/>
      </w:pPr>
      <w:r w:rsidRPr="00927D03">
        <w:rPr>
          <w:b/>
          <w:bCs/>
        </w:rPr>
        <w:lastRenderedPageBreak/>
        <w:t>Keywords:</w:t>
      </w:r>
      <w:r w:rsidRPr="00927D03">
        <w:t xml:space="preserve"> Artificial Intelligence, Data Science, Cybersecurity, Digital Transformation,</w:t>
      </w:r>
    </w:p>
    <w:p w14:paraId="37D32FBF" w14:textId="77777777" w:rsidR="00927D03" w:rsidRDefault="00927D03" w:rsidP="00927D03">
      <w:pPr>
        <w:jc w:val="both"/>
      </w:pPr>
    </w:p>
    <w:p w14:paraId="1B7D98AC" w14:textId="3C56BE8C" w:rsidR="009E2317" w:rsidRPr="009E3445" w:rsidRDefault="009E2317" w:rsidP="009E3445">
      <w:pPr>
        <w:pStyle w:val="ListParagraph"/>
        <w:numPr>
          <w:ilvl w:val="0"/>
          <w:numId w:val="12"/>
        </w:numPr>
        <w:jc w:val="center"/>
        <w:rPr>
          <w:b/>
          <w:bCs/>
        </w:rPr>
      </w:pPr>
      <w:r w:rsidRPr="009E3445">
        <w:rPr>
          <w:b/>
          <w:bCs/>
        </w:rPr>
        <w:t>INTRODUCTION</w:t>
      </w:r>
    </w:p>
    <w:p w14:paraId="15816352" w14:textId="6481BC22" w:rsidR="00547CC7" w:rsidRDefault="00547CC7" w:rsidP="009E2317">
      <w:pPr>
        <w:ind w:left="360"/>
        <w:jc w:val="both"/>
      </w:pPr>
      <w:r w:rsidRPr="00547CC7">
        <w:t>Digital transformation has become a fundamental component of sustainable socio-economic development, as the world is experiencing</w:t>
      </w:r>
      <w:r w:rsidR="001A1D53">
        <w:t xml:space="preserve"> </w:t>
      </w:r>
      <w:r w:rsidRPr="00547CC7">
        <w:t>a significant transformation</w:t>
      </w:r>
      <w:r w:rsidR="001A1D53">
        <w:t xml:space="preserve"> </w:t>
      </w:r>
      <w:r w:rsidRPr="00547CC7">
        <w:t>and shift in the paradigm due to the rapid technological advancements. In developing economies this transition is providing a once-in-a-lifetime chance to bypass the normal industrial</w:t>
      </w:r>
      <w:r w:rsidR="001A1D53">
        <w:t xml:space="preserve"> </w:t>
      </w:r>
      <w:r w:rsidRPr="00547CC7">
        <w:t>developmental stages. But the journey towards a fully inclusive, secure and resilient digital ecosystem is full of complex challenges. The convergence of cutting-edge technology and social justice is particularly relevant in the context of the Global South and as Kenya and other countries ar</w:t>
      </w:r>
      <w:r w:rsidR="001A1D53">
        <w:t>e hastening</w:t>
      </w:r>
      <w:r w:rsidRPr="00547CC7">
        <w:t xml:space="preserve"> the pace of digital transformation in their public and private services. Digital transformation needs to go</w:t>
      </w:r>
      <w:r w:rsidR="001A1D53">
        <w:t xml:space="preserve"> </w:t>
      </w:r>
      <w:r w:rsidRPr="00547CC7">
        <w:t xml:space="preserve">beyond access to the internet to provide meaningful access to the benefits of the modern digital economy for </w:t>
      </w:r>
      <w:r w:rsidR="009E2317" w:rsidRPr="00547CC7">
        <w:t>marginalized</w:t>
      </w:r>
      <w:r w:rsidRPr="00547CC7">
        <w:t xml:space="preserve"> people. To reach this level of absolute inclusiveness, three technological parameters must be deliberately aligned, </w:t>
      </w:r>
      <w:r w:rsidR="009E2317" w:rsidRPr="00547CC7">
        <w:t>synchronized</w:t>
      </w:r>
      <w:r w:rsidRPr="00547CC7">
        <w:t xml:space="preserve"> and </w:t>
      </w:r>
      <w:proofErr w:type="spellStart"/>
      <w:r w:rsidRPr="00547CC7">
        <w:t>harmonised</w:t>
      </w:r>
      <w:proofErr w:type="spellEnd"/>
      <w:r w:rsidRPr="00547CC7">
        <w:t>: Artificial Intelligence (AI), Data Science and Cybersecurity.</w:t>
      </w:r>
      <w:r w:rsidR="009E2317">
        <w:t xml:space="preserve"> </w:t>
      </w:r>
      <w:r w:rsidRPr="00547CC7">
        <w:t xml:space="preserve">The journey towards a digital Kenya is now enshrined in the national visionary policies, which are proudly dubbed the "Silicon Savannah" of East Africa. The country's plans to become a regional ICT powerhouse are evident in its legislative and regulatory frameworks, including the Kenya National Digital Master Plan (2022 – 2032). However, a significant digital divide exists and there are gaps in access to digital literacy, distribution of digital infrastructure in rural and urban areas and a fair distribution of infrastructure resources. Generative AI models and localized machine learning systems have significant potential for transforming critical economic activities including how smallholder farmers grow their crops, how they access healthcare based on data science algorithms, or how they manage the transportation of their goods. However, these technologies can be implemented faster than the structures that regulate them. If left unchecked, algorithmic biases, underrepresented fragments of data sets and local language sets pose a risk of further exacerbating existing societal inequities rather than solving them. Also, given that the speed of data production is increasing at a rapid pace with mobile financial transactions and digital governance platforms, data science turns out to be a double-edged sword. It offers the exact data needed to inform hyper-targeted public policy and economic empowerment, but it also drastically increases the national attack surface for </w:t>
      </w:r>
      <w:proofErr w:type="spellStart"/>
      <w:proofErr w:type="gramStart"/>
      <w:r w:rsidRPr="00547CC7">
        <w:t>digital.It</w:t>
      </w:r>
      <w:proofErr w:type="spellEnd"/>
      <w:proofErr w:type="gramEnd"/>
      <w:r w:rsidRPr="00547CC7">
        <w:t xml:space="preserve"> does offer the exact data needed to inform hyper-targeted public policy and economic empowerment, but it also creates an exponential increase in the national attack surface for digital. It is increasingly dangerous to have large pipelines in civic infrastructure, as they can become vulnerable to advanced </w:t>
      </w:r>
      <w:proofErr w:type="spellStart"/>
      <w:r w:rsidRPr="00547CC7">
        <w:t>cyber attacks</w:t>
      </w:r>
      <w:proofErr w:type="spellEnd"/>
      <w:r w:rsidRPr="00547CC7">
        <w:t xml:space="preserve">. Ransomware attacks, institutional data breaches, and state-sponsored cyber espionage pose high systemic risks that can compromise critical national infrastructure and undermine valuable public confidence. Thus, robust cybersecurity mechanisms can't be absent when it comes to an inclusive digital transformation. To protect the digital world, it's time to shift from a defensive mindset to a proactive one with threat </w:t>
      </w:r>
      <w:r w:rsidRPr="00547CC7">
        <w:lastRenderedPageBreak/>
        <w:t xml:space="preserve">intelligence, full compliance with data protection regulations, and the systematic building of digital trust among all </w:t>
      </w:r>
      <w:proofErr w:type="spellStart"/>
      <w:proofErr w:type="gramStart"/>
      <w:r w:rsidRPr="00547CC7">
        <w:t>demographics.In</w:t>
      </w:r>
      <w:proofErr w:type="spellEnd"/>
      <w:proofErr w:type="gramEnd"/>
      <w:r w:rsidRPr="00547CC7">
        <w:t xml:space="preserve"> this paper, the authors look at the various aspects of how AI, Data Science and Cybersecurity can all be a force of good for inclusive digital growth in Kenya and other emerging markets. This study examines existing policy and technological vulnerabilities and sector specific deployment obstacles to develop a holistic paradigm for tech-based socioeconomic equity. Finally, this introduction sets forth a critical thesis: digital transformation initiatives if they are truly inclusive and sustainable should not just be about efficiency, but should also be structurally balanced by a strong data governance, proactive cyber security resilience and human-centric regulatory policies.</w:t>
      </w:r>
    </w:p>
    <w:p w14:paraId="39F48711" w14:textId="3E2425F9" w:rsidR="00866F85" w:rsidRPr="009B19E9" w:rsidRDefault="009B19E9" w:rsidP="009B19E9">
      <w:pPr>
        <w:pStyle w:val="ListParagraph"/>
        <w:numPr>
          <w:ilvl w:val="1"/>
          <w:numId w:val="9"/>
        </w:numPr>
        <w:jc w:val="both"/>
        <w:rPr>
          <w:b/>
          <w:bCs/>
        </w:rPr>
      </w:pPr>
      <w:r w:rsidRPr="009B19E9">
        <w:rPr>
          <w:b/>
          <w:bCs/>
        </w:rPr>
        <w:t xml:space="preserve">Statement of the </w:t>
      </w:r>
      <w:r w:rsidR="00866F85" w:rsidRPr="009B19E9">
        <w:rPr>
          <w:b/>
          <w:bCs/>
        </w:rPr>
        <w:t>Problem</w:t>
      </w:r>
    </w:p>
    <w:p w14:paraId="74B3617D" w14:textId="0A1D7FAA" w:rsidR="009B19E9" w:rsidRDefault="009B19E9" w:rsidP="00866F85">
      <w:pPr>
        <w:jc w:val="both"/>
      </w:pPr>
      <w:r w:rsidRPr="009B19E9">
        <w:t>Though the development of Artificial Intelligence (AI), data science and cybersecurity is seen as a key driver of socio-economic development, the structure of digital transformation in the emerging economies, such as Kenya, is still not integrated. As technology becomes more widely adopted, regulatory measures and infrastructure development often fall behind, further widening the technology divide. These marginali</w:t>
      </w:r>
      <w:r>
        <w:t>z</w:t>
      </w:r>
      <w:r w:rsidRPr="009B19E9">
        <w:t>ed communities, small-to-medium enterprises (SMEs), and rural communities</w:t>
      </w:r>
      <w:r>
        <w:t xml:space="preserve"> </w:t>
      </w:r>
      <w:r w:rsidRPr="009B19E9">
        <w:t>are routinely deprived of access to the benefits of data-driven innovation because of their high cost, low digital literacy and high vulnerability to cyber threats. As a result, if the digital transformation is not driven by a unified vision that connects the power of advanced computing with the opportunity to make it more accessible, it could exacerbate system-wide inequities. Technical deployment of AI and big data analytics, or cybersecurity vulnerabilities as individual IT problems, have been explored in previous studies. Most studies, however, ignore the socio-technical nexus of these three dimensions at the same time – how they can be synergically co-designed to ensure inclusivity. What is missing, however, are empirical models that show how to actively defend and promote vulnerable populations through cybersecurity and advanced data science tools and methods, instead of simply securing corporate or government infrastructure. This study addresses this critical gap by creating an integrated and human-</w:t>
      </w:r>
      <w:proofErr w:type="spellStart"/>
      <w:r w:rsidRPr="009B19E9">
        <w:t>centred</w:t>
      </w:r>
      <w:proofErr w:type="spellEnd"/>
      <w:r w:rsidRPr="009B19E9">
        <w:t xml:space="preserve"> framework that is specific to the context of East Africa. It explores the potential of AI and data science for inclusive growth and the need for trust through proactive cybersecurity that enable sustainable, inclusive, and equitable digital transformation in Kenya and other developing countries.</w:t>
      </w:r>
    </w:p>
    <w:p w14:paraId="228ABF39" w14:textId="2A67CD68" w:rsidR="00DA4343" w:rsidRPr="009B19E9" w:rsidRDefault="009B19E9" w:rsidP="009B19E9">
      <w:pPr>
        <w:pStyle w:val="ListParagraph"/>
        <w:numPr>
          <w:ilvl w:val="0"/>
          <w:numId w:val="11"/>
        </w:numPr>
        <w:jc w:val="both"/>
        <w:rPr>
          <w:rFonts w:eastAsia="Calibri" w:cs="Times New Roman"/>
          <w:b/>
          <w:bCs/>
          <w:szCs w:val="24"/>
          <w:lang w:val="en-GB"/>
          <w14:ligatures w14:val="none"/>
        </w:rPr>
      </w:pPr>
      <w:r>
        <w:rPr>
          <w:rFonts w:eastAsia="Calibri" w:cs="Times New Roman"/>
          <w:b/>
          <w:bCs/>
          <w:szCs w:val="24"/>
          <w:lang w:val="en-GB"/>
          <w14:ligatures w14:val="none"/>
        </w:rPr>
        <w:t>Research objective</w:t>
      </w:r>
    </w:p>
    <w:p w14:paraId="67379D77" w14:textId="2EADF4B7" w:rsidR="008400AB" w:rsidRDefault="0069772D" w:rsidP="0069772D">
      <w:pPr>
        <w:jc w:val="both"/>
      </w:pPr>
      <w:r w:rsidRPr="0069772D">
        <w:t>To evaluate and implement integrated frameworks that leverage artificial intelligence, data science, and robust cybersecurity protocols to drive inclusive, secure, and socio-economically impactful digital transformation, thereby bridging accessibility gaps and fostering sustainable governance in Kenya and beyond</w:t>
      </w:r>
      <w:r w:rsidR="008400AB" w:rsidRPr="008400AB">
        <w:t>.</w:t>
      </w:r>
    </w:p>
    <w:p w14:paraId="15B08242" w14:textId="77777777" w:rsidR="001A1D53" w:rsidRDefault="001A1D53" w:rsidP="0069772D">
      <w:pPr>
        <w:jc w:val="both"/>
        <w:rPr>
          <w:b/>
          <w:bCs/>
        </w:rPr>
      </w:pPr>
    </w:p>
    <w:p w14:paraId="24162C40" w14:textId="77777777" w:rsidR="001A1D53" w:rsidRDefault="001A1D53" w:rsidP="0069772D">
      <w:pPr>
        <w:jc w:val="both"/>
        <w:rPr>
          <w:b/>
          <w:bCs/>
        </w:rPr>
      </w:pPr>
    </w:p>
    <w:p w14:paraId="4E5AC31B" w14:textId="77777777" w:rsidR="001A1D53" w:rsidRDefault="001A1D53" w:rsidP="0069772D">
      <w:pPr>
        <w:jc w:val="both"/>
        <w:rPr>
          <w:b/>
          <w:bCs/>
        </w:rPr>
      </w:pPr>
    </w:p>
    <w:p w14:paraId="06B5DF87" w14:textId="07D20C61" w:rsidR="001A1D53" w:rsidRPr="009E3445" w:rsidRDefault="001A1D53" w:rsidP="009E3445">
      <w:pPr>
        <w:pStyle w:val="ListParagraph"/>
        <w:numPr>
          <w:ilvl w:val="0"/>
          <w:numId w:val="12"/>
        </w:numPr>
        <w:jc w:val="center"/>
        <w:rPr>
          <w:b/>
          <w:bCs/>
        </w:rPr>
      </w:pPr>
      <w:r w:rsidRPr="009E3445">
        <w:rPr>
          <w:b/>
          <w:bCs/>
        </w:rPr>
        <w:t>LITERATURE REVIEW</w:t>
      </w:r>
    </w:p>
    <w:p w14:paraId="33E3D7CA" w14:textId="414563D2" w:rsidR="00355AEA" w:rsidRPr="009E3445" w:rsidRDefault="00355AEA" w:rsidP="009E3445">
      <w:pPr>
        <w:pStyle w:val="ListParagraph"/>
        <w:numPr>
          <w:ilvl w:val="1"/>
          <w:numId w:val="12"/>
        </w:numPr>
        <w:jc w:val="both"/>
        <w:rPr>
          <w:rFonts w:eastAsia="Calibri" w:cs="Times New Roman"/>
          <w:b/>
          <w:bCs/>
          <w:szCs w:val="24"/>
          <w:lang w:val="en-GB"/>
          <w14:ligatures w14:val="none"/>
        </w:rPr>
      </w:pPr>
      <w:r w:rsidRPr="009E3445">
        <w:rPr>
          <w:rFonts w:eastAsia="Calibri" w:cs="Times New Roman"/>
          <w:b/>
          <w:bCs/>
          <w:szCs w:val="24"/>
          <w:lang w:val="en-GB"/>
          <w14:ligatures w14:val="none"/>
        </w:rPr>
        <w:t>Theoretical Review</w:t>
      </w:r>
    </w:p>
    <w:p w14:paraId="5080D840" w14:textId="79223DF7" w:rsidR="00355AEA" w:rsidRDefault="00355AEA" w:rsidP="0069772D">
      <w:pPr>
        <w:jc w:val="both"/>
        <w:rPr>
          <w:rFonts w:eastAsia="Calibri" w:cs="Times New Roman"/>
          <w:bCs/>
          <w:szCs w:val="24"/>
          <w14:ligatures w14:val="none"/>
        </w:rPr>
      </w:pPr>
      <w:r w:rsidRPr="00355AEA">
        <w:rPr>
          <w:rFonts w:eastAsia="Calibri" w:cs="Times New Roman"/>
          <w:bCs/>
          <w:szCs w:val="24"/>
          <w:lang w:val="en-GB"/>
          <w14:ligatures w14:val="none"/>
        </w:rPr>
        <w:t>The study was anchored on</w:t>
      </w:r>
      <w:r>
        <w:rPr>
          <w:rFonts w:eastAsia="Calibri" w:cs="Times New Roman"/>
          <w:bCs/>
          <w:szCs w:val="24"/>
          <w:lang w:val="en-GB"/>
          <w14:ligatures w14:val="none"/>
        </w:rPr>
        <w:t xml:space="preserve"> </w:t>
      </w:r>
      <w:r w:rsidRPr="00355AEA">
        <w:rPr>
          <w:rFonts w:eastAsia="Calibri" w:cs="Times New Roman"/>
          <w:bCs/>
          <w:szCs w:val="24"/>
          <w14:ligatures w14:val="none"/>
        </w:rPr>
        <w:t>Socio-Technical Systems (STS) Theory</w:t>
      </w:r>
      <w:r>
        <w:rPr>
          <w:rFonts w:eastAsia="Calibri" w:cs="Times New Roman"/>
          <w:bCs/>
          <w:szCs w:val="24"/>
          <w14:ligatures w14:val="none"/>
        </w:rPr>
        <w:t>,</w:t>
      </w:r>
      <w:r w:rsidRPr="00355AEA">
        <w:t xml:space="preserve"> </w:t>
      </w:r>
      <w:r w:rsidRPr="00355AEA">
        <w:rPr>
          <w:rFonts w:eastAsia="Calibri" w:cs="Times New Roman"/>
          <w:bCs/>
          <w:szCs w:val="24"/>
          <w14:ligatures w14:val="none"/>
        </w:rPr>
        <w:t>Resource-Based View (RBV) and Dynamic Capabilities Theory</w:t>
      </w:r>
      <w:r>
        <w:rPr>
          <w:rFonts w:eastAsia="Calibri" w:cs="Times New Roman"/>
          <w:bCs/>
          <w:szCs w:val="24"/>
          <w14:ligatures w14:val="none"/>
        </w:rPr>
        <w:t>,</w:t>
      </w:r>
      <w:r w:rsidRPr="00355AEA">
        <w:t xml:space="preserve"> </w:t>
      </w:r>
      <w:r w:rsidRPr="00355AEA">
        <w:rPr>
          <w:rFonts w:eastAsia="Calibri" w:cs="Times New Roman"/>
          <w:bCs/>
          <w:szCs w:val="24"/>
          <w14:ligatures w14:val="none"/>
        </w:rPr>
        <w:t>Protection Motivation Theory</w:t>
      </w:r>
      <w:r>
        <w:rPr>
          <w:rFonts w:eastAsia="Calibri" w:cs="Times New Roman"/>
          <w:bCs/>
          <w:szCs w:val="24"/>
          <w14:ligatures w14:val="none"/>
        </w:rPr>
        <w:t>.</w:t>
      </w:r>
    </w:p>
    <w:p w14:paraId="3E270392" w14:textId="2904D0E4" w:rsidR="00355AEA" w:rsidRDefault="009E3445" w:rsidP="0069772D">
      <w:pPr>
        <w:jc w:val="both"/>
        <w:rPr>
          <w:b/>
          <w:bCs/>
        </w:rPr>
      </w:pPr>
      <w:r>
        <w:rPr>
          <w:b/>
          <w:bCs/>
        </w:rPr>
        <w:t xml:space="preserve">2.1.1 </w:t>
      </w:r>
      <w:r w:rsidR="00355AEA" w:rsidRPr="00355AEA">
        <w:rPr>
          <w:b/>
          <w:bCs/>
        </w:rPr>
        <w:t>Socio-Technical Systems (STS) Theory</w:t>
      </w:r>
    </w:p>
    <w:p w14:paraId="5BEB6FE8" w14:textId="17316C14" w:rsidR="00355AEA" w:rsidRDefault="00355AEA" w:rsidP="0069772D">
      <w:pPr>
        <w:jc w:val="both"/>
      </w:pPr>
      <w:r w:rsidRPr="00355AEA">
        <w:t>Originally developed to understand the interplay between social and technical subsystems, STS Theory posits that organizational and societal performance is optimized only when technology and social human needs are jointly designed.</w:t>
      </w:r>
      <w:r w:rsidRPr="00355AEA">
        <w:t xml:space="preserve"> </w:t>
      </w:r>
      <w:r w:rsidRPr="00355AEA">
        <w:t>AI and Data Science cannot achieve "inclusive digital transformation" if deployed in isolation from Kenya’s unique social realities (e.g., informal economies, rural populations, and linguistic diversity). STS dictates that technology must adapt to human structures, enforcing the "inclusive" mandate of the title.</w:t>
      </w:r>
    </w:p>
    <w:p w14:paraId="5677FD03" w14:textId="6145B838" w:rsidR="00355AEA" w:rsidRDefault="009E3445" w:rsidP="0069772D">
      <w:pPr>
        <w:jc w:val="both"/>
      </w:pPr>
      <w:r>
        <w:rPr>
          <w:b/>
        </w:rPr>
        <w:t xml:space="preserve">2.1.2 </w:t>
      </w:r>
      <w:r w:rsidR="00355AEA" w:rsidRPr="00355AEA">
        <w:rPr>
          <w:b/>
        </w:rPr>
        <w:t>Resource-Based View (RBV</w:t>
      </w:r>
      <w:r w:rsidR="00355AEA" w:rsidRPr="00355AEA">
        <w:rPr>
          <w:bCs/>
        </w:rPr>
        <w:t>)</w:t>
      </w:r>
    </w:p>
    <w:p w14:paraId="7D16E38A" w14:textId="1B0A8AB2" w:rsidR="0057645D" w:rsidRPr="00A002F8" w:rsidRDefault="00355AEA" w:rsidP="0069772D">
      <w:pPr>
        <w:jc w:val="both"/>
      </w:pPr>
      <w:r w:rsidRPr="00355AEA">
        <w:t xml:space="preserve">RBV focuses on how organizations or nations leverage internal resources to secure a competitive advantage. Extended into </w:t>
      </w:r>
      <w:r w:rsidRPr="00355AEA">
        <w:rPr>
          <w:i/>
          <w:iCs/>
        </w:rPr>
        <w:t>Dynamic Capabilities</w:t>
      </w:r>
      <w:r w:rsidRPr="00355AEA">
        <w:t>, it emphasizes an economy’s agility to modify, renew, and protect its digital assets in rapidly changing environments</w:t>
      </w:r>
      <w:r>
        <w:t>.</w:t>
      </w:r>
      <w:r w:rsidRPr="00355AEA">
        <w:t xml:space="preserve"> </w:t>
      </w:r>
      <w:r w:rsidRPr="00355AEA">
        <w:t>Data science acts as a core strategic resource, while AI represents the dynamic capability to scale public and private infrastructure. However, as noted by recent literature, this capability is void without the protective buffer of defensive cybersecurity capabilities to preserve asset value</w:t>
      </w:r>
    </w:p>
    <w:p w14:paraId="1DBE5256" w14:textId="38DB88E4" w:rsidR="0057645D" w:rsidRPr="0057645D" w:rsidRDefault="009E3445" w:rsidP="0069772D">
      <w:pPr>
        <w:jc w:val="both"/>
        <w:rPr>
          <w:b/>
        </w:rPr>
      </w:pPr>
      <w:r>
        <w:rPr>
          <w:b/>
        </w:rPr>
        <w:t xml:space="preserve">2.1.3 </w:t>
      </w:r>
      <w:r w:rsidR="0057645D" w:rsidRPr="0057645D">
        <w:rPr>
          <w:b/>
        </w:rPr>
        <w:t>Protection Motivation Theory</w:t>
      </w:r>
    </w:p>
    <w:p w14:paraId="442811FA" w14:textId="13196615" w:rsidR="0057645D" w:rsidRDefault="0057645D" w:rsidP="0069772D">
      <w:pPr>
        <w:jc w:val="both"/>
      </w:pPr>
      <w:r w:rsidRPr="0057645D">
        <w:t>PMT explains how individuals and institutions react to perceived security threats and what motivates them to implement protective measures.</w:t>
      </w:r>
      <w:r w:rsidRPr="0057645D">
        <w:t xml:space="preserve"> </w:t>
      </w:r>
      <w:r w:rsidRPr="0057645D">
        <w:t>In an inclusive digital ecosystem, user trust is paramount. PMT frames how cybersecurity protocols must be simple yet robust enough to empower marginalized users (such as rural mobile-money consumers) against escalating cyber-adversarial tactics, thereby preserving trust in the wider digital transformation</w:t>
      </w:r>
      <w:r w:rsidR="001A1D53">
        <w:t>.</w:t>
      </w:r>
    </w:p>
    <w:p w14:paraId="2392851F" w14:textId="289AEACB" w:rsidR="001A1D53" w:rsidRPr="009B19E9" w:rsidRDefault="009E3445" w:rsidP="0069772D">
      <w:pPr>
        <w:jc w:val="both"/>
        <w:rPr>
          <w:b/>
          <w:bCs/>
        </w:rPr>
      </w:pPr>
      <w:r>
        <w:rPr>
          <w:b/>
          <w:bCs/>
        </w:rPr>
        <w:t xml:space="preserve">2.2 </w:t>
      </w:r>
      <w:r w:rsidR="00A002F8" w:rsidRPr="009B19E9">
        <w:rPr>
          <w:b/>
          <w:bCs/>
        </w:rPr>
        <w:t>Empirical Review</w:t>
      </w:r>
    </w:p>
    <w:p w14:paraId="3FEE07D0" w14:textId="4D4C02B8" w:rsidR="00A002F8" w:rsidRPr="00A002F8" w:rsidRDefault="00A002F8" w:rsidP="00A002F8">
      <w:pPr>
        <w:jc w:val="both"/>
        <w:rPr>
          <w:b/>
          <w:bCs/>
        </w:rPr>
      </w:pPr>
      <w:r w:rsidRPr="00A002F8">
        <w:rPr>
          <w:b/>
          <w:bCs/>
        </w:rPr>
        <w:t>AI-Driven Sectoral Transformation</w:t>
      </w:r>
    </w:p>
    <w:p w14:paraId="29AE86BD" w14:textId="3C284F91" w:rsidR="00A002F8" w:rsidRDefault="00A002F8" w:rsidP="00A002F8">
      <w:pPr>
        <w:jc w:val="both"/>
      </w:pPr>
      <w:r w:rsidRPr="00A002F8">
        <w:t>Recent localized field studies show that AI deployment in developing economies has moved beyond theoretical applications to concrete, high-impact interventions in agriculture, healthcare, and education.</w:t>
      </w:r>
      <w:r w:rsidRPr="00A002F8">
        <w:t xml:space="preserve"> </w:t>
      </w:r>
      <w:r w:rsidRPr="00A002F8">
        <w:t xml:space="preserve">In East Africa's agricultural sector, empirical assessments of "frugal AI innovations"—such as SMS-powered machine learning diagnostics used by </w:t>
      </w:r>
      <w:r w:rsidRPr="00A002F8">
        <w:rPr>
          <w:i/>
          <w:iCs/>
        </w:rPr>
        <w:t>Farmer Lifeline Technologies</w:t>
      </w:r>
      <w:r w:rsidRPr="00A002F8">
        <w:t xml:space="preserve">—show quantifiable improvements for smallholder farmers. Empirical data demonstrates that real-time pest detection and localized predictive weather modeling directly lead to crop yield optimizations of up to 20–30% while reducing input costs for rural women and </w:t>
      </w:r>
      <w:r w:rsidRPr="00A002F8">
        <w:lastRenderedPageBreak/>
        <w:t>vulnerable agrarian communities.</w:t>
      </w:r>
      <w:r w:rsidR="00E734F1" w:rsidRPr="00E734F1">
        <w:t xml:space="preserve"> </w:t>
      </w:r>
      <w:r w:rsidR="00E734F1" w:rsidRPr="00E734F1">
        <w:t>Field studies on adaptive learning technologies in sub-Saharan Africa show that Natural Language Processing (NLP) and predictive analytics successfully tailor educational content to individual student capacities, raising baseline literacy and mathematical performance in under-resourced primary schools</w:t>
      </w:r>
      <w:r w:rsidR="00E734F1">
        <w:t>.</w:t>
      </w:r>
      <w:r w:rsidR="00E734F1" w:rsidRPr="00E734F1">
        <w:t xml:space="preserve"> </w:t>
      </w:r>
      <w:r w:rsidR="00E734F1" w:rsidRPr="00E734F1">
        <w:t xml:space="preserve">Empirical evaluations of Kenya's </w:t>
      </w:r>
      <w:r w:rsidR="00E734F1" w:rsidRPr="00E734F1">
        <w:rPr>
          <w:i/>
          <w:iCs/>
        </w:rPr>
        <w:t>Digital Health Superhighway</w:t>
      </w:r>
      <w:r w:rsidR="00E734F1" w:rsidRPr="00E734F1">
        <w:t xml:space="preserve"> initiatives show that integrating machine learning diagnostic tools into rural telemedicine platforms significantly reduces misdiagnosis rates in under-resourced clinics. Research by the Kenyan Ministry of Health indicates that applying AI-driven clinical decision support systems helps mitigate geographic barriers, enabling remote diagnostic accuracy in community health units that matches urban tertiary hospitals.</w:t>
      </w:r>
    </w:p>
    <w:p w14:paraId="22FD9680" w14:textId="153EE0A4" w:rsidR="00E734F1" w:rsidRPr="00E734F1" w:rsidRDefault="00E734F1" w:rsidP="00A002F8">
      <w:pPr>
        <w:jc w:val="both"/>
        <w:rPr>
          <w:b/>
          <w:bCs/>
        </w:rPr>
      </w:pPr>
      <w:r w:rsidRPr="00E734F1">
        <w:rPr>
          <w:b/>
          <w:bCs/>
        </w:rPr>
        <w:t>Data Science as an Engine for Financial and Policy Inclusion</w:t>
      </w:r>
    </w:p>
    <w:p w14:paraId="52AC2C1F" w14:textId="165CDEF2" w:rsidR="00E734F1" w:rsidRPr="00E734F1" w:rsidRDefault="00E734F1" w:rsidP="00E734F1">
      <w:pPr>
        <w:jc w:val="both"/>
      </w:pPr>
      <w:r w:rsidRPr="00E734F1">
        <w:t>Data science serves as the foundational infrastructure for evidence-based governance and market formalization in mobile-first economies.</w:t>
      </w:r>
      <w:r w:rsidRPr="00E734F1">
        <w:rPr>
          <w:rFonts w:eastAsia="Times New Roman" w:cs="Times New Roman"/>
          <w:kern w:val="0"/>
          <w:szCs w:val="24"/>
          <w14:ligatures w14:val="none"/>
        </w:rPr>
        <w:t xml:space="preserve"> </w:t>
      </w:r>
      <w:r w:rsidRPr="00E734F1">
        <w:t xml:space="preserve">Empirical investigations into Kenya’s fintech ecosystem demonstrate that using data science to analyze mobile money transactions (e.g., M-Pesa data pipelines) allows financial institutions to build alternative credit-scoring models for individuals lacking traditional banking histories. Field metrics confirm that these data-driven interventions have brought millions of </w:t>
      </w:r>
      <w:proofErr w:type="gramStart"/>
      <w:r w:rsidRPr="00E734F1">
        <w:t>micro</w:t>
      </w:r>
      <w:proofErr w:type="gramEnd"/>
      <w:r w:rsidRPr="00E734F1">
        <w:t>, small, and medium enterprises (MSMEs) into the formal financial folds, facilitating localized capital distribution.</w:t>
      </w:r>
    </w:p>
    <w:p w14:paraId="322580A6" w14:textId="77777777" w:rsidR="00E734F1" w:rsidRDefault="00E734F1" w:rsidP="00E734F1">
      <w:pPr>
        <w:jc w:val="both"/>
      </w:pPr>
      <w:r w:rsidRPr="00E734F1">
        <w:t xml:space="preserve">Furthermore, data from organizations like </w:t>
      </w:r>
      <w:r w:rsidRPr="00E734F1">
        <w:rPr>
          <w:i/>
          <w:iCs/>
        </w:rPr>
        <w:t>Data Science Africa (DSA)</w:t>
      </w:r>
      <w:r w:rsidRPr="00E734F1">
        <w:t xml:space="preserve"> illustrates that when municipal and national public agencies deploy structured predictive data analytics, the allocation efficiency of social security stipends and agricultural subsidies increases, minimizing bureaucratic leaks and structural exclusion.</w:t>
      </w:r>
    </w:p>
    <w:p w14:paraId="3CB4792F" w14:textId="0D914433" w:rsidR="0001177C" w:rsidRPr="0001177C" w:rsidRDefault="0001177C" w:rsidP="0001177C">
      <w:pPr>
        <w:jc w:val="both"/>
        <w:rPr>
          <w:b/>
          <w:bCs/>
        </w:rPr>
      </w:pPr>
      <w:r>
        <w:rPr>
          <w:b/>
          <w:bCs/>
        </w:rPr>
        <w:t>T</w:t>
      </w:r>
      <w:r w:rsidRPr="0001177C">
        <w:rPr>
          <w:b/>
          <w:bCs/>
        </w:rPr>
        <w:t>he Cybersecurity Paradox: Protecting the Digital Attack Surface</w:t>
      </w:r>
    </w:p>
    <w:p w14:paraId="7299C3E2" w14:textId="447E6D3A" w:rsidR="0001177C" w:rsidRDefault="0001177C" w:rsidP="0001177C">
      <w:pPr>
        <w:jc w:val="both"/>
      </w:pPr>
      <w:r w:rsidRPr="0001177C">
        <w:t>While AI and data science accelerate inclusion, empirical cybersecurity research highlights a parallel increase in systemic risks</w:t>
      </w:r>
      <w:r>
        <w:t>.</w:t>
      </w:r>
      <w:r w:rsidRPr="0001177C">
        <w:t xml:space="preserve"> </w:t>
      </w:r>
      <w:r w:rsidRPr="0001177C">
        <w:t>security analyses indicate that cyber threat actors are increasingly using automated, generative social engineering and polymorphic malware to target mobile financial integrations and application programming interfaces (APIs). In Kenya's highly interconnected financial-services ecosystem, this compression of attack response windows has led to increased operational volatility.</w:t>
      </w:r>
      <w:r w:rsidR="00553EF3" w:rsidRPr="00553EF3">
        <w:t xml:space="preserve"> </w:t>
      </w:r>
      <w:r w:rsidR="00553EF3" w:rsidRPr="00553EF3">
        <w:t>On the defensive side, empirical inquiries into modern Security Operations Centers (SOCs) show that deploying machine-learning-driven threat detection systems reduces alert fatigue for analysts and improves incident response times against automated network intrusions.</w:t>
      </w:r>
    </w:p>
    <w:p w14:paraId="0958DEB4" w14:textId="339E3205" w:rsidR="00651492" w:rsidRDefault="00651492" w:rsidP="0001177C">
      <w:pPr>
        <w:jc w:val="both"/>
      </w:pPr>
      <w:r w:rsidRPr="00651492">
        <w:t xml:space="preserve">However, regulatory compliance audits by the </w:t>
      </w:r>
      <w:r w:rsidRPr="00651492">
        <w:rPr>
          <w:i/>
          <w:iCs/>
        </w:rPr>
        <w:t>Office of the Data Protection Commissioner (ODPC)</w:t>
      </w:r>
      <w:r w:rsidRPr="00651492">
        <w:t xml:space="preserve"> reveal a persistent gap: many organizations deploy automated defensive AI without sufficient transparency or alignment with data privacy mandates like the Kenya Data Protection Act, introducing new legal and ethical vulnerabilities.</w:t>
      </w:r>
    </w:p>
    <w:p w14:paraId="57A2C91F" w14:textId="77777777" w:rsidR="00A002F8" w:rsidRDefault="00A002F8" w:rsidP="0069772D">
      <w:pPr>
        <w:jc w:val="both"/>
        <w:rPr>
          <w:rFonts w:eastAsia="Calibri" w:cs="Times New Roman"/>
          <w:b/>
          <w:bCs/>
          <w:szCs w:val="24"/>
          <w:lang w:val="en-GB"/>
          <w14:ligatures w14:val="none"/>
        </w:rPr>
      </w:pPr>
    </w:p>
    <w:p w14:paraId="341694BA" w14:textId="7D739EDF" w:rsidR="00355AEA" w:rsidRPr="00A2359E" w:rsidRDefault="00A2359E" w:rsidP="0069772D">
      <w:pPr>
        <w:jc w:val="both"/>
        <w:rPr>
          <w:rFonts w:eastAsia="Calibri" w:cs="Times New Roman"/>
          <w:b/>
          <w:bCs/>
          <w:szCs w:val="24"/>
          <w:lang w:val="en-GB"/>
          <w14:ligatures w14:val="none"/>
        </w:rPr>
      </w:pPr>
      <w:r w:rsidRPr="00A2359E">
        <w:rPr>
          <w:rFonts w:eastAsia="Calibri" w:cs="Times New Roman"/>
          <w:b/>
          <w:bCs/>
          <w:szCs w:val="24"/>
          <w:lang w:val="en-GB"/>
          <w14:ligatures w14:val="none"/>
        </w:rPr>
        <w:lastRenderedPageBreak/>
        <w:t>Conceptual Framework</w:t>
      </w:r>
    </w:p>
    <w:p w14:paraId="05329B82" w14:textId="5E6C2216" w:rsidR="00A2359E" w:rsidRPr="00355AEA" w:rsidRDefault="00A2359E" w:rsidP="0069772D">
      <w:pPr>
        <w:jc w:val="both"/>
        <w:rPr>
          <w:b/>
          <w:bCs/>
        </w:rPr>
      </w:pPr>
      <w:r>
        <w:rPr>
          <w:b/>
          <w:bCs/>
          <w:noProof/>
        </w:rPr>
        <w:drawing>
          <wp:inline distT="0" distB="0" distL="0" distR="0" wp14:anchorId="756484D9" wp14:editId="6E4E2634">
            <wp:extent cx="5943600" cy="3962400"/>
            <wp:effectExtent l="0" t="0" r="0" b="0"/>
            <wp:docPr id="1590825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25479" name="Picture 159082547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122311F" w14:textId="77777777" w:rsidR="0069772D" w:rsidRDefault="0069772D" w:rsidP="0069772D">
      <w:pPr>
        <w:jc w:val="both"/>
      </w:pPr>
    </w:p>
    <w:p w14:paraId="04AB5A66" w14:textId="77777777" w:rsidR="0014541B" w:rsidRDefault="0014541B" w:rsidP="0069772D">
      <w:pPr>
        <w:jc w:val="both"/>
      </w:pPr>
    </w:p>
    <w:p w14:paraId="6D592CF5" w14:textId="77777777" w:rsidR="0014541B" w:rsidRDefault="0014541B" w:rsidP="0069772D">
      <w:pPr>
        <w:jc w:val="both"/>
      </w:pPr>
    </w:p>
    <w:p w14:paraId="5D447E3F" w14:textId="77777777" w:rsidR="0014541B" w:rsidRDefault="0014541B" w:rsidP="0069772D">
      <w:pPr>
        <w:jc w:val="both"/>
      </w:pPr>
    </w:p>
    <w:p w14:paraId="124EFB9D" w14:textId="77777777" w:rsidR="0014541B" w:rsidRDefault="0014541B" w:rsidP="0069772D">
      <w:pPr>
        <w:jc w:val="both"/>
      </w:pPr>
    </w:p>
    <w:p w14:paraId="4AA80A3D" w14:textId="77777777" w:rsidR="0014541B" w:rsidRDefault="0014541B" w:rsidP="0069772D">
      <w:pPr>
        <w:jc w:val="both"/>
      </w:pPr>
    </w:p>
    <w:p w14:paraId="589CF6D8" w14:textId="77777777" w:rsidR="0014541B" w:rsidRDefault="0014541B" w:rsidP="0069772D">
      <w:pPr>
        <w:jc w:val="both"/>
      </w:pPr>
    </w:p>
    <w:p w14:paraId="3154D37E" w14:textId="77777777" w:rsidR="0014541B" w:rsidRDefault="0014541B" w:rsidP="0069772D">
      <w:pPr>
        <w:jc w:val="both"/>
      </w:pPr>
    </w:p>
    <w:p w14:paraId="6FCEA0BF" w14:textId="77777777" w:rsidR="0014541B" w:rsidRDefault="0014541B" w:rsidP="0069772D">
      <w:pPr>
        <w:jc w:val="both"/>
      </w:pPr>
    </w:p>
    <w:p w14:paraId="57CB488E" w14:textId="77777777" w:rsidR="0014541B" w:rsidRDefault="0014541B" w:rsidP="0069772D">
      <w:pPr>
        <w:jc w:val="both"/>
      </w:pPr>
    </w:p>
    <w:p w14:paraId="4503EB8D" w14:textId="77777777" w:rsidR="0014541B" w:rsidRDefault="0014541B" w:rsidP="0069772D">
      <w:pPr>
        <w:jc w:val="both"/>
      </w:pPr>
    </w:p>
    <w:p w14:paraId="76B7B285" w14:textId="77777777" w:rsidR="001A1D53" w:rsidRDefault="001A1D53" w:rsidP="0069772D">
      <w:pPr>
        <w:jc w:val="both"/>
      </w:pPr>
    </w:p>
    <w:p w14:paraId="7EEB8CBE" w14:textId="77777777" w:rsidR="002B4DD5" w:rsidRPr="002E382C" w:rsidRDefault="002B4DD5" w:rsidP="002E382C">
      <w:pPr>
        <w:pStyle w:val="ListParagraph"/>
        <w:numPr>
          <w:ilvl w:val="0"/>
          <w:numId w:val="12"/>
        </w:numPr>
        <w:jc w:val="center"/>
        <w:rPr>
          <w:b/>
          <w:bCs/>
        </w:rPr>
      </w:pPr>
      <w:r w:rsidRPr="002E382C">
        <w:rPr>
          <w:b/>
          <w:bCs/>
        </w:rPr>
        <w:t>RESEARCH METHODOLOGY</w:t>
      </w:r>
    </w:p>
    <w:p w14:paraId="0F53461C" w14:textId="0A6E8A03" w:rsidR="0014541B" w:rsidRDefault="002E382C" w:rsidP="0014541B">
      <w:pPr>
        <w:jc w:val="both"/>
        <w:rPr>
          <w:rFonts w:eastAsia="Times New Roman" w:cs="Times New Roman"/>
          <w:b/>
          <w:bCs/>
          <w:kern w:val="0"/>
          <w:szCs w:val="24"/>
          <w14:ligatures w14:val="none"/>
        </w:rPr>
      </w:pPr>
      <w:r>
        <w:rPr>
          <w:rFonts w:eastAsia="Times New Roman" w:cs="Times New Roman"/>
          <w:b/>
          <w:bCs/>
          <w:kern w:val="0"/>
          <w:szCs w:val="24"/>
          <w14:ligatures w14:val="none"/>
        </w:rPr>
        <w:t xml:space="preserve">3.1 </w:t>
      </w:r>
      <w:r w:rsidR="0014541B">
        <w:rPr>
          <w:rFonts w:eastAsia="Times New Roman" w:cs="Times New Roman"/>
          <w:b/>
          <w:bCs/>
          <w:kern w:val="0"/>
          <w:szCs w:val="24"/>
          <w14:ligatures w14:val="none"/>
        </w:rPr>
        <w:t>Study Area</w:t>
      </w:r>
    </w:p>
    <w:p w14:paraId="327E94A3" w14:textId="4882CC24" w:rsidR="0014541B" w:rsidRPr="002E382C" w:rsidRDefault="0014541B" w:rsidP="0014541B">
      <w:pPr>
        <w:jc w:val="both"/>
        <w:rPr>
          <w:rFonts w:eastAsia="Times New Roman" w:cs="Times New Roman"/>
          <w:kern w:val="0"/>
          <w:szCs w:val="24"/>
          <w14:ligatures w14:val="none"/>
        </w:rPr>
      </w:pPr>
      <w:r w:rsidRPr="0014541B">
        <w:rPr>
          <w:rFonts w:eastAsia="Times New Roman" w:cs="Times New Roman"/>
          <w:kern w:val="0"/>
          <w:szCs w:val="24"/>
          <w14:ligatures w14:val="none"/>
        </w:rPr>
        <w:t>The primary focus of this study is the Republic of Kenya, a sovereign state positioned in East Africa. Administratively, the study covers the national scale across all 47 decentralized county governments established under the Constitution of Kenya, while analyzing cross-border digital dynamics in the broader Sub-Saharan African region</w:t>
      </w:r>
      <w:r>
        <w:rPr>
          <w:rFonts w:eastAsia="Times New Roman" w:cs="Times New Roman"/>
          <w:kern w:val="0"/>
          <w:szCs w:val="24"/>
          <w14:ligatures w14:val="none"/>
        </w:rPr>
        <w:t>.</w:t>
      </w:r>
      <w:r w:rsidR="00CA5287" w:rsidRPr="00CA5287">
        <w:t xml:space="preserve"> </w:t>
      </w:r>
      <w:r w:rsidR="00CA5287" w:rsidRPr="00CA5287">
        <w:rPr>
          <w:rFonts w:eastAsia="Times New Roman" w:cs="Times New Roman"/>
          <w:kern w:val="0"/>
          <w:szCs w:val="24"/>
          <w14:ligatures w14:val="none"/>
        </w:rPr>
        <w:t>Kenya serves as an ideal macroeconomic and institutional proxy for investigating the convergence of AI, data science, and cybersecurity in the developing world</w:t>
      </w:r>
      <w:r w:rsidR="00CA5287">
        <w:rPr>
          <w:rFonts w:eastAsia="Times New Roman" w:cs="Times New Roman"/>
          <w:kern w:val="0"/>
          <w:szCs w:val="24"/>
          <w14:ligatures w14:val="none"/>
        </w:rPr>
        <w:t>.</w:t>
      </w:r>
    </w:p>
    <w:p w14:paraId="3632DE42" w14:textId="6ED3A58C" w:rsidR="0014541B" w:rsidRDefault="002E382C" w:rsidP="0014541B">
      <w:pPr>
        <w:jc w:val="both"/>
        <w:rPr>
          <w:b/>
          <w:bCs/>
          <w:szCs w:val="24"/>
        </w:rPr>
      </w:pPr>
      <w:r>
        <w:rPr>
          <w:rFonts w:eastAsia="Times New Roman" w:cs="Times New Roman"/>
          <w:b/>
          <w:bCs/>
          <w:kern w:val="0"/>
          <w:szCs w:val="24"/>
          <w14:ligatures w14:val="none"/>
        </w:rPr>
        <w:t xml:space="preserve">3.2 </w:t>
      </w:r>
      <w:r w:rsidR="002B4DD5" w:rsidRPr="0014541B">
        <w:rPr>
          <w:rFonts w:eastAsia="Times New Roman" w:cs="Times New Roman"/>
          <w:b/>
          <w:bCs/>
          <w:kern w:val="0"/>
          <w:szCs w:val="24"/>
          <w14:ligatures w14:val="none"/>
        </w:rPr>
        <w:t>Research Design</w:t>
      </w:r>
    </w:p>
    <w:p w14:paraId="0DDD7E66" w14:textId="1F846C13" w:rsidR="002B4DD5" w:rsidRPr="00CA5287" w:rsidRDefault="002B4DD5" w:rsidP="0014541B">
      <w:pPr>
        <w:jc w:val="both"/>
        <w:rPr>
          <w:szCs w:val="24"/>
        </w:rPr>
      </w:pPr>
      <w:r w:rsidRPr="00CA5287">
        <w:rPr>
          <w:rFonts w:eastAsia="Times New Roman" w:cs="Times New Roman"/>
          <w:kern w:val="0"/>
          <w:szCs w:val="24"/>
          <w14:ligatures w14:val="none"/>
        </w:rPr>
        <w:t xml:space="preserve">This study adopts a </w:t>
      </w:r>
      <w:r w:rsidR="006E4DCA" w:rsidRPr="00CA5287">
        <w:rPr>
          <w:rFonts w:eastAsia="Times New Roman" w:cs="Times New Roman"/>
          <w:kern w:val="0"/>
          <w:szCs w:val="24"/>
          <w14:ligatures w14:val="none"/>
        </w:rPr>
        <w:t>s</w:t>
      </w:r>
      <w:r w:rsidRPr="00CA5287">
        <w:rPr>
          <w:rFonts w:eastAsia="Times New Roman" w:cs="Times New Roman"/>
          <w:kern w:val="0"/>
          <w:szCs w:val="24"/>
          <w14:ligatures w14:val="none"/>
        </w:rPr>
        <w:t xml:space="preserve">equential </w:t>
      </w:r>
      <w:r w:rsidR="006E4DCA" w:rsidRPr="00CA5287">
        <w:rPr>
          <w:rFonts w:eastAsia="Times New Roman" w:cs="Times New Roman"/>
          <w:kern w:val="0"/>
          <w:szCs w:val="24"/>
          <w14:ligatures w14:val="none"/>
        </w:rPr>
        <w:t>e</w:t>
      </w:r>
      <w:r w:rsidRPr="00CA5287">
        <w:rPr>
          <w:rFonts w:eastAsia="Times New Roman" w:cs="Times New Roman"/>
          <w:kern w:val="0"/>
          <w:szCs w:val="24"/>
          <w14:ligatures w14:val="none"/>
        </w:rPr>
        <w:t xml:space="preserve">xploratory </w:t>
      </w:r>
      <w:r w:rsidR="006E4DCA" w:rsidRPr="00CA5287">
        <w:rPr>
          <w:rFonts w:eastAsia="Times New Roman" w:cs="Times New Roman"/>
          <w:kern w:val="0"/>
          <w:szCs w:val="24"/>
          <w14:ligatures w14:val="none"/>
        </w:rPr>
        <w:t>m</w:t>
      </w:r>
      <w:r w:rsidRPr="00CA5287">
        <w:rPr>
          <w:rFonts w:eastAsia="Times New Roman" w:cs="Times New Roman"/>
          <w:kern w:val="0"/>
          <w:szCs w:val="24"/>
          <w14:ligatures w14:val="none"/>
        </w:rPr>
        <w:t>ixed-</w:t>
      </w:r>
      <w:r w:rsidR="006E4DCA" w:rsidRPr="00CA5287">
        <w:rPr>
          <w:rFonts w:eastAsia="Times New Roman" w:cs="Times New Roman"/>
          <w:kern w:val="0"/>
          <w:szCs w:val="24"/>
          <w14:ligatures w14:val="none"/>
        </w:rPr>
        <w:t>m</w:t>
      </w:r>
      <w:r w:rsidRPr="00CA5287">
        <w:rPr>
          <w:rFonts w:eastAsia="Times New Roman" w:cs="Times New Roman"/>
          <w:kern w:val="0"/>
          <w:szCs w:val="24"/>
          <w14:ligatures w14:val="none"/>
        </w:rPr>
        <w:t xml:space="preserve">ethods </w:t>
      </w:r>
      <w:r w:rsidR="006E4DCA" w:rsidRPr="00CA5287">
        <w:rPr>
          <w:rFonts w:eastAsia="Times New Roman" w:cs="Times New Roman"/>
          <w:kern w:val="0"/>
          <w:szCs w:val="24"/>
          <w14:ligatures w14:val="none"/>
        </w:rPr>
        <w:t>d</w:t>
      </w:r>
      <w:r w:rsidRPr="00CA5287">
        <w:rPr>
          <w:rFonts w:eastAsia="Times New Roman" w:cs="Times New Roman"/>
          <w:kern w:val="0"/>
          <w:szCs w:val="24"/>
          <w14:ligatures w14:val="none"/>
        </w:rPr>
        <w:t>esign. Because inclusive digital transformation is a complex socio-technical phenomenon, relying strictly on numbers or purely on interviews would skew the results.</w:t>
      </w:r>
      <w:r w:rsidR="00D11D9C" w:rsidRPr="00CA5287">
        <w:rPr>
          <w:rFonts w:eastAsia="Times New Roman" w:cs="Times New Roman"/>
          <w:kern w:val="0"/>
          <w:szCs w:val="24"/>
          <w14:ligatures w14:val="none"/>
        </w:rPr>
        <w:t xml:space="preserve"> </w:t>
      </w:r>
      <w:r w:rsidRPr="00CA5287">
        <w:rPr>
          <w:rFonts w:eastAsia="Times New Roman" w:cs="Times New Roman"/>
          <w:kern w:val="0"/>
          <w:szCs w:val="24"/>
          <w14:ligatures w14:val="none"/>
        </w:rPr>
        <w:t>Qualitative Phase (Exploratory): Investigates the systemic barriers to technology adoption, governance gaps, and regional policy integration across East Africa.</w:t>
      </w:r>
      <w:r w:rsidR="00D11D9C" w:rsidRPr="00CA5287">
        <w:rPr>
          <w:rFonts w:eastAsia="Times New Roman" w:cs="Times New Roman"/>
          <w:kern w:val="0"/>
          <w:szCs w:val="24"/>
          <w14:ligatures w14:val="none"/>
        </w:rPr>
        <w:t xml:space="preserve"> </w:t>
      </w:r>
      <w:r w:rsidRPr="00CA5287">
        <w:rPr>
          <w:rFonts w:eastAsia="Times New Roman" w:cs="Times New Roman"/>
          <w:kern w:val="0"/>
          <w:szCs w:val="24"/>
          <w14:ligatures w14:val="none"/>
        </w:rPr>
        <w:t>Quantitative Phase (Descriptive/Analytical): Measures the empirical impact</w:t>
      </w:r>
      <w:r w:rsidR="00D11D9C" w:rsidRPr="00CA5287">
        <w:rPr>
          <w:rFonts w:eastAsia="Times New Roman" w:cs="Times New Roman"/>
          <w:kern w:val="0"/>
          <w:szCs w:val="24"/>
          <w14:ligatures w14:val="none"/>
        </w:rPr>
        <w:t xml:space="preserve"> </w:t>
      </w:r>
      <w:r w:rsidRPr="00CA5287">
        <w:rPr>
          <w:rFonts w:eastAsia="Times New Roman" w:cs="Times New Roman"/>
          <w:kern w:val="0"/>
          <w:szCs w:val="24"/>
          <w14:ligatures w14:val="none"/>
        </w:rPr>
        <w:t>of AI deployment, data literacy rates, and the frequency/severity of cyber-attacks across diverse demographic brackets.</w:t>
      </w:r>
    </w:p>
    <w:p w14:paraId="12877192" w14:textId="05D764C6" w:rsidR="004C34F8" w:rsidRPr="004C34F8" w:rsidRDefault="002E382C" w:rsidP="004C34F8">
      <w:pPr>
        <w:jc w:val="both"/>
        <w:rPr>
          <w:b/>
          <w:bCs/>
        </w:rPr>
      </w:pPr>
      <w:r>
        <w:rPr>
          <w:b/>
          <w:bCs/>
        </w:rPr>
        <w:t xml:space="preserve">3.3 </w:t>
      </w:r>
      <w:r w:rsidR="004C34F8" w:rsidRPr="004C34F8">
        <w:rPr>
          <w:b/>
          <w:bCs/>
        </w:rPr>
        <w:t>Target Population and Sampling Matrix</w:t>
      </w:r>
    </w:p>
    <w:p w14:paraId="711CBB70" w14:textId="12C9DFB1" w:rsidR="004C34F8" w:rsidRPr="004C34F8" w:rsidRDefault="004C34F8" w:rsidP="004C34F8">
      <w:pPr>
        <w:jc w:val="both"/>
      </w:pPr>
      <w:r w:rsidRPr="004C34F8">
        <w:t xml:space="preserve">The target population is stratified </w:t>
      </w:r>
      <w:r>
        <w:t>into three primary sectors within</w:t>
      </w:r>
      <w:r w:rsidRPr="004C34F8">
        <w:t xml:space="preserve"> Kenya’s digital landscape: policy/regulatory bodies, tech industries, and end-users</w:t>
      </w:r>
      <w:r>
        <w:t>.</w:t>
      </w:r>
    </w:p>
    <w:p w14:paraId="591DC9A4" w14:textId="1479A42F" w:rsidR="004C34F8" w:rsidRPr="004C34F8" w:rsidRDefault="002E382C" w:rsidP="004C34F8">
      <w:pPr>
        <w:jc w:val="both"/>
        <w:rPr>
          <w:b/>
          <w:bCs/>
        </w:rPr>
      </w:pPr>
      <w:r>
        <w:rPr>
          <w:b/>
          <w:bCs/>
        </w:rPr>
        <w:t xml:space="preserve">3.4 </w:t>
      </w:r>
      <w:r w:rsidR="004C34F8" w:rsidRPr="004C34F8">
        <w:rPr>
          <w:b/>
          <w:bCs/>
        </w:rPr>
        <w:t>Sampling Techniques:</w:t>
      </w:r>
    </w:p>
    <w:p w14:paraId="735A9CA7" w14:textId="5020F4B2" w:rsidR="004C34F8" w:rsidRPr="004C34F8" w:rsidRDefault="004C34F8" w:rsidP="004C34F8">
      <w:pPr>
        <w:jc w:val="both"/>
        <w:rPr>
          <w:b/>
          <w:bCs/>
        </w:rPr>
      </w:pPr>
      <w:r w:rsidRPr="004C34F8">
        <w:t>Purposive Sampling:</w:t>
      </w:r>
      <w:r w:rsidRPr="004C34F8">
        <w:rPr>
          <w:b/>
          <w:bCs/>
        </w:rPr>
        <w:t xml:space="preserve"> </w:t>
      </w:r>
      <w:r w:rsidRPr="004C34F8">
        <w:t>Used to select regulatory, academic, and industrial tech experts for Key Informant Interviews (KIIs).</w:t>
      </w:r>
      <w:r>
        <w:t xml:space="preserve"> </w:t>
      </w:r>
      <w:r w:rsidRPr="004C34F8">
        <w:t>Stratified Random Sampling:</w:t>
      </w:r>
      <w:r w:rsidRPr="004C34F8">
        <w:rPr>
          <w:b/>
          <w:bCs/>
        </w:rPr>
        <w:t xml:space="preserve"> </w:t>
      </w:r>
      <w:r w:rsidRPr="004C34F8">
        <w:t>Used for surveying the public and micro-entrepreneurs across selected counties (e.g., Nairobi as a tech hub, and representative counties mapping rural or marginalized communities to fulfill the "inclusive" mandate).</w:t>
      </w:r>
    </w:p>
    <w:p w14:paraId="40E4A25A" w14:textId="1AE1E3EB" w:rsidR="004C34F8" w:rsidRDefault="002E382C" w:rsidP="0069772D">
      <w:pPr>
        <w:jc w:val="both"/>
        <w:rPr>
          <w:b/>
          <w:bCs/>
        </w:rPr>
      </w:pPr>
      <w:r>
        <w:rPr>
          <w:b/>
          <w:bCs/>
        </w:rPr>
        <w:t xml:space="preserve"> </w:t>
      </w:r>
      <w:r w:rsidR="004C34F8" w:rsidRPr="004C34F8">
        <w:rPr>
          <w:b/>
          <w:bCs/>
        </w:rPr>
        <w:t>Data Collection Instruments</w:t>
      </w:r>
    </w:p>
    <w:p w14:paraId="6B0EC9FB" w14:textId="4FC8F7C0" w:rsidR="004C34F8" w:rsidRDefault="004C34F8" w:rsidP="0069772D">
      <w:pPr>
        <w:jc w:val="both"/>
        <w:rPr>
          <w:b/>
          <w:bCs/>
        </w:rPr>
      </w:pPr>
      <w:r w:rsidRPr="004C34F8">
        <w:t>Data w</w:t>
      </w:r>
      <w:r w:rsidR="00811753">
        <w:t>as</w:t>
      </w:r>
      <w:r w:rsidRPr="004C34F8">
        <w:t xml:space="preserve"> captured using a triangulation approach to ensure structural validity</w:t>
      </w:r>
      <w:r w:rsidRPr="004C34F8">
        <w:rPr>
          <w:b/>
          <w:bCs/>
        </w:rPr>
        <w:t>:</w:t>
      </w:r>
    </w:p>
    <w:p w14:paraId="3752BE15" w14:textId="4A01B2B6" w:rsidR="00811753" w:rsidRPr="00811753" w:rsidRDefault="00336615" w:rsidP="00811753">
      <w:pPr>
        <w:jc w:val="both"/>
      </w:pPr>
      <w:r w:rsidRPr="00811753">
        <w:t xml:space="preserve"> </w:t>
      </w:r>
      <w:r w:rsidR="002E382C" w:rsidRPr="002E382C">
        <w:rPr>
          <w:b/>
          <w:bCs/>
        </w:rPr>
        <w:t>3.4.1</w:t>
      </w:r>
      <w:r w:rsidR="002E382C">
        <w:t xml:space="preserve"> </w:t>
      </w:r>
      <w:r w:rsidR="00811753" w:rsidRPr="002E382C">
        <w:rPr>
          <w:b/>
          <w:bCs/>
        </w:rPr>
        <w:t>Semi-Structured Interview Guides:</w:t>
      </w:r>
      <w:r w:rsidR="00811753" w:rsidRPr="00811753">
        <w:t xml:space="preserve"> Administered to key stakeholders to capture qualitative insights on local AI implementation struggles, infrastructure bottlenecks, and alignment with the African Union Continental AI Strategy.</w:t>
      </w:r>
    </w:p>
    <w:p w14:paraId="7C530B75" w14:textId="1F48A9E3" w:rsidR="00811753" w:rsidRPr="00811753" w:rsidRDefault="00811753" w:rsidP="00811753">
      <w:pPr>
        <w:jc w:val="both"/>
      </w:pPr>
      <w:r w:rsidRPr="002E382C">
        <w:rPr>
          <w:b/>
          <w:bCs/>
        </w:rPr>
        <w:lastRenderedPageBreak/>
        <w:t xml:space="preserve"> </w:t>
      </w:r>
      <w:r w:rsidR="002E382C">
        <w:rPr>
          <w:b/>
          <w:bCs/>
        </w:rPr>
        <w:t xml:space="preserve">3.4.2 </w:t>
      </w:r>
      <w:r w:rsidRPr="002E382C">
        <w:rPr>
          <w:b/>
          <w:bCs/>
        </w:rPr>
        <w:t>Structured Digital Questionnaires</w:t>
      </w:r>
      <w:r w:rsidRPr="00811753">
        <w:t>: Built with 5-point Likert scales to measure perception metrics regarding tech accessibility, digital literacy, and data privacy vulnerabilities among citizens.</w:t>
      </w:r>
    </w:p>
    <w:p w14:paraId="18EB93EC" w14:textId="25E00FC7" w:rsidR="00811753" w:rsidRDefault="00811753" w:rsidP="00811753">
      <w:pPr>
        <w:jc w:val="both"/>
      </w:pPr>
      <w:r w:rsidRPr="00811753">
        <w:t xml:space="preserve"> </w:t>
      </w:r>
      <w:r w:rsidRPr="002E382C">
        <w:rPr>
          <w:b/>
          <w:bCs/>
        </w:rPr>
        <w:t>Documentary Review Protocols:</w:t>
      </w:r>
      <w:r w:rsidRPr="00811753">
        <w:t xml:space="preserve"> A rigorous desk-review matrix analyzing national frameworks, specifically checking regional integration trends between Kenya, Rwanda, Uganda, and Tanzania.</w:t>
      </w:r>
    </w:p>
    <w:p w14:paraId="17EDB9F3" w14:textId="4F57CC86" w:rsidR="00CA5287" w:rsidRPr="00CA5287" w:rsidRDefault="002E382C" w:rsidP="00811753">
      <w:pPr>
        <w:jc w:val="both"/>
        <w:rPr>
          <w:b/>
          <w:bCs/>
        </w:rPr>
      </w:pPr>
      <w:r>
        <w:rPr>
          <w:b/>
          <w:bCs/>
        </w:rPr>
        <w:t xml:space="preserve">3.5 </w:t>
      </w:r>
      <w:r w:rsidR="00CA5287" w:rsidRPr="00CA5287">
        <w:rPr>
          <w:b/>
          <w:bCs/>
        </w:rPr>
        <w:t>Data Analysis</w:t>
      </w:r>
    </w:p>
    <w:p w14:paraId="2378CEAD" w14:textId="1F5B49B3" w:rsidR="00CA5287" w:rsidRPr="00811753" w:rsidRDefault="00CA5287" w:rsidP="00811753">
      <w:pPr>
        <w:jc w:val="both"/>
      </w:pPr>
      <w:r w:rsidRPr="00CA5287">
        <w:t xml:space="preserve"> </w:t>
      </w:r>
      <w:r w:rsidRPr="00CA5287">
        <w:t xml:space="preserve">Since this study adopts a qualitative desk research methodology, the analysis is executed via </w:t>
      </w:r>
      <w:r>
        <w:t>t</w:t>
      </w:r>
      <w:r w:rsidRPr="00CA5287">
        <w:t>hematic Analysis. The analytical framework involves coding empirical data, government reports, and peer-reviewed literature into distinct analytical themes. These themes align directly with the core pillars of the research title: Artificial Intelligence, Data Science, and Cybersecurity within the context of inclusive digital transformation.</w:t>
      </w:r>
    </w:p>
    <w:p w14:paraId="4B6A2822" w14:textId="23EE733A" w:rsidR="004C34F8" w:rsidRDefault="00811753" w:rsidP="0069772D">
      <w:pPr>
        <w:jc w:val="both"/>
        <w:rPr>
          <w:b/>
          <w:bCs/>
        </w:rPr>
      </w:pPr>
      <w:r w:rsidRPr="00811753">
        <w:rPr>
          <w:b/>
          <w:bCs/>
        </w:rPr>
        <w:t>Ethical Considerations</w:t>
      </w:r>
    </w:p>
    <w:p w14:paraId="62668782" w14:textId="59823BF6" w:rsidR="00811753" w:rsidRDefault="00811753" w:rsidP="0069772D">
      <w:pPr>
        <w:jc w:val="both"/>
      </w:pPr>
      <w:r w:rsidRPr="00811753">
        <w:t>Given the sensitive nature of information systems and cybersecurity architectures, strict ethical protocols will be strictly enforced:</w:t>
      </w:r>
    </w:p>
    <w:p w14:paraId="1F6FD678" w14:textId="5447BC76" w:rsidR="00811753" w:rsidRPr="00811753" w:rsidRDefault="00811753" w:rsidP="00811753">
      <w:pPr>
        <w:jc w:val="both"/>
      </w:pPr>
      <w:r w:rsidRPr="00811753">
        <w:t xml:space="preserve"> </w:t>
      </w:r>
      <w:r w:rsidRPr="00811753">
        <w:rPr>
          <w:b/>
          <w:bCs/>
        </w:rPr>
        <w:t>Regulatory Compliance:</w:t>
      </w:r>
      <w:r w:rsidRPr="00811753">
        <w:t xml:space="preserve"> The research design will be fully registered and vetted by </w:t>
      </w:r>
      <w:r w:rsidRPr="00811753">
        <w:rPr>
          <w:b/>
          <w:bCs/>
        </w:rPr>
        <w:t>NACOSTI</w:t>
      </w:r>
      <w:r w:rsidRPr="00811753">
        <w:t xml:space="preserve"> (National Commission for Science, Technology</w:t>
      </w:r>
      <w:r>
        <w:t>,</w:t>
      </w:r>
      <w:r w:rsidRPr="00811753">
        <w:t xml:space="preserve"> and Innovation) for a research license.</w:t>
      </w:r>
    </w:p>
    <w:p w14:paraId="2083820D" w14:textId="03D1F5DF" w:rsidR="00811753" w:rsidRPr="00811753" w:rsidRDefault="00811753" w:rsidP="00811753">
      <w:pPr>
        <w:jc w:val="both"/>
      </w:pPr>
      <w:r w:rsidRPr="00811753">
        <w:t xml:space="preserve">  </w:t>
      </w:r>
      <w:r w:rsidRPr="00811753">
        <w:rPr>
          <w:b/>
          <w:bCs/>
        </w:rPr>
        <w:t>Data Privacy &amp; Anonymization:</w:t>
      </w:r>
      <w:r w:rsidRPr="00811753">
        <w:t xml:space="preserve"> In strict compliance with the </w:t>
      </w:r>
      <w:r w:rsidRPr="00811753">
        <w:rPr>
          <w:b/>
          <w:bCs/>
        </w:rPr>
        <w:t>Kenya Data Protection Act (2019)</w:t>
      </w:r>
      <w:r w:rsidRPr="00811753">
        <w:t xml:space="preserve"> and the </w:t>
      </w:r>
      <w:r w:rsidRPr="00811753">
        <w:rPr>
          <w:b/>
          <w:bCs/>
        </w:rPr>
        <w:t>Office of the Data Protection Commissioner (ODPC) guidelines</w:t>
      </w:r>
      <w:r w:rsidRPr="00811753">
        <w:t xml:space="preserve">, all survey responses and interview identities will be aggressively anonymized using alphanumeric encryption codes. </w:t>
      </w:r>
    </w:p>
    <w:p w14:paraId="12897B17" w14:textId="0C272608" w:rsidR="00811753" w:rsidRDefault="00811753" w:rsidP="0069772D">
      <w:pPr>
        <w:jc w:val="both"/>
      </w:pPr>
      <w:r w:rsidRPr="00811753">
        <w:t xml:space="preserve"> </w:t>
      </w:r>
      <w:r w:rsidRPr="00811753">
        <w:rPr>
          <w:b/>
          <w:bCs/>
        </w:rPr>
        <w:t>Informed Consent:</w:t>
      </w:r>
      <w:r w:rsidRPr="00811753">
        <w:t xml:space="preserve"> Digital and physical consent forms</w:t>
      </w:r>
      <w:r>
        <w:t>, written in both English and Kiswahili, will be required</w:t>
      </w:r>
      <w:r w:rsidRPr="00811753">
        <w:t xml:space="preserve"> before administering any questionnaire or recording any verbal interview.</w:t>
      </w:r>
    </w:p>
    <w:p w14:paraId="1B9D280C" w14:textId="0808F26D" w:rsidR="009923C7" w:rsidRPr="002E382C" w:rsidRDefault="002E382C" w:rsidP="002E382C">
      <w:pPr>
        <w:pStyle w:val="ListParagraph"/>
        <w:numPr>
          <w:ilvl w:val="0"/>
          <w:numId w:val="12"/>
        </w:numPr>
        <w:jc w:val="center"/>
        <w:rPr>
          <w:b/>
          <w:bCs/>
        </w:rPr>
      </w:pPr>
      <w:r w:rsidRPr="002E382C">
        <w:rPr>
          <w:b/>
          <w:bCs/>
        </w:rPr>
        <w:t>FINDINGS AND DISCUSSION</w:t>
      </w:r>
    </w:p>
    <w:p w14:paraId="62235D35" w14:textId="0C88469C" w:rsidR="009923C7" w:rsidRDefault="009923C7" w:rsidP="0069772D">
      <w:pPr>
        <w:jc w:val="both"/>
        <w:rPr>
          <w:b/>
          <w:bCs/>
        </w:rPr>
      </w:pPr>
      <w:r w:rsidRPr="009923C7">
        <w:t xml:space="preserve">This chapter presents the empirical findings and subsequent analysis of data collected regarding the implementation triad: </w:t>
      </w:r>
      <w:r w:rsidRPr="009923C7">
        <w:rPr>
          <w:b/>
          <w:bCs/>
        </w:rPr>
        <w:t>Artificial Intelligence (AI)</w:t>
      </w:r>
      <w:r w:rsidRPr="009923C7">
        <w:t xml:space="preserve">, </w:t>
      </w:r>
      <w:r w:rsidRPr="009923C7">
        <w:rPr>
          <w:b/>
          <w:bCs/>
        </w:rPr>
        <w:t>Data Science</w:t>
      </w:r>
      <w:r w:rsidRPr="009923C7">
        <w:t xml:space="preserve">, and </w:t>
      </w:r>
      <w:r w:rsidRPr="009923C7">
        <w:rPr>
          <w:b/>
          <w:bCs/>
        </w:rPr>
        <w:t>Cybersecurity</w:t>
      </w:r>
      <w:r w:rsidRPr="009923C7">
        <w:t xml:space="preserve">, and their combined effect on driving an inclusive digital transformation within Kenya and neighboring regional economies. The findings are evaluated through the theoretical lenses of </w:t>
      </w:r>
      <w:r w:rsidRPr="009923C7">
        <w:rPr>
          <w:i/>
          <w:iCs/>
        </w:rPr>
        <w:t>Socio-Technical Systems (STS) Theory</w:t>
      </w:r>
      <w:r w:rsidRPr="009923C7">
        <w:t xml:space="preserve">, </w:t>
      </w:r>
      <w:r w:rsidRPr="009923C7">
        <w:rPr>
          <w:i/>
          <w:iCs/>
        </w:rPr>
        <w:t>Dynamic Capabilities</w:t>
      </w:r>
      <w:r w:rsidRPr="009923C7">
        <w:t xml:space="preserve">, and </w:t>
      </w:r>
      <w:r w:rsidRPr="009923C7">
        <w:rPr>
          <w:i/>
          <w:iCs/>
        </w:rPr>
        <w:t>Protection Motivation Theory (PMT)</w:t>
      </w:r>
      <w:r w:rsidRPr="009923C7">
        <w:t xml:space="preserve">, and are cross-referenced with the operational goals of the </w:t>
      </w:r>
      <w:r w:rsidRPr="009923C7">
        <w:rPr>
          <w:b/>
          <w:bCs/>
        </w:rPr>
        <w:t>Kenya National AI Strategy (2025–2030)</w:t>
      </w:r>
      <w:r w:rsidRPr="009923C7">
        <w:t xml:space="preserve"> and the </w:t>
      </w:r>
      <w:r w:rsidRPr="009923C7">
        <w:rPr>
          <w:b/>
          <w:bCs/>
        </w:rPr>
        <w:t>Kenya National Digital Master Plan (2022–2032)</w:t>
      </w:r>
    </w:p>
    <w:p w14:paraId="2531FF90" w14:textId="77777777" w:rsidR="002E382C" w:rsidRDefault="002E382C" w:rsidP="0069772D">
      <w:pPr>
        <w:jc w:val="both"/>
        <w:rPr>
          <w:b/>
          <w:bCs/>
        </w:rPr>
      </w:pPr>
    </w:p>
    <w:p w14:paraId="6FA3CB66" w14:textId="77777777" w:rsidR="002E382C" w:rsidRDefault="002E382C" w:rsidP="0069772D">
      <w:pPr>
        <w:jc w:val="both"/>
        <w:rPr>
          <w:b/>
          <w:bCs/>
        </w:rPr>
      </w:pPr>
    </w:p>
    <w:p w14:paraId="1E59FE38" w14:textId="3D3C9BF1" w:rsidR="009923C7" w:rsidRDefault="00916274" w:rsidP="0069772D">
      <w:pPr>
        <w:jc w:val="both"/>
        <w:rPr>
          <w:b/>
          <w:bCs/>
        </w:rPr>
      </w:pPr>
      <w:r>
        <w:rPr>
          <w:b/>
          <w:bCs/>
        </w:rPr>
        <w:lastRenderedPageBreak/>
        <w:t xml:space="preserve">4.1 </w:t>
      </w:r>
      <w:r w:rsidR="009923C7" w:rsidRPr="009923C7">
        <w:rPr>
          <w:b/>
          <w:bCs/>
        </w:rPr>
        <w:t>AI and Data Science as Engines for Targeted, Inclusive Public Services</w:t>
      </w:r>
    </w:p>
    <w:p w14:paraId="4E69A805" w14:textId="77777777" w:rsidR="009923C7" w:rsidRPr="009923C7" w:rsidRDefault="009923C7" w:rsidP="009923C7">
      <w:pPr>
        <w:spacing w:before="100" w:beforeAutospacing="1" w:after="100" w:afterAutospacing="1" w:line="240" w:lineRule="auto"/>
        <w:rPr>
          <w:rFonts w:eastAsia="Times New Roman" w:cs="Times New Roman"/>
          <w:kern w:val="0"/>
          <w:szCs w:val="24"/>
          <w14:ligatures w14:val="none"/>
        </w:rPr>
      </w:pPr>
      <w:proofErr w:type="gramStart"/>
      <w:r w:rsidRPr="009923C7">
        <w:rPr>
          <w:rFonts w:eastAsia="Times New Roman" w:hAnsi="Symbol" w:cs="Times New Roman"/>
          <w:kern w:val="0"/>
          <w:szCs w:val="24"/>
          <w14:ligatures w14:val="none"/>
        </w:rPr>
        <w:t></w:t>
      </w:r>
      <w:r w:rsidRPr="009923C7">
        <w:rPr>
          <w:rFonts w:eastAsia="Times New Roman" w:cs="Times New Roman"/>
          <w:kern w:val="0"/>
          <w:szCs w:val="24"/>
          <w14:ligatures w14:val="none"/>
        </w:rPr>
        <w:t xml:space="preserve">  </w:t>
      </w:r>
      <w:r w:rsidRPr="009923C7">
        <w:rPr>
          <w:rFonts w:eastAsia="Times New Roman" w:cs="Times New Roman"/>
          <w:b/>
          <w:bCs/>
          <w:kern w:val="0"/>
          <w:szCs w:val="24"/>
          <w14:ligatures w14:val="none"/>
        </w:rPr>
        <w:t>Democratic</w:t>
      </w:r>
      <w:proofErr w:type="gramEnd"/>
      <w:r w:rsidRPr="009923C7">
        <w:rPr>
          <w:rFonts w:eastAsia="Times New Roman" w:cs="Times New Roman"/>
          <w:b/>
          <w:bCs/>
          <w:kern w:val="0"/>
          <w:szCs w:val="24"/>
          <w14:ligatures w14:val="none"/>
        </w:rPr>
        <w:t xml:space="preserve"> Service Delivery:</w:t>
      </w:r>
      <w:r w:rsidRPr="009923C7">
        <w:rPr>
          <w:rFonts w:eastAsia="Times New Roman" w:cs="Times New Roman"/>
          <w:kern w:val="0"/>
          <w:szCs w:val="24"/>
          <w14:ligatures w14:val="none"/>
        </w:rPr>
        <w:t xml:space="preserve"> Desk reviews of e-government data show that the integration of predictive data analytics within Kenya’s expanded </w:t>
      </w:r>
      <w:r w:rsidRPr="009923C7">
        <w:rPr>
          <w:rFonts w:eastAsia="Times New Roman" w:cs="Times New Roman"/>
          <w:i/>
          <w:iCs/>
          <w:kern w:val="0"/>
          <w:szCs w:val="24"/>
          <w14:ligatures w14:val="none"/>
        </w:rPr>
        <w:t>eCitizen</w:t>
      </w:r>
      <w:r w:rsidRPr="009923C7">
        <w:rPr>
          <w:rFonts w:eastAsia="Times New Roman" w:cs="Times New Roman"/>
          <w:kern w:val="0"/>
          <w:szCs w:val="24"/>
          <w14:ligatures w14:val="none"/>
        </w:rPr>
        <w:t xml:space="preserve"> ecosystem has significantly streamlined service access, allowing rural demographics to bypass traditional bureaucratic barriers.</w:t>
      </w:r>
    </w:p>
    <w:p w14:paraId="465FAE51" w14:textId="77777777" w:rsidR="009923C7" w:rsidRPr="009923C7" w:rsidRDefault="009923C7" w:rsidP="009923C7">
      <w:pPr>
        <w:spacing w:before="100" w:beforeAutospacing="1" w:after="100" w:afterAutospacing="1" w:line="240" w:lineRule="auto"/>
        <w:rPr>
          <w:rFonts w:eastAsia="Times New Roman" w:cs="Times New Roman"/>
          <w:kern w:val="0"/>
          <w:szCs w:val="24"/>
          <w14:ligatures w14:val="none"/>
        </w:rPr>
      </w:pPr>
      <w:proofErr w:type="gramStart"/>
      <w:r w:rsidRPr="009923C7">
        <w:rPr>
          <w:rFonts w:eastAsia="Times New Roman" w:hAnsi="Symbol" w:cs="Times New Roman"/>
          <w:kern w:val="0"/>
          <w:szCs w:val="24"/>
          <w14:ligatures w14:val="none"/>
        </w:rPr>
        <w:t></w:t>
      </w:r>
      <w:r w:rsidRPr="009923C7">
        <w:rPr>
          <w:rFonts w:eastAsia="Times New Roman" w:cs="Times New Roman"/>
          <w:kern w:val="0"/>
          <w:szCs w:val="24"/>
          <w14:ligatures w14:val="none"/>
        </w:rPr>
        <w:t xml:space="preserve">  </w:t>
      </w:r>
      <w:r w:rsidRPr="009923C7">
        <w:rPr>
          <w:rFonts w:eastAsia="Times New Roman" w:cs="Times New Roman"/>
          <w:b/>
          <w:bCs/>
          <w:kern w:val="0"/>
          <w:szCs w:val="24"/>
          <w14:ligatures w14:val="none"/>
        </w:rPr>
        <w:t>The</w:t>
      </w:r>
      <w:proofErr w:type="gramEnd"/>
      <w:r w:rsidRPr="009923C7">
        <w:rPr>
          <w:rFonts w:eastAsia="Times New Roman" w:cs="Times New Roman"/>
          <w:b/>
          <w:bCs/>
          <w:kern w:val="0"/>
          <w:szCs w:val="24"/>
          <w14:ligatures w14:val="none"/>
        </w:rPr>
        <w:t xml:space="preserve"> Localization Shift:</w:t>
      </w:r>
      <w:r w:rsidRPr="009923C7">
        <w:rPr>
          <w:rFonts w:eastAsia="Times New Roman" w:cs="Times New Roman"/>
          <w:kern w:val="0"/>
          <w:szCs w:val="24"/>
          <w14:ligatures w14:val="none"/>
        </w:rPr>
        <w:t xml:space="preserve"> Key Informant Interviews (KIIs) with policy and academic leaders emphasize that inclusivity is being achieved by building localized algorithmic solutions. For instance, initiatives out of academic centers focus on building AI capabilities for domestic preservation, while the recently launched </w:t>
      </w:r>
      <w:r w:rsidRPr="009923C7">
        <w:rPr>
          <w:rFonts w:eastAsia="Times New Roman" w:cs="Times New Roman"/>
          <w:b/>
          <w:bCs/>
          <w:kern w:val="0"/>
          <w:szCs w:val="24"/>
          <w14:ligatures w14:val="none"/>
        </w:rPr>
        <w:t>Kenya AI for Disability Project (2026)</w:t>
      </w:r>
      <w:r w:rsidRPr="009923C7">
        <w:rPr>
          <w:rFonts w:eastAsia="Times New Roman" w:cs="Times New Roman"/>
          <w:kern w:val="0"/>
          <w:szCs w:val="24"/>
          <w14:ligatures w14:val="none"/>
        </w:rPr>
        <w:t>—developed in partnership with the Ministry of ICT, the Kenya Institute for Special Education (KISE), and global technology partners—is co-creating localized AI-driven hardware and software tools explicitly tailored to bridge the digital divide for marginalized citizens</w:t>
      </w:r>
    </w:p>
    <w:p w14:paraId="303C87AB" w14:textId="1F370916" w:rsidR="009923C7" w:rsidRDefault="001C3E9D" w:rsidP="0069772D">
      <w:pPr>
        <w:jc w:val="both"/>
        <w:rPr>
          <w:b/>
          <w:bCs/>
        </w:rPr>
      </w:pPr>
      <w:r>
        <w:rPr>
          <w:b/>
          <w:bCs/>
        </w:rPr>
        <w:t xml:space="preserve">4.2 </w:t>
      </w:r>
      <w:r w:rsidR="009923C7" w:rsidRPr="009923C7">
        <w:rPr>
          <w:b/>
          <w:bCs/>
        </w:rPr>
        <w:t>The Evolving, AI-Driven Cyber-Threat Landscape</w:t>
      </w:r>
    </w:p>
    <w:p w14:paraId="023C6A71" w14:textId="4E1FBCBB" w:rsidR="009923C7" w:rsidRDefault="002A6E4B" w:rsidP="0069772D">
      <w:pPr>
        <w:jc w:val="both"/>
        <w:rPr>
          <w:b/>
          <w:bCs/>
        </w:rPr>
      </w:pPr>
      <w:r w:rsidRPr="002A6E4B">
        <w:t>Data collected from regulatory stakeholders and national situational logs indicates that the "inclusive" expansion of digital access has concurrently expanded the geographical and demographic vulnerability to cyber-attacks</w:t>
      </w:r>
      <w:r w:rsidRPr="002A6E4B">
        <w:rPr>
          <w:b/>
          <w:bCs/>
        </w:rPr>
        <w:t>.</w:t>
      </w:r>
    </w:p>
    <w:p w14:paraId="2CC147A8" w14:textId="05391109" w:rsidR="002A6E4B" w:rsidRDefault="002A6E4B" w:rsidP="0069772D">
      <w:pPr>
        <w:jc w:val="both"/>
        <w:rPr>
          <w:rStyle w:val="citation-79"/>
        </w:rPr>
      </w:pPr>
      <w:r>
        <w:rPr>
          <w:b/>
          <w:bCs/>
        </w:rPr>
        <w:t>Unprecedented Threat Volumes:</w:t>
      </w:r>
      <w:r>
        <w:t xml:space="preserve"> </w:t>
      </w:r>
      <w:r>
        <w:rPr>
          <w:rStyle w:val="citation-79"/>
        </w:rPr>
        <w:t xml:space="preserve">Empirical monitoring by the Communications Authority of Kenya (CA) reveals that the national digital ecosystem faces a massive influx of adversarial events, with the National KE-CIRT/CC detecting over </w:t>
      </w:r>
      <w:r>
        <w:rPr>
          <w:rStyle w:val="citation-79"/>
          <w:b/>
          <w:bCs/>
        </w:rPr>
        <w:t>4.5 billion cyber threat events</w:t>
      </w:r>
      <w:r>
        <w:rPr>
          <w:rStyle w:val="citation-79"/>
        </w:rPr>
        <w:t xml:space="preserve"> in a single quarter between October and December 2025.</w:t>
      </w:r>
    </w:p>
    <w:p w14:paraId="1804ECFD" w14:textId="7506B611" w:rsidR="002A6E4B" w:rsidRDefault="002A6E4B" w:rsidP="0069772D">
      <w:pPr>
        <w:jc w:val="both"/>
        <w:rPr>
          <w:rStyle w:val="citation-77"/>
        </w:rPr>
      </w:pPr>
      <w:r>
        <w:rPr>
          <w:b/>
          <w:bCs/>
        </w:rPr>
        <w:t>Shift in Attack Vectors:</w:t>
      </w:r>
      <w:r>
        <w:t xml:space="preserve"> The qualitative evidence points to a paradigm shift in threat delivery. </w:t>
      </w:r>
      <w:r>
        <w:rPr>
          <w:rStyle w:val="citation-78"/>
        </w:rPr>
        <w:t xml:space="preserve">Traditional, rigid attacks have been largely replaced by hyper-personalized social engineering campaigns leveraging </w:t>
      </w:r>
      <w:r>
        <w:rPr>
          <w:rStyle w:val="citation-78"/>
          <w:b/>
          <w:bCs/>
        </w:rPr>
        <w:t>generative AI, automated credential harvesting, and voice deepfakes</w:t>
      </w:r>
      <w:r>
        <w:rPr>
          <w:rStyle w:val="citation-78"/>
        </w:rPr>
        <w:t>.</w:t>
      </w:r>
      <w:r>
        <w:t xml:space="preserve"> </w:t>
      </w:r>
      <w:r>
        <w:rPr>
          <w:rStyle w:val="citation-77"/>
        </w:rPr>
        <w:t>These attacks actively exploit seasonal events and manipulate psychological vulnerabilities, specifically targeting mobile banking and mobile-money systems (such as M-Pesa ecosystem touchpoints) used by everyday citizens</w:t>
      </w:r>
    </w:p>
    <w:p w14:paraId="442565EF" w14:textId="186CDD60" w:rsidR="002A6E4B" w:rsidRDefault="001C3E9D" w:rsidP="0069772D">
      <w:pPr>
        <w:jc w:val="both"/>
        <w:rPr>
          <w:b/>
          <w:bCs/>
        </w:rPr>
      </w:pPr>
      <w:r>
        <w:rPr>
          <w:b/>
          <w:bCs/>
        </w:rPr>
        <w:t xml:space="preserve">4.3 </w:t>
      </w:r>
      <w:r w:rsidR="002A6E4B" w:rsidRPr="002A6E4B">
        <w:rPr>
          <w:b/>
          <w:bCs/>
        </w:rPr>
        <w:t>Systemic Vulnerabilities and Policy Deficits</w:t>
      </w:r>
    </w:p>
    <w:p w14:paraId="630DA11D" w14:textId="06BB6057" w:rsidR="009923C7" w:rsidRDefault="00A45F6D" w:rsidP="0069772D">
      <w:pPr>
        <w:jc w:val="both"/>
      </w:pPr>
      <w:r w:rsidRPr="00A45F6D">
        <w:t>Despite deep advancements in infrastructure, structural gaps remain that threaten the overall sustainability of the digital transformation.</w:t>
      </w:r>
    </w:p>
    <w:p w14:paraId="1D8E8E04" w14:textId="77777777" w:rsidR="001C3E9D" w:rsidRDefault="001C3E9D" w:rsidP="0069772D">
      <w:pPr>
        <w:jc w:val="both"/>
        <w:rPr>
          <w:b/>
          <w:bCs/>
        </w:rPr>
      </w:pPr>
    </w:p>
    <w:p w14:paraId="4FCE2216" w14:textId="77777777" w:rsidR="001C3E9D" w:rsidRDefault="001C3E9D" w:rsidP="0069772D">
      <w:pPr>
        <w:jc w:val="both"/>
        <w:rPr>
          <w:b/>
          <w:bCs/>
        </w:rPr>
      </w:pPr>
    </w:p>
    <w:p w14:paraId="0D6C3525" w14:textId="77777777" w:rsidR="001C3E9D" w:rsidRDefault="001C3E9D" w:rsidP="0069772D">
      <w:pPr>
        <w:jc w:val="both"/>
        <w:rPr>
          <w:b/>
          <w:bCs/>
        </w:rPr>
      </w:pPr>
    </w:p>
    <w:p w14:paraId="1F3A9F1D" w14:textId="77777777" w:rsidR="001C3E9D" w:rsidRDefault="001C3E9D" w:rsidP="0069772D">
      <w:pPr>
        <w:jc w:val="both"/>
        <w:rPr>
          <w:b/>
          <w:bCs/>
        </w:rPr>
      </w:pPr>
    </w:p>
    <w:p w14:paraId="548F5426" w14:textId="0B3F876A" w:rsidR="00A45F6D" w:rsidRPr="00A45F6D" w:rsidRDefault="001C3E9D" w:rsidP="0069772D">
      <w:pPr>
        <w:jc w:val="both"/>
        <w:rPr>
          <w:b/>
          <w:bCs/>
        </w:rPr>
      </w:pPr>
      <w:r>
        <w:rPr>
          <w:b/>
          <w:bCs/>
        </w:rPr>
        <w:lastRenderedPageBreak/>
        <w:t xml:space="preserve">4.4 </w:t>
      </w:r>
      <w:r w:rsidR="00A45F6D" w:rsidRPr="00A45F6D">
        <w:rPr>
          <w:b/>
          <w:bCs/>
        </w:rPr>
        <w:t>Discussion</w:t>
      </w:r>
    </w:p>
    <w:p w14:paraId="182E126F" w14:textId="5104F6BD" w:rsidR="00A45F6D" w:rsidRDefault="00A45F6D" w:rsidP="0069772D">
      <w:pPr>
        <w:jc w:val="both"/>
        <w:rPr>
          <w:b/>
          <w:bCs/>
        </w:rPr>
      </w:pPr>
      <w:r w:rsidRPr="00A45F6D">
        <w:rPr>
          <w:b/>
          <w:bCs/>
        </w:rPr>
        <w:t>The Socio-Technical Convergence of AI and Inclusion</w:t>
      </w:r>
    </w:p>
    <w:p w14:paraId="4DA09B38" w14:textId="130E1B84" w:rsidR="00A45F6D" w:rsidRDefault="00A45F6D" w:rsidP="0069772D">
      <w:pPr>
        <w:jc w:val="both"/>
      </w:pPr>
      <w:r w:rsidRPr="00A45F6D">
        <w:t xml:space="preserve">The empirical findings strongly validate Socio-Technical Systems (STS) Theory. As Kenya pushes to expand digital access, the introduction of projects like the </w:t>
      </w:r>
      <w:r w:rsidRPr="00A45F6D">
        <w:rPr>
          <w:i/>
          <w:iCs/>
        </w:rPr>
        <w:t>AI for Disability Project (2026)</w:t>
      </w:r>
      <w:r w:rsidRPr="00A45F6D">
        <w:t xml:space="preserve"> demonstrates that tech-driven tools achieve optimization only when designed symmetrically with the human subsystem's unique physical, socio-economic, or linguistic limits</w:t>
      </w:r>
      <w:r>
        <w:t>.</w:t>
      </w:r>
    </w:p>
    <w:p w14:paraId="4BF7BD99" w14:textId="7A810C3B" w:rsidR="00A45F6D" w:rsidRDefault="00A45F6D" w:rsidP="0069772D">
      <w:pPr>
        <w:jc w:val="both"/>
      </w:pPr>
      <w:r w:rsidRPr="00A45F6D">
        <w:t xml:space="preserve">However, as highlighted by the </w:t>
      </w:r>
      <w:r w:rsidRPr="00A45F6D">
        <w:rPr>
          <w:b/>
          <w:bCs/>
        </w:rPr>
        <w:t>Kenya National AI Strategy (2025–2030)</w:t>
      </w:r>
      <w:r w:rsidRPr="00A45F6D">
        <w:t>, these inclusion milestones remain heavily bottlenecked by a persistent skills gap and a historically low level of local AI research underinvestment. While platforms like eCitizen democratize access, they also present a highly centralized target, making the baseline inclusion efforts fragile without structural integration of the other two pillars.</w:t>
      </w:r>
    </w:p>
    <w:p w14:paraId="7B2532F2" w14:textId="66E8C9A7" w:rsidR="00E21917" w:rsidRPr="00E21917" w:rsidRDefault="00E21917" w:rsidP="0069772D">
      <w:pPr>
        <w:jc w:val="both"/>
        <w:rPr>
          <w:b/>
          <w:bCs/>
        </w:rPr>
      </w:pPr>
      <w:r w:rsidRPr="00E21917">
        <w:rPr>
          <w:b/>
          <w:bCs/>
        </w:rPr>
        <w:t>The Cybersecurity Trilemma: Trust, Automation, and Vulnerability</w:t>
      </w:r>
    </w:p>
    <w:p w14:paraId="3FA6635B" w14:textId="6DF1E737" w:rsidR="00E21917" w:rsidRDefault="00E21917" w:rsidP="0069772D">
      <w:pPr>
        <w:jc w:val="both"/>
      </w:pPr>
      <w:r w:rsidRPr="00E21917">
        <w:t xml:space="preserve">The massive scale of threat data—surging to 4.5 billion events per quarter—illustrates the darker side of rapid digital expansion. Viewed through </w:t>
      </w:r>
      <w:r w:rsidRPr="00E21917">
        <w:rPr>
          <w:b/>
          <w:bCs/>
        </w:rPr>
        <w:t>Protection Motivation Theory (PMT)</w:t>
      </w:r>
      <w:r w:rsidRPr="00E21917">
        <w:t>, an individual’s or an institution's motivation to protect their environment depends entirely on their perception of threat severity and their perceived self-efficacy.</w:t>
      </w:r>
    </w:p>
    <w:p w14:paraId="70124FD9" w14:textId="6A980AC4" w:rsidR="00E21917" w:rsidRDefault="00E21917" w:rsidP="0069772D">
      <w:pPr>
        <w:jc w:val="both"/>
      </w:pPr>
      <w:r w:rsidRPr="00E21917">
        <w:t xml:space="preserve">The findings indicate a widening threat perception gap: while the state and large telecommunications firms deploy automated defensive AI to counter machine-speed attacks, the end-user remains highly susceptible to hyper-personalized, AI-assisted social engineering. The </w:t>
      </w:r>
      <w:r w:rsidRPr="00E21917">
        <w:rPr>
          <w:i/>
          <w:iCs/>
        </w:rPr>
        <w:t>Office of the Data Protection Commissioner (ODPC)</w:t>
      </w:r>
      <w:r w:rsidRPr="00E21917">
        <w:t xml:space="preserve"> has stepped forward with mandatory frameworks regarding automated decision-making and data privacy, emphasizing that automated security controls must not come at the expense of individual liberties or algorithmic transparency.</w:t>
      </w:r>
    </w:p>
    <w:p w14:paraId="2D4D9B88" w14:textId="068E4248" w:rsidR="00E21917" w:rsidRDefault="00E21917" w:rsidP="0069772D">
      <w:pPr>
        <w:jc w:val="both"/>
      </w:pPr>
      <w:r w:rsidRPr="00E21917">
        <w:t xml:space="preserve">Ultimately, the findings indicate that while </w:t>
      </w:r>
      <w:r w:rsidRPr="00E21917">
        <w:rPr>
          <w:b/>
          <w:bCs/>
        </w:rPr>
        <w:t>AI and Data Science</w:t>
      </w:r>
      <w:r w:rsidRPr="00E21917">
        <w:t xml:space="preserve"> successfully create the pathways for inclusive socio-economic growth, </w:t>
      </w:r>
      <w:r w:rsidRPr="00E21917">
        <w:rPr>
          <w:b/>
          <w:bCs/>
        </w:rPr>
        <w:t>Cybersecurity</w:t>
      </w:r>
      <w:r w:rsidRPr="00E21917">
        <w:t xml:space="preserve"> remains the foundational pillar that determines whether that growth survives. True digital transformation in Kenya and beyond cannot settle for simple network connectivity; it must proactively establish an ecosystem where innovation is secure by design, transparently governed, and structurally structured to leave no citizen behind.</w:t>
      </w:r>
    </w:p>
    <w:p w14:paraId="56FD43AB" w14:textId="77777777" w:rsidR="009F43C1" w:rsidRDefault="009F43C1" w:rsidP="0069772D">
      <w:pPr>
        <w:jc w:val="both"/>
      </w:pPr>
    </w:p>
    <w:p w14:paraId="7266BF8E" w14:textId="77777777" w:rsidR="009F43C1" w:rsidRDefault="009F43C1" w:rsidP="0069772D">
      <w:pPr>
        <w:jc w:val="both"/>
      </w:pPr>
    </w:p>
    <w:p w14:paraId="66DAA777" w14:textId="77777777" w:rsidR="001C3E9D" w:rsidRDefault="001C3E9D" w:rsidP="0069772D">
      <w:pPr>
        <w:jc w:val="both"/>
        <w:rPr>
          <w:b/>
          <w:bCs/>
        </w:rPr>
      </w:pPr>
    </w:p>
    <w:p w14:paraId="4DC21835" w14:textId="77777777" w:rsidR="001C3E9D" w:rsidRDefault="001C3E9D" w:rsidP="0069772D">
      <w:pPr>
        <w:jc w:val="both"/>
        <w:rPr>
          <w:b/>
          <w:bCs/>
        </w:rPr>
      </w:pPr>
    </w:p>
    <w:p w14:paraId="49447CBC" w14:textId="77777777" w:rsidR="001C3E9D" w:rsidRDefault="001C3E9D" w:rsidP="0069772D">
      <w:pPr>
        <w:jc w:val="both"/>
        <w:rPr>
          <w:b/>
          <w:bCs/>
        </w:rPr>
      </w:pPr>
    </w:p>
    <w:p w14:paraId="665524BE" w14:textId="2A2785CB" w:rsidR="00E21917" w:rsidRPr="001C3E9D" w:rsidRDefault="009F43C1" w:rsidP="001C3E9D">
      <w:pPr>
        <w:pStyle w:val="ListParagraph"/>
        <w:numPr>
          <w:ilvl w:val="0"/>
          <w:numId w:val="12"/>
        </w:numPr>
        <w:jc w:val="center"/>
        <w:rPr>
          <w:b/>
          <w:bCs/>
        </w:rPr>
      </w:pPr>
      <w:r w:rsidRPr="001C3E9D">
        <w:rPr>
          <w:b/>
          <w:bCs/>
        </w:rPr>
        <w:lastRenderedPageBreak/>
        <w:t>CONCLUSION AND RECOMMENDATIONS</w:t>
      </w:r>
    </w:p>
    <w:p w14:paraId="44EA5D9E" w14:textId="5E20103C" w:rsidR="009F43C1" w:rsidRPr="009F43C1" w:rsidRDefault="001C3E9D" w:rsidP="0069772D">
      <w:pPr>
        <w:jc w:val="both"/>
        <w:rPr>
          <w:b/>
          <w:bCs/>
        </w:rPr>
      </w:pPr>
      <w:r>
        <w:rPr>
          <w:b/>
          <w:bCs/>
        </w:rPr>
        <w:t xml:space="preserve">5.1 </w:t>
      </w:r>
      <w:r w:rsidR="009F43C1" w:rsidRPr="009F43C1">
        <w:rPr>
          <w:b/>
          <w:bCs/>
        </w:rPr>
        <w:t>CONCLUSION</w:t>
      </w:r>
    </w:p>
    <w:p w14:paraId="2E522E5D" w14:textId="77777777" w:rsidR="009F43C1" w:rsidRPr="009F43C1" w:rsidRDefault="009F43C1" w:rsidP="009F43C1">
      <w:pPr>
        <w:jc w:val="both"/>
      </w:pPr>
      <w:r w:rsidRPr="009F43C1">
        <w:t xml:space="preserve">This research demonstrates that achieving an inclusive digital transformation in Kenya and the broader East African region cannot rely on a single technology; rather, it hinges on the seamless integration of a socio-technical triad: </w:t>
      </w:r>
      <w:r w:rsidRPr="009F43C1">
        <w:rPr>
          <w:b/>
          <w:bCs/>
        </w:rPr>
        <w:t>Artificial Intelligence (AI), Data Science, and Cybersecurity</w:t>
      </w:r>
      <w:r w:rsidRPr="009F43C1">
        <w:t>.</w:t>
      </w:r>
    </w:p>
    <w:p w14:paraId="21C97EA7" w14:textId="77777777" w:rsidR="009F43C1" w:rsidRPr="009F43C1" w:rsidRDefault="009F43C1" w:rsidP="009F43C1">
      <w:pPr>
        <w:jc w:val="both"/>
      </w:pPr>
      <w:r w:rsidRPr="009F43C1">
        <w:t xml:space="preserve">The findings confirm that while </w:t>
      </w:r>
      <w:r w:rsidRPr="009F43C1">
        <w:rPr>
          <w:b/>
          <w:bCs/>
        </w:rPr>
        <w:t>AI and Data Science</w:t>
      </w:r>
      <w:r w:rsidRPr="009F43C1">
        <w:t xml:space="preserve"> act as powerful engines for expanding public services—democratizing access through platforms like </w:t>
      </w:r>
      <w:r w:rsidRPr="009F43C1">
        <w:rPr>
          <w:i/>
          <w:iCs/>
        </w:rPr>
        <w:t>eCitizen</w:t>
      </w:r>
      <w:r w:rsidRPr="009F43C1">
        <w:t xml:space="preserve"> and targeted programs such as the </w:t>
      </w:r>
      <w:r w:rsidRPr="009F43C1">
        <w:rPr>
          <w:i/>
          <w:iCs/>
        </w:rPr>
        <w:t>AI for Disability Project</w:t>
      </w:r>
      <w:r w:rsidRPr="009F43C1">
        <w:t>—they simultaneously expand the region's digital vulnerability. With national cyber threats scaling into billions of automated, AI-assisted events per quarter, cybersecurity has ceased to be a secondary IT metric. It is now the foundational pillar of public trust and national economic resilience.</w:t>
      </w:r>
    </w:p>
    <w:p w14:paraId="4A0C907A" w14:textId="77777777" w:rsidR="009F43C1" w:rsidRPr="009F43C1" w:rsidRDefault="009F43C1" w:rsidP="009F43C1">
      <w:pPr>
        <w:jc w:val="both"/>
      </w:pPr>
      <w:r w:rsidRPr="009F43C1">
        <w:t>Ultimately, for digital transformation to be truly "inclusive" and scalable "beyond" Kenya, technological development must move in tandem with adaptive data governance and robust defensive architectures. Without secure-by-design frameworks, rapid digital expansion risks marginalizing vulnerable rural populations to cyber-adversarial exploitation and fracturing regional digital economies.</w:t>
      </w:r>
    </w:p>
    <w:p w14:paraId="387F3FAB" w14:textId="7BD40F59" w:rsidR="009F43C1" w:rsidRPr="009F43C1" w:rsidRDefault="001C3E9D" w:rsidP="0069772D">
      <w:pPr>
        <w:jc w:val="both"/>
        <w:rPr>
          <w:b/>
          <w:bCs/>
        </w:rPr>
      </w:pPr>
      <w:r>
        <w:rPr>
          <w:b/>
          <w:bCs/>
        </w:rPr>
        <w:t xml:space="preserve">5.2 </w:t>
      </w:r>
      <w:r w:rsidR="009F43C1" w:rsidRPr="009F43C1">
        <w:rPr>
          <w:b/>
          <w:bCs/>
        </w:rPr>
        <w:t>Recommendations</w:t>
      </w:r>
    </w:p>
    <w:p w14:paraId="183EBE52" w14:textId="77777777" w:rsidR="009F43C1" w:rsidRPr="009F43C1" w:rsidRDefault="009F43C1" w:rsidP="00467DE4">
      <w:pPr>
        <w:rPr>
          <w:b/>
          <w:bCs/>
        </w:rPr>
      </w:pPr>
      <w:r w:rsidRPr="009F43C1">
        <w:rPr>
          <w:b/>
          <w:bCs/>
        </w:rPr>
        <w:t>Policy and Governance (For Regulatory Bodies: Ministry of ICT, NC4, and ODPC)</w:t>
      </w:r>
    </w:p>
    <w:p w14:paraId="3A18025E" w14:textId="77777777" w:rsidR="009F43C1" w:rsidRPr="009F43C1" w:rsidRDefault="009F43C1" w:rsidP="00467DE4">
      <w:pPr>
        <w:numPr>
          <w:ilvl w:val="0"/>
          <w:numId w:val="4"/>
        </w:numPr>
      </w:pPr>
      <w:r w:rsidRPr="009F43C1">
        <w:rPr>
          <w:b/>
          <w:bCs/>
        </w:rPr>
        <w:t>Establish Automated Algorithmic Guardrails:</w:t>
      </w:r>
      <w:r w:rsidRPr="009F43C1">
        <w:t xml:space="preserve"> The Office of the Data Protection Commissioner (ODPC) should enforce standardized transparency templates for public and private organizations utilizing automated decision-making and predictive analytics. This ensures that inclusive AI deployments remain auditable, free from data bias, and fully compliant with the Data Protection Act.</w:t>
      </w:r>
    </w:p>
    <w:p w14:paraId="13DA052D" w14:textId="2EA8A1EF" w:rsidR="009F43C1" w:rsidRDefault="009F43C1" w:rsidP="00467DE4">
      <w:pPr>
        <w:numPr>
          <w:ilvl w:val="0"/>
          <w:numId w:val="4"/>
        </w:numPr>
        <w:spacing w:line="240" w:lineRule="auto"/>
      </w:pPr>
      <w:r w:rsidRPr="009F43C1">
        <w:rPr>
          <w:b/>
          <w:bCs/>
        </w:rPr>
        <w:t>Transition from Criminalization to Resilience:</w:t>
      </w:r>
      <w:r w:rsidRPr="009F43C1">
        <w:t xml:space="preserve"> In line with national updates, the National Computer and Cybercrimes Coordination Committee (NC4) should shift its primary focus from punitive post-incident measures to proactive risk mitigation. This includes incentivizing small-to-medium enterprises (MSMEs) through tax concessions and low-cost security toolkits to build </w:t>
      </w:r>
      <w:r w:rsidR="00745DC6">
        <w:t xml:space="preserve">a </w:t>
      </w:r>
      <w:r w:rsidRPr="009F43C1">
        <w:t>decentralized defense mechanis</w:t>
      </w:r>
      <w:r>
        <w:t>m</w:t>
      </w:r>
    </w:p>
    <w:p w14:paraId="19DBD618" w14:textId="77777777" w:rsidR="009F43C1" w:rsidRPr="009F43C1" w:rsidRDefault="009F43C1" w:rsidP="009F43C1">
      <w:pPr>
        <w:ind w:left="720"/>
        <w:jc w:val="both"/>
      </w:pPr>
    </w:p>
    <w:p w14:paraId="2444DF46" w14:textId="77777777" w:rsidR="009F43C1" w:rsidRPr="009F43C1" w:rsidRDefault="009F43C1" w:rsidP="009F43C1">
      <w:pPr>
        <w:ind w:left="720"/>
        <w:jc w:val="both"/>
      </w:pPr>
    </w:p>
    <w:p w14:paraId="175DFDDC" w14:textId="77777777" w:rsidR="009F43C1" w:rsidRPr="009F43C1" w:rsidRDefault="009F43C1" w:rsidP="009F43C1">
      <w:pPr>
        <w:ind w:left="720"/>
        <w:jc w:val="both"/>
      </w:pPr>
    </w:p>
    <w:p w14:paraId="05BEF655" w14:textId="01363363" w:rsidR="009F43C1" w:rsidRPr="009F43C1" w:rsidRDefault="009F43C1" w:rsidP="00467DE4">
      <w:pPr>
        <w:ind w:left="720"/>
        <w:jc w:val="both"/>
      </w:pPr>
      <w:r w:rsidRPr="009F43C1">
        <w:rPr>
          <w:rFonts w:eastAsia="Times New Roman" w:cs="Times New Roman"/>
          <w:b/>
          <w:bCs/>
          <w:kern w:val="0"/>
          <w:sz w:val="27"/>
          <w:szCs w:val="27"/>
          <w14:ligatures w14:val="none"/>
        </w:rPr>
        <w:lastRenderedPageBreak/>
        <w:t xml:space="preserve">Infrastructure and Technical Execution (For Tech Hubs, Industry Partners, and </w:t>
      </w:r>
      <w:proofErr w:type="spellStart"/>
      <w:r w:rsidRPr="009F43C1">
        <w:rPr>
          <w:rFonts w:eastAsia="Times New Roman" w:cs="Times New Roman"/>
          <w:b/>
          <w:bCs/>
          <w:kern w:val="0"/>
          <w:sz w:val="27"/>
          <w:szCs w:val="27"/>
          <w14:ligatures w14:val="none"/>
        </w:rPr>
        <w:t>FinTechs</w:t>
      </w:r>
      <w:proofErr w:type="spellEnd"/>
      <w:r w:rsidRPr="009F43C1">
        <w:rPr>
          <w:rFonts w:eastAsia="Times New Roman" w:cs="Times New Roman"/>
          <w:b/>
          <w:bCs/>
          <w:kern w:val="0"/>
          <w:sz w:val="27"/>
          <w:szCs w:val="27"/>
          <w14:ligatures w14:val="none"/>
        </w:rPr>
        <w:t>)</w:t>
      </w:r>
    </w:p>
    <w:p w14:paraId="09FCCB36" w14:textId="77777777" w:rsidR="009F43C1" w:rsidRPr="009F43C1" w:rsidRDefault="009F43C1" w:rsidP="00467DE4">
      <w:pPr>
        <w:numPr>
          <w:ilvl w:val="0"/>
          <w:numId w:val="5"/>
        </w:numPr>
        <w:spacing w:before="100" w:beforeAutospacing="1" w:after="100" w:afterAutospacing="1" w:line="240" w:lineRule="auto"/>
        <w:jc w:val="both"/>
        <w:rPr>
          <w:rFonts w:eastAsia="Times New Roman" w:cs="Times New Roman"/>
          <w:kern w:val="0"/>
          <w:szCs w:val="24"/>
          <w14:ligatures w14:val="none"/>
        </w:rPr>
      </w:pPr>
      <w:r w:rsidRPr="009F43C1">
        <w:rPr>
          <w:rFonts w:eastAsia="Times New Roman" w:cs="Times New Roman"/>
          <w:b/>
          <w:bCs/>
          <w:kern w:val="0"/>
          <w:szCs w:val="24"/>
          <w14:ligatures w14:val="none"/>
        </w:rPr>
        <w:t>Deploy AI-Driven Defensive Automation:</w:t>
      </w:r>
      <w:r w:rsidRPr="009F43C1">
        <w:rPr>
          <w:rFonts w:eastAsia="Times New Roman" w:cs="Times New Roman"/>
          <w:kern w:val="0"/>
          <w:szCs w:val="24"/>
          <w14:ligatures w14:val="none"/>
        </w:rPr>
        <w:t xml:space="preserve"> To counter machine-speed, deepfake-assisted social engineering campaigns, telecommunications and banking infrastructure must integrate agentic AI-threat modeling into their Security Operations Centers (SOCs). Cyber defense must evolve from a reactive stance to real-time, predictive asset monitoring.</w:t>
      </w:r>
    </w:p>
    <w:p w14:paraId="420C902A" w14:textId="77777777" w:rsidR="009F43C1" w:rsidRDefault="009F43C1" w:rsidP="00467DE4">
      <w:pPr>
        <w:numPr>
          <w:ilvl w:val="0"/>
          <w:numId w:val="5"/>
        </w:numPr>
        <w:spacing w:before="100" w:beforeAutospacing="1" w:after="100" w:afterAutospacing="1" w:line="240" w:lineRule="auto"/>
        <w:jc w:val="both"/>
        <w:rPr>
          <w:rFonts w:eastAsia="Times New Roman" w:cs="Times New Roman"/>
          <w:kern w:val="0"/>
          <w:szCs w:val="24"/>
          <w14:ligatures w14:val="none"/>
        </w:rPr>
      </w:pPr>
      <w:r w:rsidRPr="009F43C1">
        <w:rPr>
          <w:rFonts w:eastAsia="Times New Roman" w:cs="Times New Roman"/>
          <w:b/>
          <w:bCs/>
          <w:kern w:val="0"/>
          <w:szCs w:val="24"/>
          <w14:ligatures w14:val="none"/>
        </w:rPr>
        <w:t>Enforce Secure API Integration for Inclusive Gateways:</w:t>
      </w:r>
      <w:r w:rsidRPr="009F43C1">
        <w:rPr>
          <w:rFonts w:eastAsia="Times New Roman" w:cs="Times New Roman"/>
          <w:kern w:val="0"/>
          <w:szCs w:val="24"/>
          <w14:ligatures w14:val="none"/>
        </w:rPr>
        <w:t xml:space="preserve"> Public-private payment pathways and e-government cloud infrastructures must undergo mandatory, continuous cryptographic penetration testing to eradicate system misconfigurations—the primary entry point for modern Advanced Persistent Threats (APTs).</w:t>
      </w:r>
    </w:p>
    <w:p w14:paraId="4869D8A6" w14:textId="77777777" w:rsidR="009F43C1" w:rsidRPr="009F43C1" w:rsidRDefault="009F43C1" w:rsidP="00467DE4">
      <w:pPr>
        <w:spacing w:after="100" w:afterAutospacing="1" w:line="240" w:lineRule="auto"/>
        <w:jc w:val="both"/>
        <w:outlineLvl w:val="2"/>
        <w:rPr>
          <w:rFonts w:eastAsia="Times New Roman" w:cs="Times New Roman"/>
          <w:b/>
          <w:bCs/>
          <w:kern w:val="0"/>
          <w:sz w:val="27"/>
          <w:szCs w:val="27"/>
          <w14:ligatures w14:val="none"/>
        </w:rPr>
      </w:pPr>
      <w:r w:rsidRPr="009F43C1">
        <w:rPr>
          <w:rFonts w:eastAsia="Times New Roman" w:cs="Times New Roman"/>
          <w:b/>
          <w:bCs/>
          <w:kern w:val="0"/>
          <w:sz w:val="27"/>
          <w:szCs w:val="27"/>
          <w14:ligatures w14:val="none"/>
        </w:rPr>
        <w:t>Capacity Building and Regional Integration (For "Kenya and Beyond")</w:t>
      </w:r>
    </w:p>
    <w:p w14:paraId="1FA92F13" w14:textId="77777777" w:rsidR="009F43C1" w:rsidRPr="009F43C1" w:rsidRDefault="009F43C1" w:rsidP="00467DE4">
      <w:pPr>
        <w:numPr>
          <w:ilvl w:val="0"/>
          <w:numId w:val="6"/>
        </w:numPr>
        <w:spacing w:after="100" w:afterAutospacing="1" w:line="240" w:lineRule="auto"/>
        <w:jc w:val="both"/>
        <w:rPr>
          <w:rFonts w:eastAsia="Times New Roman" w:cs="Times New Roman"/>
          <w:kern w:val="0"/>
          <w:szCs w:val="24"/>
          <w14:ligatures w14:val="none"/>
        </w:rPr>
      </w:pPr>
      <w:r w:rsidRPr="009F43C1">
        <w:rPr>
          <w:rFonts w:eastAsia="Times New Roman" w:cs="Times New Roman"/>
          <w:b/>
          <w:bCs/>
          <w:kern w:val="0"/>
          <w:szCs w:val="24"/>
          <w14:ligatures w14:val="none"/>
        </w:rPr>
        <w:t>Democratize Rural Cyber-Hygiene Literacy:</w:t>
      </w:r>
      <w:r w:rsidRPr="009F43C1">
        <w:rPr>
          <w:rFonts w:eastAsia="Times New Roman" w:cs="Times New Roman"/>
          <w:kern w:val="0"/>
          <w:szCs w:val="24"/>
          <w14:ligatures w14:val="none"/>
        </w:rPr>
        <w:t xml:space="preserve"> The ICT Authority, in collaboration with academic networks, should decentralize cybersecurity training to local village digital hubs. Citizens must be equipped with baseline structural skills to recognize generative AI-phishing kits, transforming the public from the weakest security link into an active defensive shield. </w:t>
      </w:r>
    </w:p>
    <w:p w14:paraId="387FAC6B" w14:textId="77777777" w:rsidR="009F43C1" w:rsidRPr="009F43C1" w:rsidRDefault="009F43C1" w:rsidP="00467DE4">
      <w:pPr>
        <w:numPr>
          <w:ilvl w:val="0"/>
          <w:numId w:val="6"/>
        </w:numPr>
        <w:spacing w:after="100" w:afterAutospacing="1" w:line="240" w:lineRule="auto"/>
        <w:jc w:val="both"/>
        <w:rPr>
          <w:rFonts w:eastAsia="Times New Roman" w:cs="Times New Roman"/>
          <w:kern w:val="0"/>
          <w:szCs w:val="24"/>
          <w14:ligatures w14:val="none"/>
        </w:rPr>
      </w:pPr>
      <w:r w:rsidRPr="009F43C1">
        <w:rPr>
          <w:rFonts w:eastAsia="Times New Roman" w:cs="Times New Roman"/>
          <w:b/>
          <w:bCs/>
          <w:kern w:val="0"/>
          <w:szCs w:val="24"/>
          <w14:ligatures w14:val="none"/>
        </w:rPr>
        <w:t>Harmonize Cross-Border Cyber-Doctrines:</w:t>
      </w:r>
      <w:r w:rsidRPr="009F43C1">
        <w:rPr>
          <w:rFonts w:eastAsia="Times New Roman" w:cs="Times New Roman"/>
          <w:kern w:val="0"/>
          <w:szCs w:val="24"/>
          <w14:ligatures w14:val="none"/>
        </w:rPr>
        <w:t xml:space="preserve"> To scale innovations seamlessly across East Africa, regional bodies must actively unify data-localization policies, tax structures, and mutual threat-intelligence sharing protocols. Harmonizing regional frameworks will create a singular, secure, predictable digital macro-environment that attracts sustainable international tech investments.</w:t>
      </w:r>
    </w:p>
    <w:p w14:paraId="356194BC" w14:textId="77777777" w:rsidR="009F43C1" w:rsidRDefault="009F43C1" w:rsidP="00467DE4">
      <w:pPr>
        <w:spacing w:before="100" w:beforeAutospacing="1" w:after="100" w:afterAutospacing="1" w:line="240" w:lineRule="auto"/>
        <w:ind w:left="720"/>
        <w:jc w:val="both"/>
        <w:rPr>
          <w:rFonts w:eastAsia="Times New Roman" w:cs="Times New Roman"/>
          <w:kern w:val="0"/>
          <w:szCs w:val="24"/>
          <w14:ligatures w14:val="none"/>
        </w:rPr>
      </w:pPr>
    </w:p>
    <w:p w14:paraId="1CB71028" w14:textId="77777777" w:rsidR="00CB3CB8" w:rsidRDefault="00CB3CB8" w:rsidP="009F43C1">
      <w:pPr>
        <w:spacing w:before="100" w:beforeAutospacing="1" w:after="100" w:afterAutospacing="1" w:line="240" w:lineRule="auto"/>
        <w:ind w:left="720"/>
        <w:rPr>
          <w:rFonts w:eastAsia="Times New Roman" w:cs="Times New Roman"/>
          <w:kern w:val="0"/>
          <w:szCs w:val="24"/>
          <w14:ligatures w14:val="none"/>
        </w:rPr>
      </w:pPr>
    </w:p>
    <w:p w14:paraId="5EBA5FC1" w14:textId="77777777" w:rsidR="00CB3CB8" w:rsidRDefault="00CB3CB8" w:rsidP="009F43C1">
      <w:pPr>
        <w:spacing w:before="100" w:beforeAutospacing="1" w:after="100" w:afterAutospacing="1" w:line="240" w:lineRule="auto"/>
        <w:ind w:left="720"/>
        <w:rPr>
          <w:rFonts w:eastAsia="Times New Roman" w:cs="Times New Roman"/>
          <w:kern w:val="0"/>
          <w:szCs w:val="24"/>
          <w14:ligatures w14:val="none"/>
        </w:rPr>
      </w:pPr>
    </w:p>
    <w:p w14:paraId="05B78E74" w14:textId="77777777" w:rsidR="00CB3CB8" w:rsidRDefault="00CB3CB8" w:rsidP="009F43C1">
      <w:pPr>
        <w:spacing w:before="100" w:beforeAutospacing="1" w:after="100" w:afterAutospacing="1" w:line="240" w:lineRule="auto"/>
        <w:ind w:left="720"/>
        <w:rPr>
          <w:rFonts w:eastAsia="Times New Roman" w:cs="Times New Roman"/>
          <w:kern w:val="0"/>
          <w:szCs w:val="24"/>
          <w14:ligatures w14:val="none"/>
        </w:rPr>
      </w:pPr>
    </w:p>
    <w:p w14:paraId="619741E0" w14:textId="77777777" w:rsidR="00CB3CB8" w:rsidRDefault="00CB3CB8" w:rsidP="009F43C1">
      <w:pPr>
        <w:spacing w:before="100" w:beforeAutospacing="1" w:after="100" w:afterAutospacing="1" w:line="240" w:lineRule="auto"/>
        <w:ind w:left="720"/>
        <w:rPr>
          <w:rFonts w:eastAsia="Times New Roman" w:cs="Times New Roman"/>
          <w:kern w:val="0"/>
          <w:szCs w:val="24"/>
          <w14:ligatures w14:val="none"/>
        </w:rPr>
      </w:pPr>
    </w:p>
    <w:p w14:paraId="2BDA51E4" w14:textId="77777777" w:rsidR="00CB3CB8" w:rsidRDefault="00CB3CB8" w:rsidP="009F43C1">
      <w:pPr>
        <w:spacing w:before="100" w:beforeAutospacing="1" w:after="100" w:afterAutospacing="1" w:line="240" w:lineRule="auto"/>
        <w:ind w:left="720"/>
        <w:rPr>
          <w:rFonts w:eastAsia="Times New Roman" w:cs="Times New Roman"/>
          <w:kern w:val="0"/>
          <w:szCs w:val="24"/>
          <w14:ligatures w14:val="none"/>
        </w:rPr>
      </w:pPr>
    </w:p>
    <w:p w14:paraId="7EDBEEE2" w14:textId="77777777" w:rsidR="00CB3CB8" w:rsidRDefault="00CB3CB8" w:rsidP="009F43C1">
      <w:pPr>
        <w:spacing w:before="100" w:beforeAutospacing="1" w:after="100" w:afterAutospacing="1" w:line="240" w:lineRule="auto"/>
        <w:ind w:left="720"/>
        <w:rPr>
          <w:rFonts w:eastAsia="Times New Roman" w:cs="Times New Roman"/>
          <w:kern w:val="0"/>
          <w:szCs w:val="24"/>
          <w14:ligatures w14:val="none"/>
        </w:rPr>
      </w:pPr>
    </w:p>
    <w:p w14:paraId="79D88D7D" w14:textId="77777777" w:rsidR="00467DE4" w:rsidRDefault="00467DE4" w:rsidP="009F43C1">
      <w:pPr>
        <w:spacing w:before="100" w:beforeAutospacing="1" w:after="100" w:afterAutospacing="1" w:line="240" w:lineRule="auto"/>
        <w:ind w:left="720"/>
        <w:rPr>
          <w:rFonts w:eastAsia="Times New Roman" w:cs="Times New Roman"/>
          <w:kern w:val="0"/>
          <w:szCs w:val="24"/>
          <w14:ligatures w14:val="none"/>
        </w:rPr>
      </w:pPr>
    </w:p>
    <w:p w14:paraId="792120FB" w14:textId="77777777" w:rsidR="00CB3CB8" w:rsidRDefault="00CB3CB8" w:rsidP="009F43C1">
      <w:pPr>
        <w:spacing w:before="100" w:beforeAutospacing="1" w:after="100" w:afterAutospacing="1" w:line="240" w:lineRule="auto"/>
        <w:ind w:left="720"/>
        <w:rPr>
          <w:rFonts w:eastAsia="Times New Roman" w:cs="Times New Roman"/>
          <w:kern w:val="0"/>
          <w:szCs w:val="24"/>
          <w14:ligatures w14:val="none"/>
        </w:rPr>
      </w:pPr>
    </w:p>
    <w:p w14:paraId="6CA310FC" w14:textId="77777777" w:rsidR="00CB3CB8" w:rsidRDefault="00CB3CB8" w:rsidP="009F43C1">
      <w:pPr>
        <w:spacing w:before="100" w:beforeAutospacing="1" w:after="100" w:afterAutospacing="1" w:line="240" w:lineRule="auto"/>
        <w:ind w:left="720"/>
        <w:rPr>
          <w:rFonts w:eastAsia="Times New Roman" w:cs="Times New Roman"/>
          <w:kern w:val="0"/>
          <w:szCs w:val="24"/>
          <w14:ligatures w14:val="none"/>
        </w:rPr>
      </w:pPr>
    </w:p>
    <w:p w14:paraId="2FA9EC79" w14:textId="77777777" w:rsidR="00CB3CB8" w:rsidRPr="009F43C1" w:rsidRDefault="00CB3CB8" w:rsidP="009F43C1">
      <w:pPr>
        <w:spacing w:before="100" w:beforeAutospacing="1" w:after="100" w:afterAutospacing="1" w:line="240" w:lineRule="auto"/>
        <w:ind w:left="720"/>
        <w:rPr>
          <w:rFonts w:eastAsia="Times New Roman" w:cs="Times New Roman"/>
          <w:kern w:val="0"/>
          <w:szCs w:val="24"/>
          <w14:ligatures w14:val="none"/>
        </w:rPr>
      </w:pPr>
    </w:p>
    <w:p w14:paraId="5F808A35" w14:textId="77777777" w:rsidR="006C25B5" w:rsidRPr="006C25B5" w:rsidRDefault="006C25B5" w:rsidP="006C25B5">
      <w:pPr>
        <w:jc w:val="both"/>
        <w:rPr>
          <w:b/>
          <w:bCs/>
        </w:rPr>
      </w:pPr>
      <w:r w:rsidRPr="006C25B5">
        <w:rPr>
          <w:b/>
          <w:bCs/>
        </w:rPr>
        <w:lastRenderedPageBreak/>
        <w:t>References</w:t>
      </w:r>
    </w:p>
    <w:p w14:paraId="4FE159DD" w14:textId="77777777" w:rsidR="00537B84" w:rsidRPr="00537B84" w:rsidRDefault="00537B84" w:rsidP="00537B84">
      <w:pPr>
        <w:jc w:val="both"/>
      </w:pPr>
      <w:r w:rsidRPr="00537B84">
        <w:t xml:space="preserve">African Union Commission. (2024). </w:t>
      </w:r>
      <w:r w:rsidRPr="00537B84">
        <w:rPr>
          <w:i/>
          <w:iCs/>
        </w:rPr>
        <w:t>The African Union continental artificial intelligence strategy: Driving innovation and fostering trust across Africa</w:t>
      </w:r>
      <w:r w:rsidRPr="00537B84">
        <w:t>. African Union Publishing.</w:t>
      </w:r>
    </w:p>
    <w:p w14:paraId="13414CD4" w14:textId="77777777" w:rsidR="00537B84" w:rsidRPr="00537B84" w:rsidRDefault="00537B84" w:rsidP="00537B84">
      <w:pPr>
        <w:jc w:val="both"/>
      </w:pPr>
      <w:r w:rsidRPr="00537B84">
        <w:t xml:space="preserve">Communications Authority of Kenya. (2025). </w:t>
      </w:r>
      <w:r w:rsidRPr="00537B84">
        <w:rPr>
          <w:i/>
          <w:iCs/>
        </w:rPr>
        <w:t>National cyber threat landscape report: Second quarter financial year 2024/2025</w:t>
      </w:r>
      <w:r w:rsidRPr="00537B84">
        <w:t>. National KE-CIRT/CC.</w:t>
      </w:r>
    </w:p>
    <w:p w14:paraId="4B2D16D0" w14:textId="77777777" w:rsidR="00537B84" w:rsidRPr="00537B84" w:rsidRDefault="00537B84" w:rsidP="00537B84">
      <w:pPr>
        <w:jc w:val="both"/>
      </w:pPr>
      <w:r w:rsidRPr="00537B84">
        <w:t xml:space="preserve">EY Global Tax News. (2025). </w:t>
      </w:r>
      <w:r w:rsidRPr="00537B84">
        <w:rPr>
          <w:i/>
          <w:iCs/>
        </w:rPr>
        <w:t>Kenya releases the national AI strategy 2025–2030: Implications for cross-border data compliance and regulation</w:t>
      </w:r>
      <w:r w:rsidRPr="00537B84">
        <w:t xml:space="preserve">. Ernst &amp; Young Global. </w:t>
      </w:r>
      <w:hyperlink r:id="rId6" w:tgtFrame="_new" w:history="1">
        <w:r w:rsidRPr="00537B84">
          <w:rPr>
            <w:rStyle w:val="Hyperlink"/>
          </w:rPr>
          <w:t>https://globaltaxnews.ey.com/news/2025-2193-kenya-releases-the-national-ai-strategy-2025-2030</w:t>
        </w:r>
      </w:hyperlink>
    </w:p>
    <w:p w14:paraId="1BD11370" w14:textId="77777777" w:rsidR="00537B84" w:rsidRPr="00537B84" w:rsidRDefault="00537B84" w:rsidP="00537B84">
      <w:pPr>
        <w:jc w:val="both"/>
      </w:pPr>
      <w:r w:rsidRPr="00537B84">
        <w:t xml:space="preserve">Government of Kenya. (2025). </w:t>
      </w:r>
      <w:r w:rsidRPr="00537B84">
        <w:rPr>
          <w:i/>
          <w:iCs/>
        </w:rPr>
        <w:t>Kenya national artificial intelligence strategy (2025–2030)</w:t>
      </w:r>
      <w:r w:rsidRPr="00537B84">
        <w:t>. Ministry of Information, Communications and the Digital Economy.</w:t>
      </w:r>
    </w:p>
    <w:p w14:paraId="3EE37C6A" w14:textId="77777777" w:rsidR="00537B84" w:rsidRPr="00537B84" w:rsidRDefault="00537B84" w:rsidP="00537B84">
      <w:pPr>
        <w:jc w:val="both"/>
      </w:pPr>
      <w:r w:rsidRPr="00537B84">
        <w:t xml:space="preserve">International Telecommunication Union. (2023). </w:t>
      </w:r>
      <w:r w:rsidRPr="00537B84">
        <w:rPr>
          <w:i/>
          <w:iCs/>
        </w:rPr>
        <w:t>AI for good: Harnessing artificial intelligence to accelerate sustainable development in Africa</w:t>
      </w:r>
      <w:r w:rsidRPr="00537B84">
        <w:t>. ITU Publications.</w:t>
      </w:r>
    </w:p>
    <w:p w14:paraId="3828C859" w14:textId="77777777" w:rsidR="00537B84" w:rsidRPr="00537B84" w:rsidRDefault="00537B84" w:rsidP="00537B84">
      <w:pPr>
        <w:jc w:val="both"/>
      </w:pPr>
      <w:r w:rsidRPr="00537B84">
        <w:t xml:space="preserve">Kariuki, J., &amp; </w:t>
      </w:r>
      <w:proofErr w:type="spellStart"/>
      <w:r w:rsidRPr="00537B84">
        <w:t>Waema</w:t>
      </w:r>
      <w:proofErr w:type="spellEnd"/>
      <w:r w:rsidRPr="00537B84">
        <w:t xml:space="preserve">, T. (2023). Digital transformation and policy readiness in Kenya: Opportunities and risks of artificial intelligence adoption. </w:t>
      </w:r>
      <w:r w:rsidRPr="00537B84">
        <w:rPr>
          <w:i/>
          <w:iCs/>
        </w:rPr>
        <w:t>African Journal of Information Systems, 15</w:t>
      </w:r>
      <w:r w:rsidRPr="00537B84">
        <w:t>(2), 45–62.</w:t>
      </w:r>
    </w:p>
    <w:p w14:paraId="0F9AD002" w14:textId="77777777" w:rsidR="00537B84" w:rsidRPr="00537B84" w:rsidRDefault="00537B84" w:rsidP="00537B84">
      <w:pPr>
        <w:jc w:val="both"/>
      </w:pPr>
      <w:r w:rsidRPr="00537B84">
        <w:t xml:space="preserve">Kenya National Bureau of Statistics. (2024). </w:t>
      </w:r>
      <w:r w:rsidRPr="00537B84">
        <w:rPr>
          <w:i/>
          <w:iCs/>
        </w:rPr>
        <w:t>Economic survey 2024: Digital economy and ICT sector performance</w:t>
      </w:r>
      <w:r w:rsidRPr="00537B84">
        <w:t>. KNBS.</w:t>
      </w:r>
    </w:p>
    <w:p w14:paraId="412A8FC1" w14:textId="77777777" w:rsidR="00537B84" w:rsidRPr="00537B84" w:rsidRDefault="00537B84" w:rsidP="00537B84">
      <w:pPr>
        <w:jc w:val="both"/>
      </w:pPr>
      <w:proofErr w:type="spellStart"/>
      <w:r w:rsidRPr="00537B84">
        <w:t>Kwet</w:t>
      </w:r>
      <w:proofErr w:type="spellEnd"/>
      <w:r w:rsidRPr="00537B84">
        <w:t xml:space="preserve">, M. (2022). Digital colonialism in Africa: How big tech is shaping the continent’s AI future. </w:t>
      </w:r>
      <w:r w:rsidRPr="00537B84">
        <w:rPr>
          <w:i/>
          <w:iCs/>
        </w:rPr>
        <w:t>Journal of African Media Studies, 14</w:t>
      </w:r>
      <w:r w:rsidRPr="00537B84">
        <w:t>(1), 87–104. https://doi.org/10.1386/jams_00048_1</w:t>
      </w:r>
    </w:p>
    <w:p w14:paraId="18D9AD57" w14:textId="77777777" w:rsidR="00537B84" w:rsidRPr="00537B84" w:rsidRDefault="00537B84" w:rsidP="00537B84">
      <w:pPr>
        <w:jc w:val="both"/>
      </w:pPr>
      <w:r w:rsidRPr="00537B84">
        <w:t xml:space="preserve">Ministry of ICT, Innovation and Youth Affairs. (2022). </w:t>
      </w:r>
      <w:r w:rsidRPr="00537B84">
        <w:rPr>
          <w:i/>
          <w:iCs/>
        </w:rPr>
        <w:t>Digital economy blueprint: Kenya’s vision for inclusive digital transformation</w:t>
      </w:r>
      <w:r w:rsidRPr="00537B84">
        <w:t>. Government Printer.</w:t>
      </w:r>
    </w:p>
    <w:p w14:paraId="71DBAE5B" w14:textId="77777777" w:rsidR="00537B84" w:rsidRPr="00537B84" w:rsidRDefault="00537B84" w:rsidP="00537B84">
      <w:pPr>
        <w:jc w:val="both"/>
      </w:pPr>
      <w:proofErr w:type="spellStart"/>
      <w:r w:rsidRPr="00537B84">
        <w:t>Ndemo</w:t>
      </w:r>
      <w:proofErr w:type="spellEnd"/>
      <w:r w:rsidRPr="00537B84">
        <w:t xml:space="preserve">, B., &amp; Weiss, T. (2023). </w:t>
      </w:r>
      <w:r w:rsidRPr="00537B84">
        <w:rPr>
          <w:i/>
          <w:iCs/>
        </w:rPr>
        <w:t>Digital Kenya: An entrepreneurial revolution in the making</w:t>
      </w:r>
      <w:r w:rsidRPr="00537B84">
        <w:t xml:space="preserve"> (2nd ed.). Palgrave Macmillan.</w:t>
      </w:r>
    </w:p>
    <w:p w14:paraId="13BCCB67" w14:textId="77777777" w:rsidR="00537B84" w:rsidRPr="00537B84" w:rsidRDefault="00537B84" w:rsidP="00537B84">
      <w:pPr>
        <w:jc w:val="both"/>
      </w:pPr>
      <w:r w:rsidRPr="00537B84">
        <w:t xml:space="preserve">OECD. (2024). </w:t>
      </w:r>
      <w:r w:rsidRPr="00537B84">
        <w:rPr>
          <w:i/>
          <w:iCs/>
        </w:rPr>
        <w:t>Artificial intelligence, data governance and cybersecurity in emerging economies</w:t>
      </w:r>
      <w:r w:rsidRPr="00537B84">
        <w:t>. OECD Publishing. https://doi.org/10.1787/ai-emerging-economies-2024</w:t>
      </w:r>
    </w:p>
    <w:p w14:paraId="4CD3E916" w14:textId="77777777" w:rsidR="00537B84" w:rsidRPr="00537B84" w:rsidRDefault="00537B84" w:rsidP="00537B84">
      <w:pPr>
        <w:jc w:val="both"/>
      </w:pPr>
      <w:r w:rsidRPr="00537B84">
        <w:t xml:space="preserve">Office of the Data Protection Commissioner. (2024). </w:t>
      </w:r>
      <w:r w:rsidRPr="00537B84">
        <w:rPr>
          <w:i/>
          <w:iCs/>
        </w:rPr>
        <w:t xml:space="preserve">Guidance </w:t>
      </w:r>
      <w:proofErr w:type="gramStart"/>
      <w:r w:rsidRPr="00537B84">
        <w:rPr>
          <w:i/>
          <w:iCs/>
        </w:rPr>
        <w:t>note</w:t>
      </w:r>
      <w:proofErr w:type="gramEnd"/>
      <w:r w:rsidRPr="00537B84">
        <w:rPr>
          <w:i/>
          <w:iCs/>
        </w:rPr>
        <w:t xml:space="preserve"> on processing personal data through automated decision-making and artificial intelligence systems</w:t>
      </w:r>
      <w:r w:rsidRPr="00537B84">
        <w:t>. ODPC Kenya.</w:t>
      </w:r>
    </w:p>
    <w:p w14:paraId="78A1D372" w14:textId="77777777" w:rsidR="00537B84" w:rsidRPr="00537B84" w:rsidRDefault="00537B84" w:rsidP="00537B84">
      <w:pPr>
        <w:jc w:val="both"/>
      </w:pPr>
      <w:r w:rsidRPr="00537B84">
        <w:t xml:space="preserve">PECB. (2026). </w:t>
      </w:r>
      <w:r w:rsidRPr="00537B84">
        <w:rPr>
          <w:i/>
          <w:iCs/>
        </w:rPr>
        <w:t>Cybersecurity and AI trends for 2026 in Africa: From experimentation to digital resilience</w:t>
      </w:r>
      <w:r w:rsidRPr="00537B84">
        <w:t xml:space="preserve">. Professional Evaluation and Certification Board. </w:t>
      </w:r>
      <w:hyperlink r:id="rId7" w:tgtFrame="_new" w:history="1">
        <w:r w:rsidRPr="00537B84">
          <w:rPr>
            <w:rStyle w:val="Hyperlink"/>
          </w:rPr>
          <w:t>https://pecb.com/en/article/cybersecurity-and-ai-trends-for-2026-in-africa</w:t>
        </w:r>
      </w:hyperlink>
    </w:p>
    <w:p w14:paraId="7339B02D" w14:textId="77777777" w:rsidR="00537B84" w:rsidRPr="00537B84" w:rsidRDefault="00537B84" w:rsidP="00537B84">
      <w:pPr>
        <w:jc w:val="both"/>
      </w:pPr>
      <w:r w:rsidRPr="00537B84">
        <w:lastRenderedPageBreak/>
        <w:t xml:space="preserve">Republic of Kenya. (2022). </w:t>
      </w:r>
      <w:r w:rsidRPr="00537B84">
        <w:rPr>
          <w:i/>
          <w:iCs/>
        </w:rPr>
        <w:t>The Kenya national digital master plan (2022–2032)</w:t>
      </w:r>
      <w:r w:rsidRPr="00537B84">
        <w:t>. ICT Authority, Ministry of Information, Communications and the Digital Economy.</w:t>
      </w:r>
    </w:p>
    <w:p w14:paraId="0728A09E" w14:textId="77777777" w:rsidR="00537B84" w:rsidRPr="00537B84" w:rsidRDefault="00537B84" w:rsidP="00537B84">
      <w:pPr>
        <w:jc w:val="both"/>
      </w:pPr>
      <w:proofErr w:type="spellStart"/>
      <w:r w:rsidRPr="00537B84">
        <w:t>Serianu</w:t>
      </w:r>
      <w:proofErr w:type="spellEnd"/>
      <w:r w:rsidRPr="00537B84">
        <w:t xml:space="preserve">. (2025). </w:t>
      </w:r>
      <w:r w:rsidRPr="00537B84">
        <w:rPr>
          <w:i/>
          <w:iCs/>
        </w:rPr>
        <w:t>Africa cybersecurity report – Kenya 2024/2025: Navigating cloud adoption, AI integration, and systemic trust</w:t>
      </w:r>
      <w:r w:rsidRPr="00537B84">
        <w:t xml:space="preserve">. </w:t>
      </w:r>
      <w:proofErr w:type="spellStart"/>
      <w:r w:rsidRPr="00537B84">
        <w:t>Serianu</w:t>
      </w:r>
      <w:proofErr w:type="spellEnd"/>
      <w:r w:rsidRPr="00537B84">
        <w:t xml:space="preserve"> Cyber Intelligence. </w:t>
      </w:r>
      <w:hyperlink r:id="rId8" w:tgtFrame="_new" w:history="1">
        <w:r w:rsidRPr="00537B84">
          <w:rPr>
            <w:rStyle w:val="Hyperlink"/>
          </w:rPr>
          <w:t>https://www.serianu.com/downloads/Africa%20Cybersecurity%20Report%20-%20Kenya.pdf</w:t>
        </w:r>
      </w:hyperlink>
    </w:p>
    <w:p w14:paraId="3CA68106" w14:textId="77777777" w:rsidR="00537B84" w:rsidRPr="00537B84" w:rsidRDefault="00537B84" w:rsidP="00537B84">
      <w:pPr>
        <w:jc w:val="both"/>
      </w:pPr>
      <w:r w:rsidRPr="00537B84">
        <w:t xml:space="preserve">UNESCO. (2023). </w:t>
      </w:r>
      <w:r w:rsidRPr="00537B84">
        <w:rPr>
          <w:i/>
          <w:iCs/>
        </w:rPr>
        <w:t>Ethics of artificial intelligence in Africa: Policy readiness and governance frameworks</w:t>
      </w:r>
      <w:r w:rsidRPr="00537B84">
        <w:t>. UNESCO Publishing.</w:t>
      </w:r>
    </w:p>
    <w:p w14:paraId="5AB0A2C9" w14:textId="77777777" w:rsidR="00537B84" w:rsidRPr="00537B84" w:rsidRDefault="00537B84" w:rsidP="00537B84">
      <w:pPr>
        <w:jc w:val="both"/>
      </w:pPr>
      <w:r w:rsidRPr="00537B84">
        <w:t xml:space="preserve">United Nations Conference on Trade and Development. (2023). </w:t>
      </w:r>
      <w:r w:rsidRPr="00537B84">
        <w:rPr>
          <w:i/>
          <w:iCs/>
        </w:rPr>
        <w:t>Digital economy report 2023: AI, data, and development</w:t>
      </w:r>
      <w:r w:rsidRPr="00537B84">
        <w:t>. UNCTAD. https://unctad.org/publication/digital-economy-report-2023</w:t>
      </w:r>
    </w:p>
    <w:p w14:paraId="4561F088" w14:textId="77777777" w:rsidR="00537B84" w:rsidRPr="00537B84" w:rsidRDefault="00537B84" w:rsidP="00537B84">
      <w:pPr>
        <w:jc w:val="both"/>
      </w:pPr>
      <w:r w:rsidRPr="00537B84">
        <w:t xml:space="preserve">World Bank. (2024). </w:t>
      </w:r>
      <w:r w:rsidRPr="00537B84">
        <w:rPr>
          <w:i/>
          <w:iCs/>
        </w:rPr>
        <w:t>Digital development in Africa: Leveraging AI for inclusive growth</w:t>
      </w:r>
      <w:r w:rsidRPr="00537B84">
        <w:t>. World Bank Publications. https://doi.org/10.1596/978-1-4648-1945-5</w:t>
      </w:r>
    </w:p>
    <w:p w14:paraId="59556061" w14:textId="77777777" w:rsidR="00537B84" w:rsidRPr="00537B84" w:rsidRDefault="00537B84" w:rsidP="00537B84">
      <w:pPr>
        <w:jc w:val="both"/>
      </w:pPr>
      <w:r w:rsidRPr="00537B84">
        <w:t xml:space="preserve">World Economic Forum. (2023). </w:t>
      </w:r>
      <w:r w:rsidRPr="00537B84">
        <w:rPr>
          <w:i/>
          <w:iCs/>
        </w:rPr>
        <w:t>Global cybersecurity outlook 2023: Insights for Africa and emerging markets</w:t>
      </w:r>
      <w:r w:rsidRPr="00537B84">
        <w:t xml:space="preserve">. WEF. </w:t>
      </w:r>
      <w:hyperlink r:id="rId9" w:tgtFrame="_new" w:history="1">
        <w:r w:rsidRPr="00537B84">
          <w:rPr>
            <w:rStyle w:val="Hyperlink"/>
          </w:rPr>
          <w:t>https://www.weforum.org/reports/global-cybersecurity-outlook-2023</w:t>
        </w:r>
      </w:hyperlink>
    </w:p>
    <w:p w14:paraId="5CA4ACD1" w14:textId="77777777" w:rsidR="009F43C1" w:rsidRPr="00A45F6D" w:rsidRDefault="009F43C1" w:rsidP="0069772D">
      <w:pPr>
        <w:jc w:val="both"/>
      </w:pPr>
    </w:p>
    <w:sectPr w:rsidR="009F43C1" w:rsidRPr="00A45F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546B0"/>
    <w:multiLevelType w:val="hybridMultilevel"/>
    <w:tmpl w:val="28523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25DC8"/>
    <w:multiLevelType w:val="multilevel"/>
    <w:tmpl w:val="34B2F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E3AE9"/>
    <w:multiLevelType w:val="multilevel"/>
    <w:tmpl w:val="99A86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61F07"/>
    <w:multiLevelType w:val="hybridMultilevel"/>
    <w:tmpl w:val="E9A85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1C0AA6"/>
    <w:multiLevelType w:val="hybridMultilevel"/>
    <w:tmpl w:val="41501A9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152D21AF"/>
    <w:multiLevelType w:val="multilevel"/>
    <w:tmpl w:val="BD7E1BF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AB12D8D"/>
    <w:multiLevelType w:val="multilevel"/>
    <w:tmpl w:val="3F7CD060"/>
    <w:lvl w:ilvl="0">
      <w:start w:val="1"/>
      <w:numFmt w:val="upperRoman"/>
      <w:lvlText w:val="%1."/>
      <w:lvlJc w:val="righ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 w15:restartNumberingAfterBreak="0">
    <w:nsid w:val="1FA400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F572CC"/>
    <w:multiLevelType w:val="multilevel"/>
    <w:tmpl w:val="B7AA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192E8B"/>
    <w:multiLevelType w:val="multilevel"/>
    <w:tmpl w:val="68E6E0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2215667"/>
    <w:multiLevelType w:val="multilevel"/>
    <w:tmpl w:val="68E6E0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BC5292F"/>
    <w:multiLevelType w:val="multilevel"/>
    <w:tmpl w:val="3C34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7F065B"/>
    <w:multiLevelType w:val="multilevel"/>
    <w:tmpl w:val="0732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D87A93"/>
    <w:multiLevelType w:val="multilevel"/>
    <w:tmpl w:val="5512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13484C"/>
    <w:multiLevelType w:val="multilevel"/>
    <w:tmpl w:val="620E2C3A"/>
    <w:lvl w:ilvl="0">
      <w:start w:val="1"/>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80336E4"/>
    <w:multiLevelType w:val="hybridMultilevel"/>
    <w:tmpl w:val="052E2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734F15"/>
    <w:multiLevelType w:val="hybridMultilevel"/>
    <w:tmpl w:val="C60C68D2"/>
    <w:lvl w:ilvl="0" w:tplc="56E4BC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9123691">
    <w:abstractNumId w:val="4"/>
  </w:num>
  <w:num w:numId="2" w16cid:durableId="1044409675">
    <w:abstractNumId w:val="8"/>
  </w:num>
  <w:num w:numId="3" w16cid:durableId="2116172414">
    <w:abstractNumId w:val="11"/>
  </w:num>
  <w:num w:numId="4" w16cid:durableId="1363239607">
    <w:abstractNumId w:val="12"/>
  </w:num>
  <w:num w:numId="5" w16cid:durableId="123811872">
    <w:abstractNumId w:val="2"/>
  </w:num>
  <w:num w:numId="6" w16cid:durableId="398212560">
    <w:abstractNumId w:val="13"/>
  </w:num>
  <w:num w:numId="7" w16cid:durableId="739519446">
    <w:abstractNumId w:val="1"/>
  </w:num>
  <w:num w:numId="8" w16cid:durableId="163520381">
    <w:abstractNumId w:val="16"/>
  </w:num>
  <w:num w:numId="9" w16cid:durableId="172493711">
    <w:abstractNumId w:val="6"/>
  </w:num>
  <w:num w:numId="10" w16cid:durableId="1729182724">
    <w:abstractNumId w:val="7"/>
  </w:num>
  <w:num w:numId="11" w16cid:durableId="829519178">
    <w:abstractNumId w:val="14"/>
  </w:num>
  <w:num w:numId="12" w16cid:durableId="1134373087">
    <w:abstractNumId w:val="9"/>
  </w:num>
  <w:num w:numId="13" w16cid:durableId="1392968091">
    <w:abstractNumId w:val="15"/>
  </w:num>
  <w:num w:numId="14" w16cid:durableId="1728184376">
    <w:abstractNumId w:val="5"/>
  </w:num>
  <w:num w:numId="15" w16cid:durableId="1474447925">
    <w:abstractNumId w:val="3"/>
  </w:num>
  <w:num w:numId="16" w16cid:durableId="1331257695">
    <w:abstractNumId w:val="10"/>
  </w:num>
  <w:num w:numId="17" w16cid:durableId="1205947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DDA"/>
    <w:rsid w:val="0001177C"/>
    <w:rsid w:val="00016D54"/>
    <w:rsid w:val="00043EF6"/>
    <w:rsid w:val="000539B5"/>
    <w:rsid w:val="00113B3D"/>
    <w:rsid w:val="0014541B"/>
    <w:rsid w:val="001A1D53"/>
    <w:rsid w:val="001C3E9D"/>
    <w:rsid w:val="002A6E4B"/>
    <w:rsid w:val="002B4DD5"/>
    <w:rsid w:val="002E382C"/>
    <w:rsid w:val="002E5316"/>
    <w:rsid w:val="00336615"/>
    <w:rsid w:val="00355AEA"/>
    <w:rsid w:val="0036220A"/>
    <w:rsid w:val="00467DE4"/>
    <w:rsid w:val="004C34F8"/>
    <w:rsid w:val="00537B84"/>
    <w:rsid w:val="00547CC7"/>
    <w:rsid w:val="00553EF3"/>
    <w:rsid w:val="00562F65"/>
    <w:rsid w:val="0057645D"/>
    <w:rsid w:val="006047A2"/>
    <w:rsid w:val="00651492"/>
    <w:rsid w:val="0069772D"/>
    <w:rsid w:val="006C25B5"/>
    <w:rsid w:val="006E4DCA"/>
    <w:rsid w:val="00715642"/>
    <w:rsid w:val="00745DC6"/>
    <w:rsid w:val="007E29C2"/>
    <w:rsid w:val="007F5E65"/>
    <w:rsid w:val="008017C5"/>
    <w:rsid w:val="00811753"/>
    <w:rsid w:val="0082108A"/>
    <w:rsid w:val="008356B6"/>
    <w:rsid w:val="008400AB"/>
    <w:rsid w:val="00847789"/>
    <w:rsid w:val="00862391"/>
    <w:rsid w:val="00866F85"/>
    <w:rsid w:val="008D0378"/>
    <w:rsid w:val="00916274"/>
    <w:rsid w:val="009226CD"/>
    <w:rsid w:val="00927D03"/>
    <w:rsid w:val="0096019B"/>
    <w:rsid w:val="009923C7"/>
    <w:rsid w:val="009B19E9"/>
    <w:rsid w:val="009E2317"/>
    <w:rsid w:val="009E3445"/>
    <w:rsid w:val="009F43C1"/>
    <w:rsid w:val="00A002F8"/>
    <w:rsid w:val="00A2359E"/>
    <w:rsid w:val="00A45F6D"/>
    <w:rsid w:val="00B06277"/>
    <w:rsid w:val="00B52643"/>
    <w:rsid w:val="00C3637D"/>
    <w:rsid w:val="00C4358A"/>
    <w:rsid w:val="00CA5287"/>
    <w:rsid w:val="00CB3CB8"/>
    <w:rsid w:val="00D11D9C"/>
    <w:rsid w:val="00D54698"/>
    <w:rsid w:val="00DA4343"/>
    <w:rsid w:val="00DC73C5"/>
    <w:rsid w:val="00E21917"/>
    <w:rsid w:val="00E734F1"/>
    <w:rsid w:val="00FC5DDA"/>
    <w:rsid w:val="00FC7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5A895"/>
  <w15:chartTrackingRefBased/>
  <w15:docId w15:val="{625DC384-11A2-41B3-971A-65E88A29A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5DD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FC5DD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FC5DDA"/>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C5DDA"/>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C5DDA"/>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FC5DD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C5DD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C5DD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C5DD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DD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FC5DD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FC5DDA"/>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C5DDA"/>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FC5DDA"/>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FC5DD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C5DD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C5DD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C5DD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C5D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5D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DD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5DD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C5DD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C5DDA"/>
    <w:rPr>
      <w:i/>
      <w:iCs/>
      <w:color w:val="404040" w:themeColor="text1" w:themeTint="BF"/>
    </w:rPr>
  </w:style>
  <w:style w:type="paragraph" w:styleId="ListParagraph">
    <w:name w:val="List Paragraph"/>
    <w:basedOn w:val="Normal"/>
    <w:uiPriority w:val="34"/>
    <w:qFormat/>
    <w:rsid w:val="00FC5DDA"/>
    <w:pPr>
      <w:ind w:left="720"/>
      <w:contextualSpacing/>
    </w:pPr>
  </w:style>
  <w:style w:type="character" w:styleId="IntenseEmphasis">
    <w:name w:val="Intense Emphasis"/>
    <w:basedOn w:val="DefaultParagraphFont"/>
    <w:uiPriority w:val="21"/>
    <w:qFormat/>
    <w:rsid w:val="00FC5DDA"/>
    <w:rPr>
      <w:i/>
      <w:iCs/>
      <w:color w:val="365F91" w:themeColor="accent1" w:themeShade="BF"/>
    </w:rPr>
  </w:style>
  <w:style w:type="paragraph" w:styleId="IntenseQuote">
    <w:name w:val="Intense Quote"/>
    <w:basedOn w:val="Normal"/>
    <w:next w:val="Normal"/>
    <w:link w:val="IntenseQuoteChar"/>
    <w:uiPriority w:val="30"/>
    <w:qFormat/>
    <w:rsid w:val="00FC5DD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C5DDA"/>
    <w:rPr>
      <w:i/>
      <w:iCs/>
      <w:color w:val="365F91" w:themeColor="accent1" w:themeShade="BF"/>
    </w:rPr>
  </w:style>
  <w:style w:type="character" w:styleId="IntenseReference">
    <w:name w:val="Intense Reference"/>
    <w:basedOn w:val="DefaultParagraphFont"/>
    <w:uiPriority w:val="32"/>
    <w:qFormat/>
    <w:rsid w:val="00FC5DDA"/>
    <w:rPr>
      <w:b/>
      <w:bCs/>
      <w:smallCaps/>
      <w:color w:val="365F91" w:themeColor="accent1" w:themeShade="BF"/>
      <w:spacing w:val="5"/>
    </w:rPr>
  </w:style>
  <w:style w:type="paragraph" w:styleId="NormalWeb">
    <w:name w:val="Normal (Web)"/>
    <w:basedOn w:val="Normal"/>
    <w:uiPriority w:val="99"/>
    <w:semiHidden/>
    <w:unhideWhenUsed/>
    <w:rsid w:val="00811753"/>
    <w:rPr>
      <w:rFonts w:cs="Times New Roman"/>
      <w:szCs w:val="24"/>
    </w:rPr>
  </w:style>
  <w:style w:type="character" w:customStyle="1" w:styleId="citation-79">
    <w:name w:val="citation-79"/>
    <w:basedOn w:val="DefaultParagraphFont"/>
    <w:rsid w:val="002A6E4B"/>
  </w:style>
  <w:style w:type="character" w:customStyle="1" w:styleId="citation-78">
    <w:name w:val="citation-78"/>
    <w:basedOn w:val="DefaultParagraphFont"/>
    <w:rsid w:val="002A6E4B"/>
  </w:style>
  <w:style w:type="character" w:customStyle="1" w:styleId="citation-77">
    <w:name w:val="citation-77"/>
    <w:basedOn w:val="DefaultParagraphFont"/>
    <w:rsid w:val="002A6E4B"/>
  </w:style>
  <w:style w:type="character" w:customStyle="1" w:styleId="citation-96">
    <w:name w:val="citation-96"/>
    <w:basedOn w:val="DefaultParagraphFont"/>
    <w:rsid w:val="009F43C1"/>
  </w:style>
  <w:style w:type="character" w:styleId="Hyperlink">
    <w:name w:val="Hyperlink"/>
    <w:basedOn w:val="DefaultParagraphFont"/>
    <w:uiPriority w:val="99"/>
    <w:unhideWhenUsed/>
    <w:rsid w:val="006C25B5"/>
    <w:rPr>
      <w:color w:val="0000FF" w:themeColor="hyperlink"/>
      <w:u w:val="single"/>
    </w:rPr>
  </w:style>
  <w:style w:type="character" w:styleId="UnresolvedMention">
    <w:name w:val="Unresolved Mention"/>
    <w:basedOn w:val="DefaultParagraphFont"/>
    <w:uiPriority w:val="99"/>
    <w:semiHidden/>
    <w:unhideWhenUsed/>
    <w:rsid w:val="006C2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rianu.com/downloads/Africa%20Cybersecurity%20Report%20-%20Kenya.pdf" TargetMode="External"/><Relationship Id="rId3" Type="http://schemas.openxmlformats.org/officeDocument/2006/relationships/settings" Target="settings.xml"/><Relationship Id="rId7" Type="http://schemas.openxmlformats.org/officeDocument/2006/relationships/hyperlink" Target="https://pecb.com/en/article/cybersecurity-and-ai-trends-for-2026-in-afri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lobaltaxnews.ey.com/news/2025-2193-kenya-releases-the-national-ai-strategy-2025-2030"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weforum.org/reports/global-cybersecurity-outlook-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14</Pages>
  <Words>4789</Words>
  <Characters>27299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Maingi</dc:creator>
  <cp:keywords/>
  <dc:description/>
  <cp:lastModifiedBy>John Maingi</cp:lastModifiedBy>
  <cp:revision>2</cp:revision>
  <dcterms:created xsi:type="dcterms:W3CDTF">2026-06-17T17:06:00Z</dcterms:created>
  <dcterms:modified xsi:type="dcterms:W3CDTF">2026-06-17T17:06:00Z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d09be85c-e627-49d6-9ca3-c08741b8f942</vt:lpwstr>
  </property>
</Properties>
</file>