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7905" w14:textId="2649C4C7" w:rsidR="00146482" w:rsidRDefault="00784E5A">
      <w:pPr>
        <w:spacing w:after="120"/>
        <w:jc w:val="center"/>
      </w:pPr>
      <w:r w:rsidRPr="00784E5A">
        <w:rPr>
          <w:b/>
          <w:bCs/>
          <w:sz w:val="36"/>
          <w:szCs w:val="36"/>
        </w:rPr>
        <w:t>The Effect of ESG Disclosure, Ownership Structure, and Profitability on Firm Value in the Banking Sector</w:t>
      </w:r>
    </w:p>
    <w:p w14:paraId="5D9AF0AE" w14:textId="36C51615" w:rsidR="00146482" w:rsidRPr="00CD13AF" w:rsidRDefault="0031749C">
      <w:pPr>
        <w:spacing w:before="40" w:after="40"/>
        <w:jc w:val="center"/>
        <w:rPr>
          <w:b/>
          <w:bCs/>
        </w:rPr>
      </w:pPr>
      <w:r w:rsidRPr="00DB7210">
        <w:rPr>
          <w:b/>
          <w:bCs/>
        </w:rPr>
        <w:t xml:space="preserve"/>
      </w:r>
      <w:proofErr w:type="spellStart"/>
      <w:r w:rsidRPr="00DB7210">
        <w:rPr>
          <w:b/>
          <w:bCs/>
        </w:rPr>
        <w:t/>
      </w:r>
      <w:proofErr w:type="spellEnd"/>
      <w:r w:rsidRPr="00DB7210">
        <w:rPr>
          <w:b/>
          <w:bCs/>
        </w:rPr>
        <w:t xml:space="preserve"/>
      </w:r>
      <w:r w:rsidR="00DB7210" w:rsidRPr="00DB7210">
        <w:rPr>
          <w:b/>
          <w:bCs/>
          <w:vertAlign w:val="superscript"/>
        </w:rPr>
        <w:t/>
      </w:r>
      <w:r w:rsidR="00DB7210">
        <w:rPr>
          <w:b/>
          <w:bCs/>
        </w:rPr>
        <w:t/>
      </w:r>
      <w:r w:rsidRPr="00DB7210">
        <w:rPr>
          <w:b/>
          <w:bCs/>
        </w:rPr>
        <w:t xml:space="preserve"/>
      </w:r>
      <w:r w:rsidR="00DB7210">
        <w:rPr>
          <w:b/>
          <w:bCs/>
          <w:vertAlign w:val="superscript"/>
        </w:rPr>
        <w:t/>
      </w:r>
      <w:r w:rsidRPr="00DB7210">
        <w:rPr>
          <w:b/>
          <w:bCs/>
        </w:rPr>
        <w:t xml:space="preserve"/>
      </w:r>
      <w:r>
        <w:br/>
      </w:r>
      <w:r w:rsidR="008D726C" w:rsidRPr="00CD13AF">
        <w:rPr>
          <w:b/>
          <w:bCs/>
          <w:vertAlign w:val="superscript"/>
        </w:rPr>
        <w:t/>
      </w:r>
      <w:r w:rsidRPr="00CD13AF">
        <w:rPr>
          <w:b/>
          <w:bCs/>
        </w:rPr>
        <w:t/>
      </w:r>
    </w:p>
    <w:p w14:paraId="1C103B10" w14:textId="0D592F01" w:rsidR="00146482" w:rsidRPr="00CD13AF" w:rsidRDefault="00000000">
      <w:pPr>
        <w:spacing w:before="20" w:after="160"/>
        <w:jc w:val="center"/>
        <w:rPr>
          <w:b/>
          <w:bCs/>
        </w:rPr>
      </w:pPr>
      <w:r w:rsidRPr="00CD13AF">
        <w:rPr>
          <w:b/>
          <w:bCs/>
          <w:sz w:val="22"/>
          <w:szCs w:val="22"/>
        </w:rPr>
        <w:t/>
      </w:r>
      <w:r w:rsidR="008D726C" w:rsidRPr="00CD13AF">
        <w:rPr>
          <w:b/>
          <w:bCs/>
          <w:sz w:val="22"/>
          <w:szCs w:val="22"/>
        </w:rPr>
        <w:t xml:space="preserve"/>
      </w:r>
      <w:proofErr w:type="spellStart"/>
      <w:r w:rsidR="008D726C" w:rsidRPr="00CD13AF">
        <w:rPr>
          <w:b/>
          <w:bCs/>
          <w:sz w:val="22"/>
          <w:szCs w:val="22"/>
        </w:rPr>
        <w:t/>
      </w:r>
      <w:proofErr w:type="spellEnd"/>
      <w:r w:rsidR="008D726C" w:rsidRPr="00CD13AF">
        <w:rPr>
          <w:b/>
          <w:bCs/>
          <w:sz w:val="22"/>
          <w:szCs w:val="22"/>
        </w:rPr>
        <w:t xml:space="preserve"/>
      </w:r>
      <w:r w:rsidRPr="00CD13AF">
        <w:rPr>
          <w:b/>
          <w:bCs/>
          <w:sz w:val="22"/>
          <w:szCs w:val="22"/>
        </w:rPr>
        <w:t xml:space="preserve"/>
      </w:r>
      <w:r w:rsidR="008D726C" w:rsidRPr="00CD13AF">
        <w:rPr>
          <w:b/>
          <w:bCs/>
          <w:sz w:val="22"/>
          <w:szCs w:val="22"/>
        </w:rPr>
        <w:t/>
      </w:r>
      <w:hyperlink r:id="rId7" w:history="1">
        <w:r w:rsidR="00DB7210" w:rsidRPr="00CD13AF">
          <w:rPr>
            <w:rStyle w:val="Hyperlink"/>
            <w:b/>
            <w:bCs/>
            <w:sz w:val="22"/>
            <w:szCs w:val="22"/>
          </w:rPr>
          <w:t/>
        </w:r>
      </w:hyperlink>
      <w:r w:rsidR="008D726C" w:rsidRPr="00CD13AF">
        <w:rPr>
          <w:b/>
          <w:bCs/>
          <w:sz w:val="22"/>
          <w:szCs w:val="22"/>
        </w:rPr>
        <w:t/>
      </w:r>
    </w:p>
    <w:p w14:paraId="35B68990" w14:textId="77777777" w:rsidR="00146482" w:rsidRDefault="00000000" w:rsidP="00B03559">
      <w:pPr>
        <w:spacing w:before="240" w:after="240"/>
      </w:pPr>
      <w:r>
        <w:rPr>
          <w:b/>
          <w:bCs/>
          <w:sz w:val="28"/>
          <w:szCs w:val="28"/>
        </w:rPr>
        <w:t>ABSTRACT</w:t>
      </w:r>
    </w:p>
    <w:p w14:paraId="36C82E5B" w14:textId="78FBFAEF" w:rsidR="00146482" w:rsidRDefault="008800B0" w:rsidP="00B03559">
      <w:pPr>
        <w:spacing w:before="240" w:after="240"/>
        <w:jc w:val="both"/>
      </w:pPr>
      <w:r w:rsidRPr="008800B0">
        <w:t xml:space="preserve">This study aims to examine the effect of Environmental, Social, and Governance (ESG) disclosure, ownership structure (proxied by institutional ownership), and profitability (proxied by Return on Assets) on the firm value (proxied by Tobin's Q) of banking companies listed on the Indonesia Stock Exchange (IDX) during the 2021–2024 period. Employing a quantitative approach with panel data regression analysis, the research used purposive sampling to select 21 companies. This initially yielded 84 observations, which were trimmed to 51 to satisfy data normality requirements. The Fixed Effect Model (FEM) was utilized after passing the Chow and Hausman tests, alongside all necessary classical assumption tests. The empirical results demonstrate that, partially, ESG disclosure has a significant negative effect on firm value, while institutional ownership shows a positive but non-significant effect. Conversely, profitability exhibits a highly significant positive effect on firm value. Simultaneously, all three independent variables significantly influence firm value, supported by an Adjusted R-squared of 74.56%. In conclusion, the negative impact of ESG disclosure highlights potential market </w:t>
      </w:r>
      <w:proofErr w:type="spellStart"/>
      <w:r w:rsidRPr="008800B0">
        <w:t>skepticism</w:t>
      </w:r>
      <w:proofErr w:type="spellEnd"/>
      <w:r w:rsidRPr="008800B0">
        <w:t xml:space="preserve"> and greenwashing phenomena during the early adoption phase of sustainable finance in Indonesia. Consequently, investors continue to prioritize fundamental profitability over early</w:t>
      </w:r>
      <w:r>
        <w:t xml:space="preserve"> </w:t>
      </w:r>
      <w:r w:rsidRPr="008800B0">
        <w:t xml:space="preserve">stage sustainability disclosures as the primary indicator of a bank's resilience and future market prospects. </w:t>
      </w:r>
    </w:p>
    <w:p w14:paraId="38A7391E" w14:textId="53513537" w:rsidR="00146482" w:rsidRDefault="00000000" w:rsidP="00B03559">
      <w:pPr>
        <w:spacing w:before="240" w:after="240"/>
        <w:jc w:val="both"/>
      </w:pPr>
      <w:r>
        <w:rPr>
          <w:b/>
          <w:bCs/>
        </w:rPr>
        <w:t xml:space="preserve">Keywords: </w:t>
      </w:r>
      <w:r>
        <w:t>ESG Disclosure, Ownership Structure, Profitability, Firm Value, Tobin's Q, Banking Sector, Indonesia</w:t>
      </w:r>
      <w:r w:rsidR="00784E5A">
        <w:t>.</w:t>
      </w:r>
    </w:p>
    <w:p w14:paraId="0247087F" w14:textId="77777777" w:rsidR="00146482" w:rsidRDefault="00000000" w:rsidP="00B03559">
      <w:pPr>
        <w:spacing w:before="240" w:after="240"/>
      </w:pPr>
      <w:r>
        <w:rPr>
          <w:b/>
          <w:bCs/>
          <w:sz w:val="28"/>
          <w:szCs w:val="28"/>
        </w:rPr>
        <w:t>INTRODUCTION</w:t>
      </w:r>
    </w:p>
    <w:p w14:paraId="7A1DA662" w14:textId="77777777" w:rsidR="00146482" w:rsidRDefault="00000000" w:rsidP="00B03559">
      <w:pPr>
        <w:spacing w:before="240" w:after="240"/>
        <w:jc w:val="both"/>
      </w:pPr>
      <w:r>
        <w:t>The banking sector in Indonesia plays a vital role as the primary intermediary institution driving the national economy. As an industry operating on the basis of public trust and under strict regulatory oversight, banks are mandated to collect public funds and channel them back in the form of credit and financing to support real economic activities. Banking stability is often regarded as a barometer of the national financial system's health; therefore, bank performance is not solely measured by profitability but also by capital adequacy, resilience to global economic shocks, and consistency in applying prudential principles and good governance.</w:t>
      </w:r>
    </w:p>
    <w:p w14:paraId="5E84EAEC" w14:textId="143F2ADF" w:rsidR="00146482" w:rsidRDefault="00000000" w:rsidP="00B03559">
      <w:pPr>
        <w:spacing w:before="240" w:after="240"/>
        <w:jc w:val="both"/>
      </w:pPr>
      <w:r>
        <w:t>Indonesia's economic recovery in 2021 marked a pivotal turning point for the banking sector, supported by accommodative monetary and fiscal policies. Fundamental banking performance improved, with Return on Assets (ROA) rising from 1.59% (2020) to 1.85% (2021), further climbing to approximately 2.43% (2022) and 2.74% (December 2023)</w:t>
      </w:r>
      <w:r w:rsidR="0046324E">
        <w:t xml:space="preserve"> </w:t>
      </w:r>
      <w:r w:rsidR="0046324E" w:rsidRPr="0046324E">
        <w:t>(Sahara, 2024</w:t>
      </w:r>
      <w:r w:rsidR="0046324E">
        <w:t>)</w:t>
      </w:r>
      <w:r>
        <w:t>. However, despite improving fundamentals, the average Tobin's Q of Indonesian banking companies declined from approximately 2.98 (2020) to 1.93 (2023), with a sharp fall in 2021–2022</w:t>
      </w:r>
      <w:r w:rsidR="0046324E">
        <w:t xml:space="preserve"> </w:t>
      </w:r>
      <w:r w:rsidR="0046324E" w:rsidRPr="0046324E">
        <w:t>(</w:t>
      </w:r>
      <w:proofErr w:type="spellStart"/>
      <w:r w:rsidR="0046324E" w:rsidRPr="0046324E">
        <w:t>Safitri</w:t>
      </w:r>
      <w:proofErr w:type="spellEnd"/>
      <w:r w:rsidR="0046324E" w:rsidRPr="0046324E">
        <w:t xml:space="preserve"> dan Paramita, 2025)</w:t>
      </w:r>
      <w:r>
        <w:t xml:space="preserve">. This </w:t>
      </w:r>
      <w:r w:rsidR="00DB7210">
        <w:t>disconnects</w:t>
      </w:r>
      <w:r>
        <w:t xml:space="preserve"> between fundamental recovery and Tobin's Q dynamics suggests that firm value determinants</w:t>
      </w:r>
      <w:r w:rsidR="00DB7210">
        <w:t xml:space="preserve"> </w:t>
      </w:r>
      <w:r>
        <w:t>including ESG disclosure, ownership structure, and profitability</w:t>
      </w:r>
      <w:r w:rsidR="00DB7210">
        <w:t xml:space="preserve"> </w:t>
      </w:r>
      <w:r>
        <w:t>operate in complex ways.</w:t>
      </w:r>
    </w:p>
    <w:p w14:paraId="2C35511A" w14:textId="77777777" w:rsidR="00146482" w:rsidRDefault="00000000" w:rsidP="00B03559">
      <w:pPr>
        <w:spacing w:before="240" w:after="240"/>
        <w:jc w:val="both"/>
      </w:pPr>
      <w:r>
        <w:t>The period 2021–2024 was characterized by a wave of banking consolidation driven by OJK Regulation No. 12/POJK.03/2020, which mandated a minimum core capital of IDR 3 trillion. This regulation significantly restructured ownership composition, with institutional investors strengthening their positions through various acquisitions and mergers. Simultaneously, the OJK issued the Sustainable Finance Roadmap Phase II (2021–2025) to accelerate ESG implementation across the financial sector, including mandatory sustainability reporting under POJK No. 51/POJK.03/2017.</w:t>
      </w:r>
    </w:p>
    <w:p w14:paraId="14752578" w14:textId="7DEDC0B8" w:rsidR="00146482" w:rsidRDefault="0055036C" w:rsidP="00B03559">
      <w:pPr>
        <w:spacing w:before="240" w:after="240"/>
        <w:jc w:val="both"/>
      </w:pPr>
      <w:r w:rsidRPr="0055036C">
        <w:t xml:space="preserve">Despite growing academic interest in the relationship between ESG disclosure, institutional ownership structure, and profitability with firm value, findings remain inconclusive. Several studies report positive and significant effects of ESG on firm value, while others find negative or insignificant results. Therefore, the primary objective </w:t>
      </w:r>
      <w:r w:rsidRPr="0055036C">
        <w:lastRenderedPageBreak/>
        <w:t xml:space="preserve">of this study is to examine and </w:t>
      </w:r>
      <w:proofErr w:type="spellStart"/>
      <w:r w:rsidRPr="0055036C">
        <w:t>analyze</w:t>
      </w:r>
      <w:proofErr w:type="spellEnd"/>
      <w:r w:rsidRPr="0055036C">
        <w:t xml:space="preserve"> whether ESG disclosure, institutional ownership, and profitability partially and simultaneously affect the firm value of banking companies listed on the Indonesia Stock Exchange (IDX) during the 2021–2024 period. By addressing this research question, this study contributes to the literature by integrating these three variables into a holistic model focusing on the Indonesian banking sector during this critical transition period</w:t>
      </w:r>
      <w:r>
        <w:t xml:space="preserve">. </w:t>
      </w:r>
    </w:p>
    <w:p w14:paraId="6D2B29F5" w14:textId="3D4F334B" w:rsidR="00146482" w:rsidRDefault="00000000" w:rsidP="00B03559">
      <w:pPr>
        <w:spacing w:before="240" w:after="240"/>
        <w:rPr>
          <w:b/>
          <w:bCs/>
          <w:sz w:val="28"/>
          <w:szCs w:val="28"/>
        </w:rPr>
      </w:pPr>
      <w:r>
        <w:rPr>
          <w:b/>
          <w:bCs/>
          <w:sz w:val="28"/>
          <w:szCs w:val="28"/>
        </w:rPr>
        <w:t xml:space="preserve">LITERATURE REVIEW </w:t>
      </w:r>
    </w:p>
    <w:p w14:paraId="7C3CD94F" w14:textId="77777777" w:rsidR="00541768" w:rsidRDefault="00541768" w:rsidP="00B03559">
      <w:pPr>
        <w:spacing w:before="240" w:after="240"/>
      </w:pPr>
      <w:proofErr w:type="spellStart"/>
      <w:r w:rsidRPr="00541768">
        <w:rPr>
          <w:b/>
          <w:bCs/>
        </w:rPr>
        <w:t>Signaling</w:t>
      </w:r>
      <w:proofErr w:type="spellEnd"/>
      <w:r w:rsidRPr="00541768">
        <w:rPr>
          <w:b/>
          <w:bCs/>
        </w:rPr>
        <w:t xml:space="preserve"> Theory</w:t>
      </w:r>
      <w:r w:rsidRPr="00541768">
        <w:t xml:space="preserve"> </w:t>
      </w:r>
    </w:p>
    <w:p w14:paraId="3A4631EF" w14:textId="456996EC" w:rsidR="00541768" w:rsidRDefault="00541768" w:rsidP="00541768">
      <w:pPr>
        <w:spacing w:before="240" w:after="240"/>
        <w:jc w:val="both"/>
      </w:pPr>
      <w:proofErr w:type="spellStart"/>
      <w:r w:rsidRPr="00541768">
        <w:t>Signaling</w:t>
      </w:r>
      <w:proofErr w:type="spellEnd"/>
      <w:r w:rsidRPr="00541768">
        <w:t xml:space="preserve"> theory, introduced by Spence (1973), explains that financial decisions or actions taken by management contain information or signals regarding the company's current condition and future prospects. This theory is utilized to understand how management conveys information to investors, which ultimately influences investors' decisions in assessing the company</w:t>
      </w:r>
      <w:r>
        <w:t>.</w:t>
      </w:r>
    </w:p>
    <w:p w14:paraId="37EBC5A2" w14:textId="77777777" w:rsidR="00541768" w:rsidRDefault="00541768" w:rsidP="00541768">
      <w:pPr>
        <w:spacing w:before="240" w:after="240"/>
        <w:jc w:val="both"/>
      </w:pPr>
      <w:r w:rsidRPr="00541768">
        <w:rPr>
          <w:b/>
          <w:bCs/>
        </w:rPr>
        <w:t>Stakeholder Theory</w:t>
      </w:r>
      <w:r w:rsidRPr="00541768">
        <w:t xml:space="preserve"> </w:t>
      </w:r>
    </w:p>
    <w:p w14:paraId="02F69B61" w14:textId="59A206CD" w:rsidR="00541768" w:rsidRPr="00541768" w:rsidRDefault="00541768" w:rsidP="00541768">
      <w:pPr>
        <w:spacing w:before="240" w:after="240"/>
        <w:jc w:val="both"/>
      </w:pPr>
      <w:r w:rsidRPr="00541768">
        <w:t xml:space="preserve">Proposed by Freeman (1984), stakeholder theory emphasizes that business ethics and organizational management must be based on moral values. It asserts that companies are responsible not only for financial performance but also for social, environmental, and intellectual aspects to meet the expectations of all stakeholders, and that every stakeholder has the right to be treated fairly. </w:t>
      </w:r>
    </w:p>
    <w:p w14:paraId="57C6C9C0" w14:textId="77777777" w:rsidR="00541768" w:rsidRDefault="00541768" w:rsidP="00541768">
      <w:pPr>
        <w:spacing w:before="240" w:after="240"/>
        <w:jc w:val="both"/>
      </w:pPr>
      <w:r w:rsidRPr="00541768">
        <w:rPr>
          <w:b/>
          <w:bCs/>
        </w:rPr>
        <w:t>Agency Theory</w:t>
      </w:r>
      <w:r w:rsidRPr="00541768">
        <w:t xml:space="preserve"> </w:t>
      </w:r>
    </w:p>
    <w:p w14:paraId="49B38AD1" w14:textId="7D44E9B5" w:rsidR="00541768" w:rsidRPr="00541768" w:rsidRDefault="00541768" w:rsidP="00541768">
      <w:pPr>
        <w:spacing w:before="240" w:after="240"/>
        <w:jc w:val="both"/>
      </w:pPr>
      <w:r w:rsidRPr="00541768">
        <w:t xml:space="preserve">Agency theory, developed by Jensen and Meckling (1976), explains the contractual relationship and inherent conflicts of interest between principals and agents. It highlights the issue of information asymmetry, which occurs when agents (managers) follow personal impulses rather than acting in the best interests of the principals (shareholders). </w:t>
      </w:r>
    </w:p>
    <w:p w14:paraId="53C4F28A" w14:textId="77777777" w:rsidR="00541768" w:rsidRDefault="00541768" w:rsidP="00541768">
      <w:pPr>
        <w:spacing w:before="240" w:after="240"/>
        <w:jc w:val="both"/>
      </w:pPr>
      <w:r w:rsidRPr="00541768">
        <w:rPr>
          <w:b/>
          <w:bCs/>
        </w:rPr>
        <w:t>Greenwashing</w:t>
      </w:r>
      <w:r w:rsidRPr="00541768">
        <w:t xml:space="preserve"> </w:t>
      </w:r>
    </w:p>
    <w:p w14:paraId="07E13EB6" w14:textId="58F1893B" w:rsidR="00541768" w:rsidRPr="00541768" w:rsidRDefault="00541768" w:rsidP="00541768">
      <w:pPr>
        <w:spacing w:before="240" w:after="240"/>
        <w:jc w:val="both"/>
      </w:pPr>
      <w:r w:rsidRPr="00541768">
        <w:t>The concept of greenwashing, introduced by Jay Westerveld in 1986, is defined as a form of symbolic disclosure where a company promotes an eco-friendly image but fails to implement real sustainable practices in its operations. In the banking industry, greenwashing risks arise when there is a mismatch between ESG</w:t>
      </w:r>
      <w:r w:rsidR="00A064A6">
        <w:t xml:space="preserve"> </w:t>
      </w:r>
      <w:proofErr w:type="spellStart"/>
      <w:r w:rsidRPr="00541768">
        <w:t>labeled</w:t>
      </w:r>
      <w:proofErr w:type="spellEnd"/>
      <w:r w:rsidRPr="00541768">
        <w:t xml:space="preserve"> investment products and the underlying asset portfolios, such as when banks claim commitment to sustainability but practically continue to finance high</w:t>
      </w:r>
      <w:r w:rsidR="00A064A6">
        <w:t xml:space="preserve"> </w:t>
      </w:r>
      <w:r w:rsidRPr="00541768">
        <w:t xml:space="preserve">carbon emission sectors. Therefore, ESG disclosures must be critically evaluated to ensure they reflect substantive sustainability performance rather than mere image-building. </w:t>
      </w:r>
    </w:p>
    <w:p w14:paraId="017AEBAA" w14:textId="77777777" w:rsidR="00541768" w:rsidRDefault="00541768" w:rsidP="00541768">
      <w:pPr>
        <w:spacing w:before="240" w:after="240"/>
        <w:jc w:val="both"/>
      </w:pPr>
      <w:r w:rsidRPr="00541768">
        <w:rPr>
          <w:b/>
          <w:bCs/>
        </w:rPr>
        <w:t>Firm Value</w:t>
      </w:r>
      <w:r w:rsidRPr="00541768">
        <w:t xml:space="preserve"> </w:t>
      </w:r>
    </w:p>
    <w:p w14:paraId="672F7ADF" w14:textId="3867CEF2" w:rsidR="00541768" w:rsidRPr="00541768" w:rsidRDefault="00541768" w:rsidP="00541768">
      <w:pPr>
        <w:spacing w:before="240" w:after="240"/>
        <w:jc w:val="both"/>
      </w:pPr>
      <w:r w:rsidRPr="00541768">
        <w:t xml:space="preserve">Firm value reflects the benefits obtained by stakeholders through company performance, represented by market value or financial ratios that indicate market perception of the company's prospects. In this study, firm value is proxied by Tobin’s Q, which is highly relevant for the banking sector as it relies heavily on public trust and reflects historical performance, future profit expectations, governance quality, and market response to management policies. </w:t>
      </w:r>
    </w:p>
    <w:p w14:paraId="7F455EDE" w14:textId="77777777" w:rsidR="00541768" w:rsidRDefault="00541768" w:rsidP="00541768">
      <w:pPr>
        <w:spacing w:before="240" w:after="240"/>
        <w:jc w:val="both"/>
      </w:pPr>
      <w:r w:rsidRPr="00541768">
        <w:rPr>
          <w:b/>
          <w:bCs/>
        </w:rPr>
        <w:t>ESG Disclosure</w:t>
      </w:r>
      <w:r w:rsidRPr="00541768">
        <w:t xml:space="preserve"> </w:t>
      </w:r>
    </w:p>
    <w:p w14:paraId="2389A40A" w14:textId="32018483" w:rsidR="00541768" w:rsidRPr="00541768" w:rsidRDefault="00541768" w:rsidP="00541768">
      <w:pPr>
        <w:spacing w:before="240" w:after="240"/>
        <w:jc w:val="both"/>
      </w:pPr>
      <w:r w:rsidRPr="00541768">
        <w:t xml:space="preserve">Environmental, Social, and Governance (ESG) disclosure is an indicator of a company's performance in managing non-financial risks and sustainability. It reflects corporate social responsibility toward the environment, society, and good governance. In Indonesia, the implementation of ESG is supported by the Financial Services Authority (OJK) Regulation No. 51/POJK.03/2017 and the Sustainable Finance Roadmap Phase II (2021-2025). </w:t>
      </w:r>
    </w:p>
    <w:p w14:paraId="08E33E55" w14:textId="77777777" w:rsidR="00541768" w:rsidRDefault="00541768" w:rsidP="00541768">
      <w:pPr>
        <w:spacing w:before="240" w:after="240"/>
        <w:jc w:val="both"/>
      </w:pPr>
      <w:r w:rsidRPr="00541768">
        <w:rPr>
          <w:b/>
          <w:bCs/>
        </w:rPr>
        <w:t>Ownership Structure</w:t>
      </w:r>
      <w:r w:rsidRPr="00541768">
        <w:t xml:space="preserve"> </w:t>
      </w:r>
    </w:p>
    <w:p w14:paraId="7266E41A" w14:textId="0C8EC47F" w:rsidR="00541768" w:rsidRPr="00541768" w:rsidRDefault="00541768" w:rsidP="00541768">
      <w:pPr>
        <w:spacing w:before="240" w:after="240"/>
        <w:jc w:val="both"/>
      </w:pPr>
      <w:r w:rsidRPr="00541768">
        <w:lastRenderedPageBreak/>
        <w:t>Ownership structure reflects the distribution of control rights and the proportion of share ownership within a company. This study focuses on institutional ownership, which involves entities such as investment managers, pension funds, and custodian banks. Institutional ownership acts as an active monitor with greater capacity and longer</w:t>
      </w:r>
      <w:r w:rsidR="00A064A6">
        <w:t xml:space="preserve"> </w:t>
      </w:r>
      <w:r w:rsidRPr="00541768">
        <w:t xml:space="preserve">term investment horizons, capable of reducing managers' opportunistic </w:t>
      </w:r>
      <w:proofErr w:type="spellStart"/>
      <w:r w:rsidRPr="00541768">
        <w:t>behavior</w:t>
      </w:r>
      <w:proofErr w:type="spellEnd"/>
      <w:r w:rsidRPr="00541768">
        <w:t xml:space="preserve">, mitigating agency conflicts, and driving transparency. </w:t>
      </w:r>
    </w:p>
    <w:p w14:paraId="3DB9353F" w14:textId="59240A38" w:rsidR="00541768" w:rsidRDefault="00541768" w:rsidP="00541768">
      <w:pPr>
        <w:spacing w:before="240" w:after="240"/>
        <w:jc w:val="both"/>
      </w:pPr>
      <w:r w:rsidRPr="00541768">
        <w:rPr>
          <w:b/>
          <w:bCs/>
        </w:rPr>
        <w:t>Profitability</w:t>
      </w:r>
      <w:r w:rsidRPr="00541768">
        <w:t xml:space="preserve"> </w:t>
      </w:r>
    </w:p>
    <w:p w14:paraId="010E1EBC" w14:textId="2BB49AA3" w:rsidR="00541768" w:rsidRDefault="00541768" w:rsidP="00541768">
      <w:pPr>
        <w:spacing w:before="240" w:after="240"/>
        <w:jc w:val="both"/>
      </w:pPr>
      <w:r w:rsidRPr="00541768">
        <w:t>Profitability is an essential ratio used to measure a company's ability to generate profit and assess management's effectiveness in operating the business. This study uses Return on Assets (ROA) as the proxy, measuring how effectively a bank utilizes its total assets to generate net income, which is highly relevant for the capital</w:t>
      </w:r>
      <w:r w:rsidR="00A064A6">
        <w:t xml:space="preserve"> </w:t>
      </w:r>
      <w:r w:rsidRPr="00541768">
        <w:t>intensive banking sector.</w:t>
      </w:r>
    </w:p>
    <w:p w14:paraId="2C0B4674" w14:textId="2B6C02C3" w:rsidR="0046324E" w:rsidRDefault="0046324E" w:rsidP="00541768">
      <w:pPr>
        <w:spacing w:before="240" w:after="240"/>
        <w:jc w:val="both"/>
      </w:pPr>
      <w:r>
        <w:rPr>
          <w:b/>
          <w:bCs/>
          <w:sz w:val="28"/>
          <w:szCs w:val="28"/>
        </w:rPr>
        <w:t>HYPOTHESES</w:t>
      </w:r>
    </w:p>
    <w:p w14:paraId="23480676" w14:textId="77777777" w:rsidR="00146482" w:rsidRDefault="00000000" w:rsidP="00B03559">
      <w:pPr>
        <w:spacing w:before="240" w:after="240"/>
      </w:pPr>
      <w:r>
        <w:rPr>
          <w:b/>
          <w:bCs/>
        </w:rPr>
        <w:t>ESG Disclosure and Firm Value</w:t>
      </w:r>
    </w:p>
    <w:p w14:paraId="1D2C9BE2" w14:textId="0B88EC6F" w:rsidR="00146482" w:rsidRDefault="0046324E" w:rsidP="00B03559">
      <w:pPr>
        <w:spacing w:before="240" w:after="240"/>
        <w:jc w:val="both"/>
      </w:pPr>
      <w:r w:rsidRPr="0046324E">
        <w:t>From the perspective of stakeholder theory, when a company demonstrates its commitment by providing sustainability information to stakeholders, it reflects the company's concern for society and can generate long</w:t>
      </w:r>
      <w:r w:rsidR="00A064A6">
        <w:t xml:space="preserve"> </w:t>
      </w:r>
      <w:r w:rsidRPr="0046324E">
        <w:t>term benefits. Prior research by Wu et al. (2022), Nasution et al. (2024), and Lusy et al. (2025) consistently states that ESG disclosure has a positive and significant effect on firm value. Based on the theoretical foundation and previous findings, the first hypothesis is formulated as follows</w:t>
      </w:r>
      <w:r w:rsidR="00B03559" w:rsidRPr="00B03559">
        <w:t>:</w:t>
      </w:r>
    </w:p>
    <w:p w14:paraId="5364FDB9" w14:textId="77777777" w:rsidR="00146482" w:rsidRDefault="00000000" w:rsidP="00B03559">
      <w:pPr>
        <w:spacing w:before="240" w:after="240"/>
        <w:jc w:val="both"/>
      </w:pPr>
      <w:r>
        <w:t>H1: ESG Disclosure has a positive and significant effect on Firm Value.</w:t>
      </w:r>
    </w:p>
    <w:p w14:paraId="64668D21" w14:textId="77777777" w:rsidR="00146482" w:rsidRDefault="00000000" w:rsidP="00B03559">
      <w:pPr>
        <w:spacing w:before="240" w:after="240"/>
      </w:pPr>
      <w:r>
        <w:rPr>
          <w:b/>
          <w:bCs/>
        </w:rPr>
        <w:t>Ownership Structure and Firm Value</w:t>
      </w:r>
    </w:p>
    <w:p w14:paraId="4D410C8B" w14:textId="7798B371" w:rsidR="00146482" w:rsidRDefault="0046324E" w:rsidP="00B03559">
      <w:pPr>
        <w:spacing w:before="240" w:after="240"/>
        <w:jc w:val="both"/>
      </w:pPr>
      <w:r w:rsidRPr="0046324E">
        <w:t>According to agency theory, tensions between owners and management frequently arise due to unequal information and conflicting interests. Strong ownership arrangements, specifically institutional ownership, play a vital role as a bridge to ease the tension between managers' ambitions and shareholders' interests through active monitoring. Previous studies by Munthe et al. (2023) and Fuadah et al. (2022) assert that institutional ownership structure has a positive and significant effect on firm value. Therefore, the second hypothesis is</w:t>
      </w:r>
      <w:r>
        <w:t>:</w:t>
      </w:r>
    </w:p>
    <w:p w14:paraId="538B1D5E" w14:textId="77777777" w:rsidR="00146482" w:rsidRDefault="00000000" w:rsidP="00B03559">
      <w:pPr>
        <w:spacing w:before="240" w:after="240"/>
        <w:jc w:val="both"/>
      </w:pPr>
      <w:r>
        <w:t>H2: Ownership Structure has a positive and significant effect on Firm Value.</w:t>
      </w:r>
    </w:p>
    <w:p w14:paraId="1AF27611" w14:textId="77777777" w:rsidR="00146482" w:rsidRDefault="00000000" w:rsidP="00B03559">
      <w:pPr>
        <w:spacing w:before="240" w:after="240"/>
      </w:pPr>
      <w:r>
        <w:rPr>
          <w:b/>
          <w:bCs/>
        </w:rPr>
        <w:t>Profitability and Firm Value</w:t>
      </w:r>
    </w:p>
    <w:p w14:paraId="62A838A0" w14:textId="76DFEBF1" w:rsidR="00146482" w:rsidRDefault="0046324E" w:rsidP="00B03559">
      <w:pPr>
        <w:spacing w:before="240" w:after="240"/>
        <w:jc w:val="both"/>
      </w:pPr>
      <w:r w:rsidRPr="0046324E">
        <w:t xml:space="preserve">In the context of </w:t>
      </w:r>
      <w:proofErr w:type="spellStart"/>
      <w:r w:rsidRPr="0046324E">
        <w:t>signaling</w:t>
      </w:r>
      <w:proofErr w:type="spellEnd"/>
      <w:r w:rsidRPr="0046324E">
        <w:t xml:space="preserve"> theory, profitability functions as a primary signal sent by companies to communicate their quality and future prospects to the market. High profits deliver a positive message that reduces information asymmetry between the company and external parties. Empirical evidence from Araujo et al. (2025) and </w:t>
      </w:r>
      <w:proofErr w:type="spellStart"/>
      <w:r w:rsidRPr="0046324E">
        <w:t>Musalim</w:t>
      </w:r>
      <w:proofErr w:type="spellEnd"/>
      <w:r w:rsidRPr="0046324E">
        <w:t xml:space="preserve"> et al. (2024) demonstrates that profitability, primarily measured by Return on Assets (ROA), has a positive and significant effect on firm value. Based on this, the third hypothesis is proposed</w:t>
      </w:r>
      <w:r>
        <w:t>:</w:t>
      </w:r>
    </w:p>
    <w:p w14:paraId="6A9132C8" w14:textId="77777777" w:rsidR="00146482" w:rsidRDefault="00000000" w:rsidP="00B03559">
      <w:pPr>
        <w:spacing w:before="240" w:after="240"/>
        <w:jc w:val="both"/>
      </w:pPr>
      <w:r>
        <w:t>H3: Profitability has a positive and significant effect on Firm Value.</w:t>
      </w:r>
    </w:p>
    <w:p w14:paraId="5F5608A2" w14:textId="77777777" w:rsidR="00146482" w:rsidRDefault="00000000" w:rsidP="00B03559">
      <w:pPr>
        <w:spacing w:before="240" w:after="240"/>
      </w:pPr>
      <w:r>
        <w:rPr>
          <w:b/>
          <w:bCs/>
        </w:rPr>
        <w:t>Simultaneous Effect</w:t>
      </w:r>
    </w:p>
    <w:p w14:paraId="029610DD" w14:textId="3F6F751A" w:rsidR="00146482" w:rsidRDefault="0046324E" w:rsidP="00B03559">
      <w:pPr>
        <w:spacing w:before="240" w:after="240"/>
        <w:jc w:val="both"/>
      </w:pPr>
      <w:r w:rsidRPr="0046324E">
        <w:t xml:space="preserve">In addition to partial effects, the synergy of sustainability practices, corporate governance mechanisms, and financial performance collectively shapes market perception. Previous studies, such as </w:t>
      </w:r>
      <w:proofErr w:type="spellStart"/>
      <w:r w:rsidRPr="0046324E">
        <w:t>Luthfiah</w:t>
      </w:r>
      <w:proofErr w:type="spellEnd"/>
      <w:r w:rsidRPr="0046324E">
        <w:t xml:space="preserve"> et al. (2025) and Putri et al. (2025), indicate that profitability, institutional ownership, and ESG simultaneously have a significant effect on firm value. Consequently, the final hypothesis is formulated</w:t>
      </w:r>
      <w:r>
        <w:t>:</w:t>
      </w:r>
    </w:p>
    <w:p w14:paraId="521191E0" w14:textId="77777777" w:rsidR="00146482" w:rsidRDefault="00000000" w:rsidP="00B03559">
      <w:pPr>
        <w:spacing w:before="240" w:after="240"/>
        <w:jc w:val="both"/>
      </w:pPr>
      <w:r>
        <w:t>H4: ESG Disclosure, Ownership Structure, and Profitability simultaneously have a significant effect on Firm Value.</w:t>
      </w:r>
    </w:p>
    <w:p w14:paraId="071622EF" w14:textId="77777777" w:rsidR="00146482" w:rsidRDefault="00000000" w:rsidP="00B03559">
      <w:pPr>
        <w:spacing w:before="240" w:after="240"/>
      </w:pPr>
      <w:r>
        <w:rPr>
          <w:b/>
          <w:bCs/>
          <w:sz w:val="28"/>
          <w:szCs w:val="28"/>
        </w:rPr>
        <w:t>RESEARCH METHOD</w:t>
      </w:r>
    </w:p>
    <w:p w14:paraId="7746EC29" w14:textId="77777777" w:rsidR="00146482" w:rsidRDefault="00000000" w:rsidP="00B03559">
      <w:pPr>
        <w:spacing w:before="240" w:after="240"/>
      </w:pPr>
      <w:r>
        <w:rPr>
          <w:b/>
          <w:bCs/>
        </w:rPr>
        <w:lastRenderedPageBreak/>
        <w:t>Research Design</w:t>
      </w:r>
    </w:p>
    <w:p w14:paraId="76DEC9B7" w14:textId="0B259502" w:rsidR="00146482" w:rsidRDefault="00000000" w:rsidP="00B03559">
      <w:pPr>
        <w:spacing w:before="240" w:after="240"/>
        <w:jc w:val="both"/>
      </w:pPr>
      <w:r>
        <w:t>This study employs a quantitative approach with explanatory research design, which aims to explain causal relationships among variables through hypothesis testing. Panel data regression analysis is applied using EViews software, combining time</w:t>
      </w:r>
      <w:r w:rsidR="00A064A6">
        <w:t xml:space="preserve"> </w:t>
      </w:r>
      <w:r>
        <w:t>series (2021–2024) and cross-sectional dimensions (banking companies).</w:t>
      </w:r>
    </w:p>
    <w:p w14:paraId="5BED762D" w14:textId="77777777" w:rsidR="00146482" w:rsidRDefault="00000000" w:rsidP="00B03559">
      <w:pPr>
        <w:spacing w:before="240" w:after="240"/>
      </w:pPr>
      <w:r>
        <w:rPr>
          <w:b/>
          <w:bCs/>
        </w:rPr>
        <w:t>Population and Sample</w:t>
      </w:r>
    </w:p>
    <w:p w14:paraId="3FDB9090" w14:textId="77777777" w:rsidR="00146482" w:rsidRDefault="00000000" w:rsidP="00B03559">
      <w:pPr>
        <w:spacing w:before="240" w:after="240"/>
        <w:jc w:val="both"/>
      </w:pPr>
      <w:r>
        <w:t>The population consists of all banking companies listed on the Indonesia Stock Exchange (IDX) from 2021 to 2024. Purposive sampling was applied with the following criteria: (1) banking companies that published both annual reports and sustainability reports throughout the study period; and (2) banking companies that generated a profit throughout the study period. These criteria yielded 21 companies (84 observations). After outlier removal (12 rounds), the final sample was 51 observations.</w:t>
      </w:r>
    </w:p>
    <w:p w14:paraId="6545B396" w14:textId="77777777" w:rsidR="00146482" w:rsidRDefault="00000000" w:rsidP="000F1070">
      <w:pPr>
        <w:spacing w:before="240" w:after="240"/>
      </w:pPr>
      <w:r>
        <w:rPr>
          <w:b/>
          <w:bCs/>
        </w:rPr>
        <w:t>Variable Measurement</w:t>
      </w:r>
    </w:p>
    <w:p w14:paraId="3E076213" w14:textId="77777777" w:rsidR="00146482" w:rsidRDefault="00000000" w:rsidP="000F1070">
      <w:pPr>
        <w:spacing w:before="240" w:after="240"/>
      </w:pPr>
      <w:r>
        <w:rPr>
          <w:b/>
          <w:bCs/>
          <w:sz w:val="22"/>
          <w:szCs w:val="22"/>
        </w:rPr>
        <w:t>Table 1. Operational Definition of Variables</w:t>
      </w:r>
    </w:p>
    <w:tbl>
      <w:tblPr>
        <w:tblStyle w:val="KisiTabel"/>
        <w:tblW w:w="0" w:type="auto"/>
        <w:tblLook w:val="0000" w:firstRow="0" w:lastRow="0" w:firstColumn="0" w:lastColumn="0" w:noHBand="0" w:noVBand="0"/>
      </w:tblPr>
      <w:tblGrid>
        <w:gridCol w:w="2000"/>
        <w:gridCol w:w="2000"/>
        <w:gridCol w:w="3500"/>
        <w:gridCol w:w="2526"/>
      </w:tblGrid>
      <w:tr w:rsidR="00146482" w:rsidRPr="000F1070" w14:paraId="4DF77446" w14:textId="77777777" w:rsidTr="00FC0C89">
        <w:trPr>
          <w:trHeight w:val="555"/>
        </w:trPr>
        <w:tc>
          <w:tcPr>
            <w:tcW w:w="2000" w:type="dxa"/>
          </w:tcPr>
          <w:p w14:paraId="3C4A51E9" w14:textId="77777777" w:rsidR="00146482" w:rsidRPr="000F1070" w:rsidRDefault="00000000" w:rsidP="00FC0C89">
            <w:r w:rsidRPr="000F1070">
              <w:rPr>
                <w:b/>
                <w:bCs/>
              </w:rPr>
              <w:t>Variable</w:t>
            </w:r>
          </w:p>
        </w:tc>
        <w:tc>
          <w:tcPr>
            <w:tcW w:w="2000" w:type="dxa"/>
          </w:tcPr>
          <w:p w14:paraId="0A353DC7" w14:textId="77777777" w:rsidR="00146482" w:rsidRPr="000F1070" w:rsidRDefault="00000000" w:rsidP="00FC0C89">
            <w:r w:rsidRPr="000F1070">
              <w:rPr>
                <w:b/>
                <w:bCs/>
              </w:rPr>
              <w:t>Proxy</w:t>
            </w:r>
          </w:p>
        </w:tc>
        <w:tc>
          <w:tcPr>
            <w:tcW w:w="3500" w:type="dxa"/>
          </w:tcPr>
          <w:p w14:paraId="378F9E83" w14:textId="77777777" w:rsidR="00146482" w:rsidRPr="000F1070" w:rsidRDefault="00000000" w:rsidP="00FC0C89">
            <w:r w:rsidRPr="000F1070">
              <w:rPr>
                <w:b/>
                <w:bCs/>
              </w:rPr>
              <w:t>Operational Definition</w:t>
            </w:r>
          </w:p>
        </w:tc>
        <w:tc>
          <w:tcPr>
            <w:tcW w:w="2526" w:type="dxa"/>
          </w:tcPr>
          <w:p w14:paraId="1BC0C94E" w14:textId="77777777" w:rsidR="00146482" w:rsidRPr="000F1070" w:rsidRDefault="00000000" w:rsidP="00FC0C89">
            <w:r w:rsidRPr="000F1070">
              <w:rPr>
                <w:b/>
                <w:bCs/>
              </w:rPr>
              <w:t>Formula</w:t>
            </w:r>
          </w:p>
        </w:tc>
      </w:tr>
      <w:tr w:rsidR="00146482" w:rsidRPr="000F1070" w14:paraId="0EDEBA42" w14:textId="77777777" w:rsidTr="00B03559">
        <w:tc>
          <w:tcPr>
            <w:tcW w:w="2000" w:type="dxa"/>
          </w:tcPr>
          <w:p w14:paraId="29349173" w14:textId="77777777" w:rsidR="00146482" w:rsidRPr="000F1070" w:rsidRDefault="00000000" w:rsidP="00FC0C89">
            <w:r w:rsidRPr="000F1070">
              <w:t>Firm Value (Y)</w:t>
            </w:r>
          </w:p>
        </w:tc>
        <w:tc>
          <w:tcPr>
            <w:tcW w:w="2000" w:type="dxa"/>
          </w:tcPr>
          <w:p w14:paraId="60BCB175" w14:textId="77777777" w:rsidR="00146482" w:rsidRPr="000F1070" w:rsidRDefault="00000000" w:rsidP="00FC0C89">
            <w:r w:rsidRPr="000F1070">
              <w:t>Tobin's Q</w:t>
            </w:r>
          </w:p>
        </w:tc>
        <w:tc>
          <w:tcPr>
            <w:tcW w:w="3500" w:type="dxa"/>
          </w:tcPr>
          <w:p w14:paraId="41F0B6B0" w14:textId="77777777" w:rsidR="00146482" w:rsidRPr="000F1070" w:rsidRDefault="00000000" w:rsidP="00FC0C89">
            <w:r w:rsidRPr="000F1070">
              <w:t>Market value of the bank relative to asset replacement cost</w:t>
            </w:r>
          </w:p>
        </w:tc>
        <w:tc>
          <w:tcPr>
            <w:tcW w:w="2526" w:type="dxa"/>
          </w:tcPr>
          <w:p w14:paraId="4A9D47F7" w14:textId="77777777" w:rsidR="00146482" w:rsidRPr="000F1070" w:rsidRDefault="00000000" w:rsidP="00FC0C89">
            <w:r w:rsidRPr="000F1070">
              <w:t>Q = (EMV + D) / EBV</w:t>
            </w:r>
          </w:p>
        </w:tc>
      </w:tr>
      <w:tr w:rsidR="00146482" w:rsidRPr="000F1070" w14:paraId="08CAEA18" w14:textId="77777777" w:rsidTr="00B03559">
        <w:tc>
          <w:tcPr>
            <w:tcW w:w="2000" w:type="dxa"/>
          </w:tcPr>
          <w:p w14:paraId="119C1C31" w14:textId="77777777" w:rsidR="00146482" w:rsidRPr="000F1070" w:rsidRDefault="00000000" w:rsidP="00FC0C89">
            <w:r w:rsidRPr="000F1070">
              <w:t>ESG Disclosure (X1)</w:t>
            </w:r>
          </w:p>
        </w:tc>
        <w:tc>
          <w:tcPr>
            <w:tcW w:w="2000" w:type="dxa"/>
          </w:tcPr>
          <w:p w14:paraId="2CF24FB4" w14:textId="77777777" w:rsidR="00146482" w:rsidRPr="000F1070" w:rsidRDefault="00000000" w:rsidP="00FC0C89">
            <w:r w:rsidRPr="000F1070">
              <w:t>ESG Score</w:t>
            </w:r>
          </w:p>
        </w:tc>
        <w:tc>
          <w:tcPr>
            <w:tcW w:w="3500" w:type="dxa"/>
          </w:tcPr>
          <w:p w14:paraId="66E8864D" w14:textId="77777777" w:rsidR="00146482" w:rsidRPr="000F1070" w:rsidRDefault="00000000" w:rsidP="00FC0C89">
            <w:r w:rsidRPr="000F1070">
              <w:t>Disclosure of environmental, social, and governance aspects measured by GRI standards</w:t>
            </w:r>
          </w:p>
        </w:tc>
        <w:tc>
          <w:tcPr>
            <w:tcW w:w="2526" w:type="dxa"/>
          </w:tcPr>
          <w:p w14:paraId="017536FB" w14:textId="77777777" w:rsidR="00146482" w:rsidRPr="000F1070" w:rsidRDefault="00000000" w:rsidP="00FC0C89">
            <w:r w:rsidRPr="000F1070">
              <w:t>Disclosed items / Total maximum items</w:t>
            </w:r>
          </w:p>
        </w:tc>
      </w:tr>
      <w:tr w:rsidR="00146482" w:rsidRPr="000F1070" w14:paraId="59645E3D" w14:textId="77777777" w:rsidTr="00B03559">
        <w:tc>
          <w:tcPr>
            <w:tcW w:w="2000" w:type="dxa"/>
          </w:tcPr>
          <w:p w14:paraId="6B8342F4" w14:textId="77777777" w:rsidR="00146482" w:rsidRPr="000F1070" w:rsidRDefault="00000000" w:rsidP="00FC0C89">
            <w:r w:rsidRPr="000F1070">
              <w:t>Ownership Structure (X2)</w:t>
            </w:r>
          </w:p>
        </w:tc>
        <w:tc>
          <w:tcPr>
            <w:tcW w:w="2000" w:type="dxa"/>
          </w:tcPr>
          <w:p w14:paraId="25AC84BD" w14:textId="77777777" w:rsidR="00146482" w:rsidRPr="000F1070" w:rsidRDefault="00000000" w:rsidP="00FC0C89">
            <w:r w:rsidRPr="000F1070">
              <w:t>Institutional Ownership</w:t>
            </w:r>
          </w:p>
        </w:tc>
        <w:tc>
          <w:tcPr>
            <w:tcW w:w="3500" w:type="dxa"/>
          </w:tcPr>
          <w:p w14:paraId="666D0CB7" w14:textId="77777777" w:rsidR="00146482" w:rsidRPr="000F1070" w:rsidRDefault="00000000" w:rsidP="00FC0C89">
            <w:r w:rsidRPr="000F1070">
              <w:t>Percentage of shares held by institutional investors</w:t>
            </w:r>
          </w:p>
        </w:tc>
        <w:tc>
          <w:tcPr>
            <w:tcW w:w="2526" w:type="dxa"/>
          </w:tcPr>
          <w:p w14:paraId="008DC251" w14:textId="77777777" w:rsidR="00146482" w:rsidRPr="000F1070" w:rsidRDefault="00000000" w:rsidP="00FC0C89">
            <w:r w:rsidRPr="000F1070">
              <w:t>Institutional shares / Total outstanding shares</w:t>
            </w:r>
          </w:p>
        </w:tc>
      </w:tr>
      <w:tr w:rsidR="00146482" w:rsidRPr="000F1070" w14:paraId="3E5CF33B" w14:textId="77777777" w:rsidTr="00B03559">
        <w:tc>
          <w:tcPr>
            <w:tcW w:w="2000" w:type="dxa"/>
          </w:tcPr>
          <w:p w14:paraId="7A802891" w14:textId="77777777" w:rsidR="00146482" w:rsidRPr="000F1070" w:rsidRDefault="00000000" w:rsidP="00FC0C89">
            <w:r w:rsidRPr="000F1070">
              <w:t>Profitability (X3)</w:t>
            </w:r>
          </w:p>
        </w:tc>
        <w:tc>
          <w:tcPr>
            <w:tcW w:w="2000" w:type="dxa"/>
          </w:tcPr>
          <w:p w14:paraId="21A14940" w14:textId="77777777" w:rsidR="00146482" w:rsidRPr="000F1070" w:rsidRDefault="00000000" w:rsidP="00FC0C89">
            <w:r w:rsidRPr="000F1070">
              <w:t>ROA</w:t>
            </w:r>
          </w:p>
        </w:tc>
        <w:tc>
          <w:tcPr>
            <w:tcW w:w="3500" w:type="dxa"/>
          </w:tcPr>
          <w:p w14:paraId="4383D86B" w14:textId="77777777" w:rsidR="00146482" w:rsidRPr="000F1070" w:rsidRDefault="00000000" w:rsidP="00FC0C89">
            <w:r w:rsidRPr="000F1070">
              <w:t>Ability of the bank to generate net income from its total assets</w:t>
            </w:r>
          </w:p>
        </w:tc>
        <w:tc>
          <w:tcPr>
            <w:tcW w:w="2526" w:type="dxa"/>
          </w:tcPr>
          <w:p w14:paraId="3412553E" w14:textId="77777777" w:rsidR="00146482" w:rsidRPr="000F1070" w:rsidRDefault="00000000" w:rsidP="00FC0C89">
            <w:r w:rsidRPr="000F1070">
              <w:t>Net Income After Tax / Total Assets</w:t>
            </w:r>
          </w:p>
        </w:tc>
      </w:tr>
    </w:tbl>
    <w:p w14:paraId="0EEBF1C2" w14:textId="77777777" w:rsidR="00146482" w:rsidRDefault="00000000" w:rsidP="000951B5">
      <w:pPr>
        <w:spacing w:before="240" w:after="240"/>
      </w:pPr>
      <w:r>
        <w:rPr>
          <w:b/>
          <w:bCs/>
        </w:rPr>
        <w:t>Analysis Method</w:t>
      </w:r>
    </w:p>
    <w:p w14:paraId="0CA6525B" w14:textId="36C38D62" w:rsidR="00146482" w:rsidRDefault="00000000" w:rsidP="000951B5">
      <w:pPr>
        <w:spacing w:before="240" w:after="240"/>
        <w:jc w:val="both"/>
      </w:pPr>
      <w:r>
        <w:t xml:space="preserve">The regression equation is </w:t>
      </w:r>
      <w:proofErr w:type="spellStart"/>
      <w:r>
        <w:t>NPit</w:t>
      </w:r>
      <w:proofErr w:type="spellEnd"/>
      <w:r>
        <w:t xml:space="preserve"> = α + β1ESGit + β2SKt + β3ROAit + ε, where </w:t>
      </w:r>
      <w:proofErr w:type="spellStart"/>
      <w:r>
        <w:t>NPit</w:t>
      </w:r>
      <w:proofErr w:type="spellEnd"/>
      <w:r>
        <w:t xml:space="preserve"> is the firm value of bank </w:t>
      </w:r>
      <w:proofErr w:type="spellStart"/>
      <w:r>
        <w:t>i</w:t>
      </w:r>
      <w:proofErr w:type="spellEnd"/>
      <w:r>
        <w:t xml:space="preserve"> in year t, </w:t>
      </w:r>
      <w:proofErr w:type="spellStart"/>
      <w:r>
        <w:t>ESGit</w:t>
      </w:r>
      <w:proofErr w:type="spellEnd"/>
      <w:r>
        <w:t xml:space="preserve"> is the ESG disclosure score, </w:t>
      </w:r>
      <w:proofErr w:type="spellStart"/>
      <w:r>
        <w:t>SKIt</w:t>
      </w:r>
      <w:proofErr w:type="spellEnd"/>
      <w:r>
        <w:t xml:space="preserve"> is the institutional ownership ratio, and </w:t>
      </w:r>
      <w:proofErr w:type="spellStart"/>
      <w:r>
        <w:t>ROAit</w:t>
      </w:r>
      <w:proofErr w:type="spellEnd"/>
      <w:r>
        <w:t xml:space="preserve"> is the profitability measure. Three model estimations (Common Effect Model/CEM, Fixed Effect Model/FEM, Random Effect Model/REM) were performed, followed by Chow and Hausman tests for model selection. Classical assumption tests for multicollinearity, heteroscedasticity (</w:t>
      </w:r>
      <w:proofErr w:type="spellStart"/>
      <w:r>
        <w:t>Glejser</w:t>
      </w:r>
      <w:proofErr w:type="spellEnd"/>
      <w:r>
        <w:t xml:space="preserve"> test), and autocorrelation (Durbin-Watson test) were conducted. Hypothesis testing employed t-tests (partial effects), F-test (simultaneous effect), and Adjusted R-squared for goodness of fit.</w:t>
      </w:r>
    </w:p>
    <w:p w14:paraId="63B22D58" w14:textId="77777777" w:rsidR="00146482" w:rsidRDefault="00000000" w:rsidP="000951B5">
      <w:pPr>
        <w:spacing w:before="240" w:after="240"/>
      </w:pPr>
      <w:r>
        <w:rPr>
          <w:b/>
          <w:bCs/>
          <w:sz w:val="28"/>
          <w:szCs w:val="28"/>
        </w:rPr>
        <w:t>RESULTS AND DISCUSSION</w:t>
      </w:r>
    </w:p>
    <w:p w14:paraId="45828354" w14:textId="77777777" w:rsidR="00146482" w:rsidRDefault="00000000" w:rsidP="000951B5">
      <w:pPr>
        <w:spacing w:before="240" w:after="240"/>
      </w:pPr>
      <w:r>
        <w:rPr>
          <w:b/>
          <w:bCs/>
        </w:rPr>
        <w:t>Descriptive Statistics</w:t>
      </w:r>
    </w:p>
    <w:p w14:paraId="3AF4F8BF" w14:textId="77777777" w:rsidR="00146482" w:rsidRDefault="00000000" w:rsidP="000951B5">
      <w:pPr>
        <w:spacing w:before="240" w:after="240"/>
      </w:pPr>
      <w:r>
        <w:rPr>
          <w:b/>
          <w:bCs/>
          <w:sz w:val="22"/>
          <w:szCs w:val="22"/>
        </w:rPr>
        <w:t>Table 2. Descriptive Statistics of Research Variables</w:t>
      </w:r>
    </w:p>
    <w:tbl>
      <w:tblPr>
        <w:tblStyle w:val="KisiTabel"/>
        <w:tblW w:w="0" w:type="auto"/>
        <w:tblLook w:val="0000" w:firstRow="0" w:lastRow="0" w:firstColumn="0" w:lastColumn="0" w:noHBand="0" w:noVBand="0"/>
      </w:tblPr>
      <w:tblGrid>
        <w:gridCol w:w="2006"/>
        <w:gridCol w:w="2000"/>
        <w:gridCol w:w="2000"/>
        <w:gridCol w:w="2000"/>
        <w:gridCol w:w="2020"/>
      </w:tblGrid>
      <w:tr w:rsidR="00146482" w:rsidRPr="000F1070" w14:paraId="19335217" w14:textId="77777777" w:rsidTr="00FC0C89">
        <w:tc>
          <w:tcPr>
            <w:tcW w:w="2006" w:type="dxa"/>
          </w:tcPr>
          <w:p w14:paraId="62F778F2" w14:textId="77777777" w:rsidR="00146482" w:rsidRPr="000F1070" w:rsidRDefault="00000000">
            <w:pPr>
              <w:spacing w:before="40" w:after="40"/>
            </w:pPr>
            <w:r w:rsidRPr="000F1070">
              <w:rPr>
                <w:b/>
                <w:bCs/>
              </w:rPr>
              <w:t>Statistic</w:t>
            </w:r>
          </w:p>
        </w:tc>
        <w:tc>
          <w:tcPr>
            <w:tcW w:w="2000" w:type="dxa"/>
          </w:tcPr>
          <w:p w14:paraId="4AE7D9A5" w14:textId="77777777" w:rsidR="00146482" w:rsidRPr="000F1070" w:rsidRDefault="00000000">
            <w:pPr>
              <w:spacing w:before="40" w:after="40"/>
            </w:pPr>
            <w:r w:rsidRPr="000F1070">
              <w:rPr>
                <w:b/>
                <w:bCs/>
              </w:rPr>
              <w:t>Y (Firm Value)</w:t>
            </w:r>
          </w:p>
        </w:tc>
        <w:tc>
          <w:tcPr>
            <w:tcW w:w="2000" w:type="dxa"/>
          </w:tcPr>
          <w:p w14:paraId="3B9560D7" w14:textId="77777777" w:rsidR="00146482" w:rsidRPr="000F1070" w:rsidRDefault="00000000">
            <w:pPr>
              <w:spacing w:before="40" w:after="40"/>
            </w:pPr>
            <w:r w:rsidRPr="000F1070">
              <w:rPr>
                <w:b/>
                <w:bCs/>
              </w:rPr>
              <w:t>X1 (ESG Disclosure)</w:t>
            </w:r>
          </w:p>
        </w:tc>
        <w:tc>
          <w:tcPr>
            <w:tcW w:w="2000" w:type="dxa"/>
          </w:tcPr>
          <w:p w14:paraId="6CB0E009" w14:textId="77777777" w:rsidR="00146482" w:rsidRPr="000F1070" w:rsidRDefault="00000000">
            <w:pPr>
              <w:spacing w:before="40" w:after="40"/>
            </w:pPr>
            <w:r w:rsidRPr="000F1070">
              <w:rPr>
                <w:b/>
                <w:bCs/>
              </w:rPr>
              <w:t>X2 (Ownership Structure)</w:t>
            </w:r>
          </w:p>
        </w:tc>
        <w:tc>
          <w:tcPr>
            <w:tcW w:w="2020" w:type="dxa"/>
          </w:tcPr>
          <w:p w14:paraId="588FA17E" w14:textId="77777777" w:rsidR="00146482" w:rsidRPr="000F1070" w:rsidRDefault="00000000">
            <w:pPr>
              <w:spacing w:before="40" w:after="40"/>
            </w:pPr>
            <w:r w:rsidRPr="000F1070">
              <w:rPr>
                <w:b/>
                <w:bCs/>
              </w:rPr>
              <w:t>X3 (Profitability)</w:t>
            </w:r>
          </w:p>
        </w:tc>
      </w:tr>
      <w:tr w:rsidR="00146482" w:rsidRPr="000F1070" w14:paraId="3CF35418" w14:textId="77777777" w:rsidTr="00FC0C89">
        <w:tc>
          <w:tcPr>
            <w:tcW w:w="2006" w:type="dxa"/>
          </w:tcPr>
          <w:p w14:paraId="60E104BC" w14:textId="77777777" w:rsidR="00146482" w:rsidRPr="000F1070" w:rsidRDefault="00000000">
            <w:pPr>
              <w:spacing w:before="40" w:after="40"/>
            </w:pPr>
            <w:r w:rsidRPr="000F1070">
              <w:t>Mean</w:t>
            </w:r>
          </w:p>
        </w:tc>
        <w:tc>
          <w:tcPr>
            <w:tcW w:w="2000" w:type="dxa"/>
          </w:tcPr>
          <w:p w14:paraId="337F8BF8" w14:textId="77777777" w:rsidR="00146482" w:rsidRPr="000F1070" w:rsidRDefault="00000000">
            <w:pPr>
              <w:spacing w:before="40" w:after="40"/>
            </w:pPr>
            <w:r w:rsidRPr="000F1070">
              <w:t>1.011334</w:t>
            </w:r>
          </w:p>
        </w:tc>
        <w:tc>
          <w:tcPr>
            <w:tcW w:w="2000" w:type="dxa"/>
          </w:tcPr>
          <w:p w14:paraId="3F29839C" w14:textId="77777777" w:rsidR="00146482" w:rsidRPr="000F1070" w:rsidRDefault="00000000">
            <w:pPr>
              <w:spacing w:before="40" w:after="40"/>
            </w:pPr>
            <w:r w:rsidRPr="000F1070">
              <w:t>0.545788</w:t>
            </w:r>
          </w:p>
        </w:tc>
        <w:tc>
          <w:tcPr>
            <w:tcW w:w="2000" w:type="dxa"/>
          </w:tcPr>
          <w:p w14:paraId="36AABB55" w14:textId="77777777" w:rsidR="00146482" w:rsidRPr="000F1070" w:rsidRDefault="00000000">
            <w:pPr>
              <w:spacing w:before="40" w:after="40"/>
            </w:pPr>
            <w:r w:rsidRPr="000F1070">
              <w:t>0.800434</w:t>
            </w:r>
          </w:p>
        </w:tc>
        <w:tc>
          <w:tcPr>
            <w:tcW w:w="2020" w:type="dxa"/>
          </w:tcPr>
          <w:p w14:paraId="4EE1868B" w14:textId="77777777" w:rsidR="00146482" w:rsidRPr="000F1070" w:rsidRDefault="00000000">
            <w:pPr>
              <w:spacing w:before="40" w:after="40"/>
            </w:pPr>
            <w:r w:rsidRPr="000F1070">
              <w:t>0.017597</w:t>
            </w:r>
          </w:p>
        </w:tc>
      </w:tr>
      <w:tr w:rsidR="00146482" w:rsidRPr="000F1070" w14:paraId="78605BA7" w14:textId="77777777" w:rsidTr="00FC0C89">
        <w:tc>
          <w:tcPr>
            <w:tcW w:w="2006" w:type="dxa"/>
          </w:tcPr>
          <w:p w14:paraId="5DEDEF23" w14:textId="77777777" w:rsidR="00146482" w:rsidRPr="000F1070" w:rsidRDefault="00000000">
            <w:pPr>
              <w:spacing w:before="40" w:after="40"/>
            </w:pPr>
            <w:r w:rsidRPr="000F1070">
              <w:t>Median</w:t>
            </w:r>
          </w:p>
        </w:tc>
        <w:tc>
          <w:tcPr>
            <w:tcW w:w="2000" w:type="dxa"/>
          </w:tcPr>
          <w:p w14:paraId="0BFC0A6E" w14:textId="77777777" w:rsidR="00146482" w:rsidRPr="000F1070" w:rsidRDefault="00000000">
            <w:pPr>
              <w:spacing w:before="40" w:after="40"/>
            </w:pPr>
            <w:r w:rsidRPr="000F1070">
              <w:t>0.960775</w:t>
            </w:r>
          </w:p>
        </w:tc>
        <w:tc>
          <w:tcPr>
            <w:tcW w:w="2000" w:type="dxa"/>
          </w:tcPr>
          <w:p w14:paraId="5F28C2F9" w14:textId="77777777" w:rsidR="00146482" w:rsidRPr="000F1070" w:rsidRDefault="00000000">
            <w:pPr>
              <w:spacing w:before="40" w:after="40"/>
            </w:pPr>
            <w:r w:rsidRPr="000F1070">
              <w:t>0.564103</w:t>
            </w:r>
          </w:p>
        </w:tc>
        <w:tc>
          <w:tcPr>
            <w:tcW w:w="2000" w:type="dxa"/>
          </w:tcPr>
          <w:p w14:paraId="39CCC052" w14:textId="77777777" w:rsidR="00146482" w:rsidRPr="000F1070" w:rsidRDefault="00000000">
            <w:pPr>
              <w:spacing w:before="40" w:after="40"/>
            </w:pPr>
            <w:r w:rsidRPr="000F1070">
              <w:t>0.857439</w:t>
            </w:r>
          </w:p>
        </w:tc>
        <w:tc>
          <w:tcPr>
            <w:tcW w:w="2020" w:type="dxa"/>
          </w:tcPr>
          <w:p w14:paraId="7EFAD8E9" w14:textId="77777777" w:rsidR="00146482" w:rsidRPr="000F1070" w:rsidRDefault="00000000">
            <w:pPr>
              <w:spacing w:before="40" w:after="40"/>
            </w:pPr>
            <w:r w:rsidRPr="000F1070">
              <w:t>0.014052</w:t>
            </w:r>
          </w:p>
        </w:tc>
      </w:tr>
      <w:tr w:rsidR="00146482" w:rsidRPr="000F1070" w14:paraId="2B890AE3" w14:textId="77777777" w:rsidTr="00FC0C89">
        <w:tc>
          <w:tcPr>
            <w:tcW w:w="2006" w:type="dxa"/>
          </w:tcPr>
          <w:p w14:paraId="23A8FCFF" w14:textId="77777777" w:rsidR="00146482" w:rsidRPr="000F1070" w:rsidRDefault="00000000">
            <w:pPr>
              <w:spacing w:before="40" w:after="40"/>
            </w:pPr>
            <w:r w:rsidRPr="000F1070">
              <w:t>Maximum</w:t>
            </w:r>
          </w:p>
        </w:tc>
        <w:tc>
          <w:tcPr>
            <w:tcW w:w="2000" w:type="dxa"/>
          </w:tcPr>
          <w:p w14:paraId="24FE88B2" w14:textId="77777777" w:rsidR="00146482" w:rsidRPr="000F1070" w:rsidRDefault="00000000">
            <w:pPr>
              <w:spacing w:before="40" w:after="40"/>
            </w:pPr>
            <w:r w:rsidRPr="000F1070">
              <w:t>1.777864</w:t>
            </w:r>
          </w:p>
        </w:tc>
        <w:tc>
          <w:tcPr>
            <w:tcW w:w="2000" w:type="dxa"/>
          </w:tcPr>
          <w:p w14:paraId="53CEE822" w14:textId="77777777" w:rsidR="00146482" w:rsidRPr="000F1070" w:rsidRDefault="00000000">
            <w:pPr>
              <w:spacing w:before="40" w:after="40"/>
            </w:pPr>
            <w:r w:rsidRPr="000F1070">
              <w:t>0.931624</w:t>
            </w:r>
          </w:p>
        </w:tc>
        <w:tc>
          <w:tcPr>
            <w:tcW w:w="2000" w:type="dxa"/>
          </w:tcPr>
          <w:p w14:paraId="43AC4787" w14:textId="77777777" w:rsidR="00146482" w:rsidRPr="000F1070" w:rsidRDefault="00000000">
            <w:pPr>
              <w:spacing w:before="40" w:after="40"/>
            </w:pPr>
            <w:r w:rsidRPr="000F1070">
              <w:t>0.987117</w:t>
            </w:r>
          </w:p>
        </w:tc>
        <w:tc>
          <w:tcPr>
            <w:tcW w:w="2020" w:type="dxa"/>
          </w:tcPr>
          <w:p w14:paraId="4340E474" w14:textId="77777777" w:rsidR="00146482" w:rsidRPr="000F1070" w:rsidRDefault="00000000">
            <w:pPr>
              <w:spacing w:before="40" w:after="40"/>
            </w:pPr>
            <w:r w:rsidRPr="000F1070">
              <w:t>0.084093</w:t>
            </w:r>
          </w:p>
        </w:tc>
      </w:tr>
      <w:tr w:rsidR="00146482" w:rsidRPr="000F1070" w14:paraId="69157D41" w14:textId="77777777" w:rsidTr="00FC0C89">
        <w:tc>
          <w:tcPr>
            <w:tcW w:w="2006" w:type="dxa"/>
          </w:tcPr>
          <w:p w14:paraId="43736AA6" w14:textId="77777777" w:rsidR="00146482" w:rsidRPr="000F1070" w:rsidRDefault="00000000">
            <w:pPr>
              <w:spacing w:before="40" w:after="40"/>
            </w:pPr>
            <w:r w:rsidRPr="000F1070">
              <w:t>Minimum</w:t>
            </w:r>
          </w:p>
        </w:tc>
        <w:tc>
          <w:tcPr>
            <w:tcW w:w="2000" w:type="dxa"/>
          </w:tcPr>
          <w:p w14:paraId="3DCF4762" w14:textId="77777777" w:rsidR="00146482" w:rsidRPr="000F1070" w:rsidRDefault="00000000">
            <w:pPr>
              <w:spacing w:before="40" w:after="40"/>
            </w:pPr>
            <w:r w:rsidRPr="000F1070">
              <w:t>0.435560</w:t>
            </w:r>
          </w:p>
        </w:tc>
        <w:tc>
          <w:tcPr>
            <w:tcW w:w="2000" w:type="dxa"/>
          </w:tcPr>
          <w:p w14:paraId="53F255B7" w14:textId="77777777" w:rsidR="00146482" w:rsidRPr="000F1070" w:rsidRDefault="00000000">
            <w:pPr>
              <w:spacing w:before="40" w:after="40"/>
            </w:pPr>
            <w:r w:rsidRPr="000F1070">
              <w:t>0.239316</w:t>
            </w:r>
          </w:p>
        </w:tc>
        <w:tc>
          <w:tcPr>
            <w:tcW w:w="2000" w:type="dxa"/>
          </w:tcPr>
          <w:p w14:paraId="12CF2287" w14:textId="77777777" w:rsidR="00146482" w:rsidRPr="000F1070" w:rsidRDefault="00000000">
            <w:pPr>
              <w:spacing w:before="40" w:after="40"/>
            </w:pPr>
            <w:r w:rsidRPr="000F1070">
              <w:t>0.531934</w:t>
            </w:r>
          </w:p>
        </w:tc>
        <w:tc>
          <w:tcPr>
            <w:tcW w:w="2020" w:type="dxa"/>
          </w:tcPr>
          <w:p w14:paraId="2F6C4EBD" w14:textId="77777777" w:rsidR="00146482" w:rsidRPr="000F1070" w:rsidRDefault="00000000">
            <w:pPr>
              <w:spacing w:before="40" w:after="40"/>
            </w:pPr>
            <w:r w:rsidRPr="000F1070">
              <w:t>0.000156</w:t>
            </w:r>
          </w:p>
        </w:tc>
      </w:tr>
      <w:tr w:rsidR="00146482" w:rsidRPr="000F1070" w14:paraId="7F5AF606" w14:textId="77777777" w:rsidTr="00FC0C89">
        <w:tc>
          <w:tcPr>
            <w:tcW w:w="2006" w:type="dxa"/>
          </w:tcPr>
          <w:p w14:paraId="78730339" w14:textId="77777777" w:rsidR="00146482" w:rsidRPr="000F1070" w:rsidRDefault="00000000">
            <w:pPr>
              <w:spacing w:before="40" w:after="40"/>
            </w:pPr>
            <w:r w:rsidRPr="000F1070">
              <w:t>Std. Dev.</w:t>
            </w:r>
          </w:p>
        </w:tc>
        <w:tc>
          <w:tcPr>
            <w:tcW w:w="2000" w:type="dxa"/>
          </w:tcPr>
          <w:p w14:paraId="6F4F8F06" w14:textId="77777777" w:rsidR="00146482" w:rsidRPr="000F1070" w:rsidRDefault="00000000">
            <w:pPr>
              <w:spacing w:before="40" w:after="40"/>
            </w:pPr>
            <w:r w:rsidRPr="000F1070">
              <w:t>0.244224</w:t>
            </w:r>
          </w:p>
        </w:tc>
        <w:tc>
          <w:tcPr>
            <w:tcW w:w="2000" w:type="dxa"/>
          </w:tcPr>
          <w:p w14:paraId="5A2ED9FB" w14:textId="77777777" w:rsidR="00146482" w:rsidRPr="000F1070" w:rsidRDefault="00000000">
            <w:pPr>
              <w:spacing w:before="40" w:after="40"/>
            </w:pPr>
            <w:r w:rsidRPr="000F1070">
              <w:t>0.166808</w:t>
            </w:r>
          </w:p>
        </w:tc>
        <w:tc>
          <w:tcPr>
            <w:tcW w:w="2000" w:type="dxa"/>
          </w:tcPr>
          <w:p w14:paraId="526D5550" w14:textId="77777777" w:rsidR="00146482" w:rsidRPr="000F1070" w:rsidRDefault="00000000">
            <w:pPr>
              <w:spacing w:before="40" w:after="40"/>
            </w:pPr>
            <w:r w:rsidRPr="000F1070">
              <w:t>0.143174</w:t>
            </w:r>
          </w:p>
        </w:tc>
        <w:tc>
          <w:tcPr>
            <w:tcW w:w="2020" w:type="dxa"/>
          </w:tcPr>
          <w:p w14:paraId="476EC3D1" w14:textId="77777777" w:rsidR="00146482" w:rsidRPr="000F1070" w:rsidRDefault="00000000">
            <w:pPr>
              <w:spacing w:before="40" w:after="40"/>
            </w:pPr>
            <w:r w:rsidRPr="000F1070">
              <w:t>0.014308</w:t>
            </w:r>
          </w:p>
        </w:tc>
      </w:tr>
      <w:tr w:rsidR="00146482" w:rsidRPr="000F1070" w14:paraId="7201F320" w14:textId="77777777" w:rsidTr="00FC0C89">
        <w:tc>
          <w:tcPr>
            <w:tcW w:w="2006" w:type="dxa"/>
          </w:tcPr>
          <w:p w14:paraId="5F9D40DC" w14:textId="77777777" w:rsidR="00146482" w:rsidRPr="000F1070" w:rsidRDefault="00000000">
            <w:pPr>
              <w:spacing w:before="40" w:after="40"/>
            </w:pPr>
            <w:r w:rsidRPr="000F1070">
              <w:lastRenderedPageBreak/>
              <w:t>Observations</w:t>
            </w:r>
          </w:p>
        </w:tc>
        <w:tc>
          <w:tcPr>
            <w:tcW w:w="2000" w:type="dxa"/>
          </w:tcPr>
          <w:p w14:paraId="2ECE1B5A" w14:textId="77777777" w:rsidR="00146482" w:rsidRPr="000F1070" w:rsidRDefault="00000000">
            <w:pPr>
              <w:spacing w:before="40" w:after="40"/>
            </w:pPr>
            <w:r w:rsidRPr="000F1070">
              <w:t>84</w:t>
            </w:r>
          </w:p>
        </w:tc>
        <w:tc>
          <w:tcPr>
            <w:tcW w:w="2000" w:type="dxa"/>
          </w:tcPr>
          <w:p w14:paraId="33FC26F6" w14:textId="77777777" w:rsidR="00146482" w:rsidRPr="000F1070" w:rsidRDefault="00000000">
            <w:pPr>
              <w:spacing w:before="40" w:after="40"/>
            </w:pPr>
            <w:r w:rsidRPr="000F1070">
              <w:t>84</w:t>
            </w:r>
          </w:p>
        </w:tc>
        <w:tc>
          <w:tcPr>
            <w:tcW w:w="2000" w:type="dxa"/>
          </w:tcPr>
          <w:p w14:paraId="6B6F67FB" w14:textId="77777777" w:rsidR="00146482" w:rsidRPr="000F1070" w:rsidRDefault="00000000">
            <w:pPr>
              <w:spacing w:before="40" w:after="40"/>
            </w:pPr>
            <w:r w:rsidRPr="000F1070">
              <w:t>84</w:t>
            </w:r>
          </w:p>
        </w:tc>
        <w:tc>
          <w:tcPr>
            <w:tcW w:w="2020" w:type="dxa"/>
          </w:tcPr>
          <w:p w14:paraId="2BF5065D" w14:textId="77777777" w:rsidR="00146482" w:rsidRPr="000F1070" w:rsidRDefault="00000000">
            <w:pPr>
              <w:spacing w:before="40" w:after="40"/>
            </w:pPr>
            <w:r w:rsidRPr="000F1070">
              <w:t>84</w:t>
            </w:r>
          </w:p>
        </w:tc>
      </w:tr>
    </w:tbl>
    <w:p w14:paraId="4FD90E8E" w14:textId="4B1C5CB4" w:rsidR="00146482" w:rsidRDefault="00FC0C89" w:rsidP="000951B5">
      <w:pPr>
        <w:spacing w:before="240" w:after="240"/>
        <w:jc w:val="both"/>
      </w:pPr>
      <w:r w:rsidRPr="00FC0C89">
        <w:t>The descriptive statistics for the observation period (2021–2024) reveal that the firm value (Tobin's Q) has a mean of 1.011 with a standard deviation of 0.244, indicating that the market generally values the sampled banking companies slightly above their book value. ESG disclosure demonstrates a moderate average of 54.58% (std. dev. 0.166), with the highest disclosure level reaching 93.16%. Institutional ownership heavily dominates the corporate structure, showing a high mean of 80.04% (std. dev. 0.143). Meanwhile, profitability (ROA) averages at 1.76% (std. dev. 0.014), reflecting the banks' general capability to generate positive returns on their assets. The relatively low standard deviations across all variables suggest that the data distribution among the sampled banks is generally homogeneous</w:t>
      </w:r>
      <w:r>
        <w:t>.</w:t>
      </w:r>
    </w:p>
    <w:p w14:paraId="55104835" w14:textId="77777777" w:rsidR="00146482" w:rsidRDefault="00000000" w:rsidP="000951B5">
      <w:pPr>
        <w:spacing w:before="240" w:after="240"/>
      </w:pPr>
      <w:r>
        <w:rPr>
          <w:b/>
          <w:bCs/>
        </w:rPr>
        <w:t>Normality Test</w:t>
      </w:r>
    </w:p>
    <w:p w14:paraId="6CAF054C" w14:textId="77777777" w:rsidR="00146482" w:rsidRDefault="00000000" w:rsidP="000951B5">
      <w:pPr>
        <w:spacing w:before="240" w:after="240"/>
        <w:jc w:val="both"/>
      </w:pPr>
      <w:r>
        <w:t>Initial Jarque-Bera tests on 84 observations revealed that variables Y, X2, and X3 did not follow a normal distribution (p &lt; 0.05), while X1 was normal. After 12 rounds of outlier removal (using 2–3 standard deviation thresholds), the final sample of 51 observations satisfied normality for all variables (Y: p = 0.665728; X1: p = 0.633499; X2: p = 0.276644; X3: p = 0.317471).</w:t>
      </w:r>
    </w:p>
    <w:p w14:paraId="116B31F8" w14:textId="77777777" w:rsidR="00146482" w:rsidRDefault="00000000" w:rsidP="000951B5">
      <w:pPr>
        <w:spacing w:before="240" w:after="240"/>
      </w:pPr>
      <w:r>
        <w:rPr>
          <w:b/>
          <w:bCs/>
        </w:rPr>
        <w:t>Panel Data Model Selection</w:t>
      </w:r>
    </w:p>
    <w:p w14:paraId="5868A639" w14:textId="77777777" w:rsidR="00146482" w:rsidRDefault="00000000" w:rsidP="000951B5">
      <w:pPr>
        <w:spacing w:before="240" w:after="240"/>
      </w:pPr>
      <w:r>
        <w:rPr>
          <w:b/>
          <w:bCs/>
          <w:sz w:val="22"/>
          <w:szCs w:val="22"/>
        </w:rPr>
        <w:t>Table 3. Chow Test Results</w:t>
      </w:r>
    </w:p>
    <w:tbl>
      <w:tblPr>
        <w:tblStyle w:val="KisiTabel"/>
        <w:tblW w:w="0" w:type="auto"/>
        <w:tblLook w:val="0000" w:firstRow="0" w:lastRow="0" w:firstColumn="0" w:lastColumn="0" w:noHBand="0" w:noVBand="0"/>
      </w:tblPr>
      <w:tblGrid>
        <w:gridCol w:w="3342"/>
        <w:gridCol w:w="2228"/>
        <w:gridCol w:w="2228"/>
        <w:gridCol w:w="2228"/>
      </w:tblGrid>
      <w:tr w:rsidR="00146482" w:rsidRPr="000F1070" w14:paraId="2D95ED99" w14:textId="77777777" w:rsidTr="00FC0C89">
        <w:tc>
          <w:tcPr>
            <w:tcW w:w="3342" w:type="dxa"/>
          </w:tcPr>
          <w:p w14:paraId="41BDBC36" w14:textId="77777777" w:rsidR="00146482" w:rsidRPr="000F1070" w:rsidRDefault="00000000">
            <w:pPr>
              <w:spacing w:before="40" w:after="40"/>
            </w:pPr>
            <w:r w:rsidRPr="000F1070">
              <w:rPr>
                <w:b/>
                <w:bCs/>
              </w:rPr>
              <w:t>Effects Test</w:t>
            </w:r>
          </w:p>
        </w:tc>
        <w:tc>
          <w:tcPr>
            <w:tcW w:w="2228" w:type="dxa"/>
          </w:tcPr>
          <w:p w14:paraId="26EA45DA" w14:textId="77777777" w:rsidR="00146482" w:rsidRPr="000F1070" w:rsidRDefault="00000000">
            <w:pPr>
              <w:spacing w:before="40" w:after="40"/>
            </w:pPr>
            <w:r w:rsidRPr="000F1070">
              <w:rPr>
                <w:b/>
                <w:bCs/>
              </w:rPr>
              <w:t>Statistic</w:t>
            </w:r>
          </w:p>
        </w:tc>
        <w:tc>
          <w:tcPr>
            <w:tcW w:w="2228" w:type="dxa"/>
          </w:tcPr>
          <w:p w14:paraId="048674B2" w14:textId="77777777" w:rsidR="00146482" w:rsidRPr="000F1070" w:rsidRDefault="00000000">
            <w:pPr>
              <w:spacing w:before="40" w:after="40"/>
            </w:pPr>
            <w:proofErr w:type="spellStart"/>
            <w:r w:rsidRPr="000F1070">
              <w:rPr>
                <w:b/>
                <w:bCs/>
              </w:rPr>
              <w:t>d.f.</w:t>
            </w:r>
            <w:proofErr w:type="spellEnd"/>
          </w:p>
        </w:tc>
        <w:tc>
          <w:tcPr>
            <w:tcW w:w="2228" w:type="dxa"/>
          </w:tcPr>
          <w:p w14:paraId="3537827E" w14:textId="77777777" w:rsidR="00146482" w:rsidRPr="000F1070" w:rsidRDefault="00000000">
            <w:pPr>
              <w:spacing w:before="40" w:after="40"/>
            </w:pPr>
            <w:r w:rsidRPr="000F1070">
              <w:rPr>
                <w:b/>
                <w:bCs/>
              </w:rPr>
              <w:t>Prob.</w:t>
            </w:r>
          </w:p>
        </w:tc>
      </w:tr>
      <w:tr w:rsidR="00146482" w:rsidRPr="000F1070" w14:paraId="19148026" w14:textId="77777777" w:rsidTr="00FC0C89">
        <w:tc>
          <w:tcPr>
            <w:tcW w:w="3342" w:type="dxa"/>
          </w:tcPr>
          <w:p w14:paraId="6BC8C78B" w14:textId="77777777" w:rsidR="00146482" w:rsidRPr="000F1070" w:rsidRDefault="00000000">
            <w:pPr>
              <w:spacing w:before="40" w:after="40"/>
            </w:pPr>
            <w:r w:rsidRPr="000F1070">
              <w:t>Cross-section F</w:t>
            </w:r>
          </w:p>
        </w:tc>
        <w:tc>
          <w:tcPr>
            <w:tcW w:w="2228" w:type="dxa"/>
          </w:tcPr>
          <w:p w14:paraId="109C0BD8" w14:textId="77777777" w:rsidR="00146482" w:rsidRPr="000F1070" w:rsidRDefault="00000000">
            <w:pPr>
              <w:spacing w:before="40" w:after="40"/>
            </w:pPr>
            <w:r w:rsidRPr="000F1070">
              <w:t>12.529034</w:t>
            </w:r>
          </w:p>
        </w:tc>
        <w:tc>
          <w:tcPr>
            <w:tcW w:w="2228" w:type="dxa"/>
          </w:tcPr>
          <w:p w14:paraId="4D7F2A1F" w14:textId="77777777" w:rsidR="00146482" w:rsidRPr="000F1070" w:rsidRDefault="00000000">
            <w:pPr>
              <w:spacing w:before="40" w:after="40"/>
            </w:pPr>
            <w:r w:rsidRPr="000F1070">
              <w:t>(12, 35)</w:t>
            </w:r>
          </w:p>
        </w:tc>
        <w:tc>
          <w:tcPr>
            <w:tcW w:w="2228" w:type="dxa"/>
          </w:tcPr>
          <w:p w14:paraId="227FBA22" w14:textId="77777777" w:rsidR="00146482" w:rsidRPr="000F1070" w:rsidRDefault="00000000">
            <w:pPr>
              <w:spacing w:before="40" w:after="40"/>
            </w:pPr>
            <w:r w:rsidRPr="000F1070">
              <w:t>0.0000</w:t>
            </w:r>
          </w:p>
        </w:tc>
      </w:tr>
      <w:tr w:rsidR="00146482" w:rsidRPr="000F1070" w14:paraId="2B2FF52A" w14:textId="77777777" w:rsidTr="00FC0C89">
        <w:tc>
          <w:tcPr>
            <w:tcW w:w="3342" w:type="dxa"/>
          </w:tcPr>
          <w:p w14:paraId="4284E475" w14:textId="77777777" w:rsidR="00146482" w:rsidRPr="000F1070" w:rsidRDefault="00000000">
            <w:pPr>
              <w:spacing w:before="40" w:after="40"/>
            </w:pPr>
            <w:r w:rsidRPr="000F1070">
              <w:t>Cross-section Chi-square</w:t>
            </w:r>
          </w:p>
        </w:tc>
        <w:tc>
          <w:tcPr>
            <w:tcW w:w="2228" w:type="dxa"/>
          </w:tcPr>
          <w:p w14:paraId="7F3D2E3F" w14:textId="77777777" w:rsidR="00146482" w:rsidRPr="000F1070" w:rsidRDefault="00000000">
            <w:pPr>
              <w:spacing w:before="40" w:after="40"/>
            </w:pPr>
            <w:r w:rsidRPr="000F1070">
              <w:t>85.011355</w:t>
            </w:r>
          </w:p>
        </w:tc>
        <w:tc>
          <w:tcPr>
            <w:tcW w:w="2228" w:type="dxa"/>
          </w:tcPr>
          <w:p w14:paraId="69242D9B" w14:textId="77777777" w:rsidR="00146482" w:rsidRPr="000F1070" w:rsidRDefault="00000000">
            <w:pPr>
              <w:spacing w:before="40" w:after="40"/>
            </w:pPr>
            <w:r w:rsidRPr="000F1070">
              <w:t>12</w:t>
            </w:r>
          </w:p>
        </w:tc>
        <w:tc>
          <w:tcPr>
            <w:tcW w:w="2228" w:type="dxa"/>
          </w:tcPr>
          <w:p w14:paraId="2BF683ED" w14:textId="77777777" w:rsidR="00146482" w:rsidRPr="000F1070" w:rsidRDefault="00000000">
            <w:pPr>
              <w:spacing w:before="40" w:after="40"/>
            </w:pPr>
            <w:r w:rsidRPr="000F1070">
              <w:t>0.0000</w:t>
            </w:r>
          </w:p>
        </w:tc>
      </w:tr>
    </w:tbl>
    <w:p w14:paraId="69DD0C78" w14:textId="77777777" w:rsidR="00146482" w:rsidRDefault="00000000" w:rsidP="000951B5">
      <w:pPr>
        <w:spacing w:before="240" w:after="240"/>
      </w:pPr>
      <w:r>
        <w:rPr>
          <w:b/>
          <w:bCs/>
          <w:sz w:val="22"/>
          <w:szCs w:val="22"/>
        </w:rPr>
        <w:t>Table 4. Hausman Test Results</w:t>
      </w:r>
    </w:p>
    <w:tbl>
      <w:tblPr>
        <w:tblStyle w:val="KisiTabel"/>
        <w:tblW w:w="10026" w:type="dxa"/>
        <w:tblLook w:val="0000" w:firstRow="0" w:lastRow="0" w:firstColumn="0" w:lastColumn="0" w:noHBand="0" w:noVBand="0"/>
      </w:tblPr>
      <w:tblGrid>
        <w:gridCol w:w="3342"/>
        <w:gridCol w:w="2228"/>
        <w:gridCol w:w="2228"/>
        <w:gridCol w:w="2228"/>
      </w:tblGrid>
      <w:tr w:rsidR="00146482" w:rsidRPr="000F1070" w14:paraId="4C733425" w14:textId="77777777" w:rsidTr="00FC0C89">
        <w:tc>
          <w:tcPr>
            <w:tcW w:w="3342" w:type="dxa"/>
          </w:tcPr>
          <w:p w14:paraId="60344AFB" w14:textId="77777777" w:rsidR="00146482" w:rsidRPr="000F1070" w:rsidRDefault="00000000">
            <w:pPr>
              <w:spacing w:before="40" w:after="40"/>
            </w:pPr>
            <w:r w:rsidRPr="000F1070">
              <w:rPr>
                <w:b/>
                <w:bCs/>
              </w:rPr>
              <w:t>Test Summary</w:t>
            </w:r>
          </w:p>
        </w:tc>
        <w:tc>
          <w:tcPr>
            <w:tcW w:w="2228" w:type="dxa"/>
          </w:tcPr>
          <w:p w14:paraId="512D74E5" w14:textId="77777777" w:rsidR="00146482" w:rsidRPr="000F1070" w:rsidRDefault="00000000">
            <w:pPr>
              <w:spacing w:before="40" w:after="40"/>
            </w:pPr>
            <w:r w:rsidRPr="000F1070">
              <w:rPr>
                <w:b/>
                <w:bCs/>
              </w:rPr>
              <w:t>Chi-Sq. Statistic</w:t>
            </w:r>
          </w:p>
        </w:tc>
        <w:tc>
          <w:tcPr>
            <w:tcW w:w="2228" w:type="dxa"/>
          </w:tcPr>
          <w:p w14:paraId="57EA5CBE" w14:textId="77777777" w:rsidR="00146482" w:rsidRPr="000F1070" w:rsidRDefault="00000000">
            <w:pPr>
              <w:spacing w:before="40" w:after="40"/>
            </w:pPr>
            <w:r w:rsidRPr="000F1070">
              <w:rPr>
                <w:b/>
                <w:bCs/>
              </w:rPr>
              <w:t xml:space="preserve">Chi-Sq. </w:t>
            </w:r>
            <w:proofErr w:type="spellStart"/>
            <w:r w:rsidRPr="000F1070">
              <w:rPr>
                <w:b/>
                <w:bCs/>
              </w:rPr>
              <w:t>d.f.</w:t>
            </w:r>
            <w:proofErr w:type="spellEnd"/>
          </w:p>
        </w:tc>
        <w:tc>
          <w:tcPr>
            <w:tcW w:w="2228" w:type="dxa"/>
          </w:tcPr>
          <w:p w14:paraId="54F4BFE9" w14:textId="77777777" w:rsidR="00146482" w:rsidRPr="000F1070" w:rsidRDefault="00000000">
            <w:pPr>
              <w:spacing w:before="40" w:after="40"/>
            </w:pPr>
            <w:r w:rsidRPr="000F1070">
              <w:rPr>
                <w:b/>
                <w:bCs/>
              </w:rPr>
              <w:t>Prob.</w:t>
            </w:r>
          </w:p>
        </w:tc>
      </w:tr>
      <w:tr w:rsidR="00146482" w:rsidRPr="000F1070" w14:paraId="2F4D91C6" w14:textId="77777777" w:rsidTr="00FC0C89">
        <w:tc>
          <w:tcPr>
            <w:tcW w:w="3342" w:type="dxa"/>
          </w:tcPr>
          <w:p w14:paraId="7AA45BDC" w14:textId="77777777" w:rsidR="00146482" w:rsidRPr="000F1070" w:rsidRDefault="00000000">
            <w:pPr>
              <w:spacing w:before="40" w:after="40"/>
            </w:pPr>
            <w:r w:rsidRPr="000F1070">
              <w:t>Cross-section random</w:t>
            </w:r>
          </w:p>
        </w:tc>
        <w:tc>
          <w:tcPr>
            <w:tcW w:w="2228" w:type="dxa"/>
          </w:tcPr>
          <w:p w14:paraId="0E6500C2" w14:textId="77777777" w:rsidR="00146482" w:rsidRPr="000F1070" w:rsidRDefault="00000000">
            <w:pPr>
              <w:spacing w:before="40" w:after="40"/>
            </w:pPr>
            <w:r w:rsidRPr="000F1070">
              <w:t>7.925200</w:t>
            </w:r>
          </w:p>
        </w:tc>
        <w:tc>
          <w:tcPr>
            <w:tcW w:w="2228" w:type="dxa"/>
          </w:tcPr>
          <w:p w14:paraId="53DAD370" w14:textId="77777777" w:rsidR="00146482" w:rsidRPr="000F1070" w:rsidRDefault="00000000">
            <w:pPr>
              <w:spacing w:before="40" w:after="40"/>
            </w:pPr>
            <w:r w:rsidRPr="000F1070">
              <w:t>3</w:t>
            </w:r>
          </w:p>
        </w:tc>
        <w:tc>
          <w:tcPr>
            <w:tcW w:w="2228" w:type="dxa"/>
          </w:tcPr>
          <w:p w14:paraId="0CEE5C0A" w14:textId="77777777" w:rsidR="00146482" w:rsidRPr="000F1070" w:rsidRDefault="00000000">
            <w:pPr>
              <w:spacing w:before="40" w:after="40"/>
            </w:pPr>
            <w:r w:rsidRPr="000F1070">
              <w:t>0.0476</w:t>
            </w:r>
          </w:p>
        </w:tc>
      </w:tr>
    </w:tbl>
    <w:p w14:paraId="4DDE1DDD" w14:textId="77777777" w:rsidR="00146482" w:rsidRDefault="00000000" w:rsidP="000951B5">
      <w:pPr>
        <w:spacing w:before="240" w:after="240"/>
        <w:jc w:val="both"/>
      </w:pPr>
      <w:r>
        <w:t>The Chow Test yielded a Chi-square probability of 0.0000 (&lt;0.05), rejecting H0 and selecting the Fixed Effect Model over the Common Effect Model. The Hausman Test yielded a probability of 0.0476 (&lt;0.05), rejecting H0 and confirming that the Fixed Effect Model is the most appropriate specification. The Lagrange Multiplier test was therefore not required.</w:t>
      </w:r>
    </w:p>
    <w:p w14:paraId="5D2C8552" w14:textId="77777777" w:rsidR="00146482" w:rsidRDefault="00000000" w:rsidP="000951B5">
      <w:pPr>
        <w:spacing w:before="240" w:after="240"/>
      </w:pPr>
      <w:r>
        <w:rPr>
          <w:b/>
          <w:bCs/>
        </w:rPr>
        <w:t>Classical Assumption Tests</w:t>
      </w:r>
    </w:p>
    <w:p w14:paraId="1003730F" w14:textId="320C1C7F" w:rsidR="00146482" w:rsidRDefault="00000000" w:rsidP="000951B5">
      <w:pPr>
        <w:spacing w:before="240" w:after="240"/>
        <w:jc w:val="both"/>
      </w:pPr>
      <w:r>
        <w:t>Multicollinearity</w:t>
      </w:r>
      <w:r w:rsidR="00FC0C89">
        <w:t xml:space="preserve"> test</w:t>
      </w:r>
      <w:r>
        <w:t xml:space="preserve"> </w:t>
      </w:r>
      <w:r w:rsidR="00FC0C89">
        <w:t>c</w:t>
      </w:r>
      <w:r>
        <w:t>orrelation coefficients between independent variables were all below the threshold of 0.90 (X1–X2: 0.006749</w:t>
      </w:r>
      <w:r w:rsidR="004475CC">
        <w:t>,</w:t>
      </w:r>
      <w:r>
        <w:t xml:space="preserve"> X1–X3: 0.550642</w:t>
      </w:r>
      <w:r w:rsidR="004475CC">
        <w:t>,</w:t>
      </w:r>
      <w:r>
        <w:t xml:space="preserve"> X2–X3: 0.121870), confirming no multicollinearity. Heteroscedasticity (</w:t>
      </w:r>
      <w:proofErr w:type="spellStart"/>
      <w:r>
        <w:t>Glejser</w:t>
      </w:r>
      <w:proofErr w:type="spellEnd"/>
      <w:r>
        <w:t xml:space="preserve"> Test)</w:t>
      </w:r>
      <w:r w:rsidR="00FC0C89">
        <w:t xml:space="preserve"> </w:t>
      </w:r>
      <w:r w:rsidR="00FC0C89" w:rsidRPr="00FC0C89">
        <w:t>obtained</w:t>
      </w:r>
      <w:r>
        <w:t xml:space="preserve"> </w:t>
      </w:r>
      <w:r w:rsidR="00FC0C89">
        <w:t>p</w:t>
      </w:r>
      <w:r>
        <w:t>robability values for all variables exceeded 0.05 (X1: 0.2669</w:t>
      </w:r>
      <w:r w:rsidR="00FC0C89">
        <w:t>,</w:t>
      </w:r>
      <w:r>
        <w:t xml:space="preserve"> X2: 0.5635</w:t>
      </w:r>
      <w:r w:rsidR="004475CC">
        <w:t>,</w:t>
      </w:r>
      <w:r>
        <w:t xml:space="preserve"> X3: 0.1110), confirming homoscedasticity. Autocorrelation (Durbin-Watson)</w:t>
      </w:r>
      <w:r w:rsidR="004475CC">
        <w:t xml:space="preserve"> </w:t>
      </w:r>
      <w:r w:rsidR="004475CC" w:rsidRPr="004475CC">
        <w:t>obtained</w:t>
      </w:r>
      <w:r>
        <w:t xml:space="preserve"> DW value of 2.3236 falls within the no-autocorrelation zone (DU &lt; DW &lt; 4-DU: 1.6754 &lt; 2.3236 &lt; 2.3246), confirming no serial correlation.</w:t>
      </w:r>
    </w:p>
    <w:p w14:paraId="6F61B8E0" w14:textId="77777777" w:rsidR="00146482" w:rsidRDefault="00000000" w:rsidP="000951B5">
      <w:pPr>
        <w:spacing w:before="240" w:after="240"/>
      </w:pPr>
      <w:r>
        <w:rPr>
          <w:b/>
          <w:bCs/>
        </w:rPr>
        <w:t>Hypothesis Testing</w:t>
      </w:r>
    </w:p>
    <w:p w14:paraId="12FE4C95" w14:textId="77777777" w:rsidR="00146482" w:rsidRDefault="00000000" w:rsidP="000951B5">
      <w:pPr>
        <w:spacing w:before="240" w:after="240"/>
      </w:pPr>
      <w:r>
        <w:rPr>
          <w:b/>
          <w:bCs/>
          <w:sz w:val="22"/>
          <w:szCs w:val="22"/>
        </w:rPr>
        <w:t>Table 5. Fixed Effect Model Regression Results</w:t>
      </w:r>
    </w:p>
    <w:tbl>
      <w:tblPr>
        <w:tblStyle w:val="KisiTabel"/>
        <w:tblW w:w="0" w:type="auto"/>
        <w:tblLook w:val="0000" w:firstRow="0" w:lastRow="0" w:firstColumn="0" w:lastColumn="0" w:noHBand="0" w:noVBand="0"/>
      </w:tblPr>
      <w:tblGrid>
        <w:gridCol w:w="2506"/>
        <w:gridCol w:w="2380"/>
        <w:gridCol w:w="2380"/>
        <w:gridCol w:w="2380"/>
        <w:gridCol w:w="876"/>
      </w:tblGrid>
      <w:tr w:rsidR="00146482" w:rsidRPr="000F1070" w14:paraId="75F91BEC" w14:textId="77777777" w:rsidTr="004475CC">
        <w:tc>
          <w:tcPr>
            <w:tcW w:w="2506" w:type="dxa"/>
          </w:tcPr>
          <w:p w14:paraId="40CCB67D" w14:textId="77777777" w:rsidR="00146482" w:rsidRPr="000F1070" w:rsidRDefault="00000000">
            <w:pPr>
              <w:spacing w:before="40" w:after="40"/>
            </w:pPr>
            <w:r w:rsidRPr="000F1070">
              <w:rPr>
                <w:b/>
                <w:bCs/>
              </w:rPr>
              <w:t>Variable</w:t>
            </w:r>
          </w:p>
        </w:tc>
        <w:tc>
          <w:tcPr>
            <w:tcW w:w="2380" w:type="dxa"/>
          </w:tcPr>
          <w:p w14:paraId="0881A265" w14:textId="77777777" w:rsidR="00146482" w:rsidRPr="000F1070" w:rsidRDefault="00000000">
            <w:pPr>
              <w:spacing w:before="40" w:after="40"/>
            </w:pPr>
            <w:r w:rsidRPr="000F1070">
              <w:rPr>
                <w:b/>
                <w:bCs/>
              </w:rPr>
              <w:t>Coefficient</w:t>
            </w:r>
          </w:p>
        </w:tc>
        <w:tc>
          <w:tcPr>
            <w:tcW w:w="2380" w:type="dxa"/>
          </w:tcPr>
          <w:p w14:paraId="703FAD04" w14:textId="77777777" w:rsidR="00146482" w:rsidRPr="000F1070" w:rsidRDefault="00000000">
            <w:pPr>
              <w:spacing w:before="40" w:after="40"/>
            </w:pPr>
            <w:r w:rsidRPr="000F1070">
              <w:rPr>
                <w:b/>
                <w:bCs/>
              </w:rPr>
              <w:t>Std. Error</w:t>
            </w:r>
          </w:p>
        </w:tc>
        <w:tc>
          <w:tcPr>
            <w:tcW w:w="2380" w:type="dxa"/>
          </w:tcPr>
          <w:p w14:paraId="55DD78B9" w14:textId="77777777" w:rsidR="00146482" w:rsidRPr="000F1070" w:rsidRDefault="00000000">
            <w:pPr>
              <w:spacing w:before="40" w:after="40"/>
            </w:pPr>
            <w:r w:rsidRPr="000F1070">
              <w:rPr>
                <w:b/>
                <w:bCs/>
              </w:rPr>
              <w:t>t-Statistic</w:t>
            </w:r>
          </w:p>
        </w:tc>
        <w:tc>
          <w:tcPr>
            <w:tcW w:w="380" w:type="dxa"/>
          </w:tcPr>
          <w:p w14:paraId="2C6D3E3B" w14:textId="77777777" w:rsidR="00146482" w:rsidRPr="000F1070" w:rsidRDefault="00000000">
            <w:pPr>
              <w:spacing w:before="40" w:after="40"/>
            </w:pPr>
            <w:r w:rsidRPr="000F1070">
              <w:rPr>
                <w:b/>
                <w:bCs/>
              </w:rPr>
              <w:t>Prob.</w:t>
            </w:r>
          </w:p>
        </w:tc>
      </w:tr>
      <w:tr w:rsidR="00146482" w:rsidRPr="000F1070" w14:paraId="3AC77D47" w14:textId="77777777" w:rsidTr="004475CC">
        <w:tc>
          <w:tcPr>
            <w:tcW w:w="2506" w:type="dxa"/>
          </w:tcPr>
          <w:p w14:paraId="70B1194E" w14:textId="77777777" w:rsidR="00146482" w:rsidRPr="000F1070" w:rsidRDefault="00000000">
            <w:pPr>
              <w:spacing w:before="40" w:after="40"/>
            </w:pPr>
            <w:r w:rsidRPr="000F1070">
              <w:t>C</w:t>
            </w:r>
          </w:p>
        </w:tc>
        <w:tc>
          <w:tcPr>
            <w:tcW w:w="2380" w:type="dxa"/>
          </w:tcPr>
          <w:p w14:paraId="5524A6D1" w14:textId="77777777" w:rsidR="00146482" w:rsidRPr="000F1070" w:rsidRDefault="00000000">
            <w:pPr>
              <w:spacing w:before="40" w:after="40"/>
            </w:pPr>
            <w:r w:rsidRPr="000F1070">
              <w:t>0.748301</w:t>
            </w:r>
          </w:p>
        </w:tc>
        <w:tc>
          <w:tcPr>
            <w:tcW w:w="2380" w:type="dxa"/>
          </w:tcPr>
          <w:p w14:paraId="7A2085E6" w14:textId="77777777" w:rsidR="00146482" w:rsidRPr="000F1070" w:rsidRDefault="00000000">
            <w:pPr>
              <w:spacing w:before="40" w:after="40"/>
            </w:pPr>
            <w:r w:rsidRPr="000F1070">
              <w:t>0.192067</w:t>
            </w:r>
          </w:p>
        </w:tc>
        <w:tc>
          <w:tcPr>
            <w:tcW w:w="2380" w:type="dxa"/>
          </w:tcPr>
          <w:p w14:paraId="4CBDD0EC" w14:textId="77777777" w:rsidR="00146482" w:rsidRPr="000F1070" w:rsidRDefault="00000000">
            <w:pPr>
              <w:spacing w:before="40" w:after="40"/>
            </w:pPr>
            <w:r w:rsidRPr="000F1070">
              <w:t>3.896036</w:t>
            </w:r>
          </w:p>
        </w:tc>
        <w:tc>
          <w:tcPr>
            <w:tcW w:w="380" w:type="dxa"/>
          </w:tcPr>
          <w:p w14:paraId="2904DE0E" w14:textId="77777777" w:rsidR="00146482" w:rsidRPr="000F1070" w:rsidRDefault="00000000">
            <w:pPr>
              <w:spacing w:before="40" w:after="40"/>
            </w:pPr>
            <w:r w:rsidRPr="000F1070">
              <w:t>0.0004</w:t>
            </w:r>
          </w:p>
        </w:tc>
      </w:tr>
      <w:tr w:rsidR="00146482" w:rsidRPr="000F1070" w14:paraId="7BC98E64" w14:textId="77777777" w:rsidTr="004475CC">
        <w:tc>
          <w:tcPr>
            <w:tcW w:w="2506" w:type="dxa"/>
          </w:tcPr>
          <w:p w14:paraId="121DDD7E" w14:textId="77777777" w:rsidR="00146482" w:rsidRPr="000F1070" w:rsidRDefault="00000000">
            <w:pPr>
              <w:spacing w:before="40" w:after="40"/>
            </w:pPr>
            <w:r w:rsidRPr="000F1070">
              <w:t>X1 (ESG Disclosure)</w:t>
            </w:r>
          </w:p>
        </w:tc>
        <w:tc>
          <w:tcPr>
            <w:tcW w:w="2380" w:type="dxa"/>
          </w:tcPr>
          <w:p w14:paraId="1EC6F64E" w14:textId="77777777" w:rsidR="00146482" w:rsidRPr="000F1070" w:rsidRDefault="00000000">
            <w:pPr>
              <w:spacing w:before="40" w:after="40"/>
            </w:pPr>
            <w:r w:rsidRPr="000F1070">
              <w:t>-0.184682</w:t>
            </w:r>
          </w:p>
        </w:tc>
        <w:tc>
          <w:tcPr>
            <w:tcW w:w="2380" w:type="dxa"/>
          </w:tcPr>
          <w:p w14:paraId="51E3C568" w14:textId="77777777" w:rsidR="00146482" w:rsidRPr="000F1070" w:rsidRDefault="00000000">
            <w:pPr>
              <w:spacing w:before="40" w:after="40"/>
            </w:pPr>
            <w:r w:rsidRPr="000F1070">
              <w:t>0.056480</w:t>
            </w:r>
          </w:p>
        </w:tc>
        <w:tc>
          <w:tcPr>
            <w:tcW w:w="2380" w:type="dxa"/>
          </w:tcPr>
          <w:p w14:paraId="2A191407" w14:textId="77777777" w:rsidR="00146482" w:rsidRPr="000F1070" w:rsidRDefault="00000000">
            <w:pPr>
              <w:spacing w:before="40" w:after="40"/>
            </w:pPr>
            <w:r w:rsidRPr="000F1070">
              <w:t>-3.269838</w:t>
            </w:r>
          </w:p>
        </w:tc>
        <w:tc>
          <w:tcPr>
            <w:tcW w:w="380" w:type="dxa"/>
          </w:tcPr>
          <w:p w14:paraId="1F2223F1" w14:textId="77777777" w:rsidR="00146482" w:rsidRPr="000F1070" w:rsidRDefault="00000000">
            <w:pPr>
              <w:spacing w:before="40" w:after="40"/>
            </w:pPr>
            <w:r w:rsidRPr="000F1070">
              <w:t>0.0024</w:t>
            </w:r>
          </w:p>
        </w:tc>
      </w:tr>
      <w:tr w:rsidR="00146482" w:rsidRPr="000F1070" w14:paraId="287AF5A2" w14:textId="77777777" w:rsidTr="004475CC">
        <w:tc>
          <w:tcPr>
            <w:tcW w:w="2506" w:type="dxa"/>
          </w:tcPr>
          <w:p w14:paraId="7E689B38" w14:textId="77777777" w:rsidR="00146482" w:rsidRPr="000F1070" w:rsidRDefault="00000000">
            <w:pPr>
              <w:spacing w:before="40" w:after="40"/>
            </w:pPr>
            <w:r w:rsidRPr="000F1070">
              <w:t>X2 (Ownership Structure)</w:t>
            </w:r>
          </w:p>
        </w:tc>
        <w:tc>
          <w:tcPr>
            <w:tcW w:w="2380" w:type="dxa"/>
          </w:tcPr>
          <w:p w14:paraId="0E17AE28" w14:textId="77777777" w:rsidR="00146482" w:rsidRPr="000F1070" w:rsidRDefault="00000000">
            <w:pPr>
              <w:spacing w:before="40" w:after="40"/>
            </w:pPr>
            <w:r w:rsidRPr="000F1070">
              <w:t>0.251755</w:t>
            </w:r>
          </w:p>
        </w:tc>
        <w:tc>
          <w:tcPr>
            <w:tcW w:w="2380" w:type="dxa"/>
          </w:tcPr>
          <w:p w14:paraId="3D80DCEB" w14:textId="77777777" w:rsidR="00146482" w:rsidRPr="000F1070" w:rsidRDefault="00000000">
            <w:pPr>
              <w:spacing w:before="40" w:after="40"/>
            </w:pPr>
            <w:r w:rsidRPr="000F1070">
              <w:t>0.204167</w:t>
            </w:r>
          </w:p>
        </w:tc>
        <w:tc>
          <w:tcPr>
            <w:tcW w:w="2380" w:type="dxa"/>
          </w:tcPr>
          <w:p w14:paraId="13A7F98B" w14:textId="77777777" w:rsidR="00146482" w:rsidRPr="000F1070" w:rsidRDefault="00000000">
            <w:pPr>
              <w:spacing w:before="40" w:after="40"/>
            </w:pPr>
            <w:r w:rsidRPr="000F1070">
              <w:t>1.233079</w:t>
            </w:r>
          </w:p>
        </w:tc>
        <w:tc>
          <w:tcPr>
            <w:tcW w:w="380" w:type="dxa"/>
          </w:tcPr>
          <w:p w14:paraId="2E1CF8A1" w14:textId="77777777" w:rsidR="00146482" w:rsidRPr="000F1070" w:rsidRDefault="00000000">
            <w:pPr>
              <w:spacing w:before="40" w:after="40"/>
            </w:pPr>
            <w:r w:rsidRPr="000F1070">
              <w:t>0.2258</w:t>
            </w:r>
          </w:p>
        </w:tc>
      </w:tr>
      <w:tr w:rsidR="00146482" w:rsidRPr="000F1070" w14:paraId="7054974A" w14:textId="77777777" w:rsidTr="004475CC">
        <w:tc>
          <w:tcPr>
            <w:tcW w:w="2506" w:type="dxa"/>
          </w:tcPr>
          <w:p w14:paraId="102E03B9" w14:textId="77777777" w:rsidR="00146482" w:rsidRPr="000F1070" w:rsidRDefault="00000000">
            <w:pPr>
              <w:spacing w:before="40" w:after="40"/>
            </w:pPr>
            <w:r w:rsidRPr="000F1070">
              <w:lastRenderedPageBreak/>
              <w:t>X3 (Profitability)</w:t>
            </w:r>
          </w:p>
        </w:tc>
        <w:tc>
          <w:tcPr>
            <w:tcW w:w="2380" w:type="dxa"/>
          </w:tcPr>
          <w:p w14:paraId="505188B4" w14:textId="77777777" w:rsidR="00146482" w:rsidRPr="000F1070" w:rsidRDefault="00000000">
            <w:pPr>
              <w:spacing w:before="40" w:after="40"/>
            </w:pPr>
            <w:r w:rsidRPr="000F1070">
              <w:t>6.968342</w:t>
            </w:r>
          </w:p>
        </w:tc>
        <w:tc>
          <w:tcPr>
            <w:tcW w:w="2380" w:type="dxa"/>
          </w:tcPr>
          <w:p w14:paraId="62F63994" w14:textId="77777777" w:rsidR="00146482" w:rsidRPr="000F1070" w:rsidRDefault="00000000">
            <w:pPr>
              <w:spacing w:before="40" w:after="40"/>
            </w:pPr>
            <w:r w:rsidRPr="000F1070">
              <w:t>2.079407</w:t>
            </w:r>
          </w:p>
        </w:tc>
        <w:tc>
          <w:tcPr>
            <w:tcW w:w="2380" w:type="dxa"/>
          </w:tcPr>
          <w:p w14:paraId="1B0BDAF4" w14:textId="77777777" w:rsidR="00146482" w:rsidRPr="000F1070" w:rsidRDefault="00000000">
            <w:pPr>
              <w:spacing w:before="40" w:after="40"/>
            </w:pPr>
            <w:r w:rsidRPr="000F1070">
              <w:t>3.351119</w:t>
            </w:r>
          </w:p>
        </w:tc>
        <w:tc>
          <w:tcPr>
            <w:tcW w:w="380" w:type="dxa"/>
          </w:tcPr>
          <w:p w14:paraId="30DB839B" w14:textId="77777777" w:rsidR="00146482" w:rsidRPr="000F1070" w:rsidRDefault="00000000">
            <w:pPr>
              <w:spacing w:before="40" w:after="40"/>
            </w:pPr>
            <w:r w:rsidRPr="000F1070">
              <w:t>0.0019</w:t>
            </w:r>
          </w:p>
        </w:tc>
      </w:tr>
      <w:tr w:rsidR="00146482" w:rsidRPr="000F1070" w14:paraId="4356DDAC" w14:textId="77777777" w:rsidTr="004475CC">
        <w:tc>
          <w:tcPr>
            <w:tcW w:w="2506" w:type="dxa"/>
          </w:tcPr>
          <w:p w14:paraId="783CE4BF" w14:textId="77777777" w:rsidR="00146482" w:rsidRPr="000F1070" w:rsidRDefault="00000000">
            <w:pPr>
              <w:spacing w:before="40" w:after="40"/>
            </w:pPr>
            <w:r w:rsidRPr="000F1070">
              <w:t>F-statistic</w:t>
            </w:r>
          </w:p>
        </w:tc>
        <w:tc>
          <w:tcPr>
            <w:tcW w:w="2380" w:type="dxa"/>
          </w:tcPr>
          <w:p w14:paraId="53205EC2" w14:textId="77777777" w:rsidR="00146482" w:rsidRPr="000F1070" w:rsidRDefault="00000000">
            <w:pPr>
              <w:spacing w:before="40" w:after="40"/>
            </w:pPr>
            <w:r w:rsidRPr="000F1070">
              <w:t>10.76916</w:t>
            </w:r>
          </w:p>
        </w:tc>
        <w:tc>
          <w:tcPr>
            <w:tcW w:w="2380" w:type="dxa"/>
          </w:tcPr>
          <w:p w14:paraId="1BE01D8F" w14:textId="77777777" w:rsidR="00146482" w:rsidRPr="000F1070" w:rsidRDefault="00146482">
            <w:pPr>
              <w:spacing w:before="40" w:after="40"/>
            </w:pPr>
          </w:p>
        </w:tc>
        <w:tc>
          <w:tcPr>
            <w:tcW w:w="2380" w:type="dxa"/>
          </w:tcPr>
          <w:p w14:paraId="7FDAABB2" w14:textId="77777777" w:rsidR="00146482" w:rsidRPr="000F1070" w:rsidRDefault="00000000">
            <w:pPr>
              <w:spacing w:before="40" w:after="40"/>
            </w:pPr>
            <w:r w:rsidRPr="000F1070">
              <w:t>Prob(F-statistic)</w:t>
            </w:r>
          </w:p>
        </w:tc>
        <w:tc>
          <w:tcPr>
            <w:tcW w:w="380" w:type="dxa"/>
          </w:tcPr>
          <w:p w14:paraId="02F9C713" w14:textId="77777777" w:rsidR="00146482" w:rsidRPr="000F1070" w:rsidRDefault="00000000">
            <w:pPr>
              <w:spacing w:before="40" w:after="40"/>
            </w:pPr>
            <w:r w:rsidRPr="000F1070">
              <w:t>0.0000</w:t>
            </w:r>
          </w:p>
        </w:tc>
      </w:tr>
      <w:tr w:rsidR="00146482" w:rsidRPr="000F1070" w14:paraId="556333F9" w14:textId="77777777" w:rsidTr="004475CC">
        <w:tc>
          <w:tcPr>
            <w:tcW w:w="2506" w:type="dxa"/>
          </w:tcPr>
          <w:p w14:paraId="7682EB0C" w14:textId="77777777" w:rsidR="00146482" w:rsidRPr="000F1070" w:rsidRDefault="00000000">
            <w:pPr>
              <w:spacing w:before="40" w:after="40"/>
            </w:pPr>
            <w:r w:rsidRPr="000F1070">
              <w:t>R-squared</w:t>
            </w:r>
          </w:p>
        </w:tc>
        <w:tc>
          <w:tcPr>
            <w:tcW w:w="2380" w:type="dxa"/>
          </w:tcPr>
          <w:p w14:paraId="17801ADB" w14:textId="77777777" w:rsidR="00146482" w:rsidRPr="000F1070" w:rsidRDefault="00000000">
            <w:pPr>
              <w:spacing w:before="40" w:after="40"/>
            </w:pPr>
            <w:r w:rsidRPr="000F1070">
              <w:t>0.821917</w:t>
            </w:r>
          </w:p>
        </w:tc>
        <w:tc>
          <w:tcPr>
            <w:tcW w:w="2380" w:type="dxa"/>
          </w:tcPr>
          <w:p w14:paraId="289301D3" w14:textId="77777777" w:rsidR="00146482" w:rsidRPr="000F1070" w:rsidRDefault="00146482">
            <w:pPr>
              <w:spacing w:before="40" w:after="40"/>
            </w:pPr>
          </w:p>
        </w:tc>
        <w:tc>
          <w:tcPr>
            <w:tcW w:w="2380" w:type="dxa"/>
          </w:tcPr>
          <w:p w14:paraId="2AB9D352" w14:textId="77777777" w:rsidR="00146482" w:rsidRPr="000F1070" w:rsidRDefault="00000000">
            <w:pPr>
              <w:spacing w:before="40" w:after="40"/>
            </w:pPr>
            <w:r w:rsidRPr="000F1070">
              <w:t>Adj. R-squared</w:t>
            </w:r>
          </w:p>
        </w:tc>
        <w:tc>
          <w:tcPr>
            <w:tcW w:w="380" w:type="dxa"/>
          </w:tcPr>
          <w:p w14:paraId="35ECB832" w14:textId="77777777" w:rsidR="00146482" w:rsidRPr="000F1070" w:rsidRDefault="00000000">
            <w:pPr>
              <w:spacing w:before="40" w:after="40"/>
            </w:pPr>
            <w:r w:rsidRPr="000F1070">
              <w:t>0.7456</w:t>
            </w:r>
          </w:p>
        </w:tc>
      </w:tr>
    </w:tbl>
    <w:p w14:paraId="6EC73926" w14:textId="1202B7C8" w:rsidR="004475CC" w:rsidRDefault="00000000" w:rsidP="000951B5">
      <w:pPr>
        <w:spacing w:before="240" w:after="240"/>
        <w:jc w:val="both"/>
      </w:pPr>
      <w:r>
        <w:t xml:space="preserve">The regression equation is: </w:t>
      </w:r>
      <w:proofErr w:type="spellStart"/>
      <w:r>
        <w:t>NPit</w:t>
      </w:r>
      <w:proofErr w:type="spellEnd"/>
      <w:r>
        <w:t xml:space="preserve"> = 0.748301 – 0.184682ESGit + 0.251755SKIt + 6.968342ROAit</w:t>
      </w:r>
    </w:p>
    <w:p w14:paraId="4578E6DD" w14:textId="77777777" w:rsidR="00146482" w:rsidRPr="004475CC" w:rsidRDefault="00000000" w:rsidP="000951B5">
      <w:pPr>
        <w:spacing w:before="240" w:after="240"/>
      </w:pPr>
      <w:r w:rsidRPr="004475CC">
        <w:rPr>
          <w:b/>
          <w:bCs/>
        </w:rPr>
        <w:t>Discussion</w:t>
      </w:r>
    </w:p>
    <w:p w14:paraId="4A3D8E5E" w14:textId="1690A603" w:rsidR="00146482" w:rsidRDefault="00000000" w:rsidP="000951B5">
      <w:pPr>
        <w:spacing w:before="240" w:after="240"/>
      </w:pPr>
      <w:r>
        <w:rPr>
          <w:b/>
          <w:bCs/>
          <w:i/>
          <w:iCs/>
        </w:rPr>
        <w:t xml:space="preserve">H1: ESG Disclosure </w:t>
      </w:r>
      <w:r w:rsidR="004475CC">
        <w:rPr>
          <w:b/>
          <w:bCs/>
          <w:i/>
          <w:iCs/>
        </w:rPr>
        <w:t>on</w:t>
      </w:r>
      <w:r>
        <w:rPr>
          <w:b/>
          <w:bCs/>
          <w:i/>
          <w:iCs/>
        </w:rPr>
        <w:t xml:space="preserve"> Firm Value (Rejected)</w:t>
      </w:r>
    </w:p>
    <w:p w14:paraId="368B7D12" w14:textId="76DABBE7" w:rsidR="00146482" w:rsidRDefault="00000000" w:rsidP="000951B5">
      <w:pPr>
        <w:spacing w:before="240" w:after="240"/>
        <w:jc w:val="both"/>
      </w:pPr>
      <w:r>
        <w:t xml:space="preserve">ESG Disclosure (X1) shows a significant negative effect on Firm Value (coefficient = -0.184682, p = 0.0024), leading to the rejection of H1. Contrary to the expected positive signal from both </w:t>
      </w:r>
      <w:proofErr w:type="spellStart"/>
      <w:r>
        <w:t>Signaling</w:t>
      </w:r>
      <w:proofErr w:type="spellEnd"/>
      <w:r>
        <w:t xml:space="preserve"> Theory and Stakeholder Theory, the negative coefficient indicates that higher ESG reporting is associated with lower Tobin's Q during the study period. Two explanations are offered. First, sustainable finance practices in Indonesia's banking sector remain in an early stage of development (2021–2024 represents the initial phase of Sustainable Finance Roadmap Phase II), and the market has yet to fully price ESG disclosure as a value-enhancing factor. During this phase, banks incur significant additional compliance costs</w:t>
      </w:r>
      <w:r w:rsidR="004475CC">
        <w:t xml:space="preserve"> </w:t>
      </w:r>
      <w:r>
        <w:t>sustainability report preparation, policy development, and operational adjustments</w:t>
      </w:r>
      <w:r w:rsidR="004475CC">
        <w:t xml:space="preserve"> </w:t>
      </w:r>
      <w:r>
        <w:t>that may depress short-run profitability signals without commensurate market recognition. Second, there is evidence of greenwashing. A Forest Watch Indonesia report shows that 13 major banks</w:t>
      </w:r>
      <w:r w:rsidR="004475CC">
        <w:t xml:space="preserve"> </w:t>
      </w:r>
      <w:r>
        <w:t xml:space="preserve">including Bank </w:t>
      </w:r>
      <w:proofErr w:type="spellStart"/>
      <w:r>
        <w:t>Mandiri</w:t>
      </w:r>
      <w:proofErr w:type="spellEnd"/>
      <w:r>
        <w:t>, BRI, BNI, and BCA</w:t>
      </w:r>
      <w:r w:rsidR="004475CC">
        <w:t xml:space="preserve"> </w:t>
      </w:r>
      <w:r>
        <w:t xml:space="preserve">scored high on green investment indices while continuing to finance high-carbon-intensity sectors (forestry, palm oil, mining). The gap between ESG reporting and actual sustainable financing practices triggers investor </w:t>
      </w:r>
      <w:proofErr w:type="spellStart"/>
      <w:r>
        <w:t>skepticism</w:t>
      </w:r>
      <w:proofErr w:type="spellEnd"/>
      <w:r>
        <w:t xml:space="preserve">, consistent with </w:t>
      </w:r>
      <w:proofErr w:type="spellStart"/>
      <w:r>
        <w:t>Islahuddin</w:t>
      </w:r>
      <w:proofErr w:type="spellEnd"/>
      <w:r>
        <w:t xml:space="preserve"> et al. (2026), who find that greenwashing is associated with negative market reactions and reduced firm value. This result aligns with </w:t>
      </w:r>
      <w:proofErr w:type="spellStart"/>
      <w:r>
        <w:t>Luthfiah</w:t>
      </w:r>
      <w:proofErr w:type="spellEnd"/>
      <w:r>
        <w:t xml:space="preserve"> et al. (2025).</w:t>
      </w:r>
    </w:p>
    <w:p w14:paraId="2049FBF9" w14:textId="3CCC855F" w:rsidR="00146482" w:rsidRDefault="00000000" w:rsidP="000951B5">
      <w:pPr>
        <w:spacing w:before="240" w:after="240"/>
      </w:pPr>
      <w:r>
        <w:rPr>
          <w:b/>
          <w:bCs/>
          <w:i/>
          <w:iCs/>
        </w:rPr>
        <w:t xml:space="preserve">H2: Ownership Structure </w:t>
      </w:r>
      <w:r w:rsidR="004475CC">
        <w:rPr>
          <w:b/>
          <w:bCs/>
          <w:i/>
          <w:iCs/>
        </w:rPr>
        <w:t>on</w:t>
      </w:r>
      <w:r>
        <w:rPr>
          <w:b/>
          <w:bCs/>
          <w:i/>
          <w:iCs/>
        </w:rPr>
        <w:t xml:space="preserve"> Firm Value (Rejected)</w:t>
      </w:r>
    </w:p>
    <w:p w14:paraId="51545087" w14:textId="79D15986" w:rsidR="00146482" w:rsidRDefault="00000000" w:rsidP="000951B5">
      <w:pPr>
        <w:spacing w:before="240" w:after="240"/>
        <w:jc w:val="both"/>
      </w:pPr>
      <w:r>
        <w:t>Ownership Structure (X2) shows a positive but insignificant effect (coefficient = 0.251755, p = 0.2258), leading to the rejection of H2. Although the direction is consistent with Agency Theory</w:t>
      </w:r>
      <w:r w:rsidR="004475CC">
        <w:t xml:space="preserve"> </w:t>
      </w:r>
      <w:r>
        <w:t>higher institutional ownership providing better managerial monitoring</w:t>
      </w:r>
      <w:r w:rsidR="004475CC">
        <w:t xml:space="preserve"> </w:t>
      </w:r>
      <w:r>
        <w:t>the effect is not statistically significant. This outcome is explained by the Indonesian banking sector's uniquely high regulatory intensity</w:t>
      </w:r>
      <w:r w:rsidR="004475CC">
        <w:t xml:space="preserve"> like</w:t>
      </w:r>
      <w:r>
        <w:t xml:space="preserve"> OJK and Bank Indonesia already provide robust external oversight, effectively substituting for the monitoring role of institutional shareholders (</w:t>
      </w:r>
      <w:proofErr w:type="spellStart"/>
      <w:r>
        <w:t>Bisettia</w:t>
      </w:r>
      <w:proofErr w:type="spellEnd"/>
      <w:r>
        <w:t>, 2024). Additionally, the dominance of state</w:t>
      </w:r>
      <w:r w:rsidR="004475CC">
        <w:t xml:space="preserve"> </w:t>
      </w:r>
      <w:r>
        <w:t xml:space="preserve">owned institutional shareholding in BUMN banks limits public participation in governance oversight, reducing the marginal impact of ownership concentration on market valuation. This result is consistent with </w:t>
      </w:r>
      <w:proofErr w:type="spellStart"/>
      <w:r>
        <w:t>Aritopan</w:t>
      </w:r>
      <w:proofErr w:type="spellEnd"/>
      <w:r>
        <w:t xml:space="preserve"> et al. (2024) and Irawan &amp; Nugroho (2025).</w:t>
      </w:r>
    </w:p>
    <w:p w14:paraId="2AA2396A" w14:textId="679F1B2A" w:rsidR="00146482" w:rsidRDefault="00000000" w:rsidP="000951B5">
      <w:pPr>
        <w:spacing w:before="240" w:after="240"/>
      </w:pPr>
      <w:r>
        <w:rPr>
          <w:b/>
          <w:bCs/>
          <w:i/>
          <w:iCs/>
        </w:rPr>
        <w:t xml:space="preserve">H3: Profitability </w:t>
      </w:r>
      <w:r w:rsidR="000F1070">
        <w:rPr>
          <w:b/>
          <w:bCs/>
          <w:i/>
          <w:iCs/>
        </w:rPr>
        <w:t>on</w:t>
      </w:r>
      <w:r>
        <w:rPr>
          <w:b/>
          <w:bCs/>
          <w:i/>
          <w:iCs/>
        </w:rPr>
        <w:t xml:space="preserve"> Firm Value (Accepted)</w:t>
      </w:r>
    </w:p>
    <w:p w14:paraId="2C816057" w14:textId="244096F3" w:rsidR="00146482" w:rsidRDefault="00000000" w:rsidP="000951B5">
      <w:pPr>
        <w:spacing w:before="240" w:after="240"/>
        <w:jc w:val="both"/>
      </w:pPr>
      <w:r>
        <w:t xml:space="preserve">Profitability (X3) demonstrates a significant positive effect on Firm Value (coefficient = 6.968342, p = 0.0019), supporting H3. This finding is fully consistent with </w:t>
      </w:r>
      <w:proofErr w:type="spellStart"/>
      <w:r>
        <w:t>Signaling</w:t>
      </w:r>
      <w:proofErr w:type="spellEnd"/>
      <w:r>
        <w:t xml:space="preserve"> Theory</w:t>
      </w:r>
      <w:r w:rsidR="004475CC">
        <w:t>,</w:t>
      </w:r>
      <w:r>
        <w:t xml:space="preserve"> a high ROA signals to investors that the bank efficiently utilizes its assets to generate earnings, forecasting strong future performance and justifying higher Tobin's Q valuations. During the 2021–2024 economic recovery, profitability served as the primary signal of banking resilience, and the strong positive coefficient reflects investors' reliance on fundamental financial performance as the dominant value driver. This result aligns with Araujo et al. (2025) and </w:t>
      </w:r>
      <w:proofErr w:type="spellStart"/>
      <w:r>
        <w:t>Musalim</w:t>
      </w:r>
      <w:proofErr w:type="spellEnd"/>
      <w:r>
        <w:t xml:space="preserve"> et al. (2024).</w:t>
      </w:r>
    </w:p>
    <w:p w14:paraId="7A59B25C" w14:textId="77777777" w:rsidR="00146482" w:rsidRDefault="00000000" w:rsidP="000951B5">
      <w:pPr>
        <w:spacing w:before="240" w:after="240"/>
      </w:pPr>
      <w:r>
        <w:rPr>
          <w:b/>
          <w:bCs/>
          <w:i/>
          <w:iCs/>
        </w:rPr>
        <w:t>H4: Simultaneous Effect (Accepted)</w:t>
      </w:r>
    </w:p>
    <w:p w14:paraId="5E1C5B92" w14:textId="04EEED44" w:rsidR="00146482" w:rsidRDefault="00000000" w:rsidP="000951B5">
      <w:pPr>
        <w:spacing w:before="240" w:after="240"/>
        <w:jc w:val="both"/>
      </w:pPr>
      <w:r>
        <w:t>The F-test yields a Prob(F-statistic) of 0.0000 (&lt;0.05)</w:t>
      </w:r>
      <w:r w:rsidR="00A064A6">
        <w:t>.</w:t>
      </w:r>
      <w:r>
        <w:t xml:space="preserve"> ESG Disclosure, Ownership Structure, and Profitability simultaneously and significantly affect Firm Value. The Adjusted R-squared of 74.56% indicates strong explanatory power, meaning the three independent variables explain approximately three-quarters of the variation in banking firm value. The remaining 25.44% is attributable to variables outside the model (leverage, liquidity, macroeconomic conditions). These simultaneous findings demonstrate that firm value in the banking sector is shaped by the combined interplay of sustainability transparency, governance mechanisms, and fundamental financial performance.</w:t>
      </w:r>
    </w:p>
    <w:p w14:paraId="00F1DC77" w14:textId="77777777" w:rsidR="00146482" w:rsidRDefault="00000000" w:rsidP="000951B5">
      <w:pPr>
        <w:spacing w:before="240" w:after="240"/>
      </w:pPr>
      <w:r>
        <w:rPr>
          <w:b/>
          <w:bCs/>
          <w:sz w:val="28"/>
          <w:szCs w:val="28"/>
        </w:rPr>
        <w:lastRenderedPageBreak/>
        <w:t>CONCLUSION</w:t>
      </w:r>
    </w:p>
    <w:p w14:paraId="59A36E56" w14:textId="77777777" w:rsidR="00146482" w:rsidRDefault="00000000" w:rsidP="000951B5">
      <w:pPr>
        <w:spacing w:before="240" w:after="240"/>
        <w:jc w:val="both"/>
      </w:pPr>
      <w:r>
        <w:t xml:space="preserve">This study examined the effects of ESG Disclosure, Ownership Structure, and Profitability on Firm Value in 21 Indonesian banking companies listed on the IDX for the period 2021–2024. The Fixed Effect Model was selected as the best panel data specification. The main findings are as follows: (1) ESG Disclosure has a significant negative effect on Firm Value, suggesting that market </w:t>
      </w:r>
      <w:proofErr w:type="spellStart"/>
      <w:r>
        <w:t>skepticism</w:t>
      </w:r>
      <w:proofErr w:type="spellEnd"/>
      <w:r>
        <w:t xml:space="preserve"> about greenwashing practices and the costs of early-stage ESG implementation outweigh the transparency benefits during this period; (2) Ownership Structure (institutional ownership) does not significantly affect Firm Value, partly because regulatory oversight by OJK and Bank Indonesia substitutes for institutional monitoring; (3) Profitability (ROA) has a significant positive effect on Firm Value, confirming that fundamental financial performance remains the dominant valuation driver; and (4) Collectively, the three variables significantly explain firm value variation, with an Adjusted R-squared of 74.56%.</w:t>
      </w:r>
    </w:p>
    <w:p w14:paraId="6DCCC06B" w14:textId="6391FD7B" w:rsidR="00146482" w:rsidRDefault="00000000" w:rsidP="000951B5">
      <w:pPr>
        <w:spacing w:before="240" w:after="240"/>
        <w:jc w:val="both"/>
      </w:pPr>
      <w:r>
        <w:t xml:space="preserve">These findings have practical implications. Bank management should invest in substantive, not merely administrative, ESG implementation to build genuine market credibility. Regulators should strengthen ESG reporting quality standards to close the gap between disclosure and actual sustainable financing practice. Future research should extend the observation period, incorporate additional variables (leverage, firm size, ESG </w:t>
      </w:r>
      <w:proofErr w:type="spellStart"/>
      <w:r>
        <w:t>subscores</w:t>
      </w:r>
      <w:proofErr w:type="spellEnd"/>
      <w:r>
        <w:t>), and compare findings across different industries to further develop the financial management literature on firm value determinants.</w:t>
      </w:r>
    </w:p>
    <w:p w14:paraId="17EEDC36" w14:textId="77777777" w:rsidR="00CD13AF" w:rsidRPr="00CD13AF" w:rsidRDefault="00CD13AF" w:rsidP="000951B5">
      <w:pPr>
        <w:spacing w:before="240" w:after="240"/>
        <w:jc w:val="both"/>
        <w:rPr>
          <w:b/>
          <w:bCs/>
        </w:rPr>
      </w:pPr>
      <w:r w:rsidRPr="00CD13AF">
        <w:rPr>
          <w:b/>
          <w:bCs/>
        </w:rPr>
        <w:t xml:space="preserve">Availability of data and materials </w:t>
      </w:r>
    </w:p>
    <w:p w14:paraId="448960FF" w14:textId="0334B420" w:rsidR="00CD13AF" w:rsidRDefault="00CD13AF" w:rsidP="000951B5">
      <w:pPr>
        <w:spacing w:before="240" w:after="240"/>
        <w:jc w:val="both"/>
      </w:pPr>
      <w:r w:rsidRPr="00CD13AF">
        <w:t xml:space="preserve">The data set generated and </w:t>
      </w:r>
      <w:proofErr w:type="spellStart"/>
      <w:r w:rsidRPr="00CD13AF">
        <w:t>analyzed</w:t>
      </w:r>
      <w:proofErr w:type="spellEnd"/>
      <w:r w:rsidRPr="00CD13AF">
        <w:t xml:space="preserve"> in this study, are available from the corresponding author on reasonable request.</w:t>
      </w:r>
    </w:p>
    <w:p w14:paraId="62FEB2BE" w14:textId="77777777" w:rsidR="00146482" w:rsidRDefault="00000000">
      <w:pPr>
        <w:spacing w:before="200" w:after="120"/>
      </w:pPr>
      <w:r>
        <w:rPr>
          <w:b/>
          <w:bCs/>
          <w:sz w:val="28"/>
          <w:szCs w:val="28"/>
        </w:rPr>
        <w:t>REFERENCES</w:t>
      </w:r>
    </w:p>
    <w:p w14:paraId="0F14B331" w14:textId="37F88BAD" w:rsidR="000F1070" w:rsidRDefault="00000000" w:rsidP="000F1070">
      <w:pPr>
        <w:pStyle w:val="DaftarParagraf"/>
        <w:numPr>
          <w:ilvl w:val="0"/>
          <w:numId w:val="4"/>
        </w:numPr>
        <w:spacing w:before="60" w:after="60"/>
        <w:ind w:left="426" w:hanging="426"/>
        <w:jc w:val="both"/>
      </w:pPr>
      <w:r w:rsidRPr="000F1070">
        <w:t xml:space="preserve">Araujo, D. I. M. D. A., </w:t>
      </w:r>
      <w:proofErr w:type="spellStart"/>
      <w:r w:rsidRPr="000F1070">
        <w:t>Pandin</w:t>
      </w:r>
      <w:proofErr w:type="spellEnd"/>
      <w:r w:rsidRPr="000F1070">
        <w:t xml:space="preserve">, M. Y. R., &amp; </w:t>
      </w:r>
      <w:proofErr w:type="spellStart"/>
      <w:r w:rsidRPr="000F1070">
        <w:t>Kusmaningtyas</w:t>
      </w:r>
      <w:proofErr w:type="spellEnd"/>
      <w:r w:rsidRPr="000F1070">
        <w:t>, A. (2025). Analysis of the Effect of Profitability, Solvency, and</w:t>
      </w:r>
      <w:r w:rsidR="000F1070" w:rsidRPr="000F1070">
        <w:t xml:space="preserve"> </w:t>
      </w:r>
      <w:r w:rsidRPr="000F1070">
        <w:t xml:space="preserve">Activity Ratios on Firm Value in Conventional Banks in Indonesia During the 2021–2024. </w:t>
      </w:r>
      <w:proofErr w:type="spellStart"/>
      <w:r w:rsidRPr="000F1070">
        <w:t>Jurnal</w:t>
      </w:r>
      <w:proofErr w:type="spellEnd"/>
      <w:r w:rsidRPr="000F1070">
        <w:t xml:space="preserve"> </w:t>
      </w:r>
      <w:proofErr w:type="spellStart"/>
      <w:r w:rsidRPr="000F1070">
        <w:t>Multidisiplin</w:t>
      </w:r>
      <w:proofErr w:type="spellEnd"/>
      <w:r w:rsidRPr="000F1070">
        <w:t xml:space="preserve"> </w:t>
      </w:r>
      <w:proofErr w:type="spellStart"/>
      <w:r w:rsidRPr="000F1070">
        <w:t>Sahombu</w:t>
      </w:r>
      <w:proofErr w:type="spellEnd"/>
      <w:r w:rsidRPr="000F1070">
        <w:t xml:space="preserve">, 5. </w:t>
      </w:r>
      <w:hyperlink r:id="rId8" w:history="1">
        <w:r w:rsidR="000F1070" w:rsidRPr="00611F32">
          <w:rPr>
            <w:rStyle w:val="Hyperlink"/>
          </w:rPr>
          <w:t>https://doi.org/10.58471/jms.v5i04</w:t>
        </w:r>
      </w:hyperlink>
    </w:p>
    <w:p w14:paraId="6F83D4B5" w14:textId="307A29FD" w:rsidR="000F1070" w:rsidRDefault="00000000" w:rsidP="000F1070">
      <w:pPr>
        <w:pStyle w:val="DaftarParagraf"/>
        <w:numPr>
          <w:ilvl w:val="0"/>
          <w:numId w:val="4"/>
        </w:numPr>
        <w:spacing w:before="60" w:after="60"/>
        <w:ind w:left="426" w:hanging="426"/>
        <w:jc w:val="both"/>
      </w:pPr>
      <w:proofErr w:type="spellStart"/>
      <w:r w:rsidRPr="000F1070">
        <w:t>Aritopan</w:t>
      </w:r>
      <w:proofErr w:type="spellEnd"/>
      <w:r w:rsidRPr="000F1070">
        <w:t xml:space="preserve">, M., </w:t>
      </w:r>
      <w:proofErr w:type="spellStart"/>
      <w:r w:rsidRPr="000F1070">
        <w:t>Hermuningsih</w:t>
      </w:r>
      <w:proofErr w:type="spellEnd"/>
      <w:r w:rsidRPr="000F1070">
        <w:t xml:space="preserve">, S., &amp; Hidayat, R. (2024). The Influence of Institutional Ownership and Profitability on Company Value with Dividend Policy as a Moderating Variable. </w:t>
      </w:r>
      <w:proofErr w:type="spellStart"/>
      <w:r w:rsidRPr="000F1070">
        <w:t>Ekombis</w:t>
      </w:r>
      <w:proofErr w:type="spellEnd"/>
      <w:r w:rsidRPr="000F1070">
        <w:t xml:space="preserve"> Review: </w:t>
      </w:r>
      <w:proofErr w:type="spellStart"/>
      <w:r w:rsidRPr="000F1070">
        <w:t>Jurnal</w:t>
      </w:r>
      <w:proofErr w:type="spellEnd"/>
      <w:r w:rsidRPr="000F1070">
        <w:t xml:space="preserve"> </w:t>
      </w:r>
      <w:proofErr w:type="spellStart"/>
      <w:r w:rsidRPr="000F1070">
        <w:t>Ilmiah</w:t>
      </w:r>
      <w:proofErr w:type="spellEnd"/>
      <w:r w:rsidRPr="000F1070">
        <w:t xml:space="preserve"> Ekonomi Dan Bisnis, 12(4), 3751–3758. </w:t>
      </w:r>
      <w:hyperlink r:id="rId9" w:history="1">
        <w:r w:rsidR="000F1070" w:rsidRPr="00611F32">
          <w:rPr>
            <w:rStyle w:val="Hyperlink"/>
          </w:rPr>
          <w:t>https://doi.org/10.37676/ekombis.v12i4</w:t>
        </w:r>
      </w:hyperlink>
    </w:p>
    <w:p w14:paraId="2A6D5536" w14:textId="69B4C40C" w:rsidR="000F1070" w:rsidRDefault="00000000" w:rsidP="000F1070">
      <w:pPr>
        <w:pStyle w:val="DaftarParagraf"/>
        <w:numPr>
          <w:ilvl w:val="0"/>
          <w:numId w:val="4"/>
        </w:numPr>
        <w:spacing w:before="60" w:after="60"/>
        <w:ind w:left="426" w:hanging="426"/>
        <w:jc w:val="both"/>
      </w:pPr>
      <w:r w:rsidRPr="000F1070">
        <w:t xml:space="preserve">Aydoğmuş, M., Gülay, G., &amp; Ergun, K. (2022). Impact of ESG performance on firm value and profitability. Borsa Istanbul Review, 22, S119–S127. </w:t>
      </w:r>
      <w:hyperlink r:id="rId10" w:history="1">
        <w:r w:rsidR="000F1070" w:rsidRPr="00611F32">
          <w:rPr>
            <w:rStyle w:val="Hyperlink"/>
          </w:rPr>
          <w:t>https://doi.org/10.1016/j.bir.2022.11.006</w:t>
        </w:r>
      </w:hyperlink>
    </w:p>
    <w:p w14:paraId="4C4CF3BD" w14:textId="77777777" w:rsidR="000F1070" w:rsidRDefault="00000000" w:rsidP="000F1070">
      <w:pPr>
        <w:pStyle w:val="DaftarParagraf"/>
        <w:numPr>
          <w:ilvl w:val="0"/>
          <w:numId w:val="4"/>
        </w:numPr>
        <w:spacing w:before="60" w:after="60"/>
        <w:ind w:left="426" w:hanging="426"/>
        <w:jc w:val="both"/>
      </w:pPr>
      <w:proofErr w:type="spellStart"/>
      <w:r w:rsidRPr="000F1070">
        <w:t>Bayuaji</w:t>
      </w:r>
      <w:proofErr w:type="spellEnd"/>
      <w:r w:rsidRPr="000F1070">
        <w:t xml:space="preserve">, K., </w:t>
      </w:r>
      <w:proofErr w:type="spellStart"/>
      <w:r w:rsidRPr="000F1070">
        <w:t>Ukhriyawati</w:t>
      </w:r>
      <w:proofErr w:type="spellEnd"/>
      <w:r w:rsidRPr="000F1070">
        <w:t xml:space="preserve">, C. F., &amp; Putra, R. E. (2025). Analysis of the Impact of ESG Disclosure and Profitability on Firm Value in Banking Sector Companies Listed on the IDX from 2017–2021. </w:t>
      </w:r>
      <w:proofErr w:type="spellStart"/>
      <w:r w:rsidRPr="000F1070">
        <w:t>Eduvest</w:t>
      </w:r>
      <w:proofErr w:type="spellEnd"/>
      <w:r w:rsidRPr="000F1070">
        <w:t>–Journal of Universal Studies, 5(3), 2907–2920.</w:t>
      </w:r>
    </w:p>
    <w:p w14:paraId="08E25CC7" w14:textId="19695ADD" w:rsidR="000F1070" w:rsidRDefault="00000000" w:rsidP="000F1070">
      <w:pPr>
        <w:pStyle w:val="DaftarParagraf"/>
        <w:numPr>
          <w:ilvl w:val="0"/>
          <w:numId w:val="4"/>
        </w:numPr>
        <w:spacing w:before="60" w:after="60"/>
        <w:ind w:left="426" w:hanging="426"/>
        <w:jc w:val="both"/>
      </w:pPr>
      <w:proofErr w:type="spellStart"/>
      <w:r w:rsidRPr="000F1070">
        <w:t>Bisettia</w:t>
      </w:r>
      <w:proofErr w:type="spellEnd"/>
      <w:r w:rsidRPr="000F1070">
        <w:t xml:space="preserve">, E. (2024). The Value of Regulators as Monitors: Evidence from Banking. Management Science, 70(12), 8464–8483. </w:t>
      </w:r>
      <w:hyperlink r:id="rId11" w:history="1">
        <w:r w:rsidR="000F1070" w:rsidRPr="00611F32">
          <w:rPr>
            <w:rStyle w:val="Hyperlink"/>
          </w:rPr>
          <w:t>https://doi.org/10.1287/mnsc.2021.03083</w:t>
        </w:r>
      </w:hyperlink>
    </w:p>
    <w:p w14:paraId="434A2EAF" w14:textId="77777777" w:rsidR="000F1070" w:rsidRDefault="00000000" w:rsidP="000F1070">
      <w:pPr>
        <w:pStyle w:val="DaftarParagraf"/>
        <w:numPr>
          <w:ilvl w:val="0"/>
          <w:numId w:val="4"/>
        </w:numPr>
        <w:spacing w:before="60" w:after="60"/>
        <w:ind w:left="426" w:hanging="426"/>
        <w:jc w:val="both"/>
      </w:pPr>
      <w:r w:rsidRPr="000F1070">
        <w:t>Brigham, E. F., &amp; Houston, J. F. (2019). Fundamentals of Financial Management. Cengage.</w:t>
      </w:r>
    </w:p>
    <w:p w14:paraId="78BF75B4" w14:textId="4B6652C2" w:rsidR="000F1070" w:rsidRDefault="00000000" w:rsidP="000F1070">
      <w:pPr>
        <w:pStyle w:val="DaftarParagraf"/>
        <w:numPr>
          <w:ilvl w:val="0"/>
          <w:numId w:val="4"/>
        </w:numPr>
        <w:spacing w:before="60" w:after="60"/>
        <w:ind w:left="426" w:hanging="426"/>
        <w:jc w:val="both"/>
      </w:pPr>
      <w:r w:rsidRPr="000F1070">
        <w:t xml:space="preserve">Forest Watch Indonesia. (2025, August 26). Hijau </w:t>
      </w:r>
      <w:proofErr w:type="spellStart"/>
      <w:r w:rsidRPr="000F1070">
        <w:t>tapi</w:t>
      </w:r>
      <w:proofErr w:type="spellEnd"/>
      <w:r w:rsidRPr="000F1070">
        <w:t xml:space="preserve"> </w:t>
      </w:r>
      <w:proofErr w:type="spellStart"/>
      <w:r w:rsidRPr="000F1070">
        <w:t>hitam</w:t>
      </w:r>
      <w:proofErr w:type="spellEnd"/>
      <w:r w:rsidRPr="000F1070">
        <w:t xml:space="preserve"> </w:t>
      </w:r>
      <w:proofErr w:type="spellStart"/>
      <w:r w:rsidRPr="000F1070">
        <w:t>pembiayaan</w:t>
      </w:r>
      <w:proofErr w:type="spellEnd"/>
      <w:r w:rsidRPr="000F1070">
        <w:t xml:space="preserve"> bank di Indonesia. </w:t>
      </w:r>
      <w:hyperlink r:id="rId12" w:history="1">
        <w:r w:rsidR="000F1070" w:rsidRPr="00611F32">
          <w:rPr>
            <w:rStyle w:val="Hyperlink"/>
          </w:rPr>
          <w:t>https://fwi.or.id/hijau-tapi-hitam-pembiayaan-bank-di-indonesia/</w:t>
        </w:r>
      </w:hyperlink>
    </w:p>
    <w:p w14:paraId="5DEFB742" w14:textId="403D9AB2" w:rsidR="000F1070" w:rsidRDefault="00000000" w:rsidP="000F1070">
      <w:pPr>
        <w:pStyle w:val="DaftarParagraf"/>
        <w:numPr>
          <w:ilvl w:val="0"/>
          <w:numId w:val="4"/>
        </w:numPr>
        <w:spacing w:before="60" w:after="60"/>
        <w:ind w:left="426" w:hanging="426"/>
        <w:jc w:val="both"/>
      </w:pPr>
      <w:r w:rsidRPr="000F1070">
        <w:t xml:space="preserve">Forests &amp; Finance. (2022, November 12). Aksi </w:t>
      </w:r>
      <w:proofErr w:type="spellStart"/>
      <w:r w:rsidRPr="000F1070">
        <w:t>protes</w:t>
      </w:r>
      <w:proofErr w:type="spellEnd"/>
      <w:r w:rsidRPr="000F1070">
        <w:t xml:space="preserve"> </w:t>
      </w:r>
      <w:proofErr w:type="spellStart"/>
      <w:r w:rsidRPr="000F1070">
        <w:t>terhadap</w:t>
      </w:r>
      <w:proofErr w:type="spellEnd"/>
      <w:r w:rsidRPr="000F1070">
        <w:t xml:space="preserve"> 36 bank yang </w:t>
      </w:r>
      <w:proofErr w:type="spellStart"/>
      <w:r w:rsidRPr="000F1070">
        <w:t>terlibat</w:t>
      </w:r>
      <w:proofErr w:type="spellEnd"/>
      <w:r w:rsidRPr="000F1070">
        <w:t xml:space="preserve"> </w:t>
      </w:r>
      <w:proofErr w:type="spellStart"/>
      <w:r w:rsidRPr="000F1070">
        <w:t>kejahatan</w:t>
      </w:r>
      <w:proofErr w:type="spellEnd"/>
      <w:r w:rsidRPr="000F1070">
        <w:t xml:space="preserve"> </w:t>
      </w:r>
      <w:proofErr w:type="spellStart"/>
      <w:r w:rsidRPr="000F1070">
        <w:t>lingkungan</w:t>
      </w:r>
      <w:proofErr w:type="spellEnd"/>
      <w:r w:rsidRPr="000F1070">
        <w:t xml:space="preserve">. </w:t>
      </w:r>
      <w:hyperlink r:id="rId13" w:history="1">
        <w:r w:rsidR="000F1070" w:rsidRPr="00611F32">
          <w:rPr>
            <w:rStyle w:val="Hyperlink"/>
          </w:rPr>
          <w:t>https://forestsandfinance.org/id/news-id/</w:t>
        </w:r>
      </w:hyperlink>
    </w:p>
    <w:p w14:paraId="1A4DB042" w14:textId="77777777" w:rsidR="000F1070" w:rsidRDefault="00000000" w:rsidP="000F1070">
      <w:pPr>
        <w:pStyle w:val="DaftarParagraf"/>
        <w:numPr>
          <w:ilvl w:val="0"/>
          <w:numId w:val="4"/>
        </w:numPr>
        <w:spacing w:before="60" w:after="60"/>
        <w:ind w:left="426" w:hanging="426"/>
        <w:jc w:val="both"/>
      </w:pPr>
      <w:r w:rsidRPr="000F1070">
        <w:t>Freeman, R. E. (1984). Strategic Management: A Stakeholder Approach. Pitman.</w:t>
      </w:r>
    </w:p>
    <w:p w14:paraId="00DC3D57" w14:textId="77777777" w:rsidR="000F1070" w:rsidRDefault="00000000" w:rsidP="000F1070">
      <w:pPr>
        <w:pStyle w:val="DaftarParagraf"/>
        <w:numPr>
          <w:ilvl w:val="0"/>
          <w:numId w:val="4"/>
        </w:numPr>
        <w:spacing w:before="60" w:after="60"/>
        <w:ind w:left="426" w:hanging="426"/>
        <w:jc w:val="both"/>
      </w:pPr>
      <w:r w:rsidRPr="000F1070">
        <w:t xml:space="preserve">Fuadah, L. L., </w:t>
      </w:r>
      <w:proofErr w:type="spellStart"/>
      <w:r w:rsidRPr="000F1070">
        <w:t>Mukhtaruddin</w:t>
      </w:r>
      <w:proofErr w:type="spellEnd"/>
      <w:r w:rsidRPr="000F1070">
        <w:t xml:space="preserve">, M., Andriana, I., &amp; Arisman, A. (2022). The Ownership Structure, and the Environmental, Social, and Governance (ESG) Disclosure, Firm Value and Firm Performance: The Audit Committee as Moderating Variable. Economies, 10(12). </w:t>
      </w:r>
      <w:hyperlink r:id="rId14" w:history="1">
        <w:r w:rsidR="000F1070" w:rsidRPr="00611F32">
          <w:rPr>
            <w:rStyle w:val="Hyperlink"/>
          </w:rPr>
          <w:t>https://doi.org/10.3390/economies10120314</w:t>
        </w:r>
      </w:hyperlink>
    </w:p>
    <w:p w14:paraId="64786C4F" w14:textId="77777777" w:rsidR="000F1070" w:rsidRDefault="00000000" w:rsidP="000F1070">
      <w:pPr>
        <w:pStyle w:val="DaftarParagraf"/>
        <w:numPr>
          <w:ilvl w:val="0"/>
          <w:numId w:val="4"/>
        </w:numPr>
        <w:spacing w:before="60" w:after="60"/>
        <w:ind w:left="426" w:hanging="426"/>
        <w:jc w:val="both"/>
      </w:pPr>
      <w:proofErr w:type="spellStart"/>
      <w:r w:rsidRPr="000F1070">
        <w:t>Ghozali</w:t>
      </w:r>
      <w:proofErr w:type="spellEnd"/>
      <w:r w:rsidRPr="000F1070">
        <w:t xml:space="preserve">, I. (2021). </w:t>
      </w:r>
      <w:proofErr w:type="spellStart"/>
      <w:r w:rsidRPr="000F1070">
        <w:t>Aplikasi</w:t>
      </w:r>
      <w:proofErr w:type="spellEnd"/>
      <w:r w:rsidRPr="000F1070">
        <w:t xml:space="preserve"> </w:t>
      </w:r>
      <w:proofErr w:type="spellStart"/>
      <w:r w:rsidRPr="000F1070">
        <w:t>Analisis</w:t>
      </w:r>
      <w:proofErr w:type="spellEnd"/>
      <w:r w:rsidRPr="000F1070">
        <w:t xml:space="preserve"> Multivariate </w:t>
      </w:r>
      <w:proofErr w:type="spellStart"/>
      <w:r w:rsidRPr="000F1070">
        <w:t>Dengan</w:t>
      </w:r>
      <w:proofErr w:type="spellEnd"/>
      <w:r w:rsidRPr="000F1070">
        <w:t xml:space="preserve"> Program IBM SPSS 26 (10th ed.). Universitas </w:t>
      </w:r>
      <w:proofErr w:type="spellStart"/>
      <w:r w:rsidRPr="000F1070">
        <w:t>Diponegoro</w:t>
      </w:r>
      <w:proofErr w:type="spellEnd"/>
      <w:r w:rsidRPr="000F1070">
        <w:t>.</w:t>
      </w:r>
    </w:p>
    <w:p w14:paraId="1DEA924E" w14:textId="1AF45018" w:rsidR="000F1070" w:rsidRDefault="00000000" w:rsidP="000F1070">
      <w:pPr>
        <w:pStyle w:val="DaftarParagraf"/>
        <w:numPr>
          <w:ilvl w:val="0"/>
          <w:numId w:val="4"/>
        </w:numPr>
        <w:spacing w:before="60" w:after="60"/>
        <w:ind w:left="426" w:hanging="426"/>
        <w:jc w:val="both"/>
      </w:pPr>
      <w:r w:rsidRPr="000F1070">
        <w:lastRenderedPageBreak/>
        <w:t xml:space="preserve">Irawan, S., &amp; Nugroho, L. (2025). Institutional Ownership, Firm Size, Leverage, and Profitability: Their Impact on Firm Value in the Indonesian Banking Sector. Business, Management &amp; Accounting Journal (BISMA). </w:t>
      </w:r>
      <w:hyperlink r:id="rId15" w:history="1">
        <w:r w:rsidR="000F1070" w:rsidRPr="00611F32">
          <w:rPr>
            <w:rStyle w:val="Hyperlink"/>
          </w:rPr>
          <w:t>https://doi.org/10.70550/bisma.v2i1.92</w:t>
        </w:r>
      </w:hyperlink>
    </w:p>
    <w:p w14:paraId="737391AA" w14:textId="02EFE20C" w:rsidR="000F1070" w:rsidRDefault="00000000" w:rsidP="000F1070">
      <w:pPr>
        <w:pStyle w:val="DaftarParagraf"/>
        <w:numPr>
          <w:ilvl w:val="0"/>
          <w:numId w:val="4"/>
        </w:numPr>
        <w:spacing w:before="60" w:after="60"/>
        <w:ind w:left="426" w:hanging="426"/>
        <w:jc w:val="both"/>
      </w:pPr>
      <w:proofErr w:type="spellStart"/>
      <w:r w:rsidRPr="000F1070">
        <w:t>Islahuddin</w:t>
      </w:r>
      <w:proofErr w:type="spellEnd"/>
      <w:r w:rsidRPr="000F1070">
        <w:t xml:space="preserve">, I., </w:t>
      </w:r>
      <w:proofErr w:type="spellStart"/>
      <w:r w:rsidRPr="000F1070">
        <w:t>Diantimala</w:t>
      </w:r>
      <w:proofErr w:type="spellEnd"/>
      <w:r w:rsidRPr="000F1070">
        <w:t xml:space="preserve">, Y., </w:t>
      </w:r>
      <w:proofErr w:type="spellStart"/>
      <w:r w:rsidRPr="000F1070">
        <w:t>Ayudiastika</w:t>
      </w:r>
      <w:proofErr w:type="spellEnd"/>
      <w:r w:rsidRPr="000F1070">
        <w:t xml:space="preserve">, Z., &amp; </w:t>
      </w:r>
      <w:proofErr w:type="spellStart"/>
      <w:r w:rsidRPr="000F1070">
        <w:t>Aprullah</w:t>
      </w:r>
      <w:proofErr w:type="spellEnd"/>
      <w:r w:rsidRPr="000F1070">
        <w:t xml:space="preserve">, M. P. (2026). Corporate Governance Role in Greenwashing and Firm Value Nexus. International Journal of Financial Studies, 14(3), 60. </w:t>
      </w:r>
      <w:hyperlink r:id="rId16" w:history="1">
        <w:r w:rsidR="000F1070" w:rsidRPr="00611F32">
          <w:rPr>
            <w:rStyle w:val="Hyperlink"/>
          </w:rPr>
          <w:t>https://doi.org/10.3390/ijfs14030060</w:t>
        </w:r>
      </w:hyperlink>
    </w:p>
    <w:p w14:paraId="4B5B16A1" w14:textId="77777777" w:rsidR="000F1070" w:rsidRDefault="00000000" w:rsidP="000F1070">
      <w:pPr>
        <w:pStyle w:val="DaftarParagraf"/>
        <w:numPr>
          <w:ilvl w:val="0"/>
          <w:numId w:val="4"/>
        </w:numPr>
        <w:spacing w:before="60" w:after="60"/>
        <w:ind w:left="426" w:hanging="426"/>
        <w:jc w:val="both"/>
      </w:pPr>
      <w:r w:rsidRPr="000F1070">
        <w:t xml:space="preserve">Jensen, M. C., &amp; Meckling, W. H. (1976). Theory of the Firm: Managerial </w:t>
      </w:r>
      <w:proofErr w:type="spellStart"/>
      <w:r w:rsidRPr="000F1070">
        <w:t>Behavior</w:t>
      </w:r>
      <w:proofErr w:type="spellEnd"/>
      <w:r w:rsidRPr="000F1070">
        <w:t>, Agency Costs and Ownership Structure. Journal of Financial Economics, 3(4), 305–360.</w:t>
      </w:r>
    </w:p>
    <w:p w14:paraId="02E2E5F7" w14:textId="77777777" w:rsidR="000F1070" w:rsidRDefault="00000000" w:rsidP="000F1070">
      <w:pPr>
        <w:pStyle w:val="DaftarParagraf"/>
        <w:numPr>
          <w:ilvl w:val="0"/>
          <w:numId w:val="4"/>
        </w:numPr>
        <w:spacing w:before="60" w:after="60"/>
        <w:ind w:left="426" w:hanging="426"/>
        <w:jc w:val="both"/>
      </w:pPr>
      <w:r w:rsidRPr="000F1070">
        <w:t xml:space="preserve">Kasmir. (2019). </w:t>
      </w:r>
      <w:proofErr w:type="spellStart"/>
      <w:r w:rsidRPr="000F1070">
        <w:t>Analisis</w:t>
      </w:r>
      <w:proofErr w:type="spellEnd"/>
      <w:r w:rsidRPr="000F1070">
        <w:t xml:space="preserve"> Laporan Keuangan (</w:t>
      </w:r>
      <w:proofErr w:type="spellStart"/>
      <w:r w:rsidRPr="000F1070">
        <w:t>Revisi</w:t>
      </w:r>
      <w:proofErr w:type="spellEnd"/>
      <w:r w:rsidRPr="000F1070">
        <w:t xml:space="preserve">). PT Raja </w:t>
      </w:r>
      <w:proofErr w:type="spellStart"/>
      <w:r w:rsidRPr="000F1070">
        <w:t>Grafindo</w:t>
      </w:r>
      <w:proofErr w:type="spellEnd"/>
      <w:r w:rsidRPr="000F1070">
        <w:t xml:space="preserve"> Persada.</w:t>
      </w:r>
    </w:p>
    <w:p w14:paraId="1061B6D7" w14:textId="77777777" w:rsidR="000F1070" w:rsidRDefault="00000000" w:rsidP="000F1070">
      <w:pPr>
        <w:pStyle w:val="DaftarParagraf"/>
        <w:numPr>
          <w:ilvl w:val="0"/>
          <w:numId w:val="4"/>
        </w:numPr>
        <w:spacing w:before="60" w:after="60"/>
        <w:ind w:left="426" w:hanging="426"/>
        <w:jc w:val="both"/>
      </w:pPr>
      <w:r w:rsidRPr="000F1070">
        <w:t xml:space="preserve">Luthfiah, P., </w:t>
      </w:r>
      <w:proofErr w:type="spellStart"/>
      <w:r w:rsidRPr="000F1070">
        <w:t>Alamsyah</w:t>
      </w:r>
      <w:proofErr w:type="spellEnd"/>
      <w:r w:rsidRPr="000F1070">
        <w:t xml:space="preserve">, S., &amp; </w:t>
      </w:r>
      <w:proofErr w:type="spellStart"/>
      <w:r w:rsidRPr="000F1070">
        <w:t>Erdawati</w:t>
      </w:r>
      <w:proofErr w:type="spellEnd"/>
      <w:r w:rsidRPr="000F1070">
        <w:t xml:space="preserve">, L. (2025). </w:t>
      </w:r>
      <w:proofErr w:type="spellStart"/>
      <w:r w:rsidRPr="000F1070">
        <w:t>Pengaruh</w:t>
      </w:r>
      <w:proofErr w:type="spellEnd"/>
      <w:r w:rsidRPr="000F1070">
        <w:t xml:space="preserve"> </w:t>
      </w:r>
      <w:proofErr w:type="spellStart"/>
      <w:r w:rsidRPr="000F1070">
        <w:t>Risiko</w:t>
      </w:r>
      <w:proofErr w:type="spellEnd"/>
      <w:r w:rsidRPr="000F1070">
        <w:t xml:space="preserve"> Bisnis, </w:t>
      </w:r>
      <w:proofErr w:type="spellStart"/>
      <w:r w:rsidRPr="000F1070">
        <w:t>Profitabilitas</w:t>
      </w:r>
      <w:proofErr w:type="spellEnd"/>
      <w:r w:rsidRPr="000F1070">
        <w:t xml:space="preserve">, dan ESG Disclosure </w:t>
      </w:r>
      <w:proofErr w:type="spellStart"/>
      <w:r w:rsidRPr="000F1070">
        <w:t>Terhadap</w:t>
      </w:r>
      <w:proofErr w:type="spellEnd"/>
      <w:r w:rsidRPr="000F1070">
        <w:t xml:space="preserve"> Nilai Perusahaan pada Perusahaan </w:t>
      </w:r>
      <w:proofErr w:type="spellStart"/>
      <w:r w:rsidRPr="000F1070">
        <w:t>Perbankan</w:t>
      </w:r>
      <w:proofErr w:type="spellEnd"/>
      <w:r w:rsidRPr="000F1070">
        <w:t xml:space="preserve"> di Indonesia. BIMA: Journal of Business Inflation Management and Accounting, 2(2).</w:t>
      </w:r>
    </w:p>
    <w:p w14:paraId="2C195AD7" w14:textId="7053664E" w:rsidR="000F1070" w:rsidRDefault="00000000" w:rsidP="000F1070">
      <w:pPr>
        <w:pStyle w:val="DaftarParagraf"/>
        <w:numPr>
          <w:ilvl w:val="0"/>
          <w:numId w:val="4"/>
        </w:numPr>
        <w:spacing w:before="60" w:after="60"/>
        <w:ind w:left="426" w:hanging="426"/>
        <w:jc w:val="both"/>
      </w:pPr>
      <w:r w:rsidRPr="000F1070">
        <w:t xml:space="preserve">Lusy, L., </w:t>
      </w:r>
      <w:proofErr w:type="spellStart"/>
      <w:r w:rsidRPr="000F1070">
        <w:t>Adhia</w:t>
      </w:r>
      <w:proofErr w:type="spellEnd"/>
      <w:r w:rsidRPr="000F1070">
        <w:t xml:space="preserve">, V., &amp; Santi, P. (2025). The Effect of Environmental Social Governance (ESG) Disclosure on Firm Value with Profitability and Firm Size as Moderation Variables. Moneta, 3(1). </w:t>
      </w:r>
      <w:hyperlink r:id="rId17" w:history="1">
        <w:r w:rsidR="000F1070" w:rsidRPr="00611F32">
          <w:rPr>
            <w:rStyle w:val="Hyperlink"/>
          </w:rPr>
          <w:t>https://doi.org/10.61978/moneta.v3i1</w:t>
        </w:r>
      </w:hyperlink>
    </w:p>
    <w:p w14:paraId="381A3E87" w14:textId="77777777" w:rsidR="000F1070" w:rsidRDefault="00000000" w:rsidP="000F1070">
      <w:pPr>
        <w:pStyle w:val="DaftarParagraf"/>
        <w:numPr>
          <w:ilvl w:val="0"/>
          <w:numId w:val="4"/>
        </w:numPr>
        <w:spacing w:before="60" w:after="60"/>
        <w:ind w:left="426" w:hanging="426"/>
        <w:jc w:val="both"/>
      </w:pPr>
      <w:r w:rsidRPr="000F1070">
        <w:t xml:space="preserve">Munthe, K., </w:t>
      </w:r>
      <w:proofErr w:type="spellStart"/>
      <w:r w:rsidRPr="000F1070">
        <w:t>Ribka</w:t>
      </w:r>
      <w:proofErr w:type="spellEnd"/>
      <w:r w:rsidRPr="000F1070">
        <w:t xml:space="preserve">, T., &amp; Ginting, D. B. (2023). </w:t>
      </w:r>
      <w:proofErr w:type="spellStart"/>
      <w:r w:rsidRPr="000F1070">
        <w:t>Pengaruh</w:t>
      </w:r>
      <w:proofErr w:type="spellEnd"/>
      <w:r w:rsidRPr="000F1070">
        <w:t xml:space="preserve"> </w:t>
      </w:r>
      <w:proofErr w:type="spellStart"/>
      <w:r w:rsidRPr="000F1070">
        <w:t>struktur</w:t>
      </w:r>
      <w:proofErr w:type="spellEnd"/>
      <w:r w:rsidRPr="000F1070">
        <w:t xml:space="preserve"> </w:t>
      </w:r>
      <w:proofErr w:type="spellStart"/>
      <w:r w:rsidRPr="000F1070">
        <w:t>kepemilikan</w:t>
      </w:r>
      <w:proofErr w:type="spellEnd"/>
      <w:r w:rsidRPr="000F1070">
        <w:t xml:space="preserve"> </w:t>
      </w:r>
      <w:proofErr w:type="spellStart"/>
      <w:r w:rsidRPr="000F1070">
        <w:t>terhadap</w:t>
      </w:r>
      <w:proofErr w:type="spellEnd"/>
      <w:r w:rsidRPr="000F1070">
        <w:t xml:space="preserve"> </w:t>
      </w:r>
      <w:proofErr w:type="spellStart"/>
      <w:r w:rsidRPr="000F1070">
        <w:t>nilai</w:t>
      </w:r>
      <w:proofErr w:type="spellEnd"/>
      <w:r w:rsidRPr="000F1070">
        <w:t xml:space="preserve"> </w:t>
      </w:r>
      <w:proofErr w:type="spellStart"/>
      <w:r w:rsidRPr="000F1070">
        <w:t>perusahaan</w:t>
      </w:r>
      <w:proofErr w:type="spellEnd"/>
      <w:r w:rsidRPr="000F1070">
        <w:t xml:space="preserve"> </w:t>
      </w:r>
      <w:proofErr w:type="spellStart"/>
      <w:r w:rsidRPr="000F1070">
        <w:t>dengan</w:t>
      </w:r>
      <w:proofErr w:type="spellEnd"/>
      <w:r w:rsidRPr="000F1070">
        <w:t xml:space="preserve"> </w:t>
      </w:r>
      <w:proofErr w:type="spellStart"/>
      <w:r w:rsidRPr="000F1070">
        <w:t>profitabilitas</w:t>
      </w:r>
      <w:proofErr w:type="spellEnd"/>
      <w:r w:rsidRPr="000F1070">
        <w:t xml:space="preserve"> </w:t>
      </w:r>
      <w:proofErr w:type="spellStart"/>
      <w:r w:rsidRPr="000F1070">
        <w:t>sebagai</w:t>
      </w:r>
      <w:proofErr w:type="spellEnd"/>
      <w:r w:rsidRPr="000F1070">
        <w:t xml:space="preserve"> </w:t>
      </w:r>
      <w:proofErr w:type="spellStart"/>
      <w:r w:rsidRPr="000F1070">
        <w:t>variabel</w:t>
      </w:r>
      <w:proofErr w:type="spellEnd"/>
      <w:r w:rsidRPr="000F1070">
        <w:t xml:space="preserve"> intervening pada </w:t>
      </w:r>
      <w:proofErr w:type="spellStart"/>
      <w:r w:rsidRPr="000F1070">
        <w:t>perusahaan</w:t>
      </w:r>
      <w:proofErr w:type="spellEnd"/>
      <w:r w:rsidRPr="000F1070">
        <w:t xml:space="preserve"> </w:t>
      </w:r>
      <w:proofErr w:type="spellStart"/>
      <w:r w:rsidRPr="000F1070">
        <w:t>perbankan</w:t>
      </w:r>
      <w:proofErr w:type="spellEnd"/>
      <w:r w:rsidRPr="000F1070">
        <w:t xml:space="preserve"> yang </w:t>
      </w:r>
      <w:proofErr w:type="spellStart"/>
      <w:r w:rsidRPr="000F1070">
        <w:t>terdaftar</w:t>
      </w:r>
      <w:proofErr w:type="spellEnd"/>
      <w:r w:rsidRPr="000F1070">
        <w:t xml:space="preserve"> di BEI. JIMB Ekonomi.</w:t>
      </w:r>
    </w:p>
    <w:p w14:paraId="577C353A" w14:textId="77777777" w:rsidR="000F1070" w:rsidRDefault="00000000" w:rsidP="000F1070">
      <w:pPr>
        <w:pStyle w:val="DaftarParagraf"/>
        <w:numPr>
          <w:ilvl w:val="0"/>
          <w:numId w:val="4"/>
        </w:numPr>
        <w:spacing w:before="60" w:after="60"/>
        <w:ind w:left="426" w:hanging="426"/>
        <w:jc w:val="both"/>
      </w:pPr>
      <w:proofErr w:type="spellStart"/>
      <w:r w:rsidRPr="000F1070">
        <w:t>Musalim</w:t>
      </w:r>
      <w:proofErr w:type="spellEnd"/>
      <w:r w:rsidRPr="000F1070">
        <w:t xml:space="preserve">, A., Dewi, R. R., Ilham, D., &amp; Rois, N. (2024). </w:t>
      </w:r>
      <w:proofErr w:type="spellStart"/>
      <w:r w:rsidRPr="000F1070">
        <w:t>Pengaruh</w:t>
      </w:r>
      <w:proofErr w:type="spellEnd"/>
      <w:r w:rsidRPr="000F1070">
        <w:t xml:space="preserve"> </w:t>
      </w:r>
      <w:proofErr w:type="spellStart"/>
      <w:r w:rsidRPr="000F1070">
        <w:t>Profitabilitas</w:t>
      </w:r>
      <w:proofErr w:type="spellEnd"/>
      <w:r w:rsidRPr="000F1070">
        <w:t xml:space="preserve"> dan </w:t>
      </w:r>
      <w:proofErr w:type="spellStart"/>
      <w:r w:rsidRPr="000F1070">
        <w:t>Likuiditas</w:t>
      </w:r>
      <w:proofErr w:type="spellEnd"/>
      <w:r w:rsidRPr="000F1070">
        <w:t xml:space="preserve"> </w:t>
      </w:r>
      <w:proofErr w:type="spellStart"/>
      <w:r w:rsidRPr="000F1070">
        <w:t>Terhadap</w:t>
      </w:r>
      <w:proofErr w:type="spellEnd"/>
      <w:r w:rsidRPr="000F1070">
        <w:t xml:space="preserve"> Nilai Perusahaan pada Sub Sektor </w:t>
      </w:r>
      <w:proofErr w:type="spellStart"/>
      <w:r w:rsidRPr="000F1070">
        <w:t>Perbankan</w:t>
      </w:r>
      <w:proofErr w:type="spellEnd"/>
      <w:r w:rsidRPr="000F1070">
        <w:t xml:space="preserve"> di Indonesia. 5, 4671.</w:t>
      </w:r>
    </w:p>
    <w:p w14:paraId="7EF0C1B1" w14:textId="2ADAF5F9" w:rsidR="000F1070" w:rsidRDefault="00000000" w:rsidP="000F1070">
      <w:pPr>
        <w:pStyle w:val="DaftarParagraf"/>
        <w:numPr>
          <w:ilvl w:val="0"/>
          <w:numId w:val="4"/>
        </w:numPr>
        <w:spacing w:before="60" w:after="60"/>
        <w:ind w:left="426" w:hanging="426"/>
        <w:jc w:val="both"/>
      </w:pPr>
      <w:r w:rsidRPr="000F1070">
        <w:t xml:space="preserve">Nasution, M. I. S., Yulia, I. A., &amp; </w:t>
      </w:r>
      <w:proofErr w:type="spellStart"/>
      <w:r w:rsidRPr="000F1070">
        <w:t>Fitrianti</w:t>
      </w:r>
      <w:proofErr w:type="spellEnd"/>
      <w:r w:rsidRPr="000F1070">
        <w:t xml:space="preserve">, D. (2024). </w:t>
      </w:r>
      <w:proofErr w:type="spellStart"/>
      <w:r w:rsidRPr="000F1070">
        <w:t>Pengaruh</w:t>
      </w:r>
      <w:proofErr w:type="spellEnd"/>
      <w:r w:rsidRPr="000F1070">
        <w:t xml:space="preserve"> </w:t>
      </w:r>
      <w:proofErr w:type="spellStart"/>
      <w:r w:rsidRPr="000F1070">
        <w:t>Pengungkapan</w:t>
      </w:r>
      <w:proofErr w:type="spellEnd"/>
      <w:r w:rsidRPr="000F1070">
        <w:t xml:space="preserve"> ESG </w:t>
      </w:r>
      <w:proofErr w:type="spellStart"/>
      <w:r w:rsidRPr="000F1070">
        <w:t>Terhadap</w:t>
      </w:r>
      <w:proofErr w:type="spellEnd"/>
      <w:r w:rsidRPr="000F1070">
        <w:t xml:space="preserve"> Nilai Perusahaan. </w:t>
      </w:r>
      <w:proofErr w:type="spellStart"/>
      <w:r w:rsidRPr="000F1070">
        <w:t>Jurnal</w:t>
      </w:r>
      <w:proofErr w:type="spellEnd"/>
      <w:r w:rsidRPr="000F1070">
        <w:t xml:space="preserve"> EMT KITA, 8(4), 1255–1264. </w:t>
      </w:r>
      <w:hyperlink r:id="rId18" w:history="1">
        <w:r w:rsidR="000F1070" w:rsidRPr="00611F32">
          <w:rPr>
            <w:rStyle w:val="Hyperlink"/>
          </w:rPr>
          <w:t>https://doi.org/10.35870/emt.v8i4.2939</w:t>
        </w:r>
      </w:hyperlink>
    </w:p>
    <w:p w14:paraId="6A16B3DC" w14:textId="77777777" w:rsidR="000F1070" w:rsidRDefault="00000000" w:rsidP="000F1070">
      <w:pPr>
        <w:pStyle w:val="DaftarParagraf"/>
        <w:numPr>
          <w:ilvl w:val="0"/>
          <w:numId w:val="4"/>
        </w:numPr>
        <w:spacing w:before="60" w:after="60"/>
        <w:ind w:left="426" w:hanging="426"/>
        <w:jc w:val="both"/>
      </w:pPr>
      <w:r w:rsidRPr="000F1070">
        <w:t xml:space="preserve">Ningrum, E. P. (2021). Nilai Perusahaan: </w:t>
      </w:r>
      <w:proofErr w:type="spellStart"/>
      <w:r w:rsidRPr="000F1070">
        <w:t>Konsep</w:t>
      </w:r>
      <w:proofErr w:type="spellEnd"/>
      <w:r w:rsidRPr="000F1070">
        <w:t xml:space="preserve"> dan </w:t>
      </w:r>
      <w:proofErr w:type="spellStart"/>
      <w:r w:rsidRPr="000F1070">
        <w:t>Aplikasi</w:t>
      </w:r>
      <w:proofErr w:type="spellEnd"/>
      <w:r w:rsidRPr="000F1070">
        <w:t xml:space="preserve">. </w:t>
      </w:r>
      <w:proofErr w:type="spellStart"/>
      <w:r w:rsidRPr="000F1070">
        <w:t>Penerbit</w:t>
      </w:r>
      <w:proofErr w:type="spellEnd"/>
      <w:r w:rsidRPr="000F1070">
        <w:t xml:space="preserve"> Adab.</w:t>
      </w:r>
    </w:p>
    <w:p w14:paraId="74EC7B52" w14:textId="77777777" w:rsidR="000F1070" w:rsidRDefault="00000000" w:rsidP="000F1070">
      <w:pPr>
        <w:pStyle w:val="DaftarParagraf"/>
        <w:numPr>
          <w:ilvl w:val="0"/>
          <w:numId w:val="4"/>
        </w:numPr>
        <w:spacing w:before="60" w:after="60"/>
        <w:ind w:left="426" w:hanging="426"/>
        <w:jc w:val="both"/>
      </w:pPr>
      <w:r w:rsidRPr="000F1070">
        <w:t xml:space="preserve">OJK. (2021). </w:t>
      </w:r>
      <w:proofErr w:type="spellStart"/>
      <w:r w:rsidRPr="000F1070">
        <w:t>Laporan</w:t>
      </w:r>
      <w:proofErr w:type="spellEnd"/>
      <w:r w:rsidRPr="000F1070">
        <w:t xml:space="preserve"> </w:t>
      </w:r>
      <w:proofErr w:type="spellStart"/>
      <w:r w:rsidRPr="000F1070">
        <w:t>Profil</w:t>
      </w:r>
      <w:proofErr w:type="spellEnd"/>
      <w:r w:rsidRPr="000F1070">
        <w:t xml:space="preserve"> Industri </w:t>
      </w:r>
      <w:proofErr w:type="spellStart"/>
      <w:r w:rsidRPr="000F1070">
        <w:t>Perbankan</w:t>
      </w:r>
      <w:proofErr w:type="spellEnd"/>
      <w:r w:rsidRPr="000F1070">
        <w:t>—</w:t>
      </w:r>
      <w:proofErr w:type="spellStart"/>
      <w:r w:rsidRPr="000F1070">
        <w:t>Triwulan</w:t>
      </w:r>
      <w:proofErr w:type="spellEnd"/>
      <w:r w:rsidRPr="000F1070">
        <w:t xml:space="preserve"> IV 2021. </w:t>
      </w:r>
      <w:proofErr w:type="spellStart"/>
      <w:r w:rsidRPr="000F1070">
        <w:t>Otoritas</w:t>
      </w:r>
      <w:proofErr w:type="spellEnd"/>
      <w:r w:rsidRPr="000F1070">
        <w:t xml:space="preserve"> Jasa Keuangan.</w:t>
      </w:r>
    </w:p>
    <w:p w14:paraId="0CF458D0" w14:textId="77777777" w:rsidR="000F1070" w:rsidRDefault="00000000" w:rsidP="000F1070">
      <w:pPr>
        <w:pStyle w:val="DaftarParagraf"/>
        <w:numPr>
          <w:ilvl w:val="0"/>
          <w:numId w:val="4"/>
        </w:numPr>
        <w:spacing w:before="60" w:after="60"/>
        <w:ind w:left="426" w:hanging="426"/>
        <w:jc w:val="both"/>
      </w:pPr>
      <w:r w:rsidRPr="000F1070">
        <w:t>OECD. (2020). ESG Investing: Practices, Progress and Challenges. OECD Publishing.</w:t>
      </w:r>
    </w:p>
    <w:p w14:paraId="03AD9D23" w14:textId="77777777" w:rsidR="000F1070" w:rsidRDefault="00000000" w:rsidP="000F1070">
      <w:pPr>
        <w:pStyle w:val="DaftarParagraf"/>
        <w:numPr>
          <w:ilvl w:val="0"/>
          <w:numId w:val="4"/>
        </w:numPr>
        <w:spacing w:before="60" w:after="60"/>
        <w:ind w:left="426" w:hanging="426"/>
        <w:jc w:val="both"/>
      </w:pPr>
      <w:r w:rsidRPr="000F1070">
        <w:t xml:space="preserve">Spence, M. (1973). Job Market </w:t>
      </w:r>
      <w:proofErr w:type="spellStart"/>
      <w:r w:rsidRPr="000F1070">
        <w:t>Signaling</w:t>
      </w:r>
      <w:proofErr w:type="spellEnd"/>
      <w:r w:rsidRPr="000F1070">
        <w:t>. The Quarterly Journal of Economics, 87(3), 355–374.</w:t>
      </w:r>
    </w:p>
    <w:p w14:paraId="1516C77D" w14:textId="26005F34" w:rsidR="000F1070" w:rsidRDefault="00000000" w:rsidP="000F1070">
      <w:pPr>
        <w:pStyle w:val="DaftarParagraf"/>
        <w:numPr>
          <w:ilvl w:val="0"/>
          <w:numId w:val="4"/>
        </w:numPr>
        <w:spacing w:before="60" w:after="60"/>
        <w:ind w:left="426" w:hanging="426"/>
        <w:jc w:val="both"/>
      </w:pPr>
      <w:r w:rsidRPr="000F1070">
        <w:t xml:space="preserve">Wu, S., Li, X., Du, X., &amp; Li, Z. (2022). The Impact of ESG Performance on Firm Value: The Moderating Role of Ownership Structure. Sustainability, 14(21). </w:t>
      </w:r>
      <w:hyperlink r:id="rId19" w:history="1">
        <w:r w:rsidR="000F1070" w:rsidRPr="00611F32">
          <w:rPr>
            <w:rStyle w:val="Hyperlink"/>
          </w:rPr>
          <w:t>https://doi.org/10.3390/su142114507</w:t>
        </w:r>
      </w:hyperlink>
    </w:p>
    <w:p w14:paraId="078A882F" w14:textId="635A2A54" w:rsidR="00146482" w:rsidRPr="000F1070" w:rsidRDefault="00000000" w:rsidP="000F1070">
      <w:pPr>
        <w:pStyle w:val="DaftarParagraf"/>
        <w:numPr>
          <w:ilvl w:val="0"/>
          <w:numId w:val="4"/>
        </w:numPr>
        <w:spacing w:before="60" w:after="60"/>
        <w:ind w:left="426" w:hanging="426"/>
        <w:jc w:val="both"/>
      </w:pPr>
      <w:r w:rsidRPr="000F1070">
        <w:t xml:space="preserve">Wulansari, A., </w:t>
      </w:r>
      <w:proofErr w:type="spellStart"/>
      <w:r w:rsidRPr="000F1070">
        <w:t>Budiandriani</w:t>
      </w:r>
      <w:proofErr w:type="spellEnd"/>
      <w:r w:rsidRPr="000F1070">
        <w:t xml:space="preserve">, Jayadi, &amp; </w:t>
      </w:r>
      <w:proofErr w:type="spellStart"/>
      <w:r w:rsidRPr="000F1070">
        <w:t>Mahfudnurnajamuddin</w:t>
      </w:r>
      <w:proofErr w:type="spellEnd"/>
      <w:r w:rsidRPr="000F1070">
        <w:t xml:space="preserve">. (2025). </w:t>
      </w:r>
      <w:proofErr w:type="spellStart"/>
      <w:r w:rsidRPr="000F1070">
        <w:t>Pengaruh</w:t>
      </w:r>
      <w:proofErr w:type="spellEnd"/>
      <w:r w:rsidRPr="000F1070">
        <w:t xml:space="preserve"> </w:t>
      </w:r>
      <w:proofErr w:type="spellStart"/>
      <w:r w:rsidRPr="000F1070">
        <w:t>Kebijakan</w:t>
      </w:r>
      <w:proofErr w:type="spellEnd"/>
      <w:r w:rsidRPr="000F1070">
        <w:t xml:space="preserve"> </w:t>
      </w:r>
      <w:proofErr w:type="spellStart"/>
      <w:r w:rsidRPr="000F1070">
        <w:t>Dividen</w:t>
      </w:r>
      <w:proofErr w:type="spellEnd"/>
      <w:r w:rsidRPr="000F1070">
        <w:t xml:space="preserve"> Dan </w:t>
      </w:r>
      <w:proofErr w:type="spellStart"/>
      <w:r w:rsidRPr="000F1070">
        <w:t>Struktur</w:t>
      </w:r>
      <w:proofErr w:type="spellEnd"/>
      <w:r w:rsidRPr="000F1070">
        <w:t xml:space="preserve"> Kepemilikan </w:t>
      </w:r>
      <w:proofErr w:type="spellStart"/>
      <w:r w:rsidRPr="000F1070">
        <w:t>Terhadap</w:t>
      </w:r>
      <w:proofErr w:type="spellEnd"/>
      <w:r w:rsidRPr="000F1070">
        <w:t xml:space="preserve"> Nilai Perusahaan Pada Perusahaan </w:t>
      </w:r>
      <w:proofErr w:type="spellStart"/>
      <w:r w:rsidRPr="000F1070">
        <w:t>Perbankan</w:t>
      </w:r>
      <w:proofErr w:type="spellEnd"/>
      <w:r w:rsidRPr="000F1070">
        <w:t xml:space="preserve"> Di BEI. Economics and Digital Business Review, 1318–1329.</w:t>
      </w:r>
    </w:p>
    <w:sectPr w:rsidR="00146482" w:rsidRPr="000F1070" w:rsidSect="001B345A">
      <w:pgSz w:w="11906" w:h="16838"/>
      <w:pgMar w:top="1077" w:right="607" w:bottom="607" w:left="607" w:header="136"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4810" w14:textId="77777777" w:rsidR="005862DD" w:rsidRDefault="005862DD" w:rsidP="0031749C">
      <w:r>
        <w:separator/>
      </w:r>
    </w:p>
  </w:endnote>
  <w:endnote w:type="continuationSeparator" w:id="0">
    <w:p w14:paraId="44CDF7E3" w14:textId="77777777" w:rsidR="005862DD" w:rsidRDefault="005862DD" w:rsidP="0031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24D9" w14:textId="77777777" w:rsidR="005862DD" w:rsidRDefault="005862DD" w:rsidP="0031749C">
      <w:r>
        <w:separator/>
      </w:r>
    </w:p>
  </w:footnote>
  <w:footnote w:type="continuationSeparator" w:id="0">
    <w:p w14:paraId="14421601" w14:textId="77777777" w:rsidR="005862DD" w:rsidRDefault="005862DD" w:rsidP="00317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82D"/>
    <w:multiLevelType w:val="hybridMultilevel"/>
    <w:tmpl w:val="BD5ACF9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6E374EA"/>
    <w:multiLevelType w:val="hybridMultilevel"/>
    <w:tmpl w:val="22882E2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28AE619B"/>
    <w:multiLevelType w:val="hybridMultilevel"/>
    <w:tmpl w:val="83B06CE6"/>
    <w:lvl w:ilvl="0" w:tplc="17DA8BEA">
      <w:start w:val="1"/>
      <w:numFmt w:val="bullet"/>
      <w:lvlText w:val="●"/>
      <w:lvlJc w:val="left"/>
      <w:pPr>
        <w:ind w:left="720" w:hanging="360"/>
      </w:pPr>
    </w:lvl>
    <w:lvl w:ilvl="1" w:tplc="3078F63A">
      <w:start w:val="1"/>
      <w:numFmt w:val="bullet"/>
      <w:lvlText w:val="○"/>
      <w:lvlJc w:val="left"/>
      <w:pPr>
        <w:ind w:left="1440" w:hanging="360"/>
      </w:pPr>
    </w:lvl>
    <w:lvl w:ilvl="2" w:tplc="9C525C74">
      <w:start w:val="1"/>
      <w:numFmt w:val="bullet"/>
      <w:lvlText w:val="■"/>
      <w:lvlJc w:val="left"/>
      <w:pPr>
        <w:ind w:left="2160" w:hanging="360"/>
      </w:pPr>
    </w:lvl>
    <w:lvl w:ilvl="3" w:tplc="4AA2BE44">
      <w:start w:val="1"/>
      <w:numFmt w:val="bullet"/>
      <w:lvlText w:val="●"/>
      <w:lvlJc w:val="left"/>
      <w:pPr>
        <w:ind w:left="2880" w:hanging="360"/>
      </w:pPr>
    </w:lvl>
    <w:lvl w:ilvl="4" w:tplc="B0005C72">
      <w:start w:val="1"/>
      <w:numFmt w:val="bullet"/>
      <w:lvlText w:val="○"/>
      <w:lvlJc w:val="left"/>
      <w:pPr>
        <w:ind w:left="3600" w:hanging="360"/>
      </w:pPr>
    </w:lvl>
    <w:lvl w:ilvl="5" w:tplc="DC4E333C">
      <w:start w:val="1"/>
      <w:numFmt w:val="bullet"/>
      <w:lvlText w:val="■"/>
      <w:lvlJc w:val="left"/>
      <w:pPr>
        <w:ind w:left="4320" w:hanging="360"/>
      </w:pPr>
    </w:lvl>
    <w:lvl w:ilvl="6" w:tplc="FBFA40F8">
      <w:start w:val="1"/>
      <w:numFmt w:val="bullet"/>
      <w:lvlText w:val="●"/>
      <w:lvlJc w:val="left"/>
      <w:pPr>
        <w:ind w:left="5040" w:hanging="360"/>
      </w:pPr>
    </w:lvl>
    <w:lvl w:ilvl="7" w:tplc="CA4AFD08">
      <w:start w:val="1"/>
      <w:numFmt w:val="bullet"/>
      <w:lvlText w:val="●"/>
      <w:lvlJc w:val="left"/>
      <w:pPr>
        <w:ind w:left="5760" w:hanging="360"/>
      </w:pPr>
    </w:lvl>
    <w:lvl w:ilvl="8" w:tplc="D3FCF69E">
      <w:start w:val="1"/>
      <w:numFmt w:val="bullet"/>
      <w:lvlText w:val="●"/>
      <w:lvlJc w:val="left"/>
      <w:pPr>
        <w:ind w:left="6480" w:hanging="360"/>
      </w:pPr>
    </w:lvl>
  </w:abstractNum>
  <w:abstractNum w:abstractNumId="3" w15:restartNumberingAfterBreak="0">
    <w:nsid w:val="4EDF0B0F"/>
    <w:multiLevelType w:val="hybridMultilevel"/>
    <w:tmpl w:val="C66810EC"/>
    <w:lvl w:ilvl="0" w:tplc="7CD4493A">
      <w:start w:val="1"/>
      <w:numFmt w:val="decimal"/>
      <w:lvlText w:val="%1."/>
      <w:lvlJc w:val="left"/>
      <w:pPr>
        <w:ind w:left="1080" w:hanging="360"/>
      </w:pPr>
      <w:rPr>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41700289">
    <w:abstractNumId w:val="2"/>
    <w:lvlOverride w:ilvl="0">
      <w:startOverride w:val="1"/>
    </w:lvlOverride>
  </w:num>
  <w:num w:numId="2" w16cid:durableId="1978801560">
    <w:abstractNumId w:val="0"/>
  </w:num>
  <w:num w:numId="3" w16cid:durableId="362439563">
    <w:abstractNumId w:val="1"/>
  </w:num>
  <w:num w:numId="4" w16cid:durableId="1434083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82"/>
    <w:rsid w:val="000951B5"/>
    <w:rsid w:val="000F1070"/>
    <w:rsid w:val="00111FF0"/>
    <w:rsid w:val="00146482"/>
    <w:rsid w:val="001B345A"/>
    <w:rsid w:val="001F5AD1"/>
    <w:rsid w:val="0031749C"/>
    <w:rsid w:val="00381F32"/>
    <w:rsid w:val="004475CC"/>
    <w:rsid w:val="0046324E"/>
    <w:rsid w:val="00541768"/>
    <w:rsid w:val="0055036C"/>
    <w:rsid w:val="005862DD"/>
    <w:rsid w:val="00606E6A"/>
    <w:rsid w:val="0065495F"/>
    <w:rsid w:val="00784E5A"/>
    <w:rsid w:val="00844BA3"/>
    <w:rsid w:val="008800B0"/>
    <w:rsid w:val="008D726C"/>
    <w:rsid w:val="00A064A6"/>
    <w:rsid w:val="00B03559"/>
    <w:rsid w:val="00CD13AF"/>
    <w:rsid w:val="00CD1E48"/>
    <w:rsid w:val="00DB7210"/>
    <w:rsid w:val="00F30DD0"/>
    <w:rsid w:val="00FA6B88"/>
    <w:rsid w:val="00FC0C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C32D"/>
  <w15:docId w15:val="{403338BF-3BEF-42E3-B5F6-08010DE0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uiPriority w:val="9"/>
    <w:qFormat/>
    <w:pPr>
      <w:outlineLvl w:val="0"/>
    </w:pPr>
    <w:rPr>
      <w:color w:val="2E74B5"/>
      <w:sz w:val="32"/>
      <w:szCs w:val="32"/>
    </w:rPr>
  </w:style>
  <w:style w:type="paragraph" w:styleId="Judul2">
    <w:name w:val="heading 2"/>
    <w:uiPriority w:val="9"/>
    <w:semiHidden/>
    <w:unhideWhenUsed/>
    <w:qFormat/>
    <w:pPr>
      <w:outlineLvl w:val="1"/>
    </w:pPr>
    <w:rPr>
      <w:color w:val="2E74B5"/>
      <w:sz w:val="26"/>
      <w:szCs w:val="26"/>
    </w:rPr>
  </w:style>
  <w:style w:type="paragraph" w:styleId="Judul3">
    <w:name w:val="heading 3"/>
    <w:uiPriority w:val="9"/>
    <w:semiHidden/>
    <w:unhideWhenUsed/>
    <w:qFormat/>
    <w:pPr>
      <w:outlineLvl w:val="2"/>
    </w:pPr>
    <w:rPr>
      <w:color w:val="1F4D78"/>
    </w:rPr>
  </w:style>
  <w:style w:type="paragraph" w:styleId="Judul4">
    <w:name w:val="heading 4"/>
    <w:uiPriority w:val="9"/>
    <w:semiHidden/>
    <w:unhideWhenUsed/>
    <w:qFormat/>
    <w:pPr>
      <w:outlineLvl w:val="3"/>
    </w:pPr>
    <w:rPr>
      <w:i/>
      <w:iCs/>
      <w:color w:val="2E74B5"/>
    </w:rPr>
  </w:style>
  <w:style w:type="paragraph" w:styleId="Judul5">
    <w:name w:val="heading 5"/>
    <w:uiPriority w:val="9"/>
    <w:semiHidden/>
    <w:unhideWhenUsed/>
    <w:qFormat/>
    <w:pPr>
      <w:outlineLvl w:val="4"/>
    </w:pPr>
    <w:rPr>
      <w:color w:val="2E74B5"/>
    </w:rPr>
  </w:style>
  <w:style w:type="paragraph" w:styleId="Judul6">
    <w:name w:val="heading 6"/>
    <w:uiPriority w:val="9"/>
    <w:semiHidden/>
    <w:unhideWhenUsed/>
    <w:qFormat/>
    <w:pPr>
      <w:outlineLvl w:val="5"/>
    </w:pPr>
    <w:rPr>
      <w:color w:val="1F4D7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uiPriority w:val="10"/>
    <w:qFormat/>
    <w:rPr>
      <w:sz w:val="56"/>
      <w:szCs w:val="56"/>
    </w:rPr>
  </w:style>
  <w:style w:type="paragraph" w:customStyle="1" w:styleId="Kuat1">
    <w:name w:val="Kuat1"/>
    <w:qFormat/>
    <w:rPr>
      <w:b/>
      <w:bCs/>
    </w:rPr>
  </w:style>
  <w:style w:type="paragraph" w:styleId="DaftarParagraf">
    <w:name w:val="List Paragraph"/>
    <w:qFormat/>
  </w:style>
  <w:style w:type="character" w:styleId="Hyperlink">
    <w:name w:val="Hyperlink"/>
    <w:uiPriority w:val="99"/>
    <w:unhideWhenUsed/>
    <w:rPr>
      <w:color w:val="0563C1"/>
      <w:u w:val="single"/>
    </w:rPr>
  </w:style>
  <w:style w:type="character" w:styleId="ReferensiCatatanKaki">
    <w:name w:val="footnote reference"/>
    <w:uiPriority w:val="99"/>
    <w:semiHidden/>
    <w:unhideWhenUsed/>
    <w:rPr>
      <w:vertAlign w:val="superscript"/>
    </w:rPr>
  </w:style>
  <w:style w:type="paragraph" w:styleId="TeksCatatanKaki">
    <w:name w:val="footnote text"/>
    <w:link w:val="TeksCatatanKakiKAR"/>
    <w:uiPriority w:val="99"/>
    <w:semiHidden/>
    <w:unhideWhenUsed/>
    <w:rPr>
      <w:sz w:val="20"/>
      <w:szCs w:val="20"/>
    </w:rPr>
  </w:style>
  <w:style w:type="character" w:customStyle="1" w:styleId="TeksCatatanKakiKAR">
    <w:name w:val="Teks Catatan Kaki KAR"/>
    <w:link w:val="TeksCatatanKaki"/>
    <w:uiPriority w:val="99"/>
    <w:semiHidden/>
    <w:unhideWhenUsed/>
    <w:rPr>
      <w:sz w:val="20"/>
      <w:szCs w:val="20"/>
    </w:rPr>
  </w:style>
  <w:style w:type="character" w:styleId="ReferensiCatatanAkhir">
    <w:name w:val="endnote reference"/>
    <w:uiPriority w:val="99"/>
    <w:semiHidden/>
    <w:unhideWhenUsed/>
    <w:rPr>
      <w:vertAlign w:val="superscript"/>
    </w:rPr>
  </w:style>
  <w:style w:type="paragraph" w:styleId="TeksCatatanAkhir">
    <w:name w:val="endnote text"/>
    <w:link w:val="TeksCatatanAkhirKAR"/>
    <w:uiPriority w:val="99"/>
    <w:semiHidden/>
    <w:unhideWhenUsed/>
    <w:rPr>
      <w:sz w:val="20"/>
      <w:szCs w:val="20"/>
    </w:rPr>
  </w:style>
  <w:style w:type="character" w:customStyle="1" w:styleId="TeksCatatanAkhirKAR">
    <w:name w:val="Teks Catatan Akhir KAR"/>
    <w:link w:val="TeksCatatanAkhir"/>
    <w:uiPriority w:val="99"/>
    <w:semiHidden/>
    <w:unhideWhenUsed/>
    <w:rPr>
      <w:sz w:val="20"/>
      <w:szCs w:val="20"/>
    </w:rPr>
  </w:style>
  <w:style w:type="paragraph" w:styleId="Header">
    <w:name w:val="header"/>
    <w:basedOn w:val="Normal"/>
    <w:link w:val="HeaderKAR"/>
    <w:uiPriority w:val="99"/>
    <w:unhideWhenUsed/>
    <w:rsid w:val="0031749C"/>
    <w:pPr>
      <w:tabs>
        <w:tab w:val="center" w:pos="4513"/>
        <w:tab w:val="right" w:pos="9026"/>
      </w:tabs>
    </w:pPr>
  </w:style>
  <w:style w:type="character" w:customStyle="1" w:styleId="HeaderKAR">
    <w:name w:val="Header KAR"/>
    <w:basedOn w:val="FontParagrafDefault"/>
    <w:link w:val="Header"/>
    <w:uiPriority w:val="99"/>
    <w:rsid w:val="0031749C"/>
  </w:style>
  <w:style w:type="paragraph" w:styleId="Footer">
    <w:name w:val="footer"/>
    <w:basedOn w:val="Normal"/>
    <w:link w:val="FooterKAR"/>
    <w:uiPriority w:val="99"/>
    <w:unhideWhenUsed/>
    <w:rsid w:val="0031749C"/>
    <w:pPr>
      <w:tabs>
        <w:tab w:val="center" w:pos="4513"/>
        <w:tab w:val="right" w:pos="9026"/>
      </w:tabs>
    </w:pPr>
  </w:style>
  <w:style w:type="character" w:customStyle="1" w:styleId="FooterKAR">
    <w:name w:val="Footer KAR"/>
    <w:basedOn w:val="FontParagrafDefault"/>
    <w:link w:val="Footer"/>
    <w:uiPriority w:val="99"/>
    <w:rsid w:val="0031749C"/>
  </w:style>
  <w:style w:type="table" w:styleId="KisiTabel">
    <w:name w:val="Table Grid"/>
    <w:basedOn w:val="TabelNormal"/>
    <w:uiPriority w:val="39"/>
    <w:rsid w:val="00B03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0F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8471/jms.v5i04" TargetMode="External"/><Relationship Id="rId13" Type="http://schemas.openxmlformats.org/officeDocument/2006/relationships/hyperlink" Target="https://forestsandfinance.org/id/news-id/" TargetMode="External"/><Relationship Id="rId18" Type="http://schemas.openxmlformats.org/officeDocument/2006/relationships/hyperlink" Target="https://doi.org/10.35870/emt.v8i4.293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rivaldiardiyan8@gmail.com" TargetMode="External"/><Relationship Id="rId12" Type="http://schemas.openxmlformats.org/officeDocument/2006/relationships/hyperlink" Target="https://fwi.or.id/hijau-tapi-hitam-pembiayaan-bank-di-indonesia/" TargetMode="External"/><Relationship Id="rId17" Type="http://schemas.openxmlformats.org/officeDocument/2006/relationships/hyperlink" Target="https://doi.org/10.61978/moneta.v3i1" TargetMode="External"/><Relationship Id="rId2" Type="http://schemas.openxmlformats.org/officeDocument/2006/relationships/styles" Target="styles.xml"/><Relationship Id="rId16" Type="http://schemas.openxmlformats.org/officeDocument/2006/relationships/hyperlink" Target="https://doi.org/10.3390/ijfs1403006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87/mnsc.2021.03083" TargetMode="External"/><Relationship Id="rId5" Type="http://schemas.openxmlformats.org/officeDocument/2006/relationships/footnotes" Target="footnotes.xml"/><Relationship Id="rId15" Type="http://schemas.openxmlformats.org/officeDocument/2006/relationships/hyperlink" Target="https://doi.org/10.70550/bisma.v2i1.92" TargetMode="External"/><Relationship Id="rId10" Type="http://schemas.openxmlformats.org/officeDocument/2006/relationships/hyperlink" Target="https://doi.org/10.1016/j.bir.2022.11.006" TargetMode="External"/><Relationship Id="rId19" Type="http://schemas.openxmlformats.org/officeDocument/2006/relationships/hyperlink" Target="https://doi.org/10.3390/su142114507" TargetMode="External"/><Relationship Id="rId4" Type="http://schemas.openxmlformats.org/officeDocument/2006/relationships/webSettings" Target="webSettings.xml"/><Relationship Id="rId9" Type="http://schemas.openxmlformats.org/officeDocument/2006/relationships/hyperlink" Target="https://doi.org/10.37676/ekombis.v12i4" TargetMode="External"/><Relationship Id="rId14" Type="http://schemas.openxmlformats.org/officeDocument/2006/relationships/hyperlink" Target="https://doi.org/10.3390/economies10120314"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8</Pages>
  <Words>4076</Words>
  <Characters>23235</Characters>
  <Application>Microsoft Office Word</Application>
  <DocSecurity>0</DocSecurity>
  <Lines>193</Lines>
  <Paragraphs>54</Paragraphs>
  <ScaleCrop>false</ScaleCrop>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6</cp:revision>
  <dcterms:created xsi:type="dcterms:W3CDTF">2026-06-09T08:01:00Z</dcterms:created>
  <dcterms:modified xsi:type="dcterms:W3CDTF">2026-06-09T15:03:00Z</dcterms:modified>
</cp:coreProperties>
</file>