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Issues and Challenges in Teaching the Mole Concept in Grade 9 Science: A Research Proposal</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0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1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1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1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
      </w: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after="0" w:line="480" w:lineRule="auto"/>
        <w:ind w:right="1132"/>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Abstract</w:t>
      </w:r>
    </w:p>
    <w:p w:rsidR="00000000" w:rsidDel="00000000" w:rsidP="00000000" w:rsidRDefault="00000000" w:rsidRPr="00000000" w14:paraId="0000003A">
      <w:pPr>
        <w:spacing w:after="0" w:line="480" w:lineRule="auto"/>
        <w:ind w:right="1132"/>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B">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mole concept is widely recognized as one of the most challenging topics in secondary chemistry due to its abstract nature and the mathematical reasoning required for its understanding. This research proposal aims to investigate the issues and challenges encountered by Grade 9 science teachers in teaching the mole concept using the Department of Education Self-Learning Modules. Specifically, the study seeks to explore teachers' experiences, identify the factors that hinder effective instruction, and examine the strategies employed to address these challenges. Guided by a qualitative descriptive research design, the study will involve eight Grade 9 science teachers from selected public secondary schools in Davao City. Data will be gathered through focus group discussions and analyzed using thematic analysis. The findings are expected to provide insights into the instructional difficulties associated with teaching the mole concept and serve as a basis for developing appropriate interventions and instructional materials to enhance students' conceptual understanding and learning outcomes in chemistry.</w:t>
      </w:r>
    </w:p>
    <w:p w:rsidR="00000000" w:rsidDel="00000000" w:rsidP="00000000" w:rsidRDefault="00000000" w:rsidRPr="00000000" w14:paraId="0000003C">
      <w:pPr>
        <w:spacing w:after="0" w:line="480" w:lineRule="auto"/>
        <w:ind w:right="1132"/>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D">
      <w:pPr>
        <w:spacing w:after="0" w:line="480" w:lineRule="auto"/>
        <w:ind w:left="567" w:right="113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480" w:lineRule="auto"/>
        <w:ind w:left="567" w:right="113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480" w:lineRule="auto"/>
        <w:ind w:left="567" w:right="113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480" w:lineRule="auto"/>
        <w:ind w:left="567" w:right="113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480" w:lineRule="auto"/>
        <w:ind w:left="567" w:right="113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after="0" w:line="480" w:lineRule="auto"/>
        <w:ind w:left="567" w:right="113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480" w:lineRule="auto"/>
        <w:ind w:left="567" w:right="113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480"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5">
      <w:pPr>
        <w:spacing w:after="0" w:line="480" w:lineRule="auto"/>
        <w:jc w:val="cente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46">
      <w:pPr>
        <w:spacing w:after="0" w:line="480" w:lineRule="auto"/>
        <w:jc w:val="left"/>
        <w:rPr>
          <w:b w:val="1"/>
          <w:bCs w:val="1"/>
          <w:sz w:val="24"/>
          <w:szCs w:val="24"/>
        </w:rPr>
      </w:pPr>
      <w:r w:rsidDel="00000000" w:rsidR="00000000" w:rsidRPr="00000000">
        <w:rPr>
          <w:rtl w:val="0"/>
        </w:rPr>
      </w:r>
    </w:p>
    <w:p w:rsidR="00000000" w:rsidDel="00000000" w:rsidP="00000000" w:rsidRDefault="00000000" w:rsidRPr="00000000" w14:paraId="00000047">
      <w:pPr>
        <w:pStyle w:val="Heading2"/>
        <w:spacing w:after="5" w:before="0" w:line="250" w:lineRule="auto"/>
        <w:ind w:left="6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Background of the Study </w:t>
      </w:r>
    </w:p>
    <w:p w:rsidR="00000000" w:rsidDel="00000000" w:rsidP="00000000" w:rsidRDefault="00000000" w:rsidRPr="00000000" w14:paraId="00000048">
      <w:pPr>
        <w:spacing w:after="5" w:line="250" w:lineRule="auto"/>
        <w:ind w:left="3061" w:hanging="1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9">
      <w:pPr>
        <w:spacing w:after="5" w:line="487" w:lineRule="auto"/>
        <w:ind w:right="5"/>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A">
      <w:pPr>
        <w:spacing w:after="5" w:line="487" w:lineRule="auto"/>
        <w:ind w:left="0" w:right="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Despite the Department of Education Philippines providing self-learning modules for Senior High School Chemistry 1, particularly for topics that involve complex calculations and laboratory activities, such as the mole concept, many students continue to struggle significantly with understanding these concepts. This persistent difficulty results in poor academic performance and inadequate mastery of essential scientific skills. This challenge arises from several factors, including a lack of interactive and practical activities in self-learning modules, which is crucial for students’ long-term understanding; limited access to hands-on laboratory experiences; varying levels of problem-solving skills; and the increased responsibility placed on students in independent learning environments that lack adequate guidance and motivation. Also, many teachers face constraints in time, resources, or training that prevent them from designing or implementing differentiated instruction tailored to students' varying learning needs.</w:t>
      </w:r>
    </w:p>
    <w:p w:rsidR="00000000" w:rsidDel="00000000" w:rsidP="00000000" w:rsidRDefault="00000000" w:rsidRPr="00000000" w14:paraId="0000004B">
      <w:pPr>
        <w:spacing w:after="5" w:line="487" w:lineRule="auto"/>
        <w:ind w:left="674" w:right="5" w:firstLine="7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5" w:line="487" w:lineRule="auto"/>
        <w:ind w:left="0" w:right="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Germany and Sweden, Li et al. (2024) pointed out that rigid curricula and a lack of real-world applications can hinder students' ability to connect theoretical science concepts with practical problem-solving. Additionally, Mammino (2020) noted that in the Netherlands, differences in foundational scientific skills, as well as the limited instructional time, present barriers to mastering calculation-intensive topics. These studies suggest that there are significant opportunities to improve student performance in demanding chemistry topics, such as the mole concept, by enhancing teacher availability, revising curriculum design, ensuring better access to resources, and developing students' foundational skills. Furthermore, in the United States, Alberto (2020) identified that while students have access to advanced educational resources, many senior high school science students can face challenges with complex topics like the mole concept since it is very challenging for them to move beyond rote memorization of formulas and calculations to truly comprehend what the mole represents and how to apply it conceptually.</w:t>
      </w:r>
    </w:p>
    <w:p w:rsidR="00000000" w:rsidDel="00000000" w:rsidP="00000000" w:rsidRDefault="00000000" w:rsidRPr="00000000" w14:paraId="0000004D">
      <w:pPr>
        <w:spacing w:after="5" w:line="487" w:lineRule="auto"/>
        <w:ind w:right="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5" w:line="487" w:lineRule="auto"/>
        <w:ind w:left="0" w:right="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the other hand, in the Philippines, the national assessments and DepEd statistics reveal persistent challenges in student performance, particularly in science subjects (DepEd, 2020). Similarly, the 2022 Programme for International Student Assessment results highlight considerable issues in this area, where Filipino students aged 15 ranked third from the bottom in science out of 81 countries, with an average score of 356—129 points lower than the Organization for Economic Co-operation and Development average. Additionally, this stagnation follows the 2018 findings, where the Philippines ranked second lowest in science among 79 countries, indicating persistent difficulties in fostering higher-order thinking skills. This performance underscores the need for targeted interventions that address the specific learning needs of Filipino students, especially in the topic of mole concept, where students often struggle to integrate mathematical calculations with conceptual understanding (Orbeta et al., 2024). </w:t>
      </w:r>
    </w:p>
    <w:p w:rsidR="00000000" w:rsidDel="00000000" w:rsidP="00000000" w:rsidRDefault="00000000" w:rsidRPr="00000000" w14:paraId="0000004F">
      <w:pPr>
        <w:spacing w:after="5" w:line="487" w:lineRule="auto"/>
        <w:ind w:left="674" w:right="5" w:firstLine="7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5" w:line="487" w:lineRule="auto"/>
        <w:ind w:left="0" w:right="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Furthermore, in Davao, senior high school students encounter significant challenges in Chemistry 1, particularly with complex calculation topics and laboratory activities such as the mole concept. In addition, according to Caballes, et.al. (2024), several schools in Davao del Sur do not have the required science laboratories, directly affecting the quality of science education and students' academic performance. This lack of support correlates with lower academic performance in these subjects, highlighting the urgent need for improved laboratory infrastructure, learning resources, and teacher training (Berame, 2022).</w:t>
      </w:r>
    </w:p>
    <w:p w:rsidR="00000000" w:rsidDel="00000000" w:rsidP="00000000" w:rsidRDefault="00000000" w:rsidRPr="00000000" w14:paraId="00000051">
      <w:pPr>
        <w:spacing w:after="5" w:line="487" w:lineRule="auto"/>
        <w:ind w:left="674" w:right="5" w:firstLine="71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52">
      <w:pPr>
        <w:spacing w:after="5" w:line="487" w:lineRule="auto"/>
        <w:ind w:left="0" w:right="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aims to explore the issues and challenges encountered by Grade 9 science teachers in teaching problem-solving learning activities related to the mole concept using the Department of Education's Self-Learning Module. Specifically, it seeks to identify the difficulties teachers experience in facilitating students’ understanding of the mole concept and implementing problem-solving activities within the modular learning context. Furthermore, the study aims to examine the coping strategies employed by teachers to address these challenges and sustain effective instruction. By documenting teachers’ experiences and practices, the study is expected to provide valuable insights into the instructional realities of teaching the mole concept and contribute to the improvement of science teaching and learning. The findings may serve as a basis for informing future instructional support, professional development initiatives, and the enhancement of learning resources related to chemistry education. Moreover, the study supports the attainment of the United Nations Sustainable Development Goal 4 (Quality Education) by promoting effective and inclusive science instruction that addresses learners’ needs and improves educational quality.</w:t>
      </w:r>
    </w:p>
    <w:p w:rsidR="00000000" w:rsidDel="00000000" w:rsidP="00000000" w:rsidRDefault="00000000" w:rsidRPr="00000000" w14:paraId="00000053">
      <w:pPr>
        <w:spacing w:after="5" w:line="487" w:lineRule="auto"/>
        <w:ind w:right="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Research Questions/Objectives</w:t>
      </w:r>
    </w:p>
    <w:p w:rsidR="00000000" w:rsidDel="00000000" w:rsidP="00000000" w:rsidRDefault="00000000" w:rsidRPr="00000000" w14:paraId="00000055">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sought to answer the following questions:</w:t>
      </w:r>
    </w:p>
    <w:p w:rsidR="00000000" w:rsidDel="00000000" w:rsidP="00000000" w:rsidRDefault="00000000" w:rsidRPr="00000000" w14:paraId="00000056">
      <w:pPr>
        <w:numPr>
          <w:ilvl w:val="0"/>
          <w:numId w:val="2"/>
        </w:numPr>
        <w:spacing w:after="0" w:line="4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What are the issues and challenges of Grade 9 science teachers in teaching problem-solving learning activities in the mole concept using DepEd’s Self Learning Module?</w:t>
      </w:r>
    </w:p>
    <w:p w:rsidR="00000000" w:rsidDel="00000000" w:rsidP="00000000" w:rsidRDefault="00000000" w:rsidRPr="00000000" w14:paraId="00000057">
      <w:pPr>
        <w:numPr>
          <w:ilvl w:val="0"/>
          <w:numId w:val="2"/>
        </w:numPr>
        <w:spacing w:after="0" w:line="4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How do Grade 9 Science teachers cope with the challenges in teaching the mole concept using DepEd’s Self Learning Module?</w:t>
      </w:r>
    </w:p>
    <w:p w:rsidR="00000000" w:rsidDel="00000000" w:rsidP="00000000" w:rsidRDefault="00000000" w:rsidRPr="00000000" w14:paraId="00000058">
      <w:pPr>
        <w:pStyle w:val="Heading2"/>
        <w:spacing w:after="5" w:before="0" w:line="250" w:lineRule="auto"/>
        <w:ind w:left="0" w:firstLine="0"/>
        <w:jc w:val="both"/>
        <w:rPr>
          <w:rFonts w:ascii="Arial" w:cs="Arial" w:eastAsia="Arial" w:hAnsi="Arial"/>
          <w:sz w:val="24"/>
          <w:szCs w:val="24"/>
        </w:rPr>
      </w:pPr>
      <w:bookmarkStart w:colFirst="0" w:colLast="0" w:name="_heading=h.jejuu9bhktmh" w:id="0"/>
      <w:bookmarkEnd w:id="0"/>
      <w:r w:rsidDel="00000000" w:rsidR="00000000" w:rsidRPr="00000000">
        <w:rPr>
          <w:rtl w:val="0"/>
        </w:rPr>
      </w:r>
    </w:p>
    <w:p w:rsidR="00000000" w:rsidDel="00000000" w:rsidP="00000000" w:rsidRDefault="00000000" w:rsidRPr="00000000" w14:paraId="00000059">
      <w:pPr>
        <w:pStyle w:val="Heading2"/>
        <w:spacing w:after="5" w:before="0" w:line="250" w:lineRule="auto"/>
        <w:ind w:left="0" w:firstLine="0"/>
        <w:jc w:val="both"/>
        <w:rPr>
          <w:rFonts w:ascii="Arial" w:cs="Arial" w:eastAsia="Arial" w:hAnsi="Arial"/>
          <w:sz w:val="24"/>
          <w:szCs w:val="24"/>
        </w:rPr>
      </w:pPr>
      <w:bookmarkStart w:colFirst="0" w:colLast="0" w:name="_heading=h.9rjd65by21aa" w:id="1"/>
      <w:bookmarkEnd w:id="1"/>
      <w:r w:rsidDel="00000000" w:rsidR="00000000" w:rsidRPr="00000000">
        <w:rPr>
          <w:rFonts w:ascii="Arial" w:cs="Arial" w:eastAsia="Arial" w:hAnsi="Arial"/>
          <w:sz w:val="24"/>
          <w:szCs w:val="24"/>
          <w:rtl w:val="0"/>
        </w:rPr>
        <w:t xml:space="preserve">Objectives of the Study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
        </w:numPr>
        <w:spacing w:after="0" w:line="488"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discover the issues and challenges encountered by Grade 12 science teachers in teaching problem-solving activities within the mole concept using DepEd’s Self Learning Module.</w:t>
      </w:r>
    </w:p>
    <w:p w:rsidR="00000000" w:rsidDel="00000000" w:rsidP="00000000" w:rsidRDefault="00000000" w:rsidRPr="00000000" w14:paraId="0000005C">
      <w:pPr>
        <w:numPr>
          <w:ilvl w:val="0"/>
          <w:numId w:val="1"/>
        </w:numPr>
        <w:spacing w:after="0" w:line="488"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determine the coping strategies employed by Grade 9 Science teachers in addressing the challenges encountered in teaching the mole concept using the Department of Education's Self-Learning Module. </w:t>
      </w:r>
    </w:p>
    <w:p w:rsidR="00000000" w:rsidDel="00000000" w:rsidP="00000000" w:rsidRDefault="00000000" w:rsidRPr="00000000" w14:paraId="0000005D">
      <w:pPr>
        <w:spacing w:after="0" w:line="488"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pStyle w:val="Heading2"/>
        <w:spacing w:after="5" w:before="0" w:line="250" w:lineRule="auto"/>
        <w:ind w:left="0" w:firstLine="0"/>
        <w:jc w:val="both"/>
        <w:rPr>
          <w:rFonts w:ascii="Arial" w:cs="Arial" w:eastAsia="Arial" w:hAnsi="Arial"/>
          <w:sz w:val="24"/>
          <w:szCs w:val="24"/>
        </w:rPr>
      </w:pPr>
      <w:bookmarkStart w:colFirst="0" w:colLast="0" w:name="_heading=h.5dvoyyp807at" w:id="2"/>
      <w:bookmarkEnd w:id="2"/>
      <w:r w:rsidDel="00000000" w:rsidR="00000000" w:rsidRPr="00000000">
        <w:rPr>
          <w:rFonts w:ascii="Arial" w:cs="Arial" w:eastAsia="Arial" w:hAnsi="Arial"/>
          <w:sz w:val="24"/>
          <w:szCs w:val="24"/>
          <w:rtl w:val="0"/>
        </w:rPr>
        <w:t xml:space="preserve">Significance of the Study </w:t>
      </w:r>
    </w:p>
    <w:p w:rsidR="00000000" w:rsidDel="00000000" w:rsidP="00000000" w:rsidRDefault="00000000" w:rsidRPr="00000000" w14:paraId="0000005F">
      <w:pPr>
        <w:spacing w:after="0" w:line="480" w:lineRule="auto"/>
        <w:jc w:val="both"/>
        <w:rPr/>
      </w:pPr>
      <w:r w:rsidDel="00000000" w:rsidR="00000000" w:rsidRPr="00000000">
        <w:rPr>
          <w:rtl w:val="0"/>
        </w:rPr>
      </w:r>
    </w:p>
    <w:p w:rsidR="00000000" w:rsidDel="00000000" w:rsidP="00000000" w:rsidRDefault="00000000" w:rsidRPr="00000000" w14:paraId="00000060">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results of the study can be beneficial to the following: </w:t>
      </w:r>
    </w:p>
    <w:p w:rsidR="00000000" w:rsidDel="00000000" w:rsidP="00000000" w:rsidRDefault="00000000" w:rsidRPr="00000000" w14:paraId="00000061">
      <w:pPr>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4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Students</w:t>
      </w:r>
      <w:r w:rsidDel="00000000" w:rsidR="00000000" w:rsidRPr="00000000">
        <w:rPr>
          <w:rFonts w:ascii="Arial" w:cs="Arial" w:eastAsia="Arial" w:hAnsi="Arial"/>
          <w:sz w:val="24"/>
          <w:szCs w:val="24"/>
          <w:rtl w:val="0"/>
        </w:rPr>
        <w:t xml:space="preserve">.    Insights gained from the study can contribute to the improvement of instructional practices and learning resources that support students’ conceptual understanding of the mole concept, thereby helping them overcome common misconceptions and learning difficulties.</w:t>
      </w:r>
    </w:p>
    <w:p w:rsidR="00000000" w:rsidDel="00000000" w:rsidP="00000000" w:rsidRDefault="00000000" w:rsidRPr="00000000" w14:paraId="00000063">
      <w:pPr>
        <w:spacing w:after="37" w:line="489.00000000000006" w:lineRule="auto"/>
        <w:ind w:left="674" w:right="8"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30" w:line="488" w:lineRule="auto"/>
        <w:ind w:left="0" w:right="54"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Teachers</w:t>
      </w:r>
      <w:r w:rsidDel="00000000" w:rsidR="00000000" w:rsidRPr="00000000">
        <w:rPr>
          <w:rFonts w:ascii="Arial" w:cs="Arial" w:eastAsia="Arial" w:hAnsi="Arial"/>
          <w:sz w:val="24"/>
          <w:szCs w:val="24"/>
          <w:rtl w:val="0"/>
        </w:rPr>
        <w:t xml:space="preserve">.   This study will provide Grade 9 Science teachers with a deeper understanding of the challenges associated with teaching the mole concept using the Department of Education’s Self-Learning Module. The findings may help teachers reflect on their instructional practices, identify effective coping strategies, and enhance their approaches to facilitating students’ understanding of this complex and abstract chemistry topic.</w:t>
      </w:r>
    </w:p>
    <w:p w:rsidR="00000000" w:rsidDel="00000000" w:rsidP="00000000" w:rsidRDefault="00000000" w:rsidRPr="00000000" w14:paraId="00000065">
      <w:pPr>
        <w:spacing w:after="30" w:line="488" w:lineRule="auto"/>
        <w:ind w:left="674" w:right="54" w:firstLine="710"/>
        <w:jc w:val="both"/>
        <w:rPr>
          <w:rFonts w:ascii="Arial" w:cs="Arial" w:eastAsia="Arial" w:hAnsi="Arial"/>
          <w:color w:val="ee0000"/>
          <w:sz w:val="24"/>
          <w:szCs w:val="24"/>
        </w:rPr>
      </w:pPr>
      <w:r w:rsidDel="00000000" w:rsidR="00000000" w:rsidRPr="00000000">
        <w:rPr>
          <w:rtl w:val="0"/>
        </w:rPr>
      </w:r>
    </w:p>
    <w:p w:rsidR="00000000" w:rsidDel="00000000" w:rsidP="00000000" w:rsidRDefault="00000000" w:rsidRPr="00000000" w14:paraId="00000066">
      <w:pPr>
        <w:spacing w:after="5" w:line="489.00000000000006" w:lineRule="auto"/>
        <w:ind w:left="0" w:right="11"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School Administrators</w:t>
      </w:r>
      <w:r w:rsidDel="00000000" w:rsidR="00000000" w:rsidRPr="00000000">
        <w:rPr>
          <w:rFonts w:ascii="Arial" w:cs="Arial" w:eastAsia="Arial" w:hAnsi="Arial"/>
          <w:i w:val="1"/>
          <w:iCs w:val="1"/>
          <w:color w:val="ee0000"/>
          <w:sz w:val="24"/>
          <w:szCs w:val="24"/>
          <w:rtl w:val="0"/>
        </w:rPr>
        <w:t xml:space="preserve">. </w:t>
      </w:r>
      <w:r w:rsidDel="00000000" w:rsidR="00000000" w:rsidRPr="00000000">
        <w:rPr>
          <w:rFonts w:ascii="Arial" w:cs="Arial" w:eastAsia="Arial" w:hAnsi="Arial"/>
          <w:sz w:val="24"/>
          <w:szCs w:val="24"/>
          <w:rtl w:val="0"/>
        </w:rPr>
        <w:t xml:space="preserve"> This study may provide school administrators with valuable information regarding the instructional challenges faced by science teachers in teaching the mole concept. The findings can serve as a basis for planning professional development programs, strengthening instructional support systems, and improving the availability of learning resources that promote effective chemistry instruction and student understanding.</w:t>
      </w:r>
      <w:r w:rsidDel="00000000" w:rsidR="00000000" w:rsidRPr="00000000">
        <w:rPr>
          <w:rtl w:val="0"/>
        </w:rPr>
      </w:r>
    </w:p>
    <w:p w:rsidR="00000000" w:rsidDel="00000000" w:rsidP="00000000" w:rsidRDefault="00000000" w:rsidRPr="00000000" w14:paraId="00000067">
      <w:pPr>
        <w:spacing w:after="5" w:line="489.00000000000006" w:lineRule="auto"/>
        <w:ind w:left="674" w:right="11" w:firstLine="7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5" w:line="489.00000000000006" w:lineRule="auto"/>
        <w:ind w:left="0" w:right="11"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Future Researchers.</w:t>
      </w:r>
      <w:r w:rsidDel="00000000" w:rsidR="00000000" w:rsidRPr="00000000">
        <w:rPr>
          <w:rFonts w:ascii="Arial" w:cs="Arial" w:eastAsia="Arial" w:hAnsi="Arial"/>
          <w:sz w:val="24"/>
          <w:szCs w:val="24"/>
          <w:rtl w:val="0"/>
        </w:rPr>
        <w:t xml:space="preserve">  This study may serve as a reference for future researchers interested in chemistry education, particularly in exploring factors that influence the teaching and learning of the mole concept. The findings can provide a foundation for further investigations on instructional challenges, teaching strategies, students’ conceptual understanding, and the development of interventions aimed at improving chemistry education.</w:t>
      </w:r>
    </w:p>
    <w:p w:rsidR="00000000" w:rsidDel="00000000" w:rsidP="00000000" w:rsidRDefault="00000000" w:rsidRPr="00000000" w14:paraId="00000069">
      <w:pPr>
        <w:spacing w:after="5" w:line="489.00000000000006" w:lineRule="auto"/>
        <w:ind w:left="0" w:right="1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REVIEW OF LITERATURE AND THEORETICAL FRAMEWORK </w:t>
      </w:r>
      <w:r w:rsidDel="00000000" w:rsidR="00000000" w:rsidRPr="00000000">
        <w:rPr>
          <w:rtl w:val="0"/>
        </w:rPr>
      </w:r>
    </w:p>
    <w:p w:rsidR="00000000" w:rsidDel="00000000" w:rsidP="00000000" w:rsidRDefault="00000000" w:rsidRPr="00000000" w14:paraId="0000006B">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6C">
      <w:pPr>
        <w:spacing w:after="189"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6D">
      <w:pPr>
        <w:pStyle w:val="Heading2"/>
        <w:spacing w:after="5" w:before="0" w:line="250" w:lineRule="auto"/>
        <w:ind w:left="0" w:firstLine="0"/>
        <w:jc w:val="both"/>
        <w:rPr>
          <w:rFonts w:ascii="Arial" w:cs="Arial" w:eastAsia="Arial" w:hAnsi="Arial"/>
          <w:sz w:val="24"/>
          <w:szCs w:val="24"/>
        </w:rPr>
      </w:pPr>
      <w:bookmarkStart w:colFirst="0" w:colLast="0" w:name="_heading=h.7dgn5042429a" w:id="3"/>
      <w:bookmarkEnd w:id="3"/>
      <w:r w:rsidDel="00000000" w:rsidR="00000000" w:rsidRPr="00000000">
        <w:rPr>
          <w:rFonts w:ascii="Arial" w:cs="Arial" w:eastAsia="Arial" w:hAnsi="Arial"/>
          <w:sz w:val="24"/>
          <w:szCs w:val="24"/>
          <w:rtl w:val="0"/>
        </w:rPr>
        <w:t xml:space="preserve">Related Literature and Studies </w:t>
      </w:r>
    </w:p>
    <w:p w:rsidR="00000000" w:rsidDel="00000000" w:rsidP="00000000" w:rsidRDefault="00000000" w:rsidRPr="00000000" w14:paraId="0000006E">
      <w:pPr>
        <w:spacing w:after="5" w:line="250" w:lineRule="auto"/>
        <w:ind w:left="3061" w:hanging="1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F">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70">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This section presents all the relevant and related literature and studies that provide the theoretical and empirical foundation for this research.</w:t>
      </w:r>
    </w:p>
    <w:p w:rsidR="00000000" w:rsidDel="00000000" w:rsidP="00000000" w:rsidRDefault="00000000" w:rsidRPr="00000000" w14:paraId="00000071">
      <w:pPr>
        <w:spacing w:after="5" w:line="487" w:lineRule="auto"/>
        <w:ind w:left="0" w:right="6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5" w:line="487" w:lineRule="auto"/>
        <w:ind w:left="0" w:right="63"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Academic Performance in Mole Concept</w:t>
      </w:r>
    </w:p>
    <w:p w:rsidR="00000000" w:rsidDel="00000000" w:rsidP="00000000" w:rsidRDefault="00000000" w:rsidRPr="00000000" w14:paraId="00000073">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According to the American Chemical Society (2025), hands-on laboratory experiences contribute to the educational advantages, emphasizing the capacity to significantly enrich learning across all tiers of science education. Nevertheless, according to Shehu et al. (2025), the concept of the mole remains particularly elusive and consistently presents challenges for chemistry students, necessitating the manipulation of exceedingly large numbers and intricate stoichiometric ratios. Thus, according to Rees &amp; Bruce (2022), compounding this issue is the inconsistency in terminology and definitions employed in various educational materials, particularly online, which can lead to considerable confusion for novice chemistry students. This review provides an evidence-based framework for the creation and potential impact of a laboratory activity worksheet designed to improve academic performance in the mole concept through a problem-solving learning approach.</w:t>
      </w:r>
    </w:p>
    <w:p w:rsidR="00000000" w:rsidDel="00000000" w:rsidP="00000000" w:rsidRDefault="00000000" w:rsidRPr="00000000" w14:paraId="00000074">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Moreover, Poblete et al. (2025) conducted a needs assessment among Grade 11 STEM students in Northern Mindanao and found consistently low performance in general chemistry, particularly in topics like stoichiometry, balancing equations, and the mole concept. The study also revealed that while students showed moderate motivation, their mastery of core competencies remained insufficient. Similarly, the study of Chi et al. (2023) reported that the average National Achievement Test (NAT) score in science for senior high school students was only 34.05%, far below the Department of Education’s passing benchmark of 75%. These low scores indicate that traditional instructional methods are insufficient in supporting students' comprehension of complex scientific concepts, including the mole concept. In the same way, according to Gabiazon (2024) high school students performed poorly in science due to several compounding factors, including weak foundational knowledge, low reading comprehension, and limited parental involvement. Teachers cited a lack of resources and the need for more engaging instructional methods.</w:t>
      </w:r>
    </w:p>
    <w:p w:rsidR="00000000" w:rsidDel="00000000" w:rsidP="00000000" w:rsidRDefault="00000000" w:rsidRPr="00000000" w14:paraId="00000076">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the study of Boctot, (2025), showed  that poor reading comprehension and limited scientific vocabulary negatively impact students’ performance in science-related problem-solving. Also, the study of  Alburo, (2025) found that many Grade 9 students did not meet expected proficiency in literal, critical, and inferential reading comprehension. Also, Mingoa &amp; Abocejo, (2021) reported a strong relationship between Grade 9 learners’ reading comprehension scores and their science performance, indicating that reading skills significantly influence success in science. Teachers also stated that students lack the basic mathematical skills necessary to perform quantitative problem-solving tasks in Chemistry (Linuhung, 2025). </w:t>
      </w:r>
    </w:p>
    <w:p w:rsidR="00000000" w:rsidDel="00000000" w:rsidP="00000000" w:rsidRDefault="00000000" w:rsidRPr="00000000" w14:paraId="00000078">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Furthermore, in the study of Baste, (2025) it was found out that students struggle with scientific problem‑solving and multi‑step calculations likely stem from weak mathematical foundations. Similarly, this aligns with the study of Vo, et. al. (2024), who emphasized that students’ difficulties in Chemistry often stem from inadequate conceptual understanding and weak mathematical reasoning, even when instructional scaffolds are provided. Also, students' difficulties in independent learning are often linked to literacy gaps, and structured interventions can scaffold their understanding, improve engagement, and facilitate meaningful learning (Flores and Adiong, 2023). </w:t>
      </w:r>
    </w:p>
    <w:p w:rsidR="00000000" w:rsidDel="00000000" w:rsidP="00000000" w:rsidRDefault="00000000" w:rsidRPr="00000000" w14:paraId="0000007A">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 connection, a study of Reyes and Santos (2023) emphasizes that addressing these issues requires a multi-faceted approach involving policy reforms, teacher training, and community engagement.  Additionally, a study conducted by Von Secker (2022) found that science educators have a clear preference for inquiry-oriented teaching approaches, as opposed to the more conventional teacher-centered approaches that heavily rely on scientific knowledge, textbooks, and lectures. These strategies aim to actively involve students in science by providing them with chances to practice laboratory procedures, apply logical reasoning and evidence-based problem-solving, conduct further research for a more comprehensive understanding, and emphasize the importance of writing scientific explanations backed by evidence.</w:t>
      </w:r>
    </w:p>
    <w:p w:rsidR="00000000" w:rsidDel="00000000" w:rsidP="00000000" w:rsidRDefault="00000000" w:rsidRPr="00000000" w14:paraId="0000007C">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 in the contemporary learner-centered educational environment, science instruction increasingly necessitates active participation, contextual learning, and structured problem-solving experiences. However, the transition toward flexible learning marked by the Department of Education’s (DepEd) use of Self-Learning Modules (SLMs) has posed significant challenges in delivering complex scientific concepts such as the mole concept (Lopez &amp; Marquez, 2025). While SLMs provide structured content aligned with the K to 12 curriculum, many teachers find that these modules do not offer the depth, interactivity, and guided practice necessary for students to fully grasp abstract chemical relationships (Dizon &amp; Reyes, 2022).</w:t>
      </w:r>
    </w:p>
    <w:p w:rsidR="00000000" w:rsidDel="00000000" w:rsidP="00000000" w:rsidRDefault="00000000" w:rsidRPr="00000000" w14:paraId="0000007E">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Thus, according to Gholam (2024), it is important that an effective laboratory activity worksheet must transcend traditional, rigid, and rote instructional methods to actively promote independent inquiry and cultivate higher-order thinking skills to enhance students’ academic performance. This suggests a need for a scaffolded approach that gradually increases student autonomy, allowing them to investigate, hypothesize, experiment, and draw conclusions independently.  In this case, the problem- solving learning approach should be an integral component, with activities structured around real-world problems that compel students to formulate hypotheses, gather evidence, and draw meaningful conclusions (Gomes, 2024). Similarly, the participants stated that students benefit from hands-on and interactive experience which increase engagement and reinforce understanding. The participants likely gave these responses based on repeated classroom observations where students struggled with purely text based modules but showed improvement when lessons were contextualized and interactive (Buenviaje, et. al., 2021). </w:t>
      </w:r>
    </w:p>
    <w:p w:rsidR="00000000" w:rsidDel="00000000" w:rsidP="00000000" w:rsidRDefault="00000000" w:rsidRPr="00000000" w14:paraId="00000080">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according to the study of Anderson &amp; Krathwohl (2020), academic performance in the field of science frequently serves as a valuable indicator of students' understanding and proficiency in essential scientific concepts and skills. Moreover, according to Alatli (2023), science education aims to cultivate scientific literacy, encompassing the understanding of scientific concepts, the comprehension of research methodologies, and the acknowledgment of the profound influence of science on society. Also, a crucial component in fulfilling this objective is the provision of hands-on experiences, which play a vital role in bridging theoretical knowledge with practical application, thereby transforming abstract concepts into tangible problem-solving capabilities (Li et al., 2023).</w:t>
      </w:r>
    </w:p>
    <w:p w:rsidR="00000000" w:rsidDel="00000000" w:rsidP="00000000" w:rsidRDefault="00000000" w:rsidRPr="00000000" w14:paraId="00000082">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Furthermore, according to Hattie (2019), a range of factors contributes to academic performance, including teaching methodologies, student engagement, and the effectiveness of hands-on experiences. Also, the study of Nieminen et al. (2021)  indicates that strategically designed laboratory activities that emphasize critical thinking and problem-solving skills can significantly improve students' academic performance. Hence, assessing academic performance can be effectively done using the grade point average (Lamas, 2015).  In addition to regular quizzes, tests, and examinations in the classroom, it is common for school-age children to take official academic tests based on academic performance. These assessments evaluate the effectiveness of the instructor, curriculum, educational institution, and students (Grier-Reed &amp; Chahla, 2015). Also, many authors believe that achieving academic performance is a direct outcome of effective teaching and active student engagement. </w:t>
      </w:r>
    </w:p>
    <w:p w:rsidR="00000000" w:rsidDel="00000000" w:rsidP="00000000" w:rsidRDefault="00000000" w:rsidRPr="00000000" w14:paraId="00000084">
      <w:pPr>
        <w:spacing w:after="5" w:line="487" w:lineRule="auto"/>
        <w:ind w:left="0" w:right="63"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5" w:line="487" w:lineRule="auto"/>
        <w:ind w:left="0" w:right="63"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Apparently, in the study of Garnett et al., (2020) it was found that students often struggle with the mole concept because they lack understanding of its related foundational concepts, such as elements, compounds, chemical bonding and Avogadro's number. This insufficient grasp leads to confusion as the mole concept is abstract and requires linking these underlying ideas in a specific and cohesive way.  Standard self-learning modules (SLMs) are often too broad and insufficiently explanatory, which hinders learners’ ability to grasp abstract scientific concepts (Basri et al., 2021). Similarly, Laguador and Cañizares (2022) found that modules lacking sufficient detail tend to promote surface-level learning, where students rely on memorization rather than comprehension because of limited elaborative guidance. Nardo (2021) emphasized that effective self-learning materials should include introductory and contextual sections that activate prior knowledge and provide conceptual coherence. In line with this, Dangle and Sumaoang (2021) noted that modules lacking context and clear explanations increase cognitive load and create greater dependence on teacher assistance.</w:t>
      </w:r>
    </w:p>
    <w:p w:rsidR="00000000" w:rsidDel="00000000" w:rsidP="00000000" w:rsidRDefault="00000000" w:rsidRPr="00000000" w14:paraId="00000086">
      <w:pPr>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322" w:line="265" w:lineRule="auto"/>
        <w:ind w:left="3350" w:right="980" w:firstLine="25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METHODOLOGY </w:t>
      </w:r>
      <w:r w:rsidDel="00000000" w:rsidR="00000000" w:rsidRPr="00000000">
        <w:rPr>
          <w:rtl w:val="0"/>
        </w:rPr>
      </w:r>
    </w:p>
    <w:p w:rsidR="00000000" w:rsidDel="00000000" w:rsidP="00000000" w:rsidRDefault="00000000" w:rsidRPr="00000000" w14:paraId="00000088">
      <w:pPr>
        <w:spacing w:after="2"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89">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8A">
      <w:pPr>
        <w:spacing w:after="0" w:line="4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chapter discusses the methodologies that will be utilized in the study, such as the research design, sources of data, data gathering instrument, sampling technique, procedure of the study, and the statistical treatment. </w:t>
      </w:r>
    </w:p>
    <w:p w:rsidR="00000000" w:rsidDel="00000000" w:rsidP="00000000" w:rsidRDefault="00000000" w:rsidRPr="00000000" w14:paraId="0000008B">
      <w:pPr>
        <w:spacing w:after="0" w:line="480" w:lineRule="auto"/>
        <w:jc w:val="both"/>
        <w:rPr>
          <w:b w:val="1"/>
          <w:bCs w:val="1"/>
          <w:sz w:val="24"/>
          <w:szCs w:val="24"/>
        </w:rPr>
      </w:pPr>
      <w:r w:rsidDel="00000000" w:rsidR="00000000" w:rsidRPr="00000000">
        <w:rPr>
          <w:rtl w:val="0"/>
        </w:rPr>
      </w:r>
    </w:p>
    <w:p w:rsidR="00000000" w:rsidDel="00000000" w:rsidP="00000000" w:rsidRDefault="00000000" w:rsidRPr="00000000" w14:paraId="0000008C">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Research Design</w:t>
      </w:r>
    </w:p>
    <w:p w:rsidR="00000000" w:rsidDel="00000000" w:rsidP="00000000" w:rsidRDefault="00000000" w:rsidRPr="00000000" w14:paraId="0000008D">
      <w:pPr>
        <w:spacing w:after="0" w:line="48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E">
      <w:pPr>
        <w:spacing w:after="0" w:line="4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This study will utilize a qualitative research design, specifically a qualitative descriptive research design (Scribbr, 2025). It will explore the issues and challenges encountered by Grade 9 Science teachers in teaching the mole concept using the Department of Education’s Self-Learning Module. Through this design, the study will seek to gain a comprehensive understanding of teachers’ experiences, the difficulties they encounter, and the strategies they employ to address these challenges.</w:t>
      </w:r>
    </w:p>
    <w:p w:rsidR="00000000" w:rsidDel="00000000" w:rsidP="00000000" w:rsidRDefault="00000000" w:rsidRPr="00000000" w14:paraId="0000008F">
      <w:pPr>
        <w:spacing w:after="0" w:line="48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Research Instrument</w:t>
      </w:r>
    </w:p>
    <w:p w:rsidR="00000000" w:rsidDel="00000000" w:rsidP="00000000" w:rsidRDefault="00000000" w:rsidRPr="00000000" w14:paraId="00000091">
      <w:pPr>
        <w:spacing w:after="0" w:line="4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research instrument for this study will consist of a researcher-made questionnaire designed to collect data related to the teaching of the mole concept. The instrument will undergo content validation by four (4) experts to ensure its relevance, clarity, and appropriateness for the study.</w:t>
      </w:r>
    </w:p>
    <w:p w:rsidR="00000000" w:rsidDel="00000000" w:rsidP="00000000" w:rsidRDefault="00000000" w:rsidRPr="00000000" w14:paraId="00000092">
      <w:pPr>
        <w:spacing w:after="0" w:line="48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48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Sources of Data</w:t>
      </w:r>
    </w:p>
    <w:p w:rsidR="00000000" w:rsidDel="00000000" w:rsidP="00000000" w:rsidRDefault="00000000" w:rsidRPr="00000000" w14:paraId="00000094">
      <w:pP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study will involve focus group discussions with a total of eight (8) participants, consisting of five (5) Science teachers and three (3) Master Teachers who handle Science subjects. These participants will be selected from a cluster of public secondary schools in Davao City and will have experience teaching the mole concept during the second quarter of the 2025–2026 school year. The focus group discussions will be conducted to gather in-depth insights into the issues and challenges encountered by Grade 9 Science teachers in teaching the mole concept using the Department of Education’s Self-Learning Module, as well as the strategies they employ to address these challenges. The data collected will provide a comprehensive understanding of teachers’ experiences and instructional practices related to facilitating students’ understanding of the mole concept.</w:t>
      </w:r>
    </w:p>
    <w:p w:rsidR="00000000" w:rsidDel="00000000" w:rsidP="00000000" w:rsidRDefault="00000000" w:rsidRPr="00000000" w14:paraId="00000096">
      <w:pP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after="0" w:line="48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Sampling Technique </w:t>
      </w:r>
    </w:p>
    <w:p w:rsidR="00000000" w:rsidDel="00000000" w:rsidP="00000000" w:rsidRDefault="00000000" w:rsidRPr="00000000" w14:paraId="00000098">
      <w:pPr>
        <w:spacing w:after="0" w:line="48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9">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study will employ a universal purposive sampling technique for data collection. This sampling technique involves selecting participants based on specific criteria relevant to the study. It can be used if the study requires participants with specific experiences or characteristics related to the study (Scribbr, 2023).  According to Nikolopoulou (2023), purposive sampling is described as a set of non-probability sampling methods.</w:t>
      </w:r>
    </w:p>
    <w:p w:rsidR="00000000" w:rsidDel="00000000" w:rsidP="00000000" w:rsidRDefault="00000000" w:rsidRPr="00000000" w14:paraId="0000009A">
      <w:pPr>
        <w:spacing w:after="0" w:line="480" w:lineRule="auto"/>
        <w:ind w:lef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B">
      <w:pPr>
        <w:spacing w:after="0" w:line="48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Procedure of the Study</w:t>
      </w:r>
    </w:p>
    <w:p w:rsidR="00000000" w:rsidDel="00000000" w:rsidP="00000000" w:rsidRDefault="00000000" w:rsidRPr="00000000" w14:paraId="0000009C">
      <w:pPr>
        <w:spacing w:after="0" w:line="48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Asking Permission to Conduct the Study. </w:t>
      </w:r>
      <w:r w:rsidDel="00000000" w:rsidR="00000000" w:rsidRPr="00000000">
        <w:rPr>
          <w:rFonts w:ascii="Arial" w:cs="Arial" w:eastAsia="Arial" w:hAnsi="Arial"/>
          <w:sz w:val="24"/>
          <w:szCs w:val="24"/>
          <w:rtl w:val="0"/>
        </w:rPr>
        <w:t xml:space="preserve">The researcher will formally request permission from the appropriate school authorities to conduct the study and to engage the selected Science teachers and Master Teachers as participants. Upon approval, the participants will be informed about the purpose of the study, and their voluntary participation will be sought through informed consent.</w:t>
      </w:r>
    </w:p>
    <w:p w:rsidR="00000000" w:rsidDel="00000000" w:rsidP="00000000" w:rsidRDefault="00000000" w:rsidRPr="00000000" w14:paraId="0000009E">
      <w:pPr>
        <w:spacing w:after="0" w:line="48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Validation of the Research Instrument.</w:t>
      </w:r>
      <w:r w:rsidDel="00000000" w:rsidR="00000000" w:rsidRPr="00000000">
        <w:rPr>
          <w:rFonts w:ascii="Arial" w:cs="Arial" w:eastAsia="Arial" w:hAnsi="Arial"/>
          <w:sz w:val="24"/>
          <w:szCs w:val="24"/>
          <w:rtl w:val="0"/>
        </w:rPr>
        <w:t xml:space="preserve"> The focus group discussion guide will be subjected to content validation by four (4) experts in the field to ensure its relevance, clarity, and alignment with the objectives of the study. The experts will evaluate the instrument using an appropriate validation rubric and provide recommendations for its improvement prior to data collection.</w:t>
      </w:r>
    </w:p>
    <w:p w:rsidR="00000000" w:rsidDel="00000000" w:rsidP="00000000" w:rsidRDefault="00000000" w:rsidRPr="00000000" w14:paraId="000000A0">
      <w:pPr>
        <w:spacing w:after="0" w:line="48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Conduct of the Focus Group Discussion.</w:t>
      </w:r>
      <w:r w:rsidDel="00000000" w:rsidR="00000000" w:rsidRPr="00000000">
        <w:rPr>
          <w:rFonts w:ascii="Arial" w:cs="Arial" w:eastAsia="Arial" w:hAnsi="Arial"/>
          <w:sz w:val="24"/>
          <w:szCs w:val="24"/>
          <w:rtl w:val="0"/>
        </w:rPr>
        <w:t xml:space="preserve"> Upon securing the necessary permissions and validating the research instrument, the researcher will conduct focus group discussions with the selected participants. The discussions will focus on the issues and challenges encountered by Grade 9 Science teachers in teaching the mole concept using the Department of Education’s Self-Learning Module, as well as the strategies they employ to address these challenges.</w:t>
      </w:r>
    </w:p>
    <w:p w:rsidR="00000000" w:rsidDel="00000000" w:rsidP="00000000" w:rsidRDefault="00000000" w:rsidRPr="00000000" w14:paraId="000000A2">
      <w:pPr>
        <w:spacing w:after="0" w:line="48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480" w:lineRule="auto"/>
        <w:ind w:left="0" w:firstLine="72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Analysis and Interpretation of Data.</w:t>
      </w:r>
      <w:r w:rsidDel="00000000" w:rsidR="00000000" w:rsidRPr="00000000">
        <w:rPr>
          <w:rFonts w:ascii="Arial" w:cs="Arial" w:eastAsia="Arial" w:hAnsi="Arial"/>
          <w:sz w:val="24"/>
          <w:szCs w:val="24"/>
          <w:rtl w:val="0"/>
        </w:rPr>
        <w:t xml:space="preserve">The data gathered from the focus group discussions will be transcribed, organized, and analyzed using thematic analysis. The identified themes will then be interpreted in relation to the research questions and relevant literature to provide a comprehensive understanding of the participants' experiences and perspectives.</w:t>
      </w:r>
    </w:p>
    <w:p w:rsidR="00000000" w:rsidDel="00000000" w:rsidP="00000000" w:rsidRDefault="00000000" w:rsidRPr="00000000" w14:paraId="000000A4">
      <w:pPr>
        <w:spacing w:after="0" w:line="48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48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Data Analysis</w:t>
      </w:r>
    </w:p>
    <w:p w:rsidR="00000000" w:rsidDel="00000000" w:rsidP="00000000" w:rsidRDefault="00000000" w:rsidRPr="00000000" w14:paraId="000000A6">
      <w:pP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48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study, thematic analysis guided the process of identifying, analyzing, and presenting themes, subthemes, and codes derived from the data.</w:t>
      </w:r>
    </w:p>
    <w:p w:rsidR="00000000" w:rsidDel="00000000" w:rsidP="00000000" w:rsidRDefault="00000000" w:rsidRPr="00000000" w14:paraId="000000A8">
      <w:pPr>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0A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AC">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A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AE">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0">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1">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3">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5">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6">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7">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B8">
      <w:pPr>
        <w:spacing w:after="0" w:line="240" w:lineRule="auto"/>
        <w:ind w:left="283.46456692913387" w:right="283.46456692913387"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References</w:t>
      </w:r>
    </w:p>
    <w:p w:rsidR="00000000" w:rsidDel="00000000" w:rsidP="00000000" w:rsidRDefault="00000000" w:rsidRPr="00000000" w14:paraId="000000B9">
      <w:pPr>
        <w:spacing w:after="0" w:line="240" w:lineRule="auto"/>
        <w:ind w:left="283.46456692913387" w:right="283.46456692913387"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A">
      <w:pPr>
        <w:spacing w:after="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br w:type="textWrapping"/>
      </w:r>
      <w:r w:rsidDel="00000000" w:rsidR="00000000" w:rsidRPr="00000000">
        <w:rPr>
          <w:rFonts w:ascii="Arial" w:cs="Arial" w:eastAsia="Arial" w:hAnsi="Arial"/>
          <w:sz w:val="24"/>
          <w:szCs w:val="24"/>
          <w:rtl w:val="0"/>
        </w:rPr>
        <w:t xml:space="preserve">Alatli, M. (2023). Scientific literacy in the PISA framework. </w:t>
      </w:r>
      <w:r w:rsidDel="00000000" w:rsidR="00000000" w:rsidRPr="00000000">
        <w:rPr>
          <w:rFonts w:ascii="Arial" w:cs="Arial" w:eastAsia="Arial" w:hAnsi="Arial"/>
          <w:i w:val="1"/>
          <w:iCs w:val="1"/>
          <w:sz w:val="24"/>
          <w:szCs w:val="24"/>
          <w:rtl w:val="0"/>
        </w:rPr>
        <w:t xml:space="preserve">Frontiers in </w:t>
      </w:r>
    </w:p>
    <w:p w:rsidR="00000000" w:rsidDel="00000000" w:rsidP="00000000" w:rsidRDefault="00000000" w:rsidRPr="00000000" w14:paraId="000000BB">
      <w:pPr>
        <w:spacing w:after="0" w:line="240" w:lineRule="auto"/>
        <w:ind w:left="283.46456692913387" w:right="283.46456692913387" w:firstLine="436.5354330708661"/>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Education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C">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Alberto, J. (2020). Challenges in chemistry education: Problem-solving </w:t>
      </w:r>
    </w:p>
    <w:p w:rsidR="00000000" w:rsidDel="00000000" w:rsidP="00000000" w:rsidRDefault="00000000" w:rsidRPr="00000000" w14:paraId="000000BE">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laboratory skills in American high schools. </w:t>
      </w:r>
      <w:r w:rsidDel="00000000" w:rsidR="00000000" w:rsidRPr="00000000">
        <w:rPr>
          <w:rFonts w:ascii="Arial" w:cs="Arial" w:eastAsia="Arial" w:hAnsi="Arial"/>
          <w:i w:val="1"/>
          <w:iCs w:val="1"/>
          <w:sz w:val="24"/>
          <w:szCs w:val="24"/>
          <w:rtl w:val="0"/>
        </w:rPr>
        <w:t xml:space="preserve">Journal of Chemical Education, 97</w:t>
      </w:r>
      <w:r w:rsidDel="00000000" w:rsidR="00000000" w:rsidRPr="00000000">
        <w:rPr>
          <w:rFonts w:ascii="Arial" w:cs="Arial" w:eastAsia="Arial" w:hAnsi="Arial"/>
          <w:sz w:val="24"/>
          <w:szCs w:val="24"/>
          <w:rtl w:val="0"/>
        </w:rPr>
        <w:t xml:space="preserve">(3), 450–458.</w:t>
      </w:r>
      <w:hyperlink r:id="rId7">
        <w:r w:rsidDel="00000000" w:rsidR="00000000" w:rsidRPr="00000000">
          <w:rPr>
            <w:rFonts w:ascii="Arial" w:cs="Arial" w:eastAsia="Arial" w:hAnsi="Arial"/>
            <w:sz w:val="24"/>
            <w:szCs w:val="24"/>
            <w:rtl w:val="0"/>
          </w:rPr>
          <w:t xml:space="preserve"> </w:t>
        </w:r>
      </w:hyperlink>
      <w:hyperlink r:id="rId8">
        <w:r w:rsidDel="00000000" w:rsidR="00000000" w:rsidRPr="00000000">
          <w:rPr>
            <w:rFonts w:ascii="Arial" w:cs="Arial" w:eastAsia="Arial" w:hAnsi="Arial"/>
            <w:sz w:val="24"/>
            <w:szCs w:val="24"/>
            <w:rtl w:val="0"/>
          </w:rPr>
          <w:t xml:space="preserve">https://doi.org/10.1021/acs.jchemed.0c00123</w:t>
        </w:r>
      </w:hyperlink>
      <w:r w:rsidDel="00000000" w:rsidR="00000000" w:rsidRPr="00000000">
        <w:rPr>
          <w:rtl w:val="0"/>
        </w:rPr>
      </w:r>
    </w:p>
    <w:p w:rsidR="00000000" w:rsidDel="00000000" w:rsidP="00000000" w:rsidRDefault="00000000" w:rsidRPr="00000000" w14:paraId="000000BF">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Berame, F. J. V. (2022). Struggles of senior high school students in </w:t>
      </w:r>
    </w:p>
    <w:p w:rsidR="00000000" w:rsidDel="00000000" w:rsidP="00000000" w:rsidRDefault="00000000" w:rsidRPr="00000000" w14:paraId="000000C1">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doing science-related tasks. </w:t>
      </w:r>
      <w:r w:rsidDel="00000000" w:rsidR="00000000" w:rsidRPr="00000000">
        <w:rPr>
          <w:rFonts w:ascii="Arial" w:cs="Arial" w:eastAsia="Arial" w:hAnsi="Arial"/>
          <w:i w:val="1"/>
          <w:iCs w:val="1"/>
          <w:sz w:val="24"/>
          <w:szCs w:val="24"/>
          <w:rtl w:val="0"/>
        </w:rPr>
        <w:t xml:space="preserve">International Journal of Advanced Multidisciplinary Scientific Research, 2</w:t>
      </w:r>
      <w:r w:rsidDel="00000000" w:rsidR="00000000" w:rsidRPr="00000000">
        <w:rPr>
          <w:rFonts w:ascii="Arial" w:cs="Arial" w:eastAsia="Arial" w:hAnsi="Arial"/>
          <w:sz w:val="24"/>
          <w:szCs w:val="24"/>
          <w:rtl w:val="0"/>
        </w:rPr>
        <w:t xml:space="preserve">(5), 68–80.</w:t>
      </w:r>
      <w:hyperlink r:id="rId9">
        <w:r w:rsidDel="00000000" w:rsidR="00000000" w:rsidRPr="00000000">
          <w:rPr>
            <w:rFonts w:ascii="Arial" w:cs="Arial" w:eastAsia="Arial" w:hAnsi="Arial"/>
            <w:sz w:val="24"/>
            <w:szCs w:val="24"/>
            <w:rtl w:val="0"/>
          </w:rPr>
          <w:t xml:space="preserve"> </w:t>
        </w:r>
      </w:hyperlink>
      <w:hyperlink r:id="rId10">
        <w:r w:rsidDel="00000000" w:rsidR="00000000" w:rsidRPr="00000000">
          <w:rPr>
            <w:rFonts w:ascii="Arial" w:cs="Arial" w:eastAsia="Arial" w:hAnsi="Arial"/>
            <w:sz w:val="24"/>
            <w:szCs w:val="24"/>
            <w:rtl w:val="0"/>
          </w:rPr>
          <w:t xml:space="preserve">https://www.ijams-bbp.net/wp-content/uploads/2022/05/IJAMS-MAY-68-80.pdf</w:t>
        </w:r>
      </w:hyperlink>
      <w:r w:rsidDel="00000000" w:rsidR="00000000" w:rsidRPr="00000000">
        <w:rPr>
          <w:rtl w:val="0"/>
        </w:rPr>
      </w:r>
    </w:p>
    <w:p w:rsidR="00000000" w:rsidDel="00000000" w:rsidP="00000000" w:rsidRDefault="00000000" w:rsidRPr="00000000" w14:paraId="000000C2">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Caballes, P., Pedrita, M., Villaren, J., &amp; Diquito, M. (2024). Assessment </w:t>
      </w:r>
    </w:p>
    <w:p w:rsidR="00000000" w:rsidDel="00000000" w:rsidP="00000000" w:rsidRDefault="00000000" w:rsidRPr="00000000" w14:paraId="000000C4">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of science laboratory facilities in secondary schools of Davao del Sur. </w:t>
      </w:r>
      <w:r w:rsidDel="00000000" w:rsidR="00000000" w:rsidRPr="00000000">
        <w:rPr>
          <w:rFonts w:ascii="Arial" w:cs="Arial" w:eastAsia="Arial" w:hAnsi="Arial"/>
          <w:i w:val="1"/>
          <w:iCs w:val="1"/>
          <w:sz w:val="24"/>
          <w:szCs w:val="24"/>
          <w:rtl w:val="0"/>
        </w:rPr>
        <w:t xml:space="preserve">Davao Research Journal, 2</w:t>
      </w:r>
      <w:r w:rsidDel="00000000" w:rsidR="00000000" w:rsidRPr="00000000">
        <w:rPr>
          <w:rFonts w:ascii="Arial" w:cs="Arial" w:eastAsia="Arial" w:hAnsi="Arial"/>
          <w:sz w:val="24"/>
          <w:szCs w:val="24"/>
          <w:rtl w:val="0"/>
        </w:rPr>
        <w:t xml:space="preserve">(1), 15–27.</w:t>
      </w:r>
      <w:hyperlink r:id="rId11">
        <w:r w:rsidDel="00000000" w:rsidR="00000000" w:rsidRPr="00000000">
          <w:rPr>
            <w:rFonts w:ascii="Arial" w:cs="Arial" w:eastAsia="Arial" w:hAnsi="Arial"/>
            <w:sz w:val="24"/>
            <w:szCs w:val="24"/>
            <w:rtl w:val="0"/>
          </w:rPr>
          <w:t xml:space="preserve"> </w:t>
        </w:r>
      </w:hyperlink>
      <w:hyperlink r:id="rId12">
        <w:r w:rsidDel="00000000" w:rsidR="00000000" w:rsidRPr="00000000">
          <w:rPr>
            <w:rFonts w:ascii="Arial" w:cs="Arial" w:eastAsia="Arial" w:hAnsi="Arial"/>
            <w:sz w:val="24"/>
            <w:szCs w:val="24"/>
            <w:rtl w:val="0"/>
          </w:rPr>
          <w:t xml:space="preserve">https://davaoresearchjournal.ph/index.php/main/article/download/280/167/711</w:t>
        </w:r>
      </w:hyperlink>
      <w:r w:rsidDel="00000000" w:rsidR="00000000" w:rsidRPr="00000000">
        <w:rPr>
          <w:rtl w:val="0"/>
        </w:rPr>
      </w:r>
    </w:p>
    <w:p w:rsidR="00000000" w:rsidDel="00000000" w:rsidP="00000000" w:rsidRDefault="00000000" w:rsidRPr="00000000" w14:paraId="000000C5">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 et al. (2023). Assessing general chemistry learning gaps: A needs </w:t>
      </w:r>
    </w:p>
    <w:p w:rsidR="00000000" w:rsidDel="00000000" w:rsidP="00000000" w:rsidRDefault="00000000" w:rsidRPr="00000000" w14:paraId="000000C7">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competency mastery among Grade 11 learners. </w:t>
      </w:r>
      <w:r w:rsidDel="00000000" w:rsidR="00000000" w:rsidRPr="00000000">
        <w:rPr>
          <w:rFonts w:ascii="Arial" w:cs="Arial" w:eastAsia="Arial" w:hAnsi="Arial"/>
          <w:i w:val="1"/>
          <w:iCs w:val="1"/>
          <w:sz w:val="24"/>
          <w:szCs w:val="24"/>
          <w:rtl w:val="0"/>
        </w:rPr>
        <w:t xml:space="preserve">International Journal of Research and Innovation in Social Science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8">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Creswell, J. W., &amp; Creswell, J. D. (2018). </w:t>
      </w:r>
      <w:r w:rsidDel="00000000" w:rsidR="00000000" w:rsidRPr="00000000">
        <w:rPr>
          <w:rFonts w:ascii="Arial" w:cs="Arial" w:eastAsia="Arial" w:hAnsi="Arial"/>
          <w:i w:val="1"/>
          <w:iCs w:val="1"/>
          <w:sz w:val="24"/>
          <w:szCs w:val="24"/>
          <w:rtl w:val="0"/>
        </w:rPr>
        <w:t xml:space="preserve">Research design: Qualitative, </w:t>
      </w:r>
    </w:p>
    <w:p w:rsidR="00000000" w:rsidDel="00000000" w:rsidP="00000000" w:rsidRDefault="00000000" w:rsidRPr="00000000" w14:paraId="000000CA">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quantitative, and mixed methods approaches</w:t>
      </w:r>
      <w:r w:rsidDel="00000000" w:rsidR="00000000" w:rsidRPr="00000000">
        <w:rPr>
          <w:rFonts w:ascii="Arial" w:cs="Arial" w:eastAsia="Arial" w:hAnsi="Arial"/>
          <w:sz w:val="24"/>
          <w:szCs w:val="24"/>
          <w:rtl w:val="0"/>
        </w:rPr>
        <w:t xml:space="preserve"> (5th ed.). Sage Publications.</w:t>
      </w:r>
    </w:p>
    <w:p w:rsidR="00000000" w:rsidDel="00000000" w:rsidP="00000000" w:rsidRDefault="00000000" w:rsidRPr="00000000" w14:paraId="000000CB">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David, C. C. (2021). The challenge of quality education in the </w:t>
      </w:r>
    </w:p>
    <w:p w:rsidR="00000000" w:rsidDel="00000000" w:rsidP="00000000" w:rsidRDefault="00000000" w:rsidRPr="00000000" w14:paraId="000000CD">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Philippines. </w:t>
      </w:r>
      <w:r w:rsidDel="00000000" w:rsidR="00000000" w:rsidRPr="00000000">
        <w:rPr>
          <w:rFonts w:ascii="Arial" w:cs="Arial" w:eastAsia="Arial" w:hAnsi="Arial"/>
          <w:i w:val="1"/>
          <w:iCs w:val="1"/>
          <w:sz w:val="24"/>
          <w:szCs w:val="24"/>
          <w:rtl w:val="0"/>
        </w:rPr>
        <w:t xml:space="preserve">Philippine Daily Inquirer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E">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Department of Education. (2020). </w:t>
      </w:r>
      <w:r w:rsidDel="00000000" w:rsidR="00000000" w:rsidRPr="00000000">
        <w:rPr>
          <w:rFonts w:ascii="Arial" w:cs="Arial" w:eastAsia="Arial" w:hAnsi="Arial"/>
          <w:i w:val="1"/>
          <w:iCs w:val="1"/>
          <w:sz w:val="24"/>
          <w:szCs w:val="24"/>
          <w:rtl w:val="0"/>
        </w:rPr>
        <w:t xml:space="preserve">Basic education learning continuity </w:t>
      </w:r>
    </w:p>
    <w:p w:rsidR="00000000" w:rsidDel="00000000" w:rsidP="00000000" w:rsidRDefault="00000000" w:rsidRPr="00000000" w14:paraId="000000CF">
      <w:pPr>
        <w:spacing w:after="240" w:before="240" w:line="240" w:lineRule="auto"/>
        <w:ind w:left="283.46456692913387" w:right="283.46456692913387" w:firstLine="436.5354330708661"/>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plan</w:t>
      </w:r>
      <w:r w:rsidDel="00000000" w:rsidR="00000000" w:rsidRPr="00000000">
        <w:rPr>
          <w:rFonts w:ascii="Arial" w:cs="Arial" w:eastAsia="Arial" w:hAnsi="Arial"/>
          <w:sz w:val="24"/>
          <w:szCs w:val="24"/>
          <w:rtl w:val="0"/>
        </w:rPr>
        <w:t xml:space="preserve">. Department of Education.</w:t>
      </w:r>
    </w:p>
    <w:p w:rsidR="00000000" w:rsidDel="00000000" w:rsidP="00000000" w:rsidRDefault="00000000" w:rsidRPr="00000000" w14:paraId="000000D0">
      <w:pPr>
        <w:spacing w:after="240" w:before="240" w:line="240" w:lineRule="auto"/>
        <w:ind w:left="283.46456692913387" w:right="283.46456692913387" w:firstLine="436.535433070866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Department of Education. (2022). </w:t>
      </w:r>
      <w:r w:rsidDel="00000000" w:rsidR="00000000" w:rsidRPr="00000000">
        <w:rPr>
          <w:rFonts w:ascii="Arial" w:cs="Arial" w:eastAsia="Arial" w:hAnsi="Arial"/>
          <w:i w:val="1"/>
          <w:iCs w:val="1"/>
          <w:sz w:val="24"/>
          <w:szCs w:val="24"/>
          <w:rtl w:val="0"/>
        </w:rPr>
        <w:t xml:space="preserve">DepEd education recovery plan </w:t>
      </w:r>
    </w:p>
    <w:p w:rsidR="00000000" w:rsidDel="00000000" w:rsidP="00000000" w:rsidRDefault="00000000" w:rsidRPr="00000000" w14:paraId="000000D2">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2022–2026</w:t>
      </w:r>
      <w:r w:rsidDel="00000000" w:rsidR="00000000" w:rsidRPr="00000000">
        <w:rPr>
          <w:rFonts w:ascii="Arial" w:cs="Arial" w:eastAsia="Arial" w:hAnsi="Arial"/>
          <w:sz w:val="24"/>
          <w:szCs w:val="24"/>
          <w:rtl w:val="0"/>
        </w:rPr>
        <w:t xml:space="preserve">.</w:t>
      </w:r>
      <w:hyperlink r:id="rId13">
        <w:r w:rsidDel="00000000" w:rsidR="00000000" w:rsidRPr="00000000">
          <w:rPr>
            <w:rFonts w:ascii="Arial" w:cs="Arial" w:eastAsia="Arial" w:hAnsi="Arial"/>
            <w:sz w:val="24"/>
            <w:szCs w:val="24"/>
            <w:rtl w:val="0"/>
          </w:rPr>
          <w:t xml:space="preserve"> </w:t>
        </w:r>
      </w:hyperlink>
      <w:hyperlink r:id="rId14">
        <w:r w:rsidDel="00000000" w:rsidR="00000000" w:rsidRPr="00000000">
          <w:rPr>
            <w:rFonts w:ascii="Arial" w:cs="Arial" w:eastAsia="Arial" w:hAnsi="Arial"/>
            <w:sz w:val="24"/>
            <w:szCs w:val="24"/>
            <w:rtl w:val="0"/>
          </w:rPr>
          <w:t xml:space="preserve">https://www.deped.gov.ph/wp-content/uploads/2022/05/DO_s2022_024.pdf</w:t>
        </w:r>
      </w:hyperlink>
      <w:r w:rsidDel="00000000" w:rsidR="00000000" w:rsidRPr="00000000">
        <w:rPr>
          <w:rtl w:val="0"/>
        </w:rPr>
      </w:r>
    </w:p>
    <w:p w:rsidR="00000000" w:rsidDel="00000000" w:rsidP="00000000" w:rsidRDefault="00000000" w:rsidRPr="00000000" w14:paraId="000000D3">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Mammino, L. (2020). </w:t>
      </w:r>
      <w:r w:rsidDel="00000000" w:rsidR="00000000" w:rsidRPr="00000000">
        <w:rPr>
          <w:rFonts w:ascii="Arial" w:cs="Arial" w:eastAsia="Arial" w:hAnsi="Arial"/>
          <w:i w:val="1"/>
          <w:iCs w:val="1"/>
          <w:sz w:val="24"/>
          <w:szCs w:val="24"/>
          <w:rtl w:val="0"/>
        </w:rPr>
        <w:t xml:space="preserve">The first-year general chemistry course: Great </w:t>
      </w:r>
    </w:p>
    <w:p w:rsidR="00000000" w:rsidDel="00000000" w:rsidP="00000000" w:rsidRDefault="00000000" w:rsidRPr="00000000" w14:paraId="000000D5">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challenges and great potentialities</w:t>
      </w:r>
      <w:r w:rsidDel="00000000" w:rsidR="00000000" w:rsidRPr="00000000">
        <w:rPr>
          <w:rFonts w:ascii="Arial" w:cs="Arial" w:eastAsia="Arial" w:hAnsi="Arial"/>
          <w:sz w:val="24"/>
          <w:szCs w:val="24"/>
          <w:rtl w:val="0"/>
        </w:rPr>
        <w:t xml:space="preserve">. University of Venda.</w:t>
      </w:r>
      <w:hyperlink r:id="rId15">
        <w:r w:rsidDel="00000000" w:rsidR="00000000" w:rsidRPr="00000000">
          <w:rPr>
            <w:rFonts w:ascii="Arial" w:cs="Arial" w:eastAsia="Arial" w:hAnsi="Arial"/>
            <w:sz w:val="24"/>
            <w:szCs w:val="24"/>
            <w:rtl w:val="0"/>
          </w:rPr>
          <w:t xml:space="preserve"> </w:t>
        </w:r>
      </w:hyperlink>
      <w:hyperlink r:id="rId16">
        <w:r w:rsidDel="00000000" w:rsidR="00000000" w:rsidRPr="00000000">
          <w:rPr>
            <w:rFonts w:ascii="Arial" w:cs="Arial" w:eastAsia="Arial" w:hAnsi="Arial"/>
            <w:sz w:val="24"/>
            <w:szCs w:val="24"/>
            <w:rtl w:val="0"/>
          </w:rPr>
          <w:t xml:space="preserve">https://uir.unisa.ac.za/server/api/core/bitstreams/d3dc5374-b599-4da7-a988-73d3eb5cb002/content</w:t>
        </w:r>
      </w:hyperlink>
      <w:r w:rsidDel="00000000" w:rsidR="00000000" w:rsidRPr="00000000">
        <w:rPr>
          <w:rtl w:val="0"/>
        </w:rPr>
      </w:r>
    </w:p>
    <w:p w:rsidR="00000000" w:rsidDel="00000000" w:rsidP="00000000" w:rsidRDefault="00000000" w:rsidRPr="00000000" w14:paraId="000000D6">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Orale, R. L. (2022). </w:t>
      </w:r>
      <w:r w:rsidDel="00000000" w:rsidR="00000000" w:rsidRPr="00000000">
        <w:rPr>
          <w:rFonts w:ascii="Arial" w:cs="Arial" w:eastAsia="Arial" w:hAnsi="Arial"/>
          <w:i w:val="1"/>
          <w:iCs w:val="1"/>
          <w:sz w:val="24"/>
          <w:szCs w:val="24"/>
          <w:rtl w:val="0"/>
        </w:rPr>
        <w:t xml:space="preserve">The state of science education in the Philippines: A </w:t>
      </w:r>
    </w:p>
    <w:p w:rsidR="00000000" w:rsidDel="00000000" w:rsidP="00000000" w:rsidRDefault="00000000" w:rsidRPr="00000000" w14:paraId="000000D8">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critical analysis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9">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240" w:before="240" w:line="240" w:lineRule="auto"/>
        <w:ind w:left="283.46456692913387" w:right="283.46456692913387"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Philippine Statistics Authority. (2021). </w:t>
      </w:r>
      <w:r w:rsidDel="00000000" w:rsidR="00000000" w:rsidRPr="00000000">
        <w:rPr>
          <w:rFonts w:ascii="Arial" w:cs="Arial" w:eastAsia="Arial" w:hAnsi="Arial"/>
          <w:i w:val="1"/>
          <w:iCs w:val="1"/>
          <w:sz w:val="24"/>
          <w:szCs w:val="24"/>
          <w:rtl w:val="0"/>
        </w:rPr>
        <w:t xml:space="preserve">Functional literacy, education and </w:t>
      </w:r>
    </w:p>
    <w:p w:rsidR="00000000" w:rsidDel="00000000" w:rsidP="00000000" w:rsidRDefault="00000000" w:rsidRPr="00000000" w14:paraId="000000DB">
      <w:pPr>
        <w:spacing w:after="240" w:before="240" w:line="240" w:lineRule="auto"/>
        <w:ind w:left="283.46456692913387" w:right="283.46456692913387" w:firstLine="436.5354330708661"/>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mass media survey (FLEMMS)</w:t>
      </w:r>
      <w:r w:rsidDel="00000000" w:rsidR="00000000" w:rsidRPr="00000000">
        <w:rPr>
          <w:rFonts w:ascii="Arial" w:cs="Arial" w:eastAsia="Arial" w:hAnsi="Arial"/>
          <w:sz w:val="24"/>
          <w:szCs w:val="24"/>
          <w:rtl w:val="0"/>
        </w:rPr>
        <w:t xml:space="preserve">. Philippine Statistics Authority.</w:t>
      </w:r>
    </w:p>
    <w:p w:rsidR="00000000" w:rsidDel="00000000" w:rsidP="00000000" w:rsidRDefault="00000000" w:rsidRPr="00000000" w14:paraId="000000DC">
      <w:pPr>
        <w:spacing w:after="240" w:before="240" w:line="240" w:lineRule="auto"/>
        <w:ind w:left="283.46456692913387" w:right="283.46456692913387" w:firstLine="436.535433070866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Poblete, T. C., Nabua, E. B., Abdurahman, M. M., Navalta Jr., E. R., &amp; </w:t>
      </w:r>
    </w:p>
    <w:p w:rsidR="00000000" w:rsidDel="00000000" w:rsidP="00000000" w:rsidRDefault="00000000" w:rsidRPr="00000000" w14:paraId="000000DE">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Micutuan, R. P. G. (2025). Grade 11 STEM learners’ learning competencies and their motivation in general chemistry. </w:t>
      </w:r>
      <w:r w:rsidDel="00000000" w:rsidR="00000000" w:rsidRPr="00000000">
        <w:rPr>
          <w:rFonts w:ascii="Arial" w:cs="Arial" w:eastAsia="Arial" w:hAnsi="Arial"/>
          <w:i w:val="1"/>
          <w:iCs w:val="1"/>
          <w:sz w:val="24"/>
          <w:szCs w:val="24"/>
          <w:rtl w:val="0"/>
        </w:rPr>
        <w:t xml:space="preserve">International Journal of Research and Innovation in Social Science, 2</w:t>
      </w:r>
      <w:r w:rsidDel="00000000" w:rsidR="00000000" w:rsidRPr="00000000">
        <w:rPr>
          <w:rFonts w:ascii="Arial" w:cs="Arial" w:eastAsia="Arial" w:hAnsi="Arial"/>
          <w:sz w:val="24"/>
          <w:szCs w:val="24"/>
          <w:rtl w:val="0"/>
        </w:rPr>
        <w:t xml:space="preserve">(6), 3763–3774.</w:t>
      </w:r>
      <w:hyperlink r:id="rId17">
        <w:r w:rsidDel="00000000" w:rsidR="00000000" w:rsidRPr="00000000">
          <w:rPr>
            <w:rFonts w:ascii="Arial" w:cs="Arial" w:eastAsia="Arial" w:hAnsi="Arial"/>
            <w:sz w:val="24"/>
            <w:szCs w:val="24"/>
            <w:rtl w:val="0"/>
          </w:rPr>
          <w:t xml:space="preserve"> </w:t>
        </w:r>
      </w:hyperlink>
      <w:hyperlink r:id="rId18">
        <w:r w:rsidDel="00000000" w:rsidR="00000000" w:rsidRPr="00000000">
          <w:rPr>
            <w:rFonts w:ascii="Arial" w:cs="Arial" w:eastAsia="Arial" w:hAnsi="Arial"/>
            <w:sz w:val="24"/>
            <w:szCs w:val="24"/>
            <w:rtl w:val="0"/>
          </w:rPr>
          <w:t xml:space="preserve">https://doi.org/10.47772/IJRISS.2025.9010294</w:t>
        </w:r>
      </w:hyperlink>
      <w:r w:rsidDel="00000000" w:rsidR="00000000" w:rsidRPr="00000000">
        <w:rPr>
          <w:rtl w:val="0"/>
        </w:rPr>
      </w:r>
    </w:p>
    <w:p w:rsidR="00000000" w:rsidDel="00000000" w:rsidP="00000000" w:rsidRDefault="00000000" w:rsidRPr="00000000" w14:paraId="000000DF">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240" w:before="240" w:line="240" w:lineRule="auto"/>
        <w:ind w:left="283.46456692913387"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UNESCO. (2021). </w:t>
      </w:r>
      <w:r w:rsidDel="00000000" w:rsidR="00000000" w:rsidRPr="00000000">
        <w:rPr>
          <w:rFonts w:ascii="Arial" w:cs="Arial" w:eastAsia="Arial" w:hAnsi="Arial"/>
          <w:i w:val="1"/>
          <w:iCs w:val="1"/>
          <w:sz w:val="24"/>
          <w:szCs w:val="24"/>
          <w:rtl w:val="0"/>
        </w:rPr>
        <w:t xml:space="preserve">Education for sustainable development roadmap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1">
      <w:pPr>
        <w:spacing w:after="240" w:before="240" w:line="240" w:lineRule="auto"/>
        <w:ind w:left="1003.464566929134" w:right="283.4645669291338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UNESCO.</w:t>
      </w:r>
    </w:p>
    <w:p w:rsidR="00000000" w:rsidDel="00000000" w:rsidP="00000000" w:rsidRDefault="00000000" w:rsidRPr="00000000" w14:paraId="000000E2">
      <w:pPr>
        <w:spacing w:after="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after="0" w:line="240" w:lineRule="auto"/>
        <w:ind w:left="283.46456692913387" w:righ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8">
      <w:pPr>
        <w:spacing w:after="5" w:line="360" w:lineRule="auto"/>
        <w:ind w:right="322"/>
        <w:jc w:val="both"/>
        <w:rPr>
          <w:sz w:val="24"/>
          <w:szCs w:val="24"/>
        </w:rPr>
      </w:pPr>
      <w:r w:rsidDel="00000000" w:rsidR="00000000" w:rsidRPr="00000000">
        <w:rPr>
          <w:rtl w:val="0"/>
        </w:rPr>
      </w:r>
    </w:p>
    <w:p w:rsidR="00000000" w:rsidDel="00000000" w:rsidP="00000000" w:rsidRDefault="00000000" w:rsidRPr="00000000" w14:paraId="000000E9">
      <w:pPr>
        <w:spacing w:after="0" w:line="480" w:lineRule="auto"/>
        <w:jc w:val="both"/>
        <w:rPr>
          <w:b w:val="1"/>
          <w:bCs w:val="1"/>
          <w:sz w:val="24"/>
          <w:szCs w:val="24"/>
        </w:rPr>
      </w:pPr>
      <w:r w:rsidDel="00000000" w:rsidR="00000000" w:rsidRPr="00000000">
        <w:rPr>
          <w:rtl w:val="0"/>
        </w:rPr>
      </w:r>
    </w:p>
    <w:p w:rsidR="00000000" w:rsidDel="00000000" w:rsidP="00000000" w:rsidRDefault="00000000" w:rsidRPr="00000000" w14:paraId="000000EA">
      <w:pPr>
        <w:spacing w:after="0" w:line="480" w:lineRule="auto"/>
        <w:jc w:val="both"/>
        <w:rPr>
          <w:b w:val="1"/>
          <w:bCs w:val="1"/>
          <w:sz w:val="24"/>
          <w:szCs w:val="24"/>
        </w:rPr>
      </w:pPr>
      <w:r w:rsidDel="00000000" w:rsidR="00000000" w:rsidRPr="00000000">
        <w:rPr>
          <w:b w:val="1"/>
          <w:bCs w:val="1"/>
          <w:sz w:val="24"/>
          <w:szCs w:val="24"/>
          <w:rtl w:val="0"/>
        </w:rPr>
        <w:t xml:space="preserve">Bionote:</w:t>
      </w:r>
    </w:p>
    <w:p w:rsidR="00000000" w:rsidDel="00000000" w:rsidP="00000000" w:rsidRDefault="00000000" w:rsidRPr="00000000" w14:paraId="000000EB">
      <w:pPr>
        <w:jc w:val="both"/>
        <w:rPr>
          <w:sz w:val="24"/>
          <w:szCs w:val="24"/>
        </w:rPr>
      </w:pPr>
      <w:r w:rsidDel="00000000" w:rsidR="00000000" w:rsidRPr="00000000">
        <w:rPr>
          <w:sz w:val="24"/>
          <w:szCs w:val="24"/>
          <w:rtl w:val="0"/>
        </w:rPr>
        <w:t xml:space="preserve">Rozell B. Baladiang is a public senior high school teacher and a Master of Arts in Science Education candidate. She has five years of teaching experience in private schools and is currently in her first year in public education. Her research interests include science pedagogy, laboratory instruction, and student learning difficulties.</w:t>
      </w:r>
    </w:p>
    <w:p w:rsidR="00000000" w:rsidDel="00000000" w:rsidP="00000000" w:rsidRDefault="00000000" w:rsidRPr="00000000" w14:paraId="000000EC">
      <w:pPr>
        <w:jc w:val="both"/>
        <w:rPr>
          <w:sz w:val="24"/>
          <w:szCs w:val="24"/>
        </w:rPr>
      </w:pPr>
      <w:r w:rsidDel="00000000" w:rsidR="00000000" w:rsidRPr="00000000">
        <w:rPr>
          <w:rtl w:val="0"/>
        </w:rPr>
      </w:r>
    </w:p>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Fedelis C. Bonocan, PhD, is a professor at the University of Southeastern Philippines and serves as University Registrar Directress. She holds a Doctor of Philosophy degree and has extensive experience in higher education. Her research interests include educational management, teacher education, and curriculum development.</w:t>
      </w:r>
    </w:p>
    <w:p w:rsidR="00000000" w:rsidDel="00000000" w:rsidP="00000000" w:rsidRDefault="00000000" w:rsidRPr="00000000" w14:paraId="000000EE">
      <w:pPr>
        <w:jc w:val="both"/>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sectPr>
      <w:headerReference r:id="rId19" w:type="first"/>
      <w:headerReference r:id="rId20" w:type="even"/>
      <w:footerReference r:id="rId21" w:type="default"/>
      <w:footerReference r:id="rId22" w:type="first"/>
      <w:footerReference r:id="rId23" w:type="even"/>
      <w:pgSz w:h="16838" w:w="11906" w:orient="portrait"/>
      <w:pgMar w:bottom="1440" w:top="1440" w:left="2160" w:right="1440" w:header="68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davaoresearchjournal.ph/index.php/main/article/download/280/167/711" TargetMode="External"/><Relationship Id="rId22" Type="http://schemas.openxmlformats.org/officeDocument/2006/relationships/footer" Target="footer2.xml"/><Relationship Id="rId10" Type="http://schemas.openxmlformats.org/officeDocument/2006/relationships/hyperlink" Target="https://www.ijams-bbp.net/wp-content/uploads/2022/05/IJAMS-MAY-68-80.pdf" TargetMode="External"/><Relationship Id="rId21" Type="http://schemas.openxmlformats.org/officeDocument/2006/relationships/footer" Target="footer1.xml"/><Relationship Id="rId13" Type="http://schemas.openxmlformats.org/officeDocument/2006/relationships/hyperlink" Target="https://www.deped.gov.ph/wp-content/uploads/2022/05/DO_s2022_024.pdf" TargetMode="External"/><Relationship Id="rId12" Type="http://schemas.openxmlformats.org/officeDocument/2006/relationships/hyperlink" Target="https://davaoresearchjournal.ph/index.php/main/article/download/280/167/711"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jams-bbp.net/wp-content/uploads/2022/05/IJAMS-MAY-68-80.pdf" TargetMode="External"/><Relationship Id="rId15" Type="http://schemas.openxmlformats.org/officeDocument/2006/relationships/hyperlink" Target="https://uir.unisa.ac.za/server/api/core/bitstreams/d3dc5374-b599-4da7-a988-73d3eb5cb002/content" TargetMode="External"/><Relationship Id="rId14" Type="http://schemas.openxmlformats.org/officeDocument/2006/relationships/hyperlink" Target="https://www.deped.gov.ph/wp-content/uploads/2022/05/DO_s2022_024.pdf" TargetMode="External"/><Relationship Id="rId17" Type="http://schemas.openxmlformats.org/officeDocument/2006/relationships/hyperlink" Target="https://doi.org/10.47772/IJRISS.2025.9010294" TargetMode="External"/><Relationship Id="rId16" Type="http://schemas.openxmlformats.org/officeDocument/2006/relationships/hyperlink" Target="https://uir.unisa.ac.za/server/api/core/bitstreams/d3dc5374-b599-4da7-a988-73d3eb5cb002/conten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doi.org/10.47772/IJRISS.2025.9010294" TargetMode="External"/><Relationship Id="rId7" Type="http://schemas.openxmlformats.org/officeDocument/2006/relationships/hyperlink" Target="https://doi.org/10.1021/acs.jchemed.0c00123" TargetMode="External"/><Relationship Id="rId8" Type="http://schemas.openxmlformats.org/officeDocument/2006/relationships/hyperlink" Target="https://doi.org/10.1021/acs.jchemed.0c001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zSMmOBhgNK5O/303ephL3WSlA==">CgMxLjAyDmguamVqdXU5YmhrdG1oMg5oLjlyamQ2NWJ5MjFhYTIOaC41ZHZveXlwODA3YXQyDmguN2RnbjUwNDI0MjlhOAByITFQUXkyRWk5SGhELUQ5RVZuNTEwYUdKdDdJWnNPcXlxbw==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