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D5202" w14:textId="77777777" w:rsidR="00297C87" w:rsidRDefault="00297C87" w:rsidP="00DD1213">
      <w:pPr>
        <w:spacing w:before="240" w:after="240" w:line="240" w:lineRule="auto"/>
        <w:jc w:val="center"/>
        <w:rPr>
          <w:rFonts w:ascii="Times New Roman" w:hAnsi="Times New Roman" w:cs="Times New Roman"/>
          <w:b/>
          <w:bCs/>
          <w:sz w:val="36"/>
          <w:szCs w:val="36"/>
        </w:rPr>
      </w:pPr>
      <w:r w:rsidRPr="00297C87">
        <w:rPr>
          <w:rFonts w:ascii="Times New Roman" w:hAnsi="Times New Roman" w:cs="Times New Roman"/>
          <w:b/>
          <w:bCs/>
          <w:sz w:val="36"/>
          <w:szCs w:val="36"/>
        </w:rPr>
        <w:t>Bridging Certification and Agile Development in Safety Critical Airborne Software: An Incremental DO178C Assurance Framework</w:t>
      </w:r>
    </w:p>
    <w:p w14:paraId="648A3902" w14:textId="7C175DFB" w:rsidR="00602C7A" w:rsidRPr="00DD1213" w:rsidRDefault="0039555D" w:rsidP="00DD1213">
      <w:pPr>
        <w:spacing w:before="240" w:after="240" w:line="240" w:lineRule="auto"/>
        <w:jc w:val="center"/>
        <w:rPr>
          <w:rFonts w:ascii="Times New Roman" w:hAnsi="Times New Roman" w:cs="Times New Roman"/>
        </w:rPr>
      </w:pPr>
      <w:r w:rsidRPr="00DD1213">
        <w:rPr>
          <w:rFonts w:ascii="Times New Roman" w:hAnsi="Times New Roman" w:cs="Times New Roman"/>
          <w:b/>
          <w:bCs/>
        </w:rPr>
        <w:t xml:space="preserve">Prasannakumar Arumugam </w:t>
      </w:r>
      <w:r w:rsidRPr="00DD1213">
        <w:rPr>
          <w:rFonts w:ascii="Times New Roman" w:hAnsi="Times New Roman" w:cs="Times New Roman"/>
          <w:b/>
          <w:bCs/>
        </w:rPr>
        <w:br/>
        <w:t xml:space="preserve">Collins Aerospace </w:t>
      </w:r>
      <w:r w:rsidRPr="00DD1213">
        <w:rPr>
          <w:rFonts w:ascii="Times New Roman" w:hAnsi="Times New Roman" w:cs="Times New Roman"/>
          <w:b/>
          <w:bCs/>
        </w:rPr>
        <w:br/>
        <w:t xml:space="preserve">Rockford, IL, USA </w:t>
      </w:r>
      <w:r w:rsidRPr="00DD1213">
        <w:rPr>
          <w:rFonts w:ascii="Times New Roman" w:hAnsi="Times New Roman" w:cs="Times New Roman"/>
          <w:b/>
          <w:bCs/>
        </w:rPr>
        <w:br/>
        <w:t xml:space="preserve">Email: </w:t>
      </w:r>
      <w:r w:rsidR="00CC17AC" w:rsidRPr="00DD1213">
        <w:rPr>
          <w:rFonts w:ascii="Times New Roman" w:hAnsi="Times New Roman" w:cs="Times New Roman"/>
          <w:b/>
          <w:bCs/>
        </w:rPr>
        <w:t>(</w:t>
      </w:r>
      <w:r w:rsidRPr="00DD1213">
        <w:rPr>
          <w:rFonts w:ascii="Times New Roman" w:hAnsi="Times New Roman" w:cs="Times New Roman"/>
          <w:b/>
          <w:bCs/>
        </w:rPr>
        <w:t>prasannakumar.arumugam2@collins.com</w:t>
      </w:r>
      <w:r w:rsidR="00CC17AC" w:rsidRPr="00DD1213">
        <w:rPr>
          <w:rFonts w:ascii="Times New Roman" w:hAnsi="Times New Roman" w:cs="Times New Roman"/>
          <w:b/>
          <w:bCs/>
        </w:rPr>
        <w:t>)</w:t>
      </w:r>
      <w:r w:rsidRPr="00DD1213">
        <w:rPr>
          <w:rFonts w:ascii="Times New Roman" w:hAnsi="Times New Roman" w:cs="Times New Roman"/>
          <w:b/>
          <w:bCs/>
        </w:rPr>
        <w:t xml:space="preserve"> </w:t>
      </w:r>
    </w:p>
    <w:p w14:paraId="12461772" w14:textId="1F33DAEC" w:rsidR="008C3E32" w:rsidRPr="00DD1213" w:rsidRDefault="00C24A61" w:rsidP="00DD1213">
      <w:pPr>
        <w:spacing w:before="240" w:after="240" w:line="240" w:lineRule="auto"/>
        <w:jc w:val="both"/>
        <w:rPr>
          <w:rFonts w:ascii="Times New Roman" w:hAnsi="Times New Roman" w:cs="Times New Roman"/>
          <w:b/>
          <w:bCs/>
          <w:sz w:val="28"/>
          <w:szCs w:val="28"/>
        </w:rPr>
      </w:pPr>
      <w:r w:rsidRPr="00DD1213">
        <w:rPr>
          <w:rFonts w:ascii="Times New Roman" w:hAnsi="Times New Roman" w:cs="Times New Roman"/>
          <w:b/>
          <w:bCs/>
          <w:sz w:val="28"/>
          <w:szCs w:val="28"/>
        </w:rPr>
        <w:t>ABSTRACT</w:t>
      </w:r>
    </w:p>
    <w:p w14:paraId="5EAAF9F2" w14:textId="41FC98E7" w:rsidR="009D7599" w:rsidRPr="00DD1213" w:rsidRDefault="009D7599" w:rsidP="00DD1213">
      <w:pPr>
        <w:spacing w:before="240" w:after="240" w:line="240" w:lineRule="auto"/>
        <w:jc w:val="both"/>
        <w:rPr>
          <w:rFonts w:ascii="Times New Roman" w:hAnsi="Times New Roman" w:cs="Times New Roman"/>
        </w:rPr>
      </w:pPr>
      <w:r w:rsidRPr="00DD1213">
        <w:rPr>
          <w:rFonts w:ascii="Times New Roman" w:hAnsi="Times New Roman" w:cs="Times New Roman"/>
        </w:rPr>
        <w:t xml:space="preserve">Iterative development methods are increasingly </w:t>
      </w:r>
      <w:r w:rsidR="00B51869" w:rsidRPr="00DD1213">
        <w:rPr>
          <w:rFonts w:ascii="Times New Roman" w:hAnsi="Times New Roman" w:cs="Times New Roman"/>
        </w:rPr>
        <w:t>adopted</w:t>
      </w:r>
      <w:r w:rsidRPr="00DD1213">
        <w:rPr>
          <w:rFonts w:ascii="Times New Roman" w:hAnsi="Times New Roman" w:cs="Times New Roman"/>
        </w:rPr>
        <w:t xml:space="preserve"> in safety-critical airborne software programs to address growing system complexity and evolving integration needs. At the same time, certification requires strict adherence to DO-178C assurance objectives [1][2].</w:t>
      </w:r>
    </w:p>
    <w:p w14:paraId="60439A3F" w14:textId="35644BCE" w:rsidR="009D7599" w:rsidRPr="00DD1213" w:rsidRDefault="009D7599" w:rsidP="00DD1213">
      <w:pPr>
        <w:spacing w:before="240" w:after="240" w:line="240" w:lineRule="auto"/>
        <w:jc w:val="both"/>
        <w:rPr>
          <w:rFonts w:ascii="Times New Roman" w:hAnsi="Times New Roman" w:cs="Times New Roman"/>
        </w:rPr>
      </w:pPr>
      <w:r w:rsidRPr="00DD1213">
        <w:rPr>
          <w:rFonts w:ascii="Times New Roman" w:hAnsi="Times New Roman" w:cs="Times New Roman"/>
        </w:rPr>
        <w:t xml:space="preserve">Although DO-178C does not mandate a specific lifecycle structure, certification activities are frequently executed using milestone-oriented processes [1]. </w:t>
      </w:r>
      <w:r w:rsidR="00B810D6" w:rsidRPr="00DD1213">
        <w:rPr>
          <w:rFonts w:ascii="Times New Roman" w:hAnsi="Times New Roman" w:cs="Times New Roman"/>
        </w:rPr>
        <w:t>This introduces structural misalignment with incremental development</w:t>
      </w:r>
      <w:r w:rsidRPr="00DD1213">
        <w:rPr>
          <w:rFonts w:ascii="Times New Roman" w:hAnsi="Times New Roman" w:cs="Times New Roman"/>
        </w:rPr>
        <w:t>, often leading to delayed compliance evidence, increased rework, instability in verification artifacts, and uncertainty during certification reviews [7][9].</w:t>
      </w:r>
    </w:p>
    <w:p w14:paraId="1C813ADB" w14:textId="430811CF" w:rsidR="009D7599" w:rsidRPr="00DD1213" w:rsidRDefault="009D7599" w:rsidP="00DD1213">
      <w:pPr>
        <w:spacing w:before="240" w:after="240" w:line="240" w:lineRule="auto"/>
        <w:jc w:val="both"/>
        <w:rPr>
          <w:rFonts w:ascii="Times New Roman" w:hAnsi="Times New Roman" w:cs="Times New Roman"/>
        </w:rPr>
      </w:pPr>
      <w:r w:rsidRPr="00DD1213">
        <w:rPr>
          <w:rFonts w:ascii="Times New Roman" w:hAnsi="Times New Roman" w:cs="Times New Roman"/>
        </w:rPr>
        <w:t xml:space="preserve">This paper </w:t>
      </w:r>
      <w:r w:rsidR="00BC286E" w:rsidRPr="00DD1213">
        <w:rPr>
          <w:rFonts w:ascii="Times New Roman" w:hAnsi="Times New Roman" w:cs="Times New Roman"/>
        </w:rPr>
        <w:t>proposes</w:t>
      </w:r>
      <w:r w:rsidRPr="00DD1213">
        <w:rPr>
          <w:rFonts w:ascii="Times New Roman" w:hAnsi="Times New Roman" w:cs="Times New Roman"/>
        </w:rPr>
        <w:t xml:space="preserve"> an Incremental Assurance Framework that integrates certification objectives directly into iterative workflows. The framework is based on three key elements: progressive fulfillment of assurance objectives, disciplined handling of change impacts, and explicit maintenance of verification independence.</w:t>
      </w:r>
    </w:p>
    <w:p w14:paraId="24BBA07A" w14:textId="77777777" w:rsidR="009D7599" w:rsidRPr="00DD1213" w:rsidRDefault="009D7599" w:rsidP="00DD1213">
      <w:pPr>
        <w:spacing w:before="240" w:after="240" w:line="240" w:lineRule="auto"/>
        <w:jc w:val="both"/>
        <w:rPr>
          <w:rFonts w:ascii="Times New Roman" w:hAnsi="Times New Roman" w:cs="Times New Roman"/>
        </w:rPr>
      </w:pPr>
      <w:r w:rsidRPr="00DD1213">
        <w:rPr>
          <w:rFonts w:ascii="Times New Roman" w:hAnsi="Times New Roman" w:cs="Times New Roman"/>
        </w:rPr>
        <w:t>A four-level Agile–Certification Maturity Model is also presented to describe how organizations evolve toward sustained certification readiness. A representative scenario is used to illustrate improvements in trace consistency, reduced review disruption, and enhanced predictability of certification outcomes.</w:t>
      </w:r>
    </w:p>
    <w:p w14:paraId="6AF180C8" w14:textId="02952060" w:rsidR="009A5C33" w:rsidRPr="00DD1213" w:rsidRDefault="0060385A" w:rsidP="00DD1213">
      <w:pPr>
        <w:spacing w:before="240" w:after="240" w:line="240" w:lineRule="auto"/>
        <w:jc w:val="both"/>
        <w:rPr>
          <w:rFonts w:ascii="Times New Roman" w:hAnsi="Times New Roman" w:cs="Times New Roman"/>
        </w:rPr>
      </w:pPr>
      <w:r w:rsidRPr="00DD1213">
        <w:rPr>
          <w:rFonts w:ascii="Times New Roman" w:hAnsi="Times New Roman" w:cs="Times New Roman"/>
        </w:rPr>
        <w:t>The results indicate that certification activities can be performed continuously alongside development while maintaining the rigor required for airborne software approval</w:t>
      </w:r>
      <w:r w:rsidR="009A5C33" w:rsidRPr="00DD1213">
        <w:rPr>
          <w:rFonts w:ascii="Times New Roman" w:hAnsi="Times New Roman" w:cs="Times New Roman"/>
        </w:rPr>
        <w:t>.</w:t>
      </w:r>
    </w:p>
    <w:p w14:paraId="741A213C" w14:textId="79A5DBE3" w:rsidR="00602C7A" w:rsidRPr="00DD1213" w:rsidRDefault="00C740A0" w:rsidP="00DD1213">
      <w:pPr>
        <w:spacing w:before="240" w:after="240" w:line="240" w:lineRule="auto"/>
        <w:jc w:val="both"/>
        <w:rPr>
          <w:rFonts w:ascii="Times New Roman" w:hAnsi="Times New Roman" w:cs="Times New Roman"/>
        </w:rPr>
      </w:pPr>
      <w:r w:rsidRPr="00DD1213">
        <w:rPr>
          <w:rFonts w:ascii="Times New Roman" w:hAnsi="Times New Roman" w:cs="Times New Roman"/>
          <w:b/>
          <w:bCs/>
        </w:rPr>
        <w:t>Key</w:t>
      </w:r>
      <w:r w:rsidR="00422BC3" w:rsidRPr="00DD1213">
        <w:rPr>
          <w:rFonts w:ascii="Times New Roman" w:hAnsi="Times New Roman" w:cs="Times New Roman"/>
          <w:b/>
          <w:bCs/>
        </w:rPr>
        <w:t>words</w:t>
      </w:r>
      <w:r w:rsidR="00056967" w:rsidRPr="00DD1213">
        <w:rPr>
          <w:rFonts w:ascii="Times New Roman" w:hAnsi="Times New Roman" w:cs="Times New Roman"/>
        </w:rPr>
        <w:t>:</w:t>
      </w:r>
      <w:r w:rsidR="00295282" w:rsidRPr="00DD1213">
        <w:rPr>
          <w:rFonts w:ascii="Times New Roman" w:hAnsi="Times New Roman" w:cs="Times New Roman"/>
        </w:rPr>
        <w:t xml:space="preserve"> </w:t>
      </w:r>
      <w:r w:rsidR="005C27C5" w:rsidRPr="00DD1213">
        <w:rPr>
          <w:rFonts w:ascii="Times New Roman" w:hAnsi="Times New Roman" w:cs="Times New Roman"/>
        </w:rPr>
        <w:t>DO-178C, airborne software, Agile methods, safety-critical systems, certification strategy, incremental assurance, verification independence, traceability</w:t>
      </w:r>
      <w:r w:rsidR="006B5375" w:rsidRPr="00DD1213">
        <w:rPr>
          <w:rFonts w:ascii="Times New Roman" w:hAnsi="Times New Roman" w:cs="Times New Roman"/>
        </w:rPr>
        <w:t>.</w:t>
      </w:r>
    </w:p>
    <w:p w14:paraId="2979F575" w14:textId="228B55D1" w:rsidR="00602C7A" w:rsidRPr="00DD1213" w:rsidRDefault="00B13972" w:rsidP="00DD1213">
      <w:pPr>
        <w:spacing w:before="240" w:after="240" w:line="240" w:lineRule="auto"/>
        <w:jc w:val="both"/>
        <w:rPr>
          <w:rFonts w:ascii="Times New Roman" w:hAnsi="Times New Roman" w:cs="Times New Roman"/>
          <w:b/>
          <w:bCs/>
          <w:sz w:val="28"/>
          <w:szCs w:val="28"/>
        </w:rPr>
      </w:pPr>
      <w:r w:rsidRPr="00DD1213">
        <w:rPr>
          <w:rFonts w:ascii="Times New Roman" w:hAnsi="Times New Roman" w:cs="Times New Roman"/>
          <w:b/>
          <w:bCs/>
          <w:sz w:val="28"/>
          <w:szCs w:val="28"/>
        </w:rPr>
        <w:t>INTRODUCTION</w:t>
      </w:r>
    </w:p>
    <w:p w14:paraId="455065BC" w14:textId="77777777" w:rsidR="0028338B" w:rsidRPr="00DD1213" w:rsidRDefault="0028338B" w:rsidP="00DD1213">
      <w:pPr>
        <w:spacing w:before="240" w:after="240" w:line="240" w:lineRule="auto"/>
        <w:jc w:val="both"/>
        <w:rPr>
          <w:rFonts w:ascii="Times New Roman" w:hAnsi="Times New Roman" w:cs="Times New Roman"/>
        </w:rPr>
      </w:pPr>
      <w:r w:rsidRPr="00DD1213">
        <w:rPr>
          <w:rFonts w:ascii="Times New Roman" w:hAnsi="Times New Roman" w:cs="Times New Roman"/>
        </w:rPr>
        <w:t>Modern airborne platforms rely heavily on embedded software to implement functional behavior, system coordination, and safety mechanisms. Demonstrating correct operation within the intended environment is essential for certification [1][7].</w:t>
      </w:r>
    </w:p>
    <w:p w14:paraId="385BBD6E" w14:textId="77777777" w:rsidR="0028338B" w:rsidRPr="00DD1213" w:rsidRDefault="0028338B" w:rsidP="00DD1213">
      <w:pPr>
        <w:spacing w:before="240" w:after="240" w:line="240" w:lineRule="auto"/>
        <w:jc w:val="both"/>
        <w:rPr>
          <w:rFonts w:ascii="Times New Roman" w:hAnsi="Times New Roman" w:cs="Times New Roman"/>
        </w:rPr>
      </w:pPr>
      <w:r w:rsidRPr="00DD1213">
        <w:rPr>
          <w:rFonts w:ascii="Times New Roman" w:hAnsi="Times New Roman" w:cs="Times New Roman"/>
        </w:rPr>
        <w:t>DO-178C defines a set of assurance outcomes that must be satisfied through verifiable evidence [1][2]. While the standard does not prescribe a particular development sequence, certification practices have historically been implemented using structured, phase-based approaches aligned with major review milestones [1][3].</w:t>
      </w:r>
    </w:p>
    <w:p w14:paraId="327F0086" w14:textId="77777777" w:rsidR="0028338B" w:rsidRPr="00DD1213" w:rsidRDefault="0028338B" w:rsidP="00DD1213">
      <w:pPr>
        <w:spacing w:before="240" w:after="240" w:line="240" w:lineRule="auto"/>
        <w:jc w:val="both"/>
        <w:rPr>
          <w:rFonts w:ascii="Times New Roman" w:hAnsi="Times New Roman" w:cs="Times New Roman"/>
        </w:rPr>
      </w:pPr>
      <w:r w:rsidRPr="00DD1213">
        <w:rPr>
          <w:rFonts w:ascii="Times New Roman" w:hAnsi="Times New Roman" w:cs="Times New Roman"/>
        </w:rPr>
        <w:t>In parallel, iterative development methods have gained attention due to their ability to support evolving requirements, faster integration, and improved collaboration [9]. These approaches emphasize incremental delivery, continuous feedback, and adaptive planning.</w:t>
      </w:r>
    </w:p>
    <w:p w14:paraId="4D43ED2B" w14:textId="77777777" w:rsidR="0028338B" w:rsidRPr="00DD1213" w:rsidRDefault="0028338B" w:rsidP="00DD1213">
      <w:pPr>
        <w:spacing w:before="240" w:after="240" w:line="240" w:lineRule="auto"/>
        <w:jc w:val="both"/>
        <w:rPr>
          <w:rFonts w:ascii="Times New Roman" w:hAnsi="Times New Roman" w:cs="Times New Roman"/>
        </w:rPr>
      </w:pPr>
      <w:r w:rsidRPr="00DD1213">
        <w:rPr>
          <w:rFonts w:ascii="Times New Roman" w:hAnsi="Times New Roman" w:cs="Times New Roman"/>
        </w:rPr>
        <w:t>The difficulty arises when iterative development is combined with certification practices that assume consolidated evidence at predefined milestones. This mismatch often results in gaps between development progress and certification readiness, leading to late-stage corrections and increased program risk [7][10].</w:t>
      </w:r>
    </w:p>
    <w:p w14:paraId="41EE7851" w14:textId="77777777" w:rsidR="0028338B" w:rsidRPr="00DD1213" w:rsidRDefault="0028338B" w:rsidP="00DD1213">
      <w:pPr>
        <w:spacing w:before="240" w:after="240" w:line="240" w:lineRule="auto"/>
        <w:jc w:val="both"/>
        <w:rPr>
          <w:rFonts w:ascii="Times New Roman" w:hAnsi="Times New Roman" w:cs="Times New Roman"/>
        </w:rPr>
      </w:pPr>
      <w:r w:rsidRPr="00DD1213">
        <w:rPr>
          <w:rFonts w:ascii="Times New Roman" w:hAnsi="Times New Roman" w:cs="Times New Roman"/>
        </w:rPr>
        <w:t>In addition, coordination between system engineering and software development activities can become fragmented when both operate under different cadences and governance models. This misalignment affects requirement decomposition, trace relationships, and verification completeness.</w:t>
      </w:r>
    </w:p>
    <w:p w14:paraId="748A9244" w14:textId="77777777" w:rsidR="0028338B" w:rsidRPr="00DD1213" w:rsidRDefault="0028338B" w:rsidP="00DD1213">
      <w:pPr>
        <w:spacing w:before="240" w:after="240" w:line="240" w:lineRule="auto"/>
        <w:jc w:val="both"/>
        <w:rPr>
          <w:rFonts w:ascii="Times New Roman" w:hAnsi="Times New Roman" w:cs="Times New Roman"/>
        </w:rPr>
      </w:pPr>
      <w:r w:rsidRPr="00DD1213">
        <w:rPr>
          <w:rFonts w:ascii="Times New Roman" w:hAnsi="Times New Roman" w:cs="Times New Roman"/>
        </w:rPr>
        <w:lastRenderedPageBreak/>
        <w:t>This paper addresses the following question:</w:t>
      </w:r>
    </w:p>
    <w:p w14:paraId="031A288D" w14:textId="77777777" w:rsidR="0028338B" w:rsidRPr="00DD1213" w:rsidRDefault="0028338B" w:rsidP="00DD1213">
      <w:pPr>
        <w:spacing w:before="240" w:after="240" w:line="240" w:lineRule="auto"/>
        <w:jc w:val="both"/>
        <w:rPr>
          <w:rFonts w:ascii="Times New Roman" w:hAnsi="Times New Roman" w:cs="Times New Roman"/>
        </w:rPr>
      </w:pPr>
      <w:r w:rsidRPr="00DD1213">
        <w:rPr>
          <w:rFonts w:ascii="Times New Roman" w:hAnsi="Times New Roman" w:cs="Times New Roman"/>
        </w:rPr>
        <w:t>How can iterative development be organized such that certification objectives are satisfied continuously without reverting to rigid sequential processes?</w:t>
      </w:r>
    </w:p>
    <w:p w14:paraId="661FDB17" w14:textId="77777777" w:rsidR="004D6373" w:rsidRPr="00DD1213" w:rsidRDefault="004D6373" w:rsidP="00DD1213">
      <w:pPr>
        <w:spacing w:before="240" w:after="240" w:line="240" w:lineRule="auto"/>
        <w:jc w:val="both"/>
        <w:rPr>
          <w:rFonts w:ascii="Times New Roman" w:hAnsi="Times New Roman" w:cs="Times New Roman"/>
        </w:rPr>
      </w:pPr>
      <w:r w:rsidRPr="00DD1213">
        <w:rPr>
          <w:rFonts w:ascii="Times New Roman" w:hAnsi="Times New Roman" w:cs="Times New Roman"/>
        </w:rPr>
        <w:t>To address this challenge, a structured framework is proposed that aligns development activities with certification expectations at the iteration level. Specifically, this work introduces an incremental assurance approach for embedding certification objectives within iterative workflows, defines structural mechanisms to maintain compliance discipline and verification independence, and presents a maturity model to characterize progression toward continuous certification readiness.</w:t>
      </w:r>
    </w:p>
    <w:p w14:paraId="68015F7D" w14:textId="25A28047" w:rsidR="00473BAC" w:rsidRPr="00DD1213" w:rsidRDefault="00473BAC" w:rsidP="00DD1213">
      <w:pPr>
        <w:spacing w:before="240" w:after="240" w:line="240" w:lineRule="auto"/>
        <w:jc w:val="both"/>
        <w:rPr>
          <w:rFonts w:ascii="Times New Roman" w:hAnsi="Times New Roman" w:cs="Times New Roman"/>
        </w:rPr>
      </w:pPr>
      <w:r w:rsidRPr="00DD1213">
        <w:rPr>
          <w:rFonts w:ascii="Times New Roman" w:hAnsi="Times New Roman" w:cs="Times New Roman"/>
        </w:rPr>
        <w:t>The proposed Incremental Assurance Framework and the Agile–Certification Maturity Model are illustrated in Fig. 1 and Fig. 2, respectively.</w:t>
      </w:r>
    </w:p>
    <w:p w14:paraId="72BEDF61" w14:textId="36B8ED7D" w:rsidR="00602C7A" w:rsidRPr="00DD1213" w:rsidRDefault="006D23D8" w:rsidP="00DD1213">
      <w:pPr>
        <w:spacing w:before="240" w:after="240" w:line="240" w:lineRule="auto"/>
        <w:jc w:val="both"/>
        <w:rPr>
          <w:rFonts w:ascii="Times New Roman" w:hAnsi="Times New Roman" w:cs="Times New Roman"/>
        </w:rPr>
      </w:pPr>
      <w:r w:rsidRPr="00DD1213">
        <w:rPr>
          <w:rFonts w:ascii="Times New Roman" w:hAnsi="Times New Roman" w:cs="Times New Roman"/>
        </w:rPr>
        <w:t>The proposed framework is derived from synthesized industry observations and generalized practices across safety-critical software programs.</w:t>
      </w:r>
    </w:p>
    <w:p w14:paraId="3E8CA85B" w14:textId="77777777" w:rsidR="00A62371" w:rsidRPr="00A62371" w:rsidRDefault="00A62371" w:rsidP="00DD1213">
      <w:pPr>
        <w:spacing w:before="240" w:after="240" w:line="240" w:lineRule="auto"/>
        <w:jc w:val="both"/>
        <w:rPr>
          <w:rFonts w:ascii="Times New Roman" w:hAnsi="Times New Roman" w:cs="Times New Roman"/>
        </w:rPr>
      </w:pPr>
      <w:r w:rsidRPr="00A62371">
        <w:rPr>
          <w:rFonts w:ascii="Times New Roman" w:hAnsi="Times New Roman" w:cs="Times New Roman"/>
          <w:b/>
          <w:bCs/>
        </w:rPr>
        <w:t>This paper makes the following contributions:</w:t>
      </w:r>
    </w:p>
    <w:p w14:paraId="35237577" w14:textId="77777777" w:rsidR="00A62371" w:rsidRPr="00A62371" w:rsidRDefault="00A62371" w:rsidP="00DD1213">
      <w:pPr>
        <w:numPr>
          <w:ilvl w:val="0"/>
          <w:numId w:val="20"/>
        </w:numPr>
        <w:spacing w:before="240" w:after="240" w:line="240" w:lineRule="auto"/>
        <w:jc w:val="both"/>
        <w:rPr>
          <w:rFonts w:ascii="Times New Roman" w:hAnsi="Times New Roman" w:cs="Times New Roman"/>
        </w:rPr>
      </w:pPr>
      <w:r w:rsidRPr="00A62371">
        <w:rPr>
          <w:rFonts w:ascii="Times New Roman" w:hAnsi="Times New Roman" w:cs="Times New Roman"/>
        </w:rPr>
        <w:t xml:space="preserve">Proposes an Incremental Assurance Framework integrating DO-178C objectives into Agile workflows </w:t>
      </w:r>
    </w:p>
    <w:p w14:paraId="2C5E17DF" w14:textId="77777777" w:rsidR="00A62371" w:rsidRPr="00A62371" w:rsidRDefault="00A62371" w:rsidP="00DD1213">
      <w:pPr>
        <w:numPr>
          <w:ilvl w:val="0"/>
          <w:numId w:val="20"/>
        </w:numPr>
        <w:spacing w:before="240" w:after="240" w:line="240" w:lineRule="auto"/>
        <w:jc w:val="both"/>
        <w:rPr>
          <w:rFonts w:ascii="Times New Roman" w:hAnsi="Times New Roman" w:cs="Times New Roman"/>
        </w:rPr>
      </w:pPr>
      <w:r w:rsidRPr="00A62371">
        <w:rPr>
          <w:rFonts w:ascii="Times New Roman" w:hAnsi="Times New Roman" w:cs="Times New Roman"/>
        </w:rPr>
        <w:t xml:space="preserve">Defines structured mechanisms for maintaining verification independence in iterative environments </w:t>
      </w:r>
    </w:p>
    <w:p w14:paraId="30C67DFC" w14:textId="77777777" w:rsidR="00A62371" w:rsidRPr="00A62371" w:rsidRDefault="00A62371" w:rsidP="00DD1213">
      <w:pPr>
        <w:numPr>
          <w:ilvl w:val="0"/>
          <w:numId w:val="20"/>
        </w:numPr>
        <w:spacing w:before="240" w:after="240" w:line="240" w:lineRule="auto"/>
        <w:jc w:val="both"/>
        <w:rPr>
          <w:rFonts w:ascii="Times New Roman" w:hAnsi="Times New Roman" w:cs="Times New Roman"/>
        </w:rPr>
      </w:pPr>
      <w:r w:rsidRPr="00A62371">
        <w:rPr>
          <w:rFonts w:ascii="Times New Roman" w:hAnsi="Times New Roman" w:cs="Times New Roman"/>
        </w:rPr>
        <w:t xml:space="preserve">Introduces an Agile–Certification Maturity Model for organizational assessment </w:t>
      </w:r>
    </w:p>
    <w:p w14:paraId="49DBFA52" w14:textId="77777777" w:rsidR="00A62371" w:rsidRPr="00A62371" w:rsidRDefault="00A62371" w:rsidP="00DD1213">
      <w:pPr>
        <w:numPr>
          <w:ilvl w:val="0"/>
          <w:numId w:val="20"/>
        </w:numPr>
        <w:spacing w:before="240" w:after="240" w:line="240" w:lineRule="auto"/>
        <w:jc w:val="both"/>
        <w:rPr>
          <w:rFonts w:ascii="Times New Roman" w:hAnsi="Times New Roman" w:cs="Times New Roman"/>
        </w:rPr>
      </w:pPr>
      <w:r w:rsidRPr="00A62371">
        <w:rPr>
          <w:rFonts w:ascii="Times New Roman" w:hAnsi="Times New Roman" w:cs="Times New Roman"/>
        </w:rPr>
        <w:t>Identifies common integration risks and mitigation strategies based on industry observations</w:t>
      </w:r>
    </w:p>
    <w:p w14:paraId="1F8C8E2B" w14:textId="0C6770EE" w:rsidR="00602C7A" w:rsidRPr="00DD1213" w:rsidRDefault="005A3F7B" w:rsidP="00DD1213">
      <w:pPr>
        <w:spacing w:before="240" w:after="240" w:line="240" w:lineRule="auto"/>
        <w:jc w:val="both"/>
        <w:rPr>
          <w:rFonts w:ascii="Times New Roman" w:hAnsi="Times New Roman" w:cs="Times New Roman"/>
          <w:b/>
          <w:bCs/>
          <w:sz w:val="28"/>
          <w:szCs w:val="28"/>
        </w:rPr>
      </w:pPr>
      <w:r w:rsidRPr="00DD1213">
        <w:rPr>
          <w:rFonts w:ascii="Times New Roman" w:hAnsi="Times New Roman" w:cs="Times New Roman"/>
          <w:b/>
          <w:bCs/>
          <w:sz w:val="28"/>
          <w:szCs w:val="28"/>
        </w:rPr>
        <w:t>DO-178C AS AN OBJECTIVE-BASED ASSURANCE FRAMEWORK</w:t>
      </w:r>
    </w:p>
    <w:p w14:paraId="68EE6DF1" w14:textId="5F356708" w:rsidR="00A654B9" w:rsidRPr="00DD1213" w:rsidRDefault="00D27161" w:rsidP="00DD1213">
      <w:pPr>
        <w:spacing w:before="240" w:after="240" w:line="240" w:lineRule="auto"/>
        <w:jc w:val="both"/>
        <w:rPr>
          <w:rFonts w:ascii="Times New Roman" w:hAnsi="Times New Roman" w:cs="Times New Roman"/>
        </w:rPr>
      </w:pPr>
      <w:r w:rsidRPr="00DD1213">
        <w:rPr>
          <w:rFonts w:ascii="Times New Roman" w:hAnsi="Times New Roman" w:cs="Times New Roman"/>
        </w:rPr>
        <w:t xml:space="preserve">DO-178C defines a set of assurance objectives intended to ensure that airborne software performs its intended functions within its operational context [1][2]. </w:t>
      </w:r>
      <w:r w:rsidR="00A654B9" w:rsidRPr="00DD1213">
        <w:rPr>
          <w:rFonts w:ascii="Times New Roman" w:hAnsi="Times New Roman" w:cs="Times New Roman"/>
        </w:rPr>
        <w:t>Rather than prescribing a specific development sequence, the standard defines a set of assurance outcomes that must be satisfied and supported with verifiable evidence [1], [4].</w:t>
      </w:r>
    </w:p>
    <w:p w14:paraId="1DFCA5F9" w14:textId="77777777" w:rsidR="00A654B9" w:rsidRPr="00DD1213" w:rsidRDefault="00A654B9" w:rsidP="00DD1213">
      <w:pPr>
        <w:spacing w:before="240" w:after="240" w:line="240" w:lineRule="auto"/>
        <w:jc w:val="both"/>
        <w:rPr>
          <w:rFonts w:ascii="Times New Roman" w:hAnsi="Times New Roman" w:cs="Times New Roman"/>
        </w:rPr>
      </w:pPr>
      <w:r w:rsidRPr="00DD1213">
        <w:rPr>
          <w:rFonts w:ascii="Times New Roman" w:hAnsi="Times New Roman" w:cs="Times New Roman"/>
        </w:rPr>
        <w:t>Key assurance outcomes include:</w:t>
      </w:r>
    </w:p>
    <w:p w14:paraId="0077F8C2" w14:textId="77777777" w:rsidR="00A654B9" w:rsidRPr="00DD1213" w:rsidRDefault="00A654B9" w:rsidP="00DD1213">
      <w:pPr>
        <w:numPr>
          <w:ilvl w:val="0"/>
          <w:numId w:val="13"/>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Controlled and clearly defined software requirements [1], [2] </w:t>
      </w:r>
    </w:p>
    <w:p w14:paraId="158EDFE7" w14:textId="645F4F3B" w:rsidR="00A654B9" w:rsidRPr="00DD1213" w:rsidRDefault="00A654B9" w:rsidP="00DD1213">
      <w:pPr>
        <w:numPr>
          <w:ilvl w:val="0"/>
          <w:numId w:val="13"/>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Demonstrable </w:t>
      </w:r>
      <w:r w:rsidR="00AA1DF8" w:rsidRPr="00DD1213">
        <w:rPr>
          <w:rFonts w:ascii="Times New Roman" w:hAnsi="Times New Roman" w:cs="Times New Roman"/>
        </w:rPr>
        <w:t>traceability relationships across requirements, design, code, and verification artifacts</w:t>
      </w:r>
      <w:r w:rsidRPr="00DD1213">
        <w:rPr>
          <w:rFonts w:ascii="Times New Roman" w:hAnsi="Times New Roman" w:cs="Times New Roman"/>
        </w:rPr>
        <w:t xml:space="preserve"> [1], [4] </w:t>
      </w:r>
    </w:p>
    <w:p w14:paraId="253067F4" w14:textId="77777777" w:rsidR="00A654B9" w:rsidRPr="00DD1213" w:rsidRDefault="00A654B9" w:rsidP="00DD1213">
      <w:pPr>
        <w:numPr>
          <w:ilvl w:val="0"/>
          <w:numId w:val="13"/>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Verification activities scaled according to software criticality [1], [2], [4] </w:t>
      </w:r>
    </w:p>
    <w:p w14:paraId="4D10C21C" w14:textId="2A53078C" w:rsidR="00A654B9" w:rsidRPr="00DD1213" w:rsidRDefault="00006EA5" w:rsidP="00DD1213">
      <w:pPr>
        <w:numPr>
          <w:ilvl w:val="0"/>
          <w:numId w:val="13"/>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Evidence that testing </w:t>
      </w:r>
      <w:proofErr w:type="gramStart"/>
      <w:r w:rsidRPr="00DD1213">
        <w:rPr>
          <w:rFonts w:ascii="Times New Roman" w:hAnsi="Times New Roman" w:cs="Times New Roman"/>
        </w:rPr>
        <w:t>sufficiently</w:t>
      </w:r>
      <w:proofErr w:type="gramEnd"/>
      <w:r w:rsidRPr="00DD1213">
        <w:rPr>
          <w:rFonts w:ascii="Times New Roman" w:hAnsi="Times New Roman" w:cs="Times New Roman"/>
        </w:rPr>
        <w:t xml:space="preserve"> exercises implemented logic</w:t>
      </w:r>
      <w:r w:rsidR="00A654B9" w:rsidRPr="00DD1213">
        <w:rPr>
          <w:rFonts w:ascii="Times New Roman" w:hAnsi="Times New Roman" w:cs="Times New Roman"/>
        </w:rPr>
        <w:t xml:space="preserve"> [1], [2] </w:t>
      </w:r>
    </w:p>
    <w:p w14:paraId="16F392CA" w14:textId="77777777" w:rsidR="00A654B9" w:rsidRPr="00DD1213" w:rsidRDefault="00A654B9" w:rsidP="00DD1213">
      <w:pPr>
        <w:numPr>
          <w:ilvl w:val="0"/>
          <w:numId w:val="13"/>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Formal configuration control of lifecycle data [1], [2] </w:t>
      </w:r>
    </w:p>
    <w:p w14:paraId="19530CAD" w14:textId="77777777" w:rsidR="00A654B9" w:rsidRPr="00DD1213" w:rsidRDefault="00A654B9" w:rsidP="00DD1213">
      <w:pPr>
        <w:numPr>
          <w:ilvl w:val="0"/>
          <w:numId w:val="13"/>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Independent oversight of compliance processes [1], [4] </w:t>
      </w:r>
    </w:p>
    <w:p w14:paraId="221A12A7" w14:textId="77777777" w:rsidR="00A654B9" w:rsidRPr="00DD1213" w:rsidRDefault="00A654B9" w:rsidP="00DD1213">
      <w:pPr>
        <w:numPr>
          <w:ilvl w:val="0"/>
          <w:numId w:val="13"/>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Structured coordination with certification authorities [1], [7] </w:t>
      </w:r>
    </w:p>
    <w:p w14:paraId="5D4A6749" w14:textId="77777777" w:rsidR="00A654B9" w:rsidRPr="00DD1213" w:rsidRDefault="00A654B9" w:rsidP="00DD1213">
      <w:pPr>
        <w:spacing w:before="240" w:after="240" w:line="240" w:lineRule="auto"/>
        <w:jc w:val="both"/>
        <w:rPr>
          <w:rFonts w:ascii="Times New Roman" w:hAnsi="Times New Roman" w:cs="Times New Roman"/>
        </w:rPr>
      </w:pPr>
      <w:r w:rsidRPr="00DD1213">
        <w:rPr>
          <w:rFonts w:ascii="Times New Roman" w:hAnsi="Times New Roman" w:cs="Times New Roman"/>
        </w:rPr>
        <w:t>The rigor applied to these outcomes increases with software level, reflecting the potential safety impact of failure conditions [1]. Importantly, DO-178C evaluates whether required objectives are satisfied—not whether development follows a particular phase order [1], [2]. Sequential lifecycle models have historically been adopted to organize evidence, but they are not regulatory mandates [1]. Many perceived incompatibilities between Agile and certification arise from process habits rather than regulatory constraints [9].</w:t>
      </w:r>
    </w:p>
    <w:p w14:paraId="0E81FDD7" w14:textId="48004348" w:rsidR="00BA53CD" w:rsidRPr="00DD1213" w:rsidRDefault="00A654B9" w:rsidP="00DD1213">
      <w:pPr>
        <w:spacing w:before="240" w:after="240" w:line="240" w:lineRule="auto"/>
        <w:jc w:val="both"/>
        <w:rPr>
          <w:rFonts w:ascii="Times New Roman" w:hAnsi="Times New Roman" w:cs="Times New Roman"/>
        </w:rPr>
      </w:pPr>
      <w:r w:rsidRPr="00DD1213">
        <w:rPr>
          <w:rFonts w:ascii="Times New Roman" w:hAnsi="Times New Roman" w:cs="Times New Roman"/>
        </w:rPr>
        <w:lastRenderedPageBreak/>
        <w:t xml:space="preserve">Recognizing DO-178C as an </w:t>
      </w:r>
      <w:r w:rsidRPr="00DD1213">
        <w:rPr>
          <w:rFonts w:ascii="Times New Roman" w:hAnsi="Times New Roman" w:cs="Times New Roman"/>
          <w:b/>
          <w:bCs/>
        </w:rPr>
        <w:t>outcome-driven assurance model</w:t>
      </w:r>
      <w:r w:rsidRPr="00DD1213">
        <w:rPr>
          <w:rFonts w:ascii="Times New Roman" w:hAnsi="Times New Roman" w:cs="Times New Roman"/>
        </w:rPr>
        <w:t xml:space="preserve"> is fundamental to integrating it with iterative development practices [2], [8].</w:t>
      </w:r>
      <w:r w:rsidR="00BA53CD" w:rsidRPr="00DD1213">
        <w:rPr>
          <w:rFonts w:ascii="Times New Roman" w:hAnsi="Times New Roman" w:cs="Times New Roman"/>
        </w:rPr>
        <w:t xml:space="preserve"> The scholarly article "Ensuring Compliance with DO-178C: Advanced Techniques in Avionics Software Verification," by Jawahar Thangavelu, examines the rigorous standards for airborne software. It focuses on the verification methods required to meet functional safety and reliability criteria essential for certifying safety-critical systems [12]. </w:t>
      </w:r>
    </w:p>
    <w:p w14:paraId="203D344D" w14:textId="79D79556" w:rsidR="00602C7A" w:rsidRPr="00DD1213" w:rsidRDefault="006B4E6D" w:rsidP="00DD1213">
      <w:pPr>
        <w:spacing w:before="240" w:after="240" w:line="240" w:lineRule="auto"/>
        <w:rPr>
          <w:rFonts w:ascii="Times New Roman" w:hAnsi="Times New Roman" w:cs="Times New Roman"/>
          <w:b/>
          <w:bCs/>
          <w:sz w:val="28"/>
          <w:szCs w:val="28"/>
        </w:rPr>
      </w:pPr>
      <w:r w:rsidRPr="00DD1213">
        <w:rPr>
          <w:rFonts w:ascii="Times New Roman" w:hAnsi="Times New Roman" w:cs="Times New Roman"/>
          <w:b/>
          <w:bCs/>
          <w:sz w:val="28"/>
          <w:szCs w:val="28"/>
        </w:rPr>
        <w:t>OBSERVED INTEGRATION RISKS IN AGILE CERTIFICATION PROGRAMS</w:t>
      </w:r>
    </w:p>
    <w:p w14:paraId="670C32FB" w14:textId="23BC1174"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 xml:space="preserve">Experience across multiple </w:t>
      </w:r>
      <w:r w:rsidR="00641954" w:rsidRPr="00DD1213">
        <w:rPr>
          <w:rFonts w:ascii="Times New Roman" w:hAnsi="Times New Roman" w:cs="Times New Roman"/>
        </w:rPr>
        <w:t>airborne</w:t>
      </w:r>
      <w:r w:rsidRPr="00DD1213">
        <w:rPr>
          <w:rFonts w:ascii="Times New Roman" w:hAnsi="Times New Roman" w:cs="Times New Roman"/>
        </w:rPr>
        <w:t xml:space="preserve"> software efforts reveals recurring structural risks when Agile execution is introduced without explicit certification integration [10][11].</w:t>
      </w:r>
    </w:p>
    <w:p w14:paraId="5A0CAC30" w14:textId="3A17ED3F"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Certification Debt Accumulation</w:t>
      </w:r>
    </w:p>
    <w:p w14:paraId="33368195"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Functional increments are delivered rapidly, while compliance artifacts trail behind [3]. Trace updates, verification records, and coverage analyses are deferred to later integration cycles.</w:t>
      </w:r>
    </w:p>
    <w:p w14:paraId="4D160A4B"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Consequences include:</w:t>
      </w:r>
    </w:p>
    <w:p w14:paraId="6195BEEE" w14:textId="77777777" w:rsidR="00602C7A" w:rsidRPr="00DD1213" w:rsidRDefault="00602C7A" w:rsidP="00DD1213">
      <w:pPr>
        <w:numPr>
          <w:ilvl w:val="0"/>
          <w:numId w:val="2"/>
        </w:numPr>
        <w:spacing w:before="240" w:after="240" w:line="240" w:lineRule="auto"/>
        <w:jc w:val="both"/>
        <w:rPr>
          <w:rFonts w:ascii="Times New Roman" w:hAnsi="Times New Roman" w:cs="Times New Roman"/>
        </w:rPr>
      </w:pPr>
      <w:r w:rsidRPr="00DD1213">
        <w:rPr>
          <w:rFonts w:ascii="Times New Roman" w:hAnsi="Times New Roman" w:cs="Times New Roman"/>
        </w:rPr>
        <w:t>Divergence between implemented behavior and documented traceability [1][4]</w:t>
      </w:r>
    </w:p>
    <w:p w14:paraId="48CA8894" w14:textId="77777777" w:rsidR="00602C7A" w:rsidRPr="00DD1213" w:rsidRDefault="00602C7A" w:rsidP="00DD1213">
      <w:pPr>
        <w:numPr>
          <w:ilvl w:val="0"/>
          <w:numId w:val="2"/>
        </w:numPr>
        <w:spacing w:before="240" w:after="240" w:line="240" w:lineRule="auto"/>
        <w:jc w:val="both"/>
        <w:rPr>
          <w:rFonts w:ascii="Times New Roman" w:hAnsi="Times New Roman" w:cs="Times New Roman"/>
        </w:rPr>
      </w:pPr>
      <w:r w:rsidRPr="00DD1213">
        <w:rPr>
          <w:rFonts w:ascii="Times New Roman" w:hAnsi="Times New Roman" w:cs="Times New Roman"/>
        </w:rPr>
        <w:t>Increased corrective action prior to certification reviews [3]</w:t>
      </w:r>
    </w:p>
    <w:p w14:paraId="1CE6609F" w14:textId="77777777" w:rsidR="00602C7A" w:rsidRPr="00DD1213" w:rsidRDefault="00602C7A" w:rsidP="00DD1213">
      <w:pPr>
        <w:numPr>
          <w:ilvl w:val="0"/>
          <w:numId w:val="2"/>
        </w:numPr>
        <w:spacing w:before="240" w:after="240" w:line="240" w:lineRule="auto"/>
        <w:jc w:val="both"/>
        <w:rPr>
          <w:rFonts w:ascii="Times New Roman" w:hAnsi="Times New Roman" w:cs="Times New Roman"/>
        </w:rPr>
      </w:pPr>
      <w:r w:rsidRPr="00DD1213">
        <w:rPr>
          <w:rFonts w:ascii="Times New Roman" w:hAnsi="Times New Roman" w:cs="Times New Roman"/>
        </w:rPr>
        <w:t>Elevated review volatility [7]</w:t>
      </w:r>
    </w:p>
    <w:p w14:paraId="4BC9E271" w14:textId="22F3EC64"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Independence Dilution</w:t>
      </w:r>
    </w:p>
    <w:p w14:paraId="1B00D914"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Cross-functional sprint teams can unintentionally weaken verification independence. Peer reviews within the same reporting structure may not satisfy higher assurance expectations unless independence is demonstrable structurally, not merely culturally [1][4][9].</w:t>
      </w:r>
    </w:p>
    <w:p w14:paraId="7F1CD636" w14:textId="6B74676E"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Structural Coverage Instability</w:t>
      </w:r>
    </w:p>
    <w:p w14:paraId="1052BF7E" w14:textId="0E30F8BB"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 xml:space="preserve">As logic evolves incrementally, </w:t>
      </w:r>
      <w:r w:rsidR="00275F79" w:rsidRPr="00DD1213">
        <w:rPr>
          <w:rFonts w:ascii="Times New Roman" w:hAnsi="Times New Roman" w:cs="Times New Roman"/>
        </w:rPr>
        <w:t>structural coverage results may vary across successive builds</w:t>
      </w:r>
      <w:r w:rsidRPr="00DD1213">
        <w:rPr>
          <w:rFonts w:ascii="Times New Roman" w:hAnsi="Times New Roman" w:cs="Times New Roman"/>
        </w:rPr>
        <w:t xml:space="preserve"> [1][4]. Coverage achieved in early builds may regress following refactoring or integration </w:t>
      </w:r>
      <w:proofErr w:type="gramStart"/>
      <w:r w:rsidRPr="00DD1213">
        <w:rPr>
          <w:rFonts w:ascii="Times New Roman" w:hAnsi="Times New Roman" w:cs="Times New Roman"/>
        </w:rPr>
        <w:t>merges</w:t>
      </w:r>
      <w:proofErr w:type="gramEnd"/>
      <w:r w:rsidRPr="00DD1213">
        <w:rPr>
          <w:rFonts w:ascii="Times New Roman" w:hAnsi="Times New Roman" w:cs="Times New Roman"/>
        </w:rPr>
        <w:t>. Without synchronized tracking against stable baselines, apparent completeness can be misleading.</w:t>
      </w:r>
    </w:p>
    <w:p w14:paraId="12741536" w14:textId="63B97152"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Change Impact Underestimation</w:t>
      </w:r>
    </w:p>
    <w:p w14:paraId="0A5E862C"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Iterative backlog refinement may treat changes as localized adjustments [9]. In tightly coupled embedded architectures, modifications can propagate across modules and interfaces. Insufficient impact analysis leads to incomplete regression scope [10][11].</w:t>
      </w:r>
    </w:p>
    <w:p w14:paraId="356515AB" w14:textId="376CA021"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Toolchain Governance Volatility</w:t>
      </w:r>
    </w:p>
    <w:p w14:paraId="01FD1EA3"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Continuous integration environments rely heavily on automation. Frequent tool updates, if not governed, can undermine previously established qualification assumptions and introduce compliance instability [4][7].</w:t>
      </w:r>
    </w:p>
    <w:p w14:paraId="3CA337A5" w14:textId="60CB02D9" w:rsidR="00AD7F55" w:rsidRPr="00DD1213" w:rsidRDefault="00AD7F55" w:rsidP="00DD1213">
      <w:pPr>
        <w:spacing w:before="240" w:after="240" w:line="240" w:lineRule="auto"/>
        <w:rPr>
          <w:rFonts w:ascii="Times New Roman" w:hAnsi="Times New Roman" w:cs="Times New Roman"/>
          <w:b/>
          <w:bCs/>
        </w:rPr>
      </w:pPr>
      <w:r w:rsidRPr="00DD1213">
        <w:rPr>
          <w:rFonts w:ascii="Times New Roman" w:hAnsi="Times New Roman" w:cs="Times New Roman"/>
          <w:b/>
          <w:bCs/>
        </w:rPr>
        <w:t>System–Software Integration Misalignment</w:t>
      </w:r>
    </w:p>
    <w:p w14:paraId="5C9A87A9" w14:textId="77777777" w:rsidR="00AD7F55" w:rsidRPr="00DD1213" w:rsidRDefault="00AD7F55" w:rsidP="00DD1213">
      <w:pPr>
        <w:spacing w:before="240" w:after="240" w:line="240" w:lineRule="auto"/>
        <w:jc w:val="both"/>
        <w:rPr>
          <w:rFonts w:ascii="Times New Roman" w:hAnsi="Times New Roman" w:cs="Times New Roman"/>
        </w:rPr>
      </w:pPr>
      <w:r w:rsidRPr="00DD1213">
        <w:rPr>
          <w:rFonts w:ascii="Times New Roman" w:hAnsi="Times New Roman" w:cs="Times New Roman"/>
        </w:rPr>
        <w:t>A recurring challenge in Agile adoption within safety-critical airborne programs is the misalignment between system engineering and software development activities. System-level requirements are often defined, decomposed, and managed within separate organizational and process structures, frequently operating with different lifecycle cadences and traceability mechanisms.</w:t>
      </w:r>
    </w:p>
    <w:p w14:paraId="2F534C9E" w14:textId="77777777" w:rsidR="00AD7F55" w:rsidRPr="00DD1213" w:rsidRDefault="00AD7F55" w:rsidP="00DD1213">
      <w:pPr>
        <w:spacing w:before="240" w:after="240" w:line="240" w:lineRule="auto"/>
        <w:jc w:val="both"/>
        <w:rPr>
          <w:rFonts w:ascii="Times New Roman" w:hAnsi="Times New Roman" w:cs="Times New Roman"/>
        </w:rPr>
      </w:pPr>
      <w:r w:rsidRPr="00DD1213">
        <w:rPr>
          <w:rFonts w:ascii="Times New Roman" w:hAnsi="Times New Roman" w:cs="Times New Roman"/>
        </w:rPr>
        <w:t>In the absence of structured integration, Agile iterations at the software level may proceed without synchronized alignment to evolving system requirements. This disconnect can result in:</w:t>
      </w:r>
    </w:p>
    <w:p w14:paraId="29AF044B" w14:textId="77777777" w:rsidR="00AD7F55" w:rsidRPr="00DD1213" w:rsidRDefault="00AD7F55" w:rsidP="00DD1213">
      <w:pPr>
        <w:numPr>
          <w:ilvl w:val="0"/>
          <w:numId w:val="18"/>
        </w:numPr>
        <w:spacing w:before="240" w:after="240" w:line="240" w:lineRule="auto"/>
        <w:jc w:val="both"/>
        <w:rPr>
          <w:rFonts w:ascii="Times New Roman" w:hAnsi="Times New Roman" w:cs="Times New Roman"/>
        </w:rPr>
      </w:pPr>
      <w:r w:rsidRPr="00DD1213">
        <w:rPr>
          <w:rFonts w:ascii="Times New Roman" w:hAnsi="Times New Roman" w:cs="Times New Roman"/>
        </w:rPr>
        <w:lastRenderedPageBreak/>
        <w:t xml:space="preserve">Incomplete or inconsistent requirement decomposition across system and software levels </w:t>
      </w:r>
    </w:p>
    <w:p w14:paraId="3A44823F" w14:textId="77777777" w:rsidR="00AD7F55" w:rsidRPr="00DD1213" w:rsidRDefault="00AD7F55" w:rsidP="00DD1213">
      <w:pPr>
        <w:numPr>
          <w:ilvl w:val="0"/>
          <w:numId w:val="1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Gaps in end-to-end traceability between system requirements, software design, and verification artifacts </w:t>
      </w:r>
    </w:p>
    <w:p w14:paraId="71456BEC" w14:textId="77777777" w:rsidR="00AD7F55" w:rsidRPr="00DD1213" w:rsidRDefault="00AD7F55" w:rsidP="00DD1213">
      <w:pPr>
        <w:numPr>
          <w:ilvl w:val="0"/>
          <w:numId w:val="1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Delayed identification of integration and interface issues </w:t>
      </w:r>
    </w:p>
    <w:p w14:paraId="0F4A300D" w14:textId="77777777" w:rsidR="00AD7F55" w:rsidRPr="00DD1213" w:rsidRDefault="00AD7F55" w:rsidP="00DD1213">
      <w:pPr>
        <w:numPr>
          <w:ilvl w:val="0"/>
          <w:numId w:val="1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Increased certification risk due to fragmented and non-cohesive compliance evidence </w:t>
      </w:r>
    </w:p>
    <w:p w14:paraId="2C222B2E" w14:textId="77777777" w:rsidR="00AD7F55" w:rsidRPr="00DD1213" w:rsidRDefault="00AD7F55" w:rsidP="00DD1213">
      <w:pPr>
        <w:spacing w:before="240" w:after="240" w:line="240" w:lineRule="auto"/>
        <w:jc w:val="both"/>
        <w:rPr>
          <w:rFonts w:ascii="Times New Roman" w:hAnsi="Times New Roman" w:cs="Times New Roman"/>
        </w:rPr>
      </w:pPr>
      <w:r w:rsidRPr="00DD1213">
        <w:rPr>
          <w:rFonts w:ascii="Times New Roman" w:hAnsi="Times New Roman" w:cs="Times New Roman"/>
        </w:rPr>
        <w:t>As a result, organizations may revert to sequential development approaches to regain control over traceability and verification alignment, thereby limiting the effective adoption of Agile practices in safety-critical environments.</w:t>
      </w:r>
    </w:p>
    <w:p w14:paraId="5234000D" w14:textId="2AC66269" w:rsidR="00F71EB7" w:rsidRPr="00DD1213" w:rsidRDefault="00F71EB7" w:rsidP="00DD1213">
      <w:pPr>
        <w:spacing w:before="240" w:after="240" w:line="240" w:lineRule="auto"/>
        <w:rPr>
          <w:rFonts w:ascii="Times New Roman" w:hAnsi="Times New Roman" w:cs="Times New Roman"/>
          <w:b/>
          <w:bCs/>
        </w:rPr>
      </w:pPr>
      <w:r w:rsidRPr="00DD1213">
        <w:rPr>
          <w:rFonts w:ascii="Times New Roman" w:hAnsi="Times New Roman" w:cs="Times New Roman"/>
          <w:b/>
          <w:bCs/>
        </w:rPr>
        <w:t>Comparison with Existing Approaches</w:t>
      </w:r>
    </w:p>
    <w:p w14:paraId="2FF2DA33" w14:textId="77777777" w:rsidR="00F71EB7" w:rsidRPr="00DD1213" w:rsidRDefault="00F71EB7" w:rsidP="00DD1213">
      <w:pPr>
        <w:spacing w:before="240" w:after="240" w:line="240" w:lineRule="auto"/>
        <w:jc w:val="both"/>
        <w:rPr>
          <w:rFonts w:ascii="Times New Roman" w:hAnsi="Times New Roman" w:cs="Times New Roman"/>
        </w:rPr>
      </w:pPr>
      <w:r w:rsidRPr="00DD1213">
        <w:rPr>
          <w:rFonts w:ascii="Times New Roman" w:hAnsi="Times New Roman" w:cs="Times New Roman"/>
        </w:rPr>
        <w:t>Existing approaches to integrating Agile development with safety-critical certification generally fall into three categories. The proposed framework differs by focusing on process-level integration of assurance objectives, ensuring that compliance is continuously achieved independent of lifecycle model or tooling strategy.</w:t>
      </w:r>
    </w:p>
    <w:p w14:paraId="09B103D5" w14:textId="512188BE" w:rsidR="00BC081A" w:rsidRPr="00DD1213" w:rsidRDefault="00CE7A8C" w:rsidP="00DD1213">
      <w:pPr>
        <w:spacing w:before="240" w:after="240" w:line="240" w:lineRule="auto"/>
        <w:jc w:val="center"/>
        <w:rPr>
          <w:rFonts w:ascii="Times New Roman" w:hAnsi="Times New Roman" w:cs="Times New Roman"/>
        </w:rPr>
      </w:pPr>
      <w:r w:rsidRPr="00DD1213">
        <w:rPr>
          <w:rFonts w:ascii="Times New Roman" w:hAnsi="Times New Roman" w:cs="Times New Roman"/>
        </w:rPr>
        <w:t>Table I: Comparison of Agile–Certification Integration Approaches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47"/>
        <w:gridCol w:w="3120"/>
        <w:gridCol w:w="2457"/>
        <w:gridCol w:w="2862"/>
      </w:tblGrid>
      <w:tr w:rsidR="00EB7783" w:rsidRPr="00DD1213" w14:paraId="1FE7529D" w14:textId="77777777" w:rsidTr="006D3722">
        <w:trPr>
          <w:tblHeader/>
          <w:tblCellSpacing w:w="15" w:type="dxa"/>
        </w:trPr>
        <w:tc>
          <w:tcPr>
            <w:tcW w:w="0" w:type="auto"/>
            <w:vAlign w:val="center"/>
            <w:hideMark/>
          </w:tcPr>
          <w:p w14:paraId="62168BA1" w14:textId="77777777" w:rsidR="00EB7783" w:rsidRPr="00DD1213" w:rsidRDefault="00EB7783" w:rsidP="00DD1213">
            <w:pPr>
              <w:spacing w:before="240" w:after="240" w:line="240" w:lineRule="auto"/>
              <w:jc w:val="both"/>
              <w:rPr>
                <w:rFonts w:ascii="Times New Roman" w:hAnsi="Times New Roman" w:cs="Times New Roman"/>
                <w:b/>
                <w:bCs/>
              </w:rPr>
            </w:pPr>
            <w:r w:rsidRPr="00DD1213">
              <w:rPr>
                <w:rFonts w:ascii="Times New Roman" w:hAnsi="Times New Roman" w:cs="Times New Roman"/>
                <w:b/>
                <w:bCs/>
              </w:rPr>
              <w:t>Approach</w:t>
            </w:r>
          </w:p>
        </w:tc>
        <w:tc>
          <w:tcPr>
            <w:tcW w:w="0" w:type="auto"/>
            <w:vAlign w:val="center"/>
            <w:hideMark/>
          </w:tcPr>
          <w:p w14:paraId="15F78E29" w14:textId="77777777" w:rsidR="00EB7783" w:rsidRPr="00DD1213" w:rsidRDefault="00EB7783" w:rsidP="00DD1213">
            <w:pPr>
              <w:spacing w:before="240" w:after="240" w:line="240" w:lineRule="auto"/>
              <w:jc w:val="both"/>
              <w:rPr>
                <w:rFonts w:ascii="Times New Roman" w:hAnsi="Times New Roman" w:cs="Times New Roman"/>
                <w:b/>
                <w:bCs/>
              </w:rPr>
            </w:pPr>
            <w:r w:rsidRPr="00DD1213">
              <w:rPr>
                <w:rFonts w:ascii="Times New Roman" w:hAnsi="Times New Roman" w:cs="Times New Roman"/>
                <w:b/>
                <w:bCs/>
              </w:rPr>
              <w:t>Key Characteristics</w:t>
            </w:r>
          </w:p>
        </w:tc>
        <w:tc>
          <w:tcPr>
            <w:tcW w:w="0" w:type="auto"/>
            <w:vAlign w:val="center"/>
            <w:hideMark/>
          </w:tcPr>
          <w:p w14:paraId="5515793C" w14:textId="77777777" w:rsidR="00EB7783" w:rsidRPr="00DD1213" w:rsidRDefault="00EB7783" w:rsidP="00DD1213">
            <w:pPr>
              <w:spacing w:before="240" w:after="240" w:line="240" w:lineRule="auto"/>
              <w:jc w:val="both"/>
              <w:rPr>
                <w:rFonts w:ascii="Times New Roman" w:hAnsi="Times New Roman" w:cs="Times New Roman"/>
                <w:b/>
                <w:bCs/>
              </w:rPr>
            </w:pPr>
            <w:r w:rsidRPr="00DD1213">
              <w:rPr>
                <w:rFonts w:ascii="Times New Roman" w:hAnsi="Times New Roman" w:cs="Times New Roman"/>
                <w:b/>
                <w:bCs/>
              </w:rPr>
              <w:t>Limitations</w:t>
            </w:r>
          </w:p>
        </w:tc>
        <w:tc>
          <w:tcPr>
            <w:tcW w:w="0" w:type="auto"/>
            <w:vAlign w:val="center"/>
            <w:hideMark/>
          </w:tcPr>
          <w:p w14:paraId="33D8D16F" w14:textId="77777777" w:rsidR="00EB7783" w:rsidRPr="00DD1213" w:rsidRDefault="00EB7783" w:rsidP="00DD1213">
            <w:pPr>
              <w:spacing w:before="240" w:after="240" w:line="240" w:lineRule="auto"/>
              <w:jc w:val="both"/>
              <w:rPr>
                <w:rFonts w:ascii="Times New Roman" w:hAnsi="Times New Roman" w:cs="Times New Roman"/>
                <w:b/>
                <w:bCs/>
              </w:rPr>
            </w:pPr>
            <w:r w:rsidRPr="00DD1213">
              <w:rPr>
                <w:rFonts w:ascii="Times New Roman" w:hAnsi="Times New Roman" w:cs="Times New Roman"/>
                <w:b/>
                <w:bCs/>
              </w:rPr>
              <w:t>Incremental Assurance Framework Advantage</w:t>
            </w:r>
          </w:p>
        </w:tc>
      </w:tr>
      <w:tr w:rsidR="00EB7783" w:rsidRPr="00DD1213" w14:paraId="5C227E0C" w14:textId="77777777" w:rsidTr="006D3722">
        <w:trPr>
          <w:tblCellSpacing w:w="15" w:type="dxa"/>
        </w:trPr>
        <w:tc>
          <w:tcPr>
            <w:tcW w:w="0" w:type="auto"/>
            <w:vAlign w:val="center"/>
            <w:hideMark/>
          </w:tcPr>
          <w:p w14:paraId="085908DC"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Traditional DO-178C Lifecycle</w:t>
            </w:r>
          </w:p>
        </w:tc>
        <w:tc>
          <w:tcPr>
            <w:tcW w:w="0" w:type="auto"/>
            <w:vAlign w:val="center"/>
            <w:hideMark/>
          </w:tcPr>
          <w:p w14:paraId="5AB59FC2"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Sequential, milestone-driven compliance</w:t>
            </w:r>
          </w:p>
        </w:tc>
        <w:tc>
          <w:tcPr>
            <w:tcW w:w="0" w:type="auto"/>
            <w:vAlign w:val="center"/>
            <w:hideMark/>
          </w:tcPr>
          <w:p w14:paraId="04BECC64"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Late validation, high rework risk</w:t>
            </w:r>
          </w:p>
        </w:tc>
        <w:tc>
          <w:tcPr>
            <w:tcW w:w="0" w:type="auto"/>
            <w:vAlign w:val="center"/>
            <w:hideMark/>
          </w:tcPr>
          <w:p w14:paraId="26B3D5EC"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Enables continuous objective closure</w:t>
            </w:r>
          </w:p>
        </w:tc>
      </w:tr>
      <w:tr w:rsidR="00EB7783" w:rsidRPr="00DD1213" w14:paraId="7AF663F4" w14:textId="77777777" w:rsidTr="006D3722">
        <w:trPr>
          <w:tblCellSpacing w:w="15" w:type="dxa"/>
        </w:trPr>
        <w:tc>
          <w:tcPr>
            <w:tcW w:w="0" w:type="auto"/>
            <w:vAlign w:val="center"/>
            <w:hideMark/>
          </w:tcPr>
          <w:p w14:paraId="324A7EDB"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Generic Agile Adoption</w:t>
            </w:r>
          </w:p>
        </w:tc>
        <w:tc>
          <w:tcPr>
            <w:tcW w:w="0" w:type="auto"/>
            <w:vAlign w:val="center"/>
            <w:hideMark/>
          </w:tcPr>
          <w:p w14:paraId="6EF171FF"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Iterative development without certification mapping</w:t>
            </w:r>
          </w:p>
        </w:tc>
        <w:tc>
          <w:tcPr>
            <w:tcW w:w="0" w:type="auto"/>
            <w:vAlign w:val="center"/>
            <w:hideMark/>
          </w:tcPr>
          <w:p w14:paraId="3FAF26B1"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Certification gaps, compliance debt</w:t>
            </w:r>
          </w:p>
        </w:tc>
        <w:tc>
          <w:tcPr>
            <w:tcW w:w="0" w:type="auto"/>
            <w:vAlign w:val="center"/>
            <w:hideMark/>
          </w:tcPr>
          <w:p w14:paraId="3D6C333C"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Embeds assurance into iteration workflow</w:t>
            </w:r>
          </w:p>
        </w:tc>
      </w:tr>
      <w:tr w:rsidR="00EB7783" w:rsidRPr="00DD1213" w14:paraId="6E642477" w14:textId="77777777" w:rsidTr="006D3722">
        <w:trPr>
          <w:tblCellSpacing w:w="15" w:type="dxa"/>
        </w:trPr>
        <w:tc>
          <w:tcPr>
            <w:tcW w:w="0" w:type="auto"/>
            <w:vAlign w:val="center"/>
            <w:hideMark/>
          </w:tcPr>
          <w:p w14:paraId="59657BB4"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Model-Based Approaches (DO-331)</w:t>
            </w:r>
          </w:p>
        </w:tc>
        <w:tc>
          <w:tcPr>
            <w:tcW w:w="0" w:type="auto"/>
            <w:vAlign w:val="center"/>
            <w:hideMark/>
          </w:tcPr>
          <w:p w14:paraId="2547902B"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Tool-supported development and verification</w:t>
            </w:r>
          </w:p>
        </w:tc>
        <w:tc>
          <w:tcPr>
            <w:tcW w:w="0" w:type="auto"/>
            <w:vAlign w:val="center"/>
            <w:hideMark/>
          </w:tcPr>
          <w:p w14:paraId="45728B0D"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Tool dependency, integration complexity</w:t>
            </w:r>
          </w:p>
        </w:tc>
        <w:tc>
          <w:tcPr>
            <w:tcW w:w="0" w:type="auto"/>
            <w:vAlign w:val="center"/>
            <w:hideMark/>
          </w:tcPr>
          <w:p w14:paraId="564D4BDC" w14:textId="77777777" w:rsidR="00EB7783" w:rsidRPr="00DD1213" w:rsidRDefault="00EB7783" w:rsidP="00DD1213">
            <w:pPr>
              <w:spacing w:before="240" w:after="240" w:line="240" w:lineRule="auto"/>
              <w:rPr>
                <w:rFonts w:ascii="Times New Roman" w:hAnsi="Times New Roman" w:cs="Times New Roman"/>
              </w:rPr>
            </w:pPr>
            <w:r w:rsidRPr="00DD1213">
              <w:rPr>
                <w:rFonts w:ascii="Times New Roman" w:hAnsi="Times New Roman" w:cs="Times New Roman"/>
              </w:rPr>
              <w:t>Process-driven, tool-agnostic integration</w:t>
            </w:r>
          </w:p>
        </w:tc>
      </w:tr>
    </w:tbl>
    <w:p w14:paraId="497A9AAB" w14:textId="4A0F0007" w:rsidR="00602C7A" w:rsidRPr="00DD1213" w:rsidRDefault="006B4E6D" w:rsidP="00DD1213">
      <w:pPr>
        <w:spacing w:before="240" w:after="240" w:line="240" w:lineRule="auto"/>
        <w:rPr>
          <w:rFonts w:ascii="Times New Roman" w:hAnsi="Times New Roman" w:cs="Times New Roman"/>
          <w:b/>
          <w:bCs/>
          <w:sz w:val="28"/>
          <w:szCs w:val="28"/>
        </w:rPr>
      </w:pPr>
      <w:r w:rsidRPr="00DD1213">
        <w:rPr>
          <w:rFonts w:ascii="Times New Roman" w:hAnsi="Times New Roman" w:cs="Times New Roman"/>
          <w:b/>
          <w:bCs/>
          <w:sz w:val="28"/>
          <w:szCs w:val="28"/>
        </w:rPr>
        <w:t>INCREMENTAL ASSURANCE FRAMEWORK</w:t>
      </w:r>
    </w:p>
    <w:p w14:paraId="3B3B9679" w14:textId="71B8A5D2" w:rsidR="00C939A5" w:rsidRPr="00DD1213" w:rsidRDefault="00ED4A94" w:rsidP="00DD1213">
      <w:pPr>
        <w:spacing w:before="240" w:after="240" w:line="240" w:lineRule="auto"/>
        <w:jc w:val="both"/>
        <w:rPr>
          <w:rFonts w:ascii="Times New Roman" w:hAnsi="Times New Roman" w:cs="Times New Roman"/>
        </w:rPr>
      </w:pPr>
      <w:r w:rsidRPr="00DD1213">
        <w:rPr>
          <w:rFonts w:ascii="Times New Roman" w:hAnsi="Times New Roman" w:cs="Times New Roman"/>
        </w:rPr>
        <w:t>To address these risks, a structured framework is proposed based on three pillars [9][10]. Fig. 1 illustrates how the Incremental Assurance Framework integrates certification objectives within Agile iterations to achieve continuous compliance.</w:t>
      </w:r>
    </w:p>
    <w:p w14:paraId="0AC811DB" w14:textId="0DCB958F" w:rsidR="00B54EA1" w:rsidRPr="00DD1213" w:rsidRDefault="00B54EA1" w:rsidP="00DD1213">
      <w:pPr>
        <w:spacing w:before="240" w:after="240" w:line="240" w:lineRule="auto"/>
        <w:jc w:val="both"/>
        <w:rPr>
          <w:rFonts w:ascii="Times New Roman" w:hAnsi="Times New Roman" w:cs="Times New Roman"/>
          <w:b/>
          <w:bCs/>
        </w:rPr>
      </w:pPr>
      <w:r w:rsidRPr="00DD1213">
        <w:rPr>
          <w:rFonts w:ascii="Times New Roman" w:hAnsi="Times New Roman" w:cs="Times New Roman"/>
          <w:b/>
          <w:bCs/>
          <w:noProof/>
        </w:rPr>
        <w:lastRenderedPageBreak/>
        <w:drawing>
          <wp:inline distT="0" distB="0" distL="0" distR="0" wp14:anchorId="6B613200" wp14:editId="0A8017D4">
            <wp:extent cx="5807528" cy="3429895"/>
            <wp:effectExtent l="0" t="0" r="3175" b="0"/>
            <wp:docPr id="1539646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8036" cy="3436101"/>
                    </a:xfrm>
                    <a:prstGeom prst="rect">
                      <a:avLst/>
                    </a:prstGeom>
                    <a:noFill/>
                    <a:ln>
                      <a:noFill/>
                    </a:ln>
                  </pic:spPr>
                </pic:pic>
              </a:graphicData>
            </a:graphic>
          </wp:inline>
        </w:drawing>
      </w:r>
    </w:p>
    <w:p w14:paraId="7DA89BF8" w14:textId="5C2D89BB" w:rsidR="0037272F" w:rsidRPr="00DD1213" w:rsidRDefault="0037272F" w:rsidP="00DD1213">
      <w:pPr>
        <w:spacing w:before="240" w:after="240" w:line="240" w:lineRule="auto"/>
        <w:jc w:val="both"/>
        <w:rPr>
          <w:rFonts w:ascii="Times New Roman" w:hAnsi="Times New Roman" w:cs="Times New Roman"/>
        </w:rPr>
      </w:pPr>
      <w:r w:rsidRPr="00DD1213">
        <w:rPr>
          <w:rFonts w:ascii="Times New Roman" w:hAnsi="Times New Roman" w:cs="Times New Roman"/>
        </w:rPr>
        <w:t>Fig. 1</w:t>
      </w:r>
      <w:r w:rsidR="00EF58C9" w:rsidRPr="00DD1213">
        <w:rPr>
          <w:rFonts w:ascii="Times New Roman" w:hAnsi="Times New Roman" w:cs="Times New Roman"/>
        </w:rPr>
        <w:t>.</w:t>
      </w:r>
      <w:r w:rsidRPr="00DD1213">
        <w:rPr>
          <w:rFonts w:ascii="Times New Roman" w:hAnsi="Times New Roman" w:cs="Times New Roman"/>
        </w:rPr>
        <w:t xml:space="preserve"> Incremental Assurance Framework integration of certification objectives with Agile iteration, illustrating continuous compliance achievement.</w:t>
      </w:r>
    </w:p>
    <w:p w14:paraId="6E711FE5" w14:textId="79942667" w:rsidR="00527A2F" w:rsidRPr="00DD1213" w:rsidRDefault="003B5CF5" w:rsidP="00DD1213">
      <w:pPr>
        <w:spacing w:before="240" w:after="240" w:line="240" w:lineRule="auto"/>
        <w:jc w:val="both"/>
        <w:rPr>
          <w:rFonts w:ascii="Times New Roman" w:hAnsi="Times New Roman" w:cs="Times New Roman"/>
        </w:rPr>
      </w:pPr>
      <w:r w:rsidRPr="00DD1213">
        <w:rPr>
          <w:rFonts w:ascii="Times New Roman" w:hAnsi="Times New Roman" w:cs="Times New Roman"/>
        </w:rPr>
        <w:t>Fig. 1 emphasizes the continuous alignment between development increments and certification objectives, demonstrating how assurance activities are performed within each iteration rather than deferred to milestone phases.</w:t>
      </w:r>
    </w:p>
    <w:p w14:paraId="77B25DAB" w14:textId="2CBBA442"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Pillar I – Incremental Objective Closure</w:t>
      </w:r>
    </w:p>
    <w:p w14:paraId="10C05FF6"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Each iteration must close applicable assurance objectives associated with the functionality introduced during that increment [1][2][4].</w:t>
      </w:r>
    </w:p>
    <w:p w14:paraId="3F2E1724"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A certification-aware Definition of Done includes:</w:t>
      </w:r>
    </w:p>
    <w:p w14:paraId="663A9173" w14:textId="77777777" w:rsidR="00602C7A" w:rsidRPr="00DD1213" w:rsidRDefault="00602C7A" w:rsidP="00DD1213">
      <w:pPr>
        <w:numPr>
          <w:ilvl w:val="0"/>
          <w:numId w:val="3"/>
        </w:numPr>
        <w:spacing w:before="240" w:after="240" w:line="240" w:lineRule="auto"/>
        <w:jc w:val="both"/>
        <w:rPr>
          <w:rFonts w:ascii="Times New Roman" w:hAnsi="Times New Roman" w:cs="Times New Roman"/>
        </w:rPr>
      </w:pPr>
      <w:r w:rsidRPr="00DD1213">
        <w:rPr>
          <w:rFonts w:ascii="Times New Roman" w:hAnsi="Times New Roman" w:cs="Times New Roman"/>
        </w:rPr>
        <w:t>Requirements formally reviewed and controlled [1][2]</w:t>
      </w:r>
    </w:p>
    <w:p w14:paraId="6FEACCA7" w14:textId="77777777" w:rsidR="00602C7A" w:rsidRPr="00DD1213" w:rsidRDefault="00602C7A" w:rsidP="00DD1213">
      <w:pPr>
        <w:numPr>
          <w:ilvl w:val="0"/>
          <w:numId w:val="3"/>
        </w:numPr>
        <w:spacing w:before="240" w:after="240" w:line="240" w:lineRule="auto"/>
        <w:jc w:val="both"/>
        <w:rPr>
          <w:rFonts w:ascii="Times New Roman" w:hAnsi="Times New Roman" w:cs="Times New Roman"/>
        </w:rPr>
      </w:pPr>
      <w:r w:rsidRPr="00DD1213">
        <w:rPr>
          <w:rFonts w:ascii="Times New Roman" w:hAnsi="Times New Roman" w:cs="Times New Roman"/>
        </w:rPr>
        <w:t>Trace relationships updated and validated [1][4]</w:t>
      </w:r>
    </w:p>
    <w:p w14:paraId="1DBA27BE" w14:textId="77777777" w:rsidR="00602C7A" w:rsidRPr="00DD1213" w:rsidRDefault="00602C7A" w:rsidP="00DD1213">
      <w:pPr>
        <w:numPr>
          <w:ilvl w:val="0"/>
          <w:numId w:val="3"/>
        </w:numPr>
        <w:spacing w:before="240" w:after="240" w:line="240" w:lineRule="auto"/>
        <w:jc w:val="both"/>
        <w:rPr>
          <w:rFonts w:ascii="Times New Roman" w:hAnsi="Times New Roman" w:cs="Times New Roman"/>
        </w:rPr>
      </w:pPr>
      <w:r w:rsidRPr="00DD1213">
        <w:rPr>
          <w:rFonts w:ascii="Times New Roman" w:hAnsi="Times New Roman" w:cs="Times New Roman"/>
        </w:rPr>
        <w:t>Code compliant with defined standards [1][2]</w:t>
      </w:r>
    </w:p>
    <w:p w14:paraId="09936E48" w14:textId="77777777" w:rsidR="00602C7A" w:rsidRPr="00DD1213" w:rsidRDefault="00602C7A" w:rsidP="00DD1213">
      <w:pPr>
        <w:numPr>
          <w:ilvl w:val="0"/>
          <w:numId w:val="3"/>
        </w:numPr>
        <w:spacing w:before="240" w:after="240" w:line="240" w:lineRule="auto"/>
        <w:jc w:val="both"/>
        <w:rPr>
          <w:rFonts w:ascii="Times New Roman" w:hAnsi="Times New Roman" w:cs="Times New Roman"/>
        </w:rPr>
      </w:pPr>
      <w:r w:rsidRPr="00DD1213">
        <w:rPr>
          <w:rFonts w:ascii="Times New Roman" w:hAnsi="Times New Roman" w:cs="Times New Roman"/>
        </w:rPr>
        <w:t>Independent verification completed [1][4]</w:t>
      </w:r>
    </w:p>
    <w:p w14:paraId="77FA73DB" w14:textId="77777777" w:rsidR="00602C7A" w:rsidRPr="00DD1213" w:rsidRDefault="00602C7A" w:rsidP="00DD1213">
      <w:pPr>
        <w:numPr>
          <w:ilvl w:val="0"/>
          <w:numId w:val="3"/>
        </w:numPr>
        <w:spacing w:before="240" w:after="240" w:line="240" w:lineRule="auto"/>
        <w:jc w:val="both"/>
        <w:rPr>
          <w:rFonts w:ascii="Times New Roman" w:hAnsi="Times New Roman" w:cs="Times New Roman"/>
        </w:rPr>
      </w:pPr>
      <w:r w:rsidRPr="00DD1213">
        <w:rPr>
          <w:rFonts w:ascii="Times New Roman" w:hAnsi="Times New Roman" w:cs="Times New Roman"/>
        </w:rPr>
        <w:t>Structural coverage impact evaluated [1][4]</w:t>
      </w:r>
    </w:p>
    <w:p w14:paraId="5E3B7F22" w14:textId="77777777" w:rsidR="00602C7A" w:rsidRPr="00DD1213" w:rsidRDefault="00602C7A" w:rsidP="00DD1213">
      <w:pPr>
        <w:numPr>
          <w:ilvl w:val="0"/>
          <w:numId w:val="3"/>
        </w:numPr>
        <w:spacing w:before="240" w:after="240" w:line="240" w:lineRule="auto"/>
        <w:jc w:val="both"/>
        <w:rPr>
          <w:rFonts w:ascii="Times New Roman" w:hAnsi="Times New Roman" w:cs="Times New Roman"/>
        </w:rPr>
      </w:pPr>
      <w:r w:rsidRPr="00DD1213">
        <w:rPr>
          <w:rFonts w:ascii="Times New Roman" w:hAnsi="Times New Roman" w:cs="Times New Roman"/>
        </w:rPr>
        <w:t>Configuration items baselined [1][2]</w:t>
      </w:r>
    </w:p>
    <w:p w14:paraId="2B892ED1"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Compliance becomes a continuous activity rather than a deferred consolidation phase [9][10].</w:t>
      </w:r>
    </w:p>
    <w:p w14:paraId="4FBBD3F4" w14:textId="5F17ED9A"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Pillar II – Controlled Change Governance</w:t>
      </w:r>
    </w:p>
    <w:p w14:paraId="73BF12E7"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Requirement and design modifications must flow through a structured impact workflow integrated with Agile backlog processes [9][10]:</w:t>
      </w:r>
    </w:p>
    <w:p w14:paraId="04450AE7" w14:textId="77777777" w:rsidR="00602C7A" w:rsidRPr="00DD1213" w:rsidRDefault="00602C7A" w:rsidP="00DD1213">
      <w:pPr>
        <w:numPr>
          <w:ilvl w:val="0"/>
          <w:numId w:val="4"/>
        </w:numPr>
        <w:spacing w:before="240" w:after="240" w:line="240" w:lineRule="auto"/>
        <w:jc w:val="both"/>
        <w:rPr>
          <w:rFonts w:ascii="Times New Roman" w:hAnsi="Times New Roman" w:cs="Times New Roman"/>
        </w:rPr>
      </w:pPr>
      <w:r w:rsidRPr="00DD1213">
        <w:rPr>
          <w:rFonts w:ascii="Times New Roman" w:hAnsi="Times New Roman" w:cs="Times New Roman"/>
        </w:rPr>
        <w:t>Formal change identification</w:t>
      </w:r>
    </w:p>
    <w:p w14:paraId="67BFF172" w14:textId="77777777" w:rsidR="00602C7A" w:rsidRPr="00DD1213" w:rsidRDefault="00602C7A" w:rsidP="00DD1213">
      <w:pPr>
        <w:numPr>
          <w:ilvl w:val="0"/>
          <w:numId w:val="4"/>
        </w:numPr>
        <w:spacing w:before="240" w:after="240" w:line="240" w:lineRule="auto"/>
        <w:jc w:val="both"/>
        <w:rPr>
          <w:rFonts w:ascii="Times New Roman" w:hAnsi="Times New Roman" w:cs="Times New Roman"/>
        </w:rPr>
      </w:pPr>
      <w:r w:rsidRPr="00DD1213">
        <w:rPr>
          <w:rFonts w:ascii="Times New Roman" w:hAnsi="Times New Roman" w:cs="Times New Roman"/>
        </w:rPr>
        <w:t>Cross-artifact impact assessment</w:t>
      </w:r>
    </w:p>
    <w:p w14:paraId="499E7EBA" w14:textId="77777777" w:rsidR="00602C7A" w:rsidRPr="00DD1213" w:rsidRDefault="00602C7A" w:rsidP="00DD1213">
      <w:pPr>
        <w:numPr>
          <w:ilvl w:val="0"/>
          <w:numId w:val="4"/>
        </w:numPr>
        <w:spacing w:before="240" w:after="240" w:line="240" w:lineRule="auto"/>
        <w:jc w:val="both"/>
        <w:rPr>
          <w:rFonts w:ascii="Times New Roman" w:hAnsi="Times New Roman" w:cs="Times New Roman"/>
        </w:rPr>
      </w:pPr>
      <w:r w:rsidRPr="00DD1213">
        <w:rPr>
          <w:rFonts w:ascii="Times New Roman" w:hAnsi="Times New Roman" w:cs="Times New Roman"/>
        </w:rPr>
        <w:lastRenderedPageBreak/>
        <w:t>Trace validation update</w:t>
      </w:r>
    </w:p>
    <w:p w14:paraId="60707704" w14:textId="77777777" w:rsidR="00602C7A" w:rsidRPr="00DD1213" w:rsidRDefault="00602C7A" w:rsidP="00DD1213">
      <w:pPr>
        <w:numPr>
          <w:ilvl w:val="0"/>
          <w:numId w:val="4"/>
        </w:numPr>
        <w:spacing w:before="240" w:after="240" w:line="240" w:lineRule="auto"/>
        <w:jc w:val="both"/>
        <w:rPr>
          <w:rFonts w:ascii="Times New Roman" w:hAnsi="Times New Roman" w:cs="Times New Roman"/>
        </w:rPr>
      </w:pPr>
      <w:r w:rsidRPr="00DD1213">
        <w:rPr>
          <w:rFonts w:ascii="Times New Roman" w:hAnsi="Times New Roman" w:cs="Times New Roman"/>
        </w:rPr>
        <w:t>Regression scope determination</w:t>
      </w:r>
    </w:p>
    <w:p w14:paraId="5592BF4D" w14:textId="77777777" w:rsidR="00602C7A" w:rsidRPr="00DD1213" w:rsidRDefault="00602C7A" w:rsidP="00DD1213">
      <w:pPr>
        <w:numPr>
          <w:ilvl w:val="0"/>
          <w:numId w:val="4"/>
        </w:numPr>
        <w:spacing w:before="240" w:after="240" w:line="240" w:lineRule="auto"/>
        <w:jc w:val="both"/>
        <w:rPr>
          <w:rFonts w:ascii="Times New Roman" w:hAnsi="Times New Roman" w:cs="Times New Roman"/>
        </w:rPr>
      </w:pPr>
      <w:r w:rsidRPr="00DD1213">
        <w:rPr>
          <w:rFonts w:ascii="Times New Roman" w:hAnsi="Times New Roman" w:cs="Times New Roman"/>
        </w:rPr>
        <w:t>Coverage delta evaluation</w:t>
      </w:r>
    </w:p>
    <w:p w14:paraId="79C1C78F" w14:textId="77777777" w:rsidR="00602C7A" w:rsidRPr="00DD1213" w:rsidRDefault="00602C7A" w:rsidP="00DD1213">
      <w:pPr>
        <w:numPr>
          <w:ilvl w:val="0"/>
          <w:numId w:val="4"/>
        </w:numPr>
        <w:spacing w:before="240" w:after="240" w:line="240" w:lineRule="auto"/>
        <w:jc w:val="both"/>
        <w:rPr>
          <w:rFonts w:ascii="Times New Roman" w:hAnsi="Times New Roman" w:cs="Times New Roman"/>
        </w:rPr>
      </w:pPr>
      <w:r w:rsidRPr="00DD1213">
        <w:rPr>
          <w:rFonts w:ascii="Times New Roman" w:hAnsi="Times New Roman" w:cs="Times New Roman"/>
        </w:rPr>
        <w:t>Configuration baseline adjustment</w:t>
      </w:r>
    </w:p>
    <w:p w14:paraId="1A11A9F2"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Automation can support scalability, but safety-relevant judgment requires independent review [1][4][7].</w:t>
      </w:r>
    </w:p>
    <w:p w14:paraId="58B3BFB0" w14:textId="1761F29E"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Pillar III – Structured Independence Preservation</w:t>
      </w:r>
    </w:p>
    <w:p w14:paraId="02CDB834"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Verification independence must be demonstrable through organizational structure and authority lines [1][4][9].</w:t>
      </w:r>
    </w:p>
    <w:p w14:paraId="292060A2"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Mechanisms may include:</w:t>
      </w:r>
    </w:p>
    <w:p w14:paraId="5A27F41B" w14:textId="77777777" w:rsidR="00602C7A" w:rsidRPr="00DD1213" w:rsidRDefault="00602C7A" w:rsidP="00DD1213">
      <w:pPr>
        <w:numPr>
          <w:ilvl w:val="0"/>
          <w:numId w:val="5"/>
        </w:numPr>
        <w:spacing w:before="240" w:after="240" w:line="240" w:lineRule="auto"/>
        <w:jc w:val="both"/>
        <w:rPr>
          <w:rFonts w:ascii="Times New Roman" w:hAnsi="Times New Roman" w:cs="Times New Roman"/>
        </w:rPr>
      </w:pPr>
      <w:r w:rsidRPr="00DD1213">
        <w:rPr>
          <w:rFonts w:ascii="Times New Roman" w:hAnsi="Times New Roman" w:cs="Times New Roman"/>
        </w:rPr>
        <w:t>Clear reporting separation between development and verification [1][4]</w:t>
      </w:r>
    </w:p>
    <w:p w14:paraId="49CC84B4" w14:textId="77777777" w:rsidR="00602C7A" w:rsidRPr="00DD1213" w:rsidRDefault="00602C7A" w:rsidP="00DD1213">
      <w:pPr>
        <w:numPr>
          <w:ilvl w:val="0"/>
          <w:numId w:val="5"/>
        </w:numPr>
        <w:spacing w:before="240" w:after="240" w:line="240" w:lineRule="auto"/>
        <w:jc w:val="both"/>
        <w:rPr>
          <w:rFonts w:ascii="Times New Roman" w:hAnsi="Times New Roman" w:cs="Times New Roman"/>
        </w:rPr>
      </w:pPr>
      <w:r w:rsidRPr="00DD1213">
        <w:rPr>
          <w:rFonts w:ascii="Times New Roman" w:hAnsi="Times New Roman" w:cs="Times New Roman"/>
        </w:rPr>
        <w:t>Independent approval authorities [1][7]</w:t>
      </w:r>
    </w:p>
    <w:p w14:paraId="460BBF83" w14:textId="77777777" w:rsidR="00602C7A" w:rsidRPr="00DD1213" w:rsidRDefault="00602C7A" w:rsidP="00DD1213">
      <w:pPr>
        <w:numPr>
          <w:ilvl w:val="0"/>
          <w:numId w:val="5"/>
        </w:numPr>
        <w:spacing w:before="240" w:after="240" w:line="240" w:lineRule="auto"/>
        <w:jc w:val="both"/>
        <w:rPr>
          <w:rFonts w:ascii="Times New Roman" w:hAnsi="Times New Roman" w:cs="Times New Roman"/>
        </w:rPr>
      </w:pPr>
      <w:r w:rsidRPr="00DD1213">
        <w:rPr>
          <w:rFonts w:ascii="Times New Roman" w:hAnsi="Times New Roman" w:cs="Times New Roman"/>
        </w:rPr>
        <w:t>Defined compliance checkpoints outside sprint ceremonies [9]</w:t>
      </w:r>
    </w:p>
    <w:p w14:paraId="4BBEE16D" w14:textId="77777777" w:rsidR="00602C7A" w:rsidRPr="00DD1213" w:rsidRDefault="00602C7A" w:rsidP="00DD1213">
      <w:pPr>
        <w:numPr>
          <w:ilvl w:val="0"/>
          <w:numId w:val="5"/>
        </w:numPr>
        <w:spacing w:before="240" w:after="240" w:line="240" w:lineRule="auto"/>
        <w:jc w:val="both"/>
        <w:rPr>
          <w:rFonts w:ascii="Times New Roman" w:hAnsi="Times New Roman" w:cs="Times New Roman"/>
        </w:rPr>
      </w:pPr>
      <w:r w:rsidRPr="00DD1213">
        <w:rPr>
          <w:rFonts w:ascii="Times New Roman" w:hAnsi="Times New Roman" w:cs="Times New Roman"/>
        </w:rPr>
        <w:t>Documented role segregation [10]</w:t>
      </w:r>
    </w:p>
    <w:p w14:paraId="74DAEE75"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Independence must be structurally defensible during audit, not inferred from team collaboration norms [1][4].</w:t>
      </w:r>
    </w:p>
    <w:p w14:paraId="6F440BEE" w14:textId="3AD90F55" w:rsidR="00602C7A" w:rsidRPr="00DD1213" w:rsidRDefault="006B4E6D" w:rsidP="00DD1213">
      <w:pPr>
        <w:spacing w:before="240" w:after="240" w:line="240" w:lineRule="auto"/>
        <w:rPr>
          <w:rFonts w:ascii="Times New Roman" w:hAnsi="Times New Roman" w:cs="Times New Roman"/>
          <w:b/>
          <w:bCs/>
        </w:rPr>
      </w:pPr>
      <w:r w:rsidRPr="00DD1213">
        <w:rPr>
          <w:rFonts w:ascii="Times New Roman" w:hAnsi="Times New Roman" w:cs="Times New Roman"/>
          <w:b/>
          <w:bCs/>
          <w:sz w:val="28"/>
          <w:szCs w:val="28"/>
        </w:rPr>
        <w:t>AGILE–CERTIFICATION MATURITY MODEL</w:t>
      </w:r>
    </w:p>
    <w:p w14:paraId="70C4551B" w14:textId="503AEDD5" w:rsidR="00AF4967"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 xml:space="preserve">Organizational integration of Agile and certification typically evolves progressively [9][10]. </w:t>
      </w:r>
      <w:r w:rsidR="00BF2115" w:rsidRPr="00DD1213">
        <w:rPr>
          <w:rFonts w:ascii="Times New Roman" w:hAnsi="Times New Roman" w:cs="Times New Roman"/>
        </w:rPr>
        <w:t>The model defines four progressive stages of organizational maturity</w:t>
      </w:r>
      <w:r w:rsidRPr="00DD1213">
        <w:rPr>
          <w:rFonts w:ascii="Times New Roman" w:hAnsi="Times New Roman" w:cs="Times New Roman"/>
        </w:rPr>
        <w:t>.</w:t>
      </w:r>
      <w:r w:rsidR="00AF4967" w:rsidRPr="00DD1213">
        <w:rPr>
          <w:rFonts w:ascii="Times New Roman" w:hAnsi="Times New Roman" w:cs="Times New Roman"/>
        </w:rPr>
        <w:t xml:space="preserve"> </w:t>
      </w:r>
      <w:r w:rsidR="008100E2" w:rsidRPr="00DD1213">
        <w:rPr>
          <w:rFonts w:ascii="Times New Roman" w:hAnsi="Times New Roman" w:cs="Times New Roman"/>
        </w:rPr>
        <w:t>Fig. 2 illustrates the proposed Agile–Certification Maturity Model enabling continuous compliance through progressive integration of assurance objectives within Agile workflows for safety-critical airborne software.</w:t>
      </w:r>
    </w:p>
    <w:p w14:paraId="208AAF23" w14:textId="3701ED9C" w:rsidR="00602C7A" w:rsidRPr="00DD1213" w:rsidRDefault="00602C7A" w:rsidP="00DD1213">
      <w:pPr>
        <w:spacing w:before="240" w:after="240" w:line="240" w:lineRule="auto"/>
        <w:jc w:val="both"/>
        <w:rPr>
          <w:rFonts w:ascii="Times New Roman" w:hAnsi="Times New Roman" w:cs="Times New Roman"/>
        </w:rPr>
      </w:pPr>
    </w:p>
    <w:p w14:paraId="0A201B5A" w14:textId="6A49E406" w:rsidR="00011C91" w:rsidRPr="00DD1213" w:rsidRDefault="00011C91" w:rsidP="00DD1213">
      <w:pPr>
        <w:spacing w:before="240" w:after="240" w:line="240" w:lineRule="auto"/>
        <w:jc w:val="both"/>
        <w:rPr>
          <w:rFonts w:ascii="Times New Roman" w:hAnsi="Times New Roman" w:cs="Times New Roman"/>
        </w:rPr>
      </w:pPr>
      <w:r w:rsidRPr="00DD1213">
        <w:rPr>
          <w:rFonts w:ascii="Times New Roman" w:hAnsi="Times New Roman" w:cs="Times New Roman"/>
          <w:noProof/>
        </w:rPr>
        <w:drawing>
          <wp:inline distT="0" distB="0" distL="0" distR="0" wp14:anchorId="24B335B5" wp14:editId="500CF5EE">
            <wp:extent cx="4554729" cy="3036627"/>
            <wp:effectExtent l="0" t="0" r="0" b="0"/>
            <wp:docPr id="789691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9352" cy="3053043"/>
                    </a:xfrm>
                    <a:prstGeom prst="rect">
                      <a:avLst/>
                    </a:prstGeom>
                    <a:noFill/>
                    <a:ln>
                      <a:noFill/>
                    </a:ln>
                  </pic:spPr>
                </pic:pic>
              </a:graphicData>
            </a:graphic>
          </wp:inline>
        </w:drawing>
      </w:r>
    </w:p>
    <w:p w14:paraId="036D86FE" w14:textId="7D271FF9" w:rsidR="00602C7A" w:rsidRPr="00DD1213" w:rsidRDefault="00321D5F" w:rsidP="00DD1213">
      <w:pPr>
        <w:spacing w:before="240" w:after="240" w:line="240" w:lineRule="auto"/>
        <w:jc w:val="both"/>
        <w:rPr>
          <w:rFonts w:ascii="Times New Roman" w:hAnsi="Times New Roman" w:cs="Times New Roman"/>
        </w:rPr>
      </w:pPr>
      <w:r w:rsidRPr="00DD1213">
        <w:rPr>
          <w:rFonts w:ascii="Times New Roman" w:hAnsi="Times New Roman" w:cs="Times New Roman"/>
        </w:rPr>
        <w:t>Fig. 2</w:t>
      </w:r>
      <w:r w:rsidR="00DD3569" w:rsidRPr="00DD1213">
        <w:rPr>
          <w:rFonts w:ascii="Times New Roman" w:hAnsi="Times New Roman" w:cs="Times New Roman"/>
        </w:rPr>
        <w:t>.</w:t>
      </w:r>
      <w:r w:rsidRPr="00DD1213">
        <w:rPr>
          <w:rFonts w:ascii="Times New Roman" w:hAnsi="Times New Roman" w:cs="Times New Roman"/>
        </w:rPr>
        <w:t xml:space="preserve"> Proposed Agile–Certification Maturity Model enabling continuous compliance through progressive integration of assurance objectives within Agile workflows for safety-critical airborne software.</w:t>
      </w:r>
    </w:p>
    <w:p w14:paraId="0C57ABF4" w14:textId="273EA5CD" w:rsidR="00F03CF0" w:rsidRPr="00DD1213" w:rsidRDefault="000848AB" w:rsidP="00DD1213">
      <w:pPr>
        <w:spacing w:before="240" w:after="240" w:line="240" w:lineRule="auto"/>
        <w:jc w:val="both"/>
        <w:rPr>
          <w:rFonts w:ascii="Times New Roman" w:hAnsi="Times New Roman" w:cs="Times New Roman"/>
        </w:rPr>
      </w:pPr>
      <w:r w:rsidRPr="00DD1213">
        <w:rPr>
          <w:rFonts w:ascii="Times New Roman" w:hAnsi="Times New Roman" w:cs="Times New Roman"/>
        </w:rPr>
        <w:lastRenderedPageBreak/>
        <w:t>The model highlights the transition from reactive compliance practices to continuous certification readiness, with increasing levels of assurance integration and organizational discipline.</w:t>
      </w:r>
    </w:p>
    <w:p w14:paraId="1BE0775F" w14:textId="77777777"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Stage 1 – Functional Agility with Episodic Compliance</w:t>
      </w:r>
    </w:p>
    <w:p w14:paraId="0D503ABA"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Iterations focus on feature delivery. Compliance evidence is assembled near major review milestones [9].</w:t>
      </w:r>
    </w:p>
    <w:p w14:paraId="59E9A26C"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Risk: High certification debt and late rework.</w:t>
      </w:r>
    </w:p>
    <w:p w14:paraId="39748520" w14:textId="77777777"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Stage 2 – Traceable Iteration with Partial Governance</w:t>
      </w:r>
    </w:p>
    <w:p w14:paraId="4623DDE3"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Trace updates occur within iterations, but independence enforcement and impact discipline remain inconsistent [10].</w:t>
      </w:r>
    </w:p>
    <w:p w14:paraId="69042F52"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Risk: Reduced but persistent review findings.</w:t>
      </w:r>
    </w:p>
    <w:p w14:paraId="4BBC416B" w14:textId="77777777"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Stage 3 – Embedded Assurance Execution</w:t>
      </w:r>
    </w:p>
    <w:p w14:paraId="102675D3"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 xml:space="preserve">Assurance objectives form part of iteration </w:t>
      </w:r>
      <w:proofErr w:type="gramStart"/>
      <w:r w:rsidRPr="00DD1213">
        <w:rPr>
          <w:rFonts w:ascii="Times New Roman" w:hAnsi="Times New Roman" w:cs="Times New Roman"/>
        </w:rPr>
        <w:t>exit</w:t>
      </w:r>
      <w:proofErr w:type="gramEnd"/>
      <w:r w:rsidRPr="00DD1213">
        <w:rPr>
          <w:rFonts w:ascii="Times New Roman" w:hAnsi="Times New Roman" w:cs="Times New Roman"/>
        </w:rPr>
        <w:t xml:space="preserve"> criteria. Change governance and coverage tracking are synchronized with integration baselines [1][4][9].</w:t>
      </w:r>
    </w:p>
    <w:p w14:paraId="2E82CBDD"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Risk: Significantly improved review predictability.</w:t>
      </w:r>
    </w:p>
    <w:p w14:paraId="525C8F64" w14:textId="77777777" w:rsidR="00602C7A" w:rsidRPr="00DD1213" w:rsidRDefault="00602C7A" w:rsidP="00DD1213">
      <w:pPr>
        <w:spacing w:before="240" w:after="240" w:line="240" w:lineRule="auto"/>
        <w:rPr>
          <w:rFonts w:ascii="Times New Roman" w:hAnsi="Times New Roman" w:cs="Times New Roman"/>
          <w:b/>
          <w:bCs/>
        </w:rPr>
      </w:pPr>
      <w:r w:rsidRPr="00DD1213">
        <w:rPr>
          <w:rFonts w:ascii="Times New Roman" w:hAnsi="Times New Roman" w:cs="Times New Roman"/>
          <w:b/>
          <w:bCs/>
        </w:rPr>
        <w:t>Stage 4 – Continuous Certification Readiness</w:t>
      </w:r>
    </w:p>
    <w:p w14:paraId="43F5BF94"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 xml:space="preserve">Compliance posture </w:t>
      </w:r>
      <w:proofErr w:type="gramStart"/>
      <w:r w:rsidRPr="00DD1213">
        <w:rPr>
          <w:rFonts w:ascii="Times New Roman" w:hAnsi="Times New Roman" w:cs="Times New Roman"/>
        </w:rPr>
        <w:t>is visible at all times</w:t>
      </w:r>
      <w:proofErr w:type="gramEnd"/>
      <w:r w:rsidRPr="00DD1213">
        <w:rPr>
          <w:rFonts w:ascii="Times New Roman" w:hAnsi="Times New Roman" w:cs="Times New Roman"/>
        </w:rPr>
        <w:t>. Evidence evolves incrementally alongside development. Major review events exhibit low volatility [10].</w:t>
      </w:r>
    </w:p>
    <w:p w14:paraId="45C358D9"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Risk: Minimal divergence between development state and certification posture.</w:t>
      </w:r>
    </w:p>
    <w:p w14:paraId="72344CA1"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Sustained progression requires structural reinforcement. Under schedule pressure, regression is possible if objective closure discipline weakens [9][10].</w:t>
      </w:r>
    </w:p>
    <w:p w14:paraId="72622892" w14:textId="6215AD99" w:rsidR="00602C7A" w:rsidRPr="00DD1213" w:rsidRDefault="006B4E6D" w:rsidP="00DD1213">
      <w:pPr>
        <w:spacing w:before="240" w:after="240" w:line="240" w:lineRule="auto"/>
        <w:rPr>
          <w:rFonts w:ascii="Times New Roman" w:hAnsi="Times New Roman" w:cs="Times New Roman"/>
          <w:b/>
          <w:bCs/>
          <w:sz w:val="28"/>
          <w:szCs w:val="28"/>
        </w:rPr>
      </w:pPr>
      <w:r w:rsidRPr="00DD1213">
        <w:rPr>
          <w:rFonts w:ascii="Times New Roman" w:hAnsi="Times New Roman" w:cs="Times New Roman"/>
          <w:b/>
          <w:bCs/>
          <w:sz w:val="28"/>
          <w:szCs w:val="28"/>
        </w:rPr>
        <w:t>ILLUSTRATIVE COMPOSITE SCENARIO</w:t>
      </w:r>
    </w:p>
    <w:p w14:paraId="7FEBFD01" w14:textId="77777777" w:rsidR="00FD3767" w:rsidRPr="00DD1213" w:rsidRDefault="00FD3767" w:rsidP="00DD1213">
      <w:pPr>
        <w:spacing w:before="240" w:after="240" w:line="240" w:lineRule="auto"/>
        <w:jc w:val="both"/>
        <w:rPr>
          <w:rFonts w:ascii="Times New Roman" w:hAnsi="Times New Roman" w:cs="Times New Roman"/>
        </w:rPr>
      </w:pPr>
      <w:r w:rsidRPr="00DD1213">
        <w:rPr>
          <w:rFonts w:ascii="Times New Roman" w:hAnsi="Times New Roman" w:cs="Times New Roman"/>
        </w:rPr>
        <w:t>In a representative embedded airborne subsystem, initial Agile adoption prioritized rapid feature integration but lacked structured compliance embedding. Additionally, misalignment between system-level requirement management and software iteration cycles contributed to trace inconsistencies and integration gaps. These challenges, combined with coverage instability, emerged during early review assessments [10][11].</w:t>
      </w:r>
    </w:p>
    <w:p w14:paraId="3F3D89D3" w14:textId="3F8C2ECB"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Adoption of incremental objective closure introduced:</w:t>
      </w:r>
    </w:p>
    <w:p w14:paraId="36DD3C85" w14:textId="77777777" w:rsidR="00602C7A" w:rsidRPr="00DD1213" w:rsidRDefault="00602C7A" w:rsidP="00DD1213">
      <w:pPr>
        <w:numPr>
          <w:ilvl w:val="0"/>
          <w:numId w:val="6"/>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Formalized sprint </w:t>
      </w:r>
      <w:proofErr w:type="gramStart"/>
      <w:r w:rsidRPr="00DD1213">
        <w:rPr>
          <w:rFonts w:ascii="Times New Roman" w:hAnsi="Times New Roman" w:cs="Times New Roman"/>
        </w:rPr>
        <w:t>exit</w:t>
      </w:r>
      <w:proofErr w:type="gramEnd"/>
      <w:r w:rsidRPr="00DD1213">
        <w:rPr>
          <w:rFonts w:ascii="Times New Roman" w:hAnsi="Times New Roman" w:cs="Times New Roman"/>
        </w:rPr>
        <w:t xml:space="preserve"> criteria aligned with assurance outcomes [1][2]</w:t>
      </w:r>
    </w:p>
    <w:p w14:paraId="60677E20" w14:textId="77777777" w:rsidR="00602C7A" w:rsidRPr="00DD1213" w:rsidRDefault="00602C7A" w:rsidP="00DD1213">
      <w:pPr>
        <w:numPr>
          <w:ilvl w:val="0"/>
          <w:numId w:val="6"/>
        </w:numPr>
        <w:spacing w:before="240" w:after="240" w:line="240" w:lineRule="auto"/>
        <w:jc w:val="both"/>
        <w:rPr>
          <w:rFonts w:ascii="Times New Roman" w:hAnsi="Times New Roman" w:cs="Times New Roman"/>
        </w:rPr>
      </w:pPr>
      <w:r w:rsidRPr="00DD1213">
        <w:rPr>
          <w:rFonts w:ascii="Times New Roman" w:hAnsi="Times New Roman" w:cs="Times New Roman"/>
        </w:rPr>
        <w:t>Independent verification sign-off external to sprint planning [1][4]</w:t>
      </w:r>
    </w:p>
    <w:p w14:paraId="7D5E7A39" w14:textId="77777777" w:rsidR="00602C7A" w:rsidRPr="00DD1213" w:rsidRDefault="00602C7A" w:rsidP="00DD1213">
      <w:pPr>
        <w:numPr>
          <w:ilvl w:val="0"/>
          <w:numId w:val="6"/>
        </w:numPr>
        <w:spacing w:before="240" w:after="240" w:line="240" w:lineRule="auto"/>
        <w:jc w:val="both"/>
        <w:rPr>
          <w:rFonts w:ascii="Times New Roman" w:hAnsi="Times New Roman" w:cs="Times New Roman"/>
        </w:rPr>
      </w:pPr>
      <w:r w:rsidRPr="00DD1213">
        <w:rPr>
          <w:rFonts w:ascii="Times New Roman" w:hAnsi="Times New Roman" w:cs="Times New Roman"/>
        </w:rPr>
        <w:t>Continuous coverage monitoring tied to integration baselines [1][4]</w:t>
      </w:r>
    </w:p>
    <w:p w14:paraId="2C83CC6D" w14:textId="77777777" w:rsidR="00602C7A" w:rsidRPr="00DD1213" w:rsidRDefault="00602C7A" w:rsidP="00DD1213">
      <w:pPr>
        <w:numPr>
          <w:ilvl w:val="0"/>
          <w:numId w:val="6"/>
        </w:numPr>
        <w:spacing w:before="240" w:after="240" w:line="240" w:lineRule="auto"/>
        <w:jc w:val="both"/>
        <w:rPr>
          <w:rFonts w:ascii="Times New Roman" w:hAnsi="Times New Roman" w:cs="Times New Roman"/>
        </w:rPr>
      </w:pPr>
      <w:r w:rsidRPr="00DD1213">
        <w:rPr>
          <w:rFonts w:ascii="Times New Roman" w:hAnsi="Times New Roman" w:cs="Times New Roman"/>
        </w:rPr>
        <w:t>Segregated governance of automation tools [4][7]</w:t>
      </w:r>
    </w:p>
    <w:p w14:paraId="574644D8"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Subsequent review cycles showed improved evidence coherence, reduced corrective action volume, and improved schedule predictability [9][10].</w:t>
      </w:r>
    </w:p>
    <w:p w14:paraId="1FD6BA73" w14:textId="77777777" w:rsidR="003840A0" w:rsidRPr="00DD1213" w:rsidRDefault="003840A0" w:rsidP="00DD1213">
      <w:pPr>
        <w:spacing w:before="240" w:after="240" w:line="240" w:lineRule="auto"/>
        <w:jc w:val="both"/>
        <w:rPr>
          <w:rFonts w:ascii="Times New Roman" w:hAnsi="Times New Roman" w:cs="Times New Roman"/>
        </w:rPr>
      </w:pPr>
      <w:r w:rsidRPr="00DD1213">
        <w:rPr>
          <w:rFonts w:ascii="Times New Roman" w:hAnsi="Times New Roman" w:cs="Times New Roman"/>
        </w:rPr>
        <w:t>Following implementation, subsequent review cycles demonstrated measurable improvements:</w:t>
      </w:r>
    </w:p>
    <w:p w14:paraId="2687A65C" w14:textId="77777777" w:rsidR="00EC5CF0" w:rsidRPr="00DD1213" w:rsidRDefault="00EC5CF0" w:rsidP="00DD1213">
      <w:pPr>
        <w:numPr>
          <w:ilvl w:val="0"/>
          <w:numId w:val="10"/>
        </w:numPr>
        <w:spacing w:before="240" w:after="240" w:line="240" w:lineRule="auto"/>
        <w:jc w:val="both"/>
        <w:rPr>
          <w:rFonts w:ascii="Times New Roman" w:hAnsi="Times New Roman" w:cs="Times New Roman"/>
        </w:rPr>
      </w:pPr>
      <w:r w:rsidRPr="00DD1213">
        <w:rPr>
          <w:rFonts w:ascii="Times New Roman" w:hAnsi="Times New Roman" w:cs="Times New Roman"/>
        </w:rPr>
        <w:t>Reduction in certification review findings and associated corrective actions (observed improvement trends across iterative cycles)</w:t>
      </w:r>
    </w:p>
    <w:p w14:paraId="38903047" w14:textId="22DD8017" w:rsidR="003840A0" w:rsidRPr="00DD1213" w:rsidRDefault="003840A0" w:rsidP="00DD1213">
      <w:pPr>
        <w:numPr>
          <w:ilvl w:val="0"/>
          <w:numId w:val="10"/>
        </w:numPr>
        <w:spacing w:before="240" w:after="240" w:line="240" w:lineRule="auto"/>
        <w:jc w:val="both"/>
        <w:rPr>
          <w:rFonts w:ascii="Times New Roman" w:hAnsi="Times New Roman" w:cs="Times New Roman"/>
        </w:rPr>
      </w:pPr>
      <w:r w:rsidRPr="00DD1213">
        <w:rPr>
          <w:rFonts w:ascii="Times New Roman" w:hAnsi="Times New Roman" w:cs="Times New Roman"/>
        </w:rPr>
        <w:lastRenderedPageBreak/>
        <w:t xml:space="preserve">Improved traceability consistency across lifecycle artifacts </w:t>
      </w:r>
    </w:p>
    <w:p w14:paraId="0E98F32E" w14:textId="77777777" w:rsidR="003840A0" w:rsidRPr="00DD1213" w:rsidRDefault="003840A0" w:rsidP="00DD1213">
      <w:pPr>
        <w:numPr>
          <w:ilvl w:val="0"/>
          <w:numId w:val="10"/>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Stabilization of structural coverage metrics across integration baselines </w:t>
      </w:r>
    </w:p>
    <w:p w14:paraId="1CB5E7F5" w14:textId="77777777" w:rsidR="003840A0" w:rsidRPr="00DD1213" w:rsidRDefault="003840A0" w:rsidP="00DD1213">
      <w:pPr>
        <w:numPr>
          <w:ilvl w:val="0"/>
          <w:numId w:val="10"/>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Reduced volatility during SOI assessments </w:t>
      </w:r>
    </w:p>
    <w:p w14:paraId="099056FB" w14:textId="1F0BC785" w:rsidR="003840A0" w:rsidRPr="00DD1213" w:rsidRDefault="0064220A" w:rsidP="00DD1213">
      <w:pPr>
        <w:spacing w:before="240" w:after="240" w:line="240" w:lineRule="auto"/>
        <w:jc w:val="both"/>
        <w:rPr>
          <w:rFonts w:ascii="Times New Roman" w:hAnsi="Times New Roman" w:cs="Times New Roman"/>
        </w:rPr>
      </w:pPr>
      <w:r w:rsidRPr="00DD1213">
        <w:rPr>
          <w:rFonts w:ascii="Times New Roman" w:hAnsi="Times New Roman" w:cs="Times New Roman"/>
        </w:rPr>
        <w:t>These outcomes indicate that embedding assurance objectives</w:t>
      </w:r>
      <w:r w:rsidR="003840A0" w:rsidRPr="00DD1213">
        <w:rPr>
          <w:rFonts w:ascii="Times New Roman" w:hAnsi="Times New Roman" w:cs="Times New Roman"/>
        </w:rPr>
        <w:t xml:space="preserve"> within iterative workflows </w:t>
      </w:r>
      <w:r w:rsidR="00035ECD" w:rsidRPr="00DD1213">
        <w:rPr>
          <w:rFonts w:ascii="Times New Roman" w:hAnsi="Times New Roman" w:cs="Times New Roman"/>
        </w:rPr>
        <w:t>can improve certification predictability and reduce late-stage rework</w:t>
      </w:r>
      <w:r w:rsidR="003840A0" w:rsidRPr="00DD1213">
        <w:rPr>
          <w:rFonts w:ascii="Times New Roman" w:hAnsi="Times New Roman" w:cs="Times New Roman"/>
        </w:rPr>
        <w:t>.</w:t>
      </w:r>
    </w:p>
    <w:p w14:paraId="5213116F" w14:textId="5D27C39F" w:rsidR="00602C7A" w:rsidRPr="00DD1213" w:rsidRDefault="006B4E6D" w:rsidP="00DD1213">
      <w:pPr>
        <w:spacing w:before="240" w:after="240" w:line="240" w:lineRule="auto"/>
        <w:rPr>
          <w:rFonts w:ascii="Times New Roman" w:hAnsi="Times New Roman" w:cs="Times New Roman"/>
          <w:b/>
          <w:bCs/>
          <w:sz w:val="28"/>
          <w:szCs w:val="28"/>
        </w:rPr>
      </w:pPr>
      <w:r w:rsidRPr="00DD1213">
        <w:rPr>
          <w:rFonts w:ascii="Times New Roman" w:hAnsi="Times New Roman" w:cs="Times New Roman"/>
          <w:b/>
          <w:bCs/>
          <w:sz w:val="28"/>
          <w:szCs w:val="28"/>
        </w:rPr>
        <w:t>ORGANIZATIONAL BENEFITS</w:t>
      </w:r>
    </w:p>
    <w:p w14:paraId="4090A2F2"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When properly implemented, the Incremental Assurance Framework provides:</w:t>
      </w:r>
    </w:p>
    <w:p w14:paraId="07C7ECAB" w14:textId="77777777" w:rsidR="00602C7A" w:rsidRPr="00DD1213" w:rsidRDefault="00602C7A" w:rsidP="00DD1213">
      <w:pPr>
        <w:numPr>
          <w:ilvl w:val="0"/>
          <w:numId w:val="7"/>
        </w:numPr>
        <w:spacing w:before="240" w:after="240" w:line="240" w:lineRule="auto"/>
        <w:jc w:val="both"/>
        <w:rPr>
          <w:rFonts w:ascii="Times New Roman" w:hAnsi="Times New Roman" w:cs="Times New Roman"/>
        </w:rPr>
      </w:pPr>
      <w:r w:rsidRPr="00DD1213">
        <w:rPr>
          <w:rFonts w:ascii="Times New Roman" w:hAnsi="Times New Roman" w:cs="Times New Roman"/>
        </w:rPr>
        <w:t>Reduced late-stage compliance rework [9][10]</w:t>
      </w:r>
    </w:p>
    <w:p w14:paraId="1BCF0BEE" w14:textId="77777777" w:rsidR="00602C7A" w:rsidRPr="00DD1213" w:rsidRDefault="00602C7A" w:rsidP="00DD1213">
      <w:pPr>
        <w:numPr>
          <w:ilvl w:val="0"/>
          <w:numId w:val="7"/>
        </w:numPr>
        <w:spacing w:before="240" w:after="240" w:line="240" w:lineRule="auto"/>
        <w:jc w:val="both"/>
        <w:rPr>
          <w:rFonts w:ascii="Times New Roman" w:hAnsi="Times New Roman" w:cs="Times New Roman"/>
        </w:rPr>
      </w:pPr>
      <w:r w:rsidRPr="00DD1213">
        <w:rPr>
          <w:rFonts w:ascii="Times New Roman" w:hAnsi="Times New Roman" w:cs="Times New Roman"/>
        </w:rPr>
        <w:t>Lower volatility at SOI reviews [1][7]</w:t>
      </w:r>
    </w:p>
    <w:p w14:paraId="71095897" w14:textId="77777777" w:rsidR="00602C7A" w:rsidRPr="00DD1213" w:rsidRDefault="00602C7A" w:rsidP="00DD1213">
      <w:pPr>
        <w:numPr>
          <w:ilvl w:val="0"/>
          <w:numId w:val="7"/>
        </w:numPr>
        <w:spacing w:before="240" w:after="240" w:line="240" w:lineRule="auto"/>
        <w:jc w:val="both"/>
        <w:rPr>
          <w:rFonts w:ascii="Times New Roman" w:hAnsi="Times New Roman" w:cs="Times New Roman"/>
        </w:rPr>
      </w:pPr>
      <w:r w:rsidRPr="00DD1213">
        <w:rPr>
          <w:rFonts w:ascii="Times New Roman" w:hAnsi="Times New Roman" w:cs="Times New Roman"/>
        </w:rPr>
        <w:t>Improved audit defensibility [1][4]</w:t>
      </w:r>
    </w:p>
    <w:p w14:paraId="0E987C5D" w14:textId="77777777" w:rsidR="00602C7A" w:rsidRPr="00DD1213" w:rsidRDefault="00602C7A" w:rsidP="00DD1213">
      <w:pPr>
        <w:numPr>
          <w:ilvl w:val="0"/>
          <w:numId w:val="7"/>
        </w:numPr>
        <w:spacing w:before="240" w:after="240" w:line="240" w:lineRule="auto"/>
        <w:jc w:val="both"/>
        <w:rPr>
          <w:rFonts w:ascii="Times New Roman" w:hAnsi="Times New Roman" w:cs="Times New Roman"/>
        </w:rPr>
      </w:pPr>
      <w:r w:rsidRPr="00DD1213">
        <w:rPr>
          <w:rFonts w:ascii="Times New Roman" w:hAnsi="Times New Roman" w:cs="Times New Roman"/>
        </w:rPr>
        <w:t>Stable structural coverage posture [1][4]</w:t>
      </w:r>
    </w:p>
    <w:p w14:paraId="0AE7B7A8" w14:textId="77777777" w:rsidR="00602C7A" w:rsidRPr="00DD1213" w:rsidRDefault="00602C7A" w:rsidP="00DD1213">
      <w:pPr>
        <w:numPr>
          <w:ilvl w:val="0"/>
          <w:numId w:val="7"/>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Stronger </w:t>
      </w:r>
      <w:proofErr w:type="gramStart"/>
      <w:r w:rsidRPr="00DD1213">
        <w:rPr>
          <w:rFonts w:ascii="Times New Roman" w:hAnsi="Times New Roman" w:cs="Times New Roman"/>
        </w:rPr>
        <w:t>independence demonstration</w:t>
      </w:r>
      <w:proofErr w:type="gramEnd"/>
      <w:r w:rsidRPr="00DD1213">
        <w:rPr>
          <w:rFonts w:ascii="Times New Roman" w:hAnsi="Times New Roman" w:cs="Times New Roman"/>
        </w:rPr>
        <w:t xml:space="preserve"> [1][4]</w:t>
      </w:r>
    </w:p>
    <w:p w14:paraId="767D6086" w14:textId="77777777" w:rsidR="00602C7A" w:rsidRPr="00DD1213" w:rsidRDefault="00602C7A" w:rsidP="00DD1213">
      <w:pPr>
        <w:numPr>
          <w:ilvl w:val="0"/>
          <w:numId w:val="7"/>
        </w:numPr>
        <w:spacing w:before="240" w:after="240" w:line="240" w:lineRule="auto"/>
        <w:jc w:val="both"/>
        <w:rPr>
          <w:rFonts w:ascii="Times New Roman" w:hAnsi="Times New Roman" w:cs="Times New Roman"/>
        </w:rPr>
      </w:pPr>
      <w:r w:rsidRPr="00DD1213">
        <w:rPr>
          <w:rFonts w:ascii="Times New Roman" w:hAnsi="Times New Roman" w:cs="Times New Roman"/>
        </w:rPr>
        <w:t>Greater program predictability [9][10]</w:t>
      </w:r>
    </w:p>
    <w:p w14:paraId="42ECF33C"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Agile execution becomes an enabler of structured assurance rather than a source of compliance instability [8][9].</w:t>
      </w:r>
    </w:p>
    <w:p w14:paraId="173C16B2" w14:textId="2568001C" w:rsidR="00602C7A" w:rsidRPr="00DD1213" w:rsidRDefault="00F46E14" w:rsidP="00DD1213">
      <w:pPr>
        <w:spacing w:before="240" w:after="240" w:line="240" w:lineRule="auto"/>
        <w:rPr>
          <w:rFonts w:ascii="Times New Roman" w:hAnsi="Times New Roman" w:cs="Times New Roman"/>
          <w:b/>
          <w:bCs/>
          <w:sz w:val="28"/>
          <w:szCs w:val="28"/>
        </w:rPr>
      </w:pPr>
      <w:r w:rsidRPr="00DD1213">
        <w:rPr>
          <w:rFonts w:ascii="Times New Roman" w:hAnsi="Times New Roman" w:cs="Times New Roman"/>
          <w:b/>
          <w:bCs/>
          <w:sz w:val="28"/>
          <w:szCs w:val="28"/>
        </w:rPr>
        <w:t>DISCUSSION AND PRACTICAL IMPLICATIONS</w:t>
      </w:r>
    </w:p>
    <w:p w14:paraId="1B061E4D" w14:textId="77777777" w:rsidR="004106F2" w:rsidRPr="004106F2" w:rsidRDefault="004106F2" w:rsidP="00DD1213">
      <w:pPr>
        <w:spacing w:before="240" w:after="240" w:line="240" w:lineRule="auto"/>
        <w:jc w:val="both"/>
        <w:rPr>
          <w:rFonts w:ascii="Times New Roman" w:hAnsi="Times New Roman" w:cs="Times New Roman"/>
        </w:rPr>
      </w:pPr>
      <w:r w:rsidRPr="004106F2">
        <w:rPr>
          <w:rFonts w:ascii="Times New Roman" w:hAnsi="Times New Roman" w:cs="Times New Roman"/>
        </w:rPr>
        <w:t>The proposed framework is derived from generalized industry practices and observed integration challenges across safety-critical airborne software programs.</w:t>
      </w:r>
    </w:p>
    <w:p w14:paraId="54C539B3" w14:textId="77777777" w:rsidR="004106F2" w:rsidRPr="004106F2" w:rsidRDefault="004106F2" w:rsidP="00DD1213">
      <w:pPr>
        <w:spacing w:before="240" w:after="240" w:line="240" w:lineRule="auto"/>
        <w:jc w:val="both"/>
        <w:rPr>
          <w:rFonts w:ascii="Times New Roman" w:hAnsi="Times New Roman" w:cs="Times New Roman"/>
        </w:rPr>
      </w:pPr>
      <w:r w:rsidRPr="004106F2">
        <w:rPr>
          <w:rFonts w:ascii="Times New Roman" w:hAnsi="Times New Roman" w:cs="Times New Roman"/>
        </w:rPr>
        <w:t>Its effectiveness is supported by observed improvements across iterative development cycles, including reduction in certification review findings, improved traceability consistency, and stabilization of structural coverage metrics.</w:t>
      </w:r>
    </w:p>
    <w:p w14:paraId="2D437E0A" w14:textId="77777777" w:rsidR="004106F2" w:rsidRPr="004106F2" w:rsidRDefault="004106F2" w:rsidP="00DD1213">
      <w:pPr>
        <w:spacing w:before="240" w:after="240" w:line="240" w:lineRule="auto"/>
        <w:jc w:val="both"/>
        <w:rPr>
          <w:rFonts w:ascii="Times New Roman" w:hAnsi="Times New Roman" w:cs="Times New Roman"/>
        </w:rPr>
      </w:pPr>
      <w:r w:rsidRPr="004106F2">
        <w:rPr>
          <w:rFonts w:ascii="Times New Roman" w:hAnsi="Times New Roman" w:cs="Times New Roman"/>
        </w:rPr>
        <w:t>While the illustrative scenario provides qualitative validation, future work will focus on empirical evaluation through controlled case studies and quantitative assessment of certification effort, defect density, and review efficiency.</w:t>
      </w:r>
    </w:p>
    <w:p w14:paraId="24BC41F0" w14:textId="6440D0F3" w:rsidR="00F46E14" w:rsidRPr="00DD1213" w:rsidRDefault="004106F2" w:rsidP="00DD1213">
      <w:pPr>
        <w:spacing w:before="240" w:after="240" w:line="240" w:lineRule="auto"/>
        <w:jc w:val="both"/>
        <w:rPr>
          <w:rFonts w:ascii="Times New Roman" w:hAnsi="Times New Roman" w:cs="Times New Roman"/>
        </w:rPr>
      </w:pPr>
      <w:r w:rsidRPr="004106F2">
        <w:rPr>
          <w:rFonts w:ascii="Times New Roman" w:hAnsi="Times New Roman" w:cs="Times New Roman"/>
        </w:rPr>
        <w:t>The framework is intended to be adaptable across different organizational contexts, independent of specific tools or lifecycle models.</w:t>
      </w:r>
    </w:p>
    <w:p w14:paraId="773F7298" w14:textId="66BE0952" w:rsidR="00602C7A" w:rsidRPr="00DD1213" w:rsidRDefault="006B4E6D" w:rsidP="00DD1213">
      <w:pPr>
        <w:spacing w:before="240" w:after="240" w:line="240" w:lineRule="auto"/>
        <w:rPr>
          <w:rFonts w:ascii="Times New Roman" w:hAnsi="Times New Roman" w:cs="Times New Roman"/>
          <w:b/>
          <w:bCs/>
          <w:sz w:val="28"/>
          <w:szCs w:val="28"/>
        </w:rPr>
      </w:pPr>
      <w:r w:rsidRPr="00DD1213">
        <w:rPr>
          <w:rFonts w:ascii="Times New Roman" w:hAnsi="Times New Roman" w:cs="Times New Roman"/>
          <w:b/>
          <w:bCs/>
          <w:sz w:val="28"/>
          <w:szCs w:val="28"/>
        </w:rPr>
        <w:t>CONCLUSION</w:t>
      </w:r>
    </w:p>
    <w:p w14:paraId="581C1971" w14:textId="4F2A917B"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 xml:space="preserve">The perceived incompatibility between Agile development and DO-178C certification arises primarily from historical lifecycle interpretations </w:t>
      </w:r>
      <w:r w:rsidR="001D7C09" w:rsidRPr="00DD1213">
        <w:rPr>
          <w:rFonts w:ascii="Times New Roman" w:hAnsi="Times New Roman" w:cs="Times New Roman"/>
        </w:rPr>
        <w:t>rather than regulatory constraints [</w:t>
      </w:r>
      <w:r w:rsidRPr="00DD1213">
        <w:rPr>
          <w:rFonts w:ascii="Times New Roman" w:hAnsi="Times New Roman" w:cs="Times New Roman"/>
        </w:rPr>
        <w:t>1][2].</w:t>
      </w:r>
    </w:p>
    <w:p w14:paraId="4908F75D" w14:textId="77777777" w:rsidR="00602C7A" w:rsidRPr="00DD1213" w:rsidRDefault="00602C7A" w:rsidP="00DD1213">
      <w:pPr>
        <w:spacing w:before="240" w:after="240" w:line="240" w:lineRule="auto"/>
        <w:jc w:val="both"/>
        <w:rPr>
          <w:rFonts w:ascii="Times New Roman" w:hAnsi="Times New Roman" w:cs="Times New Roman"/>
        </w:rPr>
      </w:pPr>
      <w:r w:rsidRPr="00DD1213">
        <w:rPr>
          <w:rFonts w:ascii="Times New Roman" w:hAnsi="Times New Roman" w:cs="Times New Roman"/>
        </w:rPr>
        <w:t>DO-178C defines assurance objectives that can be satisfied within iterative environments when embedded structurally within development workflows [1][4][9]. By implementing incremental objective closure, disciplined change governance, and preserved independence, organizations can achieve adaptive development while maintaining regulatory integrity.</w:t>
      </w:r>
    </w:p>
    <w:p w14:paraId="53729053" w14:textId="77777777" w:rsidR="00D11CDD" w:rsidRPr="00DD1213" w:rsidRDefault="00D11CDD" w:rsidP="00DD1213">
      <w:pPr>
        <w:spacing w:before="240" w:after="240" w:line="240" w:lineRule="auto"/>
        <w:jc w:val="both"/>
        <w:rPr>
          <w:rFonts w:ascii="Times New Roman" w:hAnsi="Times New Roman" w:cs="Times New Roman"/>
        </w:rPr>
      </w:pPr>
      <w:r w:rsidRPr="00DD1213">
        <w:rPr>
          <w:rFonts w:ascii="Times New Roman" w:hAnsi="Times New Roman" w:cs="Times New Roman"/>
        </w:rPr>
        <w:t>Beyond current avionics programs, the proposed framework has broader applicability to emerging domains such as autonomous systems, advanced air mobility platforms, and next-generation integrated avionics architectures, where iterative development and continuous integration are increasingly prevalent.</w:t>
      </w:r>
    </w:p>
    <w:p w14:paraId="48E54A7B" w14:textId="77777777" w:rsidR="004D1C8E" w:rsidRPr="00DD1213" w:rsidRDefault="00D11CDD" w:rsidP="00DD1213">
      <w:pPr>
        <w:spacing w:before="240" w:after="240" w:line="240" w:lineRule="auto"/>
        <w:jc w:val="both"/>
        <w:rPr>
          <w:rFonts w:ascii="Times New Roman" w:hAnsi="Times New Roman" w:cs="Times New Roman"/>
        </w:rPr>
      </w:pPr>
      <w:r w:rsidRPr="00DD1213">
        <w:rPr>
          <w:rFonts w:ascii="Times New Roman" w:hAnsi="Times New Roman" w:cs="Times New Roman"/>
        </w:rPr>
        <w:lastRenderedPageBreak/>
        <w:t>By enabling continuous certification readiness, the Incremental Assurance Framework provides a scalable foundation for aligning safety-critical software assurance with modern development paradigms, supporting both regulatory compliance and innovation in aerospace systems.</w:t>
      </w:r>
    </w:p>
    <w:p w14:paraId="780462AA" w14:textId="7DAC51FA" w:rsidR="00205BE6" w:rsidRPr="00DD1213" w:rsidRDefault="008A2871" w:rsidP="00DD1213">
      <w:pPr>
        <w:spacing w:before="240" w:after="240" w:line="240" w:lineRule="auto"/>
        <w:jc w:val="both"/>
        <w:rPr>
          <w:rFonts w:ascii="Times New Roman" w:hAnsi="Times New Roman" w:cs="Times New Roman"/>
        </w:rPr>
      </w:pPr>
      <w:r w:rsidRPr="00DD1213">
        <w:rPr>
          <w:rFonts w:ascii="Times New Roman" w:hAnsi="Times New Roman" w:cs="Times New Roman"/>
        </w:rPr>
        <w:t>This work contributes to ongoing efforts within the aerospace community</w:t>
      </w:r>
      <w:r w:rsidR="00205BE6" w:rsidRPr="00DD1213">
        <w:rPr>
          <w:rFonts w:ascii="Times New Roman" w:hAnsi="Times New Roman" w:cs="Times New Roman"/>
        </w:rPr>
        <w:t xml:space="preserve"> to modernize certification practices in alignment with evolving software development paradigms.</w:t>
      </w:r>
    </w:p>
    <w:p w14:paraId="14216DEA" w14:textId="465F2187" w:rsidR="004B4F82" w:rsidRPr="00DD1213" w:rsidRDefault="00D548F0" w:rsidP="00DD1213">
      <w:pPr>
        <w:spacing w:before="240" w:after="240" w:line="240" w:lineRule="auto"/>
        <w:jc w:val="both"/>
        <w:rPr>
          <w:rFonts w:ascii="Times New Roman" w:hAnsi="Times New Roman" w:cs="Times New Roman"/>
        </w:rPr>
      </w:pPr>
      <w:r w:rsidRPr="00DD1213">
        <w:rPr>
          <w:rFonts w:ascii="Times New Roman" w:hAnsi="Times New Roman" w:cs="Times New Roman"/>
        </w:rPr>
        <w:t>This work demonstrates that certification and Agile development are not inherently conflicting paradigms</w:t>
      </w:r>
      <w:r w:rsidR="004B4F82" w:rsidRPr="00DD1213">
        <w:rPr>
          <w:rFonts w:ascii="Times New Roman" w:hAnsi="Times New Roman" w:cs="Times New Roman"/>
        </w:rPr>
        <w:t xml:space="preserve">, but can be systematically unified through structured assurance integration, </w:t>
      </w:r>
      <w:r w:rsidR="00815FEA" w:rsidRPr="00DD1213">
        <w:rPr>
          <w:rFonts w:ascii="Times New Roman" w:hAnsi="Times New Roman" w:cs="Times New Roman"/>
        </w:rPr>
        <w:t>enabling both regulatory rigor and development agility.</w:t>
      </w:r>
    </w:p>
    <w:p w14:paraId="24FA3612" w14:textId="5FED9C28" w:rsidR="00602C7A" w:rsidRPr="00DD1213" w:rsidRDefault="006B4E6D" w:rsidP="00DD1213">
      <w:pPr>
        <w:spacing w:before="240" w:after="240" w:line="240" w:lineRule="auto"/>
        <w:jc w:val="both"/>
        <w:rPr>
          <w:rFonts w:ascii="Times New Roman" w:hAnsi="Times New Roman" w:cs="Times New Roman"/>
          <w:b/>
          <w:bCs/>
          <w:sz w:val="28"/>
          <w:szCs w:val="28"/>
        </w:rPr>
      </w:pPr>
      <w:r w:rsidRPr="00DD1213">
        <w:rPr>
          <w:rFonts w:ascii="Times New Roman" w:hAnsi="Times New Roman" w:cs="Times New Roman"/>
          <w:b/>
          <w:bCs/>
          <w:sz w:val="28"/>
          <w:szCs w:val="28"/>
        </w:rPr>
        <w:t>DISCLAIMER</w:t>
      </w:r>
    </w:p>
    <w:p w14:paraId="2DF91B2B" w14:textId="454810DA" w:rsidR="00602C7A" w:rsidRPr="00DD1213" w:rsidRDefault="00B213B1" w:rsidP="00DD1213">
      <w:pPr>
        <w:spacing w:before="240" w:after="240" w:line="240" w:lineRule="auto"/>
        <w:jc w:val="both"/>
        <w:rPr>
          <w:rFonts w:ascii="Times New Roman" w:hAnsi="Times New Roman" w:cs="Times New Roman"/>
        </w:rPr>
      </w:pPr>
      <w:r w:rsidRPr="00DD1213">
        <w:rPr>
          <w:rFonts w:ascii="Times New Roman" w:hAnsi="Times New Roman" w:cs="Times New Roman"/>
        </w:rPr>
        <w:t>The concepts and scenarios presented in this paper are generalized and anonymized to preserve confidentiality. This work is intended to contribute to broader industry understanding of certification–Agile integration in safety-critical avionics systems.</w:t>
      </w:r>
    </w:p>
    <w:p w14:paraId="7449783A" w14:textId="5F20BDC9" w:rsidR="00602C7A" w:rsidRPr="00DD1213" w:rsidRDefault="006B4E6D" w:rsidP="00DD1213">
      <w:pPr>
        <w:spacing w:before="240" w:after="240" w:line="240" w:lineRule="auto"/>
        <w:rPr>
          <w:rFonts w:ascii="Times New Roman" w:hAnsi="Times New Roman" w:cs="Times New Roman"/>
          <w:b/>
          <w:bCs/>
          <w:sz w:val="28"/>
          <w:szCs w:val="28"/>
        </w:rPr>
      </w:pPr>
      <w:r w:rsidRPr="00DD1213">
        <w:rPr>
          <w:rFonts w:ascii="Times New Roman" w:hAnsi="Times New Roman" w:cs="Times New Roman"/>
          <w:b/>
          <w:bCs/>
          <w:sz w:val="28"/>
          <w:szCs w:val="28"/>
        </w:rPr>
        <w:t>REFERENCES</w:t>
      </w:r>
    </w:p>
    <w:p w14:paraId="41963E55" w14:textId="77777777" w:rsidR="00602C7A"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RTCA, </w:t>
      </w:r>
      <w:r w:rsidRPr="00DD1213">
        <w:rPr>
          <w:rFonts w:ascii="Times New Roman" w:hAnsi="Times New Roman" w:cs="Times New Roman"/>
          <w:i/>
          <w:iCs/>
        </w:rPr>
        <w:t>DO-178C: Software Considerations in Airborne Systems and Equipment Certification</w:t>
      </w:r>
      <w:r w:rsidRPr="00DD1213">
        <w:rPr>
          <w:rFonts w:ascii="Times New Roman" w:hAnsi="Times New Roman" w:cs="Times New Roman"/>
        </w:rPr>
        <w:t>, 2011.</w:t>
      </w:r>
    </w:p>
    <w:p w14:paraId="3BE2270F" w14:textId="77777777" w:rsidR="00602C7A"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EUROCAE, </w:t>
      </w:r>
      <w:r w:rsidRPr="00DD1213">
        <w:rPr>
          <w:rFonts w:ascii="Times New Roman" w:hAnsi="Times New Roman" w:cs="Times New Roman"/>
          <w:i/>
          <w:iCs/>
        </w:rPr>
        <w:t>ED-12C: Software Considerations in Airborne Systems</w:t>
      </w:r>
      <w:r w:rsidRPr="00DD1213">
        <w:rPr>
          <w:rFonts w:ascii="Times New Roman" w:hAnsi="Times New Roman" w:cs="Times New Roman"/>
        </w:rPr>
        <w:t>, 2011.</w:t>
      </w:r>
    </w:p>
    <w:p w14:paraId="6E013EAB" w14:textId="77777777" w:rsidR="00602C7A"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RTCA, </w:t>
      </w:r>
      <w:r w:rsidRPr="00DD1213">
        <w:rPr>
          <w:rFonts w:ascii="Times New Roman" w:hAnsi="Times New Roman" w:cs="Times New Roman"/>
          <w:i/>
          <w:iCs/>
        </w:rPr>
        <w:t>DO-330: Software Tool Qualification Considerations</w:t>
      </w:r>
      <w:r w:rsidRPr="00DD1213">
        <w:rPr>
          <w:rFonts w:ascii="Times New Roman" w:hAnsi="Times New Roman" w:cs="Times New Roman"/>
        </w:rPr>
        <w:t>, 2011.</w:t>
      </w:r>
    </w:p>
    <w:p w14:paraId="40CE0641" w14:textId="77777777" w:rsidR="00602C7A"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RTCA, </w:t>
      </w:r>
      <w:r w:rsidRPr="00DD1213">
        <w:rPr>
          <w:rFonts w:ascii="Times New Roman" w:hAnsi="Times New Roman" w:cs="Times New Roman"/>
          <w:i/>
          <w:iCs/>
        </w:rPr>
        <w:t>DO-331: Model-Based Development and Verification Supplement to DO-178C</w:t>
      </w:r>
      <w:r w:rsidRPr="00DD1213">
        <w:rPr>
          <w:rFonts w:ascii="Times New Roman" w:hAnsi="Times New Roman" w:cs="Times New Roman"/>
        </w:rPr>
        <w:t>, 2011.</w:t>
      </w:r>
    </w:p>
    <w:p w14:paraId="3AD2C740" w14:textId="77777777" w:rsidR="00602C7A"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RTCA, </w:t>
      </w:r>
      <w:r w:rsidRPr="00DD1213">
        <w:rPr>
          <w:rFonts w:ascii="Times New Roman" w:hAnsi="Times New Roman" w:cs="Times New Roman"/>
          <w:i/>
          <w:iCs/>
        </w:rPr>
        <w:t>DO-332: Object-Oriented Technology Supplement to DO-178C</w:t>
      </w:r>
      <w:r w:rsidRPr="00DD1213">
        <w:rPr>
          <w:rFonts w:ascii="Times New Roman" w:hAnsi="Times New Roman" w:cs="Times New Roman"/>
        </w:rPr>
        <w:t>, 2011.</w:t>
      </w:r>
    </w:p>
    <w:p w14:paraId="4332C1B5" w14:textId="77777777" w:rsidR="00602C7A"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RTCA, </w:t>
      </w:r>
      <w:r w:rsidRPr="00DD1213">
        <w:rPr>
          <w:rFonts w:ascii="Times New Roman" w:hAnsi="Times New Roman" w:cs="Times New Roman"/>
          <w:i/>
          <w:iCs/>
        </w:rPr>
        <w:t>DO-333: Formal Methods Supplement to DO-178C</w:t>
      </w:r>
      <w:r w:rsidRPr="00DD1213">
        <w:rPr>
          <w:rFonts w:ascii="Times New Roman" w:hAnsi="Times New Roman" w:cs="Times New Roman"/>
        </w:rPr>
        <w:t>, 2011.</w:t>
      </w:r>
    </w:p>
    <w:p w14:paraId="0D3E2655" w14:textId="77777777" w:rsidR="00602C7A"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FAA, </w:t>
      </w:r>
      <w:r w:rsidRPr="00DD1213">
        <w:rPr>
          <w:rFonts w:ascii="Times New Roman" w:hAnsi="Times New Roman" w:cs="Times New Roman"/>
          <w:i/>
          <w:iCs/>
        </w:rPr>
        <w:t>AC 20-115D: Airborne Software Development Assurance Using DO-178C</w:t>
      </w:r>
      <w:r w:rsidRPr="00DD1213">
        <w:rPr>
          <w:rFonts w:ascii="Times New Roman" w:hAnsi="Times New Roman" w:cs="Times New Roman"/>
        </w:rPr>
        <w:t>, 2017.</w:t>
      </w:r>
    </w:p>
    <w:p w14:paraId="24513BBC" w14:textId="77777777" w:rsidR="00602C7A"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Leveson, N., </w:t>
      </w:r>
      <w:r w:rsidRPr="00DD1213">
        <w:rPr>
          <w:rFonts w:ascii="Times New Roman" w:hAnsi="Times New Roman" w:cs="Times New Roman"/>
          <w:i/>
          <w:iCs/>
        </w:rPr>
        <w:t>Engineering a Safer World: Systems Thinking Applied to Safety</w:t>
      </w:r>
      <w:r w:rsidRPr="00DD1213">
        <w:rPr>
          <w:rFonts w:ascii="Times New Roman" w:hAnsi="Times New Roman" w:cs="Times New Roman"/>
        </w:rPr>
        <w:t>, MIT Press, 2011.</w:t>
      </w:r>
    </w:p>
    <w:p w14:paraId="5B6D5F41" w14:textId="77777777" w:rsidR="00602C7A"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Highsmith, J., </w:t>
      </w:r>
      <w:r w:rsidRPr="00DD1213">
        <w:rPr>
          <w:rFonts w:ascii="Times New Roman" w:hAnsi="Times New Roman" w:cs="Times New Roman"/>
          <w:i/>
          <w:iCs/>
        </w:rPr>
        <w:t>Agile Project Management: Creating Innovative Products</w:t>
      </w:r>
      <w:r w:rsidRPr="00DD1213">
        <w:rPr>
          <w:rFonts w:ascii="Times New Roman" w:hAnsi="Times New Roman" w:cs="Times New Roman"/>
        </w:rPr>
        <w:t>, Addison-Wesley, 2010.</w:t>
      </w:r>
    </w:p>
    <w:p w14:paraId="0DEC3727" w14:textId="77777777" w:rsidR="00602C7A"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IEEE Aerospace Conference, Selected Proceedings on Agile Methods in Safety-Critical Systems, 2015–2022.</w:t>
      </w:r>
    </w:p>
    <w:p w14:paraId="60795429" w14:textId="65416AC1" w:rsidR="00EB47B1" w:rsidRPr="00DD1213" w:rsidRDefault="00602C7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 xml:space="preserve">Parnas, D., &amp; Madey, J., “Software Aging: The Evidence and Implications for Safety-Critical Systems,” </w:t>
      </w:r>
      <w:r w:rsidRPr="00DD1213">
        <w:rPr>
          <w:rFonts w:ascii="Times New Roman" w:hAnsi="Times New Roman" w:cs="Times New Roman"/>
          <w:i/>
          <w:iCs/>
        </w:rPr>
        <w:t>Journal of Systems and Software</w:t>
      </w:r>
      <w:r w:rsidRPr="00DD1213">
        <w:rPr>
          <w:rFonts w:ascii="Times New Roman" w:hAnsi="Times New Roman" w:cs="Times New Roman"/>
        </w:rPr>
        <w:t>, 2009.</w:t>
      </w:r>
    </w:p>
    <w:p w14:paraId="380E805C" w14:textId="4D823019" w:rsidR="003A2BDA" w:rsidRPr="00DD1213" w:rsidRDefault="003A2BDA" w:rsidP="00DD1213">
      <w:pPr>
        <w:numPr>
          <w:ilvl w:val="0"/>
          <w:numId w:val="8"/>
        </w:numPr>
        <w:spacing w:before="240" w:after="240" w:line="240" w:lineRule="auto"/>
        <w:jc w:val="both"/>
        <w:rPr>
          <w:rFonts w:ascii="Times New Roman" w:hAnsi="Times New Roman" w:cs="Times New Roman"/>
        </w:rPr>
      </w:pPr>
      <w:r w:rsidRPr="00DD1213">
        <w:rPr>
          <w:rFonts w:ascii="Times New Roman" w:hAnsi="Times New Roman" w:cs="Times New Roman"/>
        </w:rPr>
        <w:t>Thangavelu, Jawahar, Ensuring Compliance with DO-178C: Advanced Techniques in Avionics Software Verification (January 06, 2022). ESP Journal of Engineering &amp; Technology Advancements ,Volume 2 Issue 1 February 2022 / Page No: 135-146, 10.56472/25832646/JETA-V2I1P116, Available at SSRN: </w:t>
      </w:r>
      <w:hyperlink r:id="rId10" w:tgtFrame="_blank" w:history="1">
        <w:r w:rsidRPr="00DD1213">
          <w:rPr>
            <w:rStyle w:val="Hyperlink"/>
            <w:rFonts w:ascii="Times New Roman" w:hAnsi="Times New Roman" w:cs="Times New Roman"/>
          </w:rPr>
          <w:t>https://ssrn.com/abstract=5124611</w:t>
        </w:r>
      </w:hyperlink>
    </w:p>
    <w:p w14:paraId="06A694CB" w14:textId="77777777" w:rsidR="00866071" w:rsidRPr="00DD1213" w:rsidRDefault="00866071" w:rsidP="00DD1213">
      <w:pPr>
        <w:spacing w:before="240" w:after="240" w:line="240" w:lineRule="auto"/>
        <w:ind w:left="720"/>
        <w:jc w:val="both"/>
        <w:rPr>
          <w:rFonts w:ascii="Times New Roman" w:hAnsi="Times New Roman" w:cs="Times New Roman"/>
        </w:rPr>
      </w:pPr>
    </w:p>
    <w:sectPr w:rsidR="00866071" w:rsidRPr="00DD1213" w:rsidSect="00990DD5">
      <w:pgSz w:w="11906" w:h="16838"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7FC5D" w14:textId="77777777" w:rsidR="00927997" w:rsidRDefault="00927997" w:rsidP="00956301">
      <w:pPr>
        <w:spacing w:after="0" w:line="240" w:lineRule="auto"/>
      </w:pPr>
      <w:r>
        <w:separator/>
      </w:r>
    </w:p>
  </w:endnote>
  <w:endnote w:type="continuationSeparator" w:id="0">
    <w:p w14:paraId="5C0D3FF0" w14:textId="77777777" w:rsidR="00927997" w:rsidRDefault="00927997" w:rsidP="00956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7C4E7" w14:textId="77777777" w:rsidR="00927997" w:rsidRDefault="00927997" w:rsidP="00956301">
      <w:pPr>
        <w:spacing w:after="0" w:line="240" w:lineRule="auto"/>
      </w:pPr>
      <w:r>
        <w:separator/>
      </w:r>
    </w:p>
  </w:footnote>
  <w:footnote w:type="continuationSeparator" w:id="0">
    <w:p w14:paraId="5731CC50" w14:textId="77777777" w:rsidR="00927997" w:rsidRDefault="00927997" w:rsidP="00956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81E91"/>
    <w:multiLevelType w:val="multilevel"/>
    <w:tmpl w:val="ABA68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F1A82"/>
    <w:multiLevelType w:val="multilevel"/>
    <w:tmpl w:val="606C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682224"/>
    <w:multiLevelType w:val="multilevel"/>
    <w:tmpl w:val="E2B2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83B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C62FC2"/>
    <w:multiLevelType w:val="multilevel"/>
    <w:tmpl w:val="B2A29CD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 w15:restartNumberingAfterBreak="0">
    <w:nsid w:val="1B9257E5"/>
    <w:multiLevelType w:val="multilevel"/>
    <w:tmpl w:val="43A6B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AD6AB7"/>
    <w:multiLevelType w:val="multilevel"/>
    <w:tmpl w:val="98F20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D13EEB"/>
    <w:multiLevelType w:val="multilevel"/>
    <w:tmpl w:val="11B0F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AB320D"/>
    <w:multiLevelType w:val="hybridMultilevel"/>
    <w:tmpl w:val="2382BFA2"/>
    <w:lvl w:ilvl="0" w:tplc="43E63D90">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3247D0"/>
    <w:multiLevelType w:val="multilevel"/>
    <w:tmpl w:val="993AB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5A3D78"/>
    <w:multiLevelType w:val="multilevel"/>
    <w:tmpl w:val="A7DAE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CA6735"/>
    <w:multiLevelType w:val="multilevel"/>
    <w:tmpl w:val="56383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397262"/>
    <w:multiLevelType w:val="multilevel"/>
    <w:tmpl w:val="D84A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FA642F"/>
    <w:multiLevelType w:val="multilevel"/>
    <w:tmpl w:val="6564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34179"/>
    <w:multiLevelType w:val="multilevel"/>
    <w:tmpl w:val="E3DE6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8E51FD0"/>
    <w:multiLevelType w:val="hybridMultilevel"/>
    <w:tmpl w:val="00589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637BB0"/>
    <w:multiLevelType w:val="multilevel"/>
    <w:tmpl w:val="D7CAE10C"/>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518281C"/>
    <w:multiLevelType w:val="multilevel"/>
    <w:tmpl w:val="D0C0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EB4FDB"/>
    <w:multiLevelType w:val="multilevel"/>
    <w:tmpl w:val="757CA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5C21F8"/>
    <w:multiLevelType w:val="multilevel"/>
    <w:tmpl w:val="DED4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1320716">
    <w:abstractNumId w:val="5"/>
  </w:num>
  <w:num w:numId="2" w16cid:durableId="458379234">
    <w:abstractNumId w:val="6"/>
  </w:num>
  <w:num w:numId="3" w16cid:durableId="1499541438">
    <w:abstractNumId w:val="17"/>
  </w:num>
  <w:num w:numId="4" w16cid:durableId="1214005292">
    <w:abstractNumId w:val="9"/>
  </w:num>
  <w:num w:numId="5" w16cid:durableId="958217805">
    <w:abstractNumId w:val="2"/>
  </w:num>
  <w:num w:numId="6" w16cid:durableId="994453020">
    <w:abstractNumId w:val="13"/>
  </w:num>
  <w:num w:numId="7" w16cid:durableId="1522818911">
    <w:abstractNumId w:val="12"/>
  </w:num>
  <w:num w:numId="8" w16cid:durableId="675153063">
    <w:abstractNumId w:val="4"/>
  </w:num>
  <w:num w:numId="9" w16cid:durableId="1489588550">
    <w:abstractNumId w:val="14"/>
  </w:num>
  <w:num w:numId="10" w16cid:durableId="2080470521">
    <w:abstractNumId w:val="19"/>
  </w:num>
  <w:num w:numId="11" w16cid:durableId="145979256">
    <w:abstractNumId w:val="16"/>
  </w:num>
  <w:num w:numId="12" w16cid:durableId="65995806">
    <w:abstractNumId w:val="7"/>
  </w:num>
  <w:num w:numId="13" w16cid:durableId="521744435">
    <w:abstractNumId w:val="18"/>
  </w:num>
  <w:num w:numId="14" w16cid:durableId="148401859">
    <w:abstractNumId w:val="15"/>
  </w:num>
  <w:num w:numId="15" w16cid:durableId="333535772">
    <w:abstractNumId w:val="8"/>
  </w:num>
  <w:num w:numId="16" w16cid:durableId="1731032435">
    <w:abstractNumId w:val="3"/>
  </w:num>
  <w:num w:numId="17" w16cid:durableId="1529415488">
    <w:abstractNumId w:val="10"/>
  </w:num>
  <w:num w:numId="18" w16cid:durableId="727458226">
    <w:abstractNumId w:val="1"/>
  </w:num>
  <w:num w:numId="19" w16cid:durableId="40642427">
    <w:abstractNumId w:val="0"/>
  </w:num>
  <w:num w:numId="20" w16cid:durableId="518004536">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50C"/>
    <w:rsid w:val="000000DC"/>
    <w:rsid w:val="00006EA5"/>
    <w:rsid w:val="00011C91"/>
    <w:rsid w:val="00013FB6"/>
    <w:rsid w:val="00033A57"/>
    <w:rsid w:val="00035ECD"/>
    <w:rsid w:val="00047348"/>
    <w:rsid w:val="00053B2D"/>
    <w:rsid w:val="00056967"/>
    <w:rsid w:val="0006116A"/>
    <w:rsid w:val="000848AB"/>
    <w:rsid w:val="00086A9D"/>
    <w:rsid w:val="0008720A"/>
    <w:rsid w:val="00087BC9"/>
    <w:rsid w:val="000A55E9"/>
    <w:rsid w:val="000C7FF9"/>
    <w:rsid w:val="000E50DF"/>
    <w:rsid w:val="000F4597"/>
    <w:rsid w:val="00130BF1"/>
    <w:rsid w:val="00166481"/>
    <w:rsid w:val="00166E94"/>
    <w:rsid w:val="001837FD"/>
    <w:rsid w:val="001844C0"/>
    <w:rsid w:val="001948D2"/>
    <w:rsid w:val="001A0E6B"/>
    <w:rsid w:val="001A1420"/>
    <w:rsid w:val="001D6370"/>
    <w:rsid w:val="001D7C09"/>
    <w:rsid w:val="001F6006"/>
    <w:rsid w:val="00205BE6"/>
    <w:rsid w:val="00220421"/>
    <w:rsid w:val="0022454A"/>
    <w:rsid w:val="00225BDA"/>
    <w:rsid w:val="00237118"/>
    <w:rsid w:val="0025126A"/>
    <w:rsid w:val="0025350C"/>
    <w:rsid w:val="00267FD4"/>
    <w:rsid w:val="002727B2"/>
    <w:rsid w:val="00275F79"/>
    <w:rsid w:val="0028338B"/>
    <w:rsid w:val="00291A50"/>
    <w:rsid w:val="002925CF"/>
    <w:rsid w:val="00292F08"/>
    <w:rsid w:val="00295282"/>
    <w:rsid w:val="00297C87"/>
    <w:rsid w:val="002B5ED0"/>
    <w:rsid w:val="002E2242"/>
    <w:rsid w:val="002E4E2D"/>
    <w:rsid w:val="00307DA6"/>
    <w:rsid w:val="00316366"/>
    <w:rsid w:val="00316611"/>
    <w:rsid w:val="00321D5F"/>
    <w:rsid w:val="00333E81"/>
    <w:rsid w:val="00340A37"/>
    <w:rsid w:val="00342901"/>
    <w:rsid w:val="00353630"/>
    <w:rsid w:val="0035492B"/>
    <w:rsid w:val="00361182"/>
    <w:rsid w:val="0037272F"/>
    <w:rsid w:val="00380E08"/>
    <w:rsid w:val="003840A0"/>
    <w:rsid w:val="003950F0"/>
    <w:rsid w:val="0039555D"/>
    <w:rsid w:val="00396857"/>
    <w:rsid w:val="003A2BDA"/>
    <w:rsid w:val="003B4807"/>
    <w:rsid w:val="003B5CF5"/>
    <w:rsid w:val="003C1C3A"/>
    <w:rsid w:val="003C22E6"/>
    <w:rsid w:val="003C3746"/>
    <w:rsid w:val="003F0449"/>
    <w:rsid w:val="003F621B"/>
    <w:rsid w:val="003F6A2B"/>
    <w:rsid w:val="004106F2"/>
    <w:rsid w:val="00422BC3"/>
    <w:rsid w:val="0043470E"/>
    <w:rsid w:val="0043576D"/>
    <w:rsid w:val="004422AB"/>
    <w:rsid w:val="00442422"/>
    <w:rsid w:val="004601A4"/>
    <w:rsid w:val="00473BAC"/>
    <w:rsid w:val="00483A18"/>
    <w:rsid w:val="00495ED6"/>
    <w:rsid w:val="00495FFE"/>
    <w:rsid w:val="00497C20"/>
    <w:rsid w:val="004B3851"/>
    <w:rsid w:val="004B4F82"/>
    <w:rsid w:val="004D1C8E"/>
    <w:rsid w:val="004D3451"/>
    <w:rsid w:val="004D6373"/>
    <w:rsid w:val="004E49AD"/>
    <w:rsid w:val="00501A73"/>
    <w:rsid w:val="00505755"/>
    <w:rsid w:val="00527A2F"/>
    <w:rsid w:val="0053486E"/>
    <w:rsid w:val="00535788"/>
    <w:rsid w:val="005534A7"/>
    <w:rsid w:val="00554802"/>
    <w:rsid w:val="00556023"/>
    <w:rsid w:val="005A3F7B"/>
    <w:rsid w:val="005C27C5"/>
    <w:rsid w:val="005D179E"/>
    <w:rsid w:val="005D53FD"/>
    <w:rsid w:val="005D5ADA"/>
    <w:rsid w:val="005E4F3A"/>
    <w:rsid w:val="00602C7A"/>
    <w:rsid w:val="0060385A"/>
    <w:rsid w:val="0062065B"/>
    <w:rsid w:val="00641954"/>
    <w:rsid w:val="0064220A"/>
    <w:rsid w:val="00656B23"/>
    <w:rsid w:val="006621A3"/>
    <w:rsid w:val="006632B7"/>
    <w:rsid w:val="0066740D"/>
    <w:rsid w:val="006838C5"/>
    <w:rsid w:val="0069228E"/>
    <w:rsid w:val="00697FBF"/>
    <w:rsid w:val="006B4E6D"/>
    <w:rsid w:val="006B5375"/>
    <w:rsid w:val="006C48CE"/>
    <w:rsid w:val="006D23D8"/>
    <w:rsid w:val="006D3722"/>
    <w:rsid w:val="006D7DC0"/>
    <w:rsid w:val="006E1E7E"/>
    <w:rsid w:val="00727634"/>
    <w:rsid w:val="00731E7D"/>
    <w:rsid w:val="007352C4"/>
    <w:rsid w:val="0074591C"/>
    <w:rsid w:val="007617D9"/>
    <w:rsid w:val="00764722"/>
    <w:rsid w:val="00781170"/>
    <w:rsid w:val="00783032"/>
    <w:rsid w:val="007A1CE9"/>
    <w:rsid w:val="007A7CA1"/>
    <w:rsid w:val="007B2FCA"/>
    <w:rsid w:val="007E0037"/>
    <w:rsid w:val="007F1792"/>
    <w:rsid w:val="008100E2"/>
    <w:rsid w:val="00812722"/>
    <w:rsid w:val="00815FEA"/>
    <w:rsid w:val="00822535"/>
    <w:rsid w:val="008237C5"/>
    <w:rsid w:val="00824011"/>
    <w:rsid w:val="00824FEA"/>
    <w:rsid w:val="00837F63"/>
    <w:rsid w:val="008636C4"/>
    <w:rsid w:val="00864363"/>
    <w:rsid w:val="00866071"/>
    <w:rsid w:val="00867654"/>
    <w:rsid w:val="0087596A"/>
    <w:rsid w:val="00880EE0"/>
    <w:rsid w:val="008A2871"/>
    <w:rsid w:val="008C0148"/>
    <w:rsid w:val="008C0C32"/>
    <w:rsid w:val="008C3E32"/>
    <w:rsid w:val="00903A3B"/>
    <w:rsid w:val="009114AF"/>
    <w:rsid w:val="00922524"/>
    <w:rsid w:val="00926AE8"/>
    <w:rsid w:val="00927997"/>
    <w:rsid w:val="00956301"/>
    <w:rsid w:val="009657C4"/>
    <w:rsid w:val="009806B5"/>
    <w:rsid w:val="00981E6C"/>
    <w:rsid w:val="00985FF3"/>
    <w:rsid w:val="00990DD5"/>
    <w:rsid w:val="00992E0B"/>
    <w:rsid w:val="009A5C33"/>
    <w:rsid w:val="009B0C59"/>
    <w:rsid w:val="009C40C3"/>
    <w:rsid w:val="009D7599"/>
    <w:rsid w:val="00A1042F"/>
    <w:rsid w:val="00A120BA"/>
    <w:rsid w:val="00A20081"/>
    <w:rsid w:val="00A23311"/>
    <w:rsid w:val="00A306FF"/>
    <w:rsid w:val="00A315FB"/>
    <w:rsid w:val="00A60D07"/>
    <w:rsid w:val="00A62371"/>
    <w:rsid w:val="00A654B9"/>
    <w:rsid w:val="00A67D0D"/>
    <w:rsid w:val="00A75D1D"/>
    <w:rsid w:val="00A770F8"/>
    <w:rsid w:val="00AA1DF8"/>
    <w:rsid w:val="00AD7F55"/>
    <w:rsid w:val="00AF08F3"/>
    <w:rsid w:val="00AF4967"/>
    <w:rsid w:val="00B0787F"/>
    <w:rsid w:val="00B123DE"/>
    <w:rsid w:val="00B13972"/>
    <w:rsid w:val="00B15D52"/>
    <w:rsid w:val="00B213B1"/>
    <w:rsid w:val="00B35681"/>
    <w:rsid w:val="00B504C6"/>
    <w:rsid w:val="00B51869"/>
    <w:rsid w:val="00B54EA1"/>
    <w:rsid w:val="00B810D6"/>
    <w:rsid w:val="00B86874"/>
    <w:rsid w:val="00B9347C"/>
    <w:rsid w:val="00BA53CD"/>
    <w:rsid w:val="00BC081A"/>
    <w:rsid w:val="00BC286E"/>
    <w:rsid w:val="00BC7835"/>
    <w:rsid w:val="00BD26BE"/>
    <w:rsid w:val="00BD71F3"/>
    <w:rsid w:val="00BE052A"/>
    <w:rsid w:val="00BF2115"/>
    <w:rsid w:val="00BF2314"/>
    <w:rsid w:val="00BF304A"/>
    <w:rsid w:val="00BF6BC3"/>
    <w:rsid w:val="00C00C2B"/>
    <w:rsid w:val="00C00FA5"/>
    <w:rsid w:val="00C23A04"/>
    <w:rsid w:val="00C24A61"/>
    <w:rsid w:val="00C27930"/>
    <w:rsid w:val="00C45273"/>
    <w:rsid w:val="00C64322"/>
    <w:rsid w:val="00C6546E"/>
    <w:rsid w:val="00C73845"/>
    <w:rsid w:val="00C740A0"/>
    <w:rsid w:val="00C8083E"/>
    <w:rsid w:val="00C87AA4"/>
    <w:rsid w:val="00C939A5"/>
    <w:rsid w:val="00C956D5"/>
    <w:rsid w:val="00CA154F"/>
    <w:rsid w:val="00CA70CA"/>
    <w:rsid w:val="00CA7A25"/>
    <w:rsid w:val="00CC17AC"/>
    <w:rsid w:val="00CD22AB"/>
    <w:rsid w:val="00CD6957"/>
    <w:rsid w:val="00CE62EC"/>
    <w:rsid w:val="00CE7A8C"/>
    <w:rsid w:val="00D11CDD"/>
    <w:rsid w:val="00D22047"/>
    <w:rsid w:val="00D2610C"/>
    <w:rsid w:val="00D27161"/>
    <w:rsid w:val="00D317C2"/>
    <w:rsid w:val="00D548F0"/>
    <w:rsid w:val="00D6582A"/>
    <w:rsid w:val="00D666D7"/>
    <w:rsid w:val="00D703C2"/>
    <w:rsid w:val="00D73B30"/>
    <w:rsid w:val="00D804C3"/>
    <w:rsid w:val="00DB698D"/>
    <w:rsid w:val="00DD1213"/>
    <w:rsid w:val="00DD3569"/>
    <w:rsid w:val="00DD7A58"/>
    <w:rsid w:val="00DF0E70"/>
    <w:rsid w:val="00DF5322"/>
    <w:rsid w:val="00E04FE5"/>
    <w:rsid w:val="00E12092"/>
    <w:rsid w:val="00E47D58"/>
    <w:rsid w:val="00E66774"/>
    <w:rsid w:val="00E72B3F"/>
    <w:rsid w:val="00EB47B1"/>
    <w:rsid w:val="00EB7783"/>
    <w:rsid w:val="00EC5CF0"/>
    <w:rsid w:val="00ED4A94"/>
    <w:rsid w:val="00ED5D6C"/>
    <w:rsid w:val="00EE420D"/>
    <w:rsid w:val="00EF58C9"/>
    <w:rsid w:val="00EF5A44"/>
    <w:rsid w:val="00F03CF0"/>
    <w:rsid w:val="00F350E3"/>
    <w:rsid w:val="00F46663"/>
    <w:rsid w:val="00F46E14"/>
    <w:rsid w:val="00F70814"/>
    <w:rsid w:val="00F71EB7"/>
    <w:rsid w:val="00F91E89"/>
    <w:rsid w:val="00FA2BBE"/>
    <w:rsid w:val="00FA4DDB"/>
    <w:rsid w:val="00FA73CA"/>
    <w:rsid w:val="00FB5F24"/>
    <w:rsid w:val="00FC09F4"/>
    <w:rsid w:val="00FC0C96"/>
    <w:rsid w:val="00FC24AE"/>
    <w:rsid w:val="00FD3767"/>
    <w:rsid w:val="00FE27F4"/>
    <w:rsid w:val="00FE41CA"/>
    <w:rsid w:val="00FE5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95FE6"/>
  <w15:chartTrackingRefBased/>
  <w15:docId w15:val="{67A3D996-7BC6-4020-B92C-4CFC30719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35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35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35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35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35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35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35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35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35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35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35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35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35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35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35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35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35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350C"/>
    <w:rPr>
      <w:rFonts w:eastAsiaTheme="majorEastAsia" w:cstheme="majorBidi"/>
      <w:color w:val="272727" w:themeColor="text1" w:themeTint="D8"/>
    </w:rPr>
  </w:style>
  <w:style w:type="paragraph" w:styleId="Title">
    <w:name w:val="Title"/>
    <w:basedOn w:val="Normal"/>
    <w:next w:val="Normal"/>
    <w:link w:val="TitleChar"/>
    <w:uiPriority w:val="10"/>
    <w:qFormat/>
    <w:rsid w:val="002535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35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35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35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350C"/>
    <w:pPr>
      <w:spacing w:before="160"/>
      <w:jc w:val="center"/>
    </w:pPr>
    <w:rPr>
      <w:i/>
      <w:iCs/>
      <w:color w:val="404040" w:themeColor="text1" w:themeTint="BF"/>
    </w:rPr>
  </w:style>
  <w:style w:type="character" w:customStyle="1" w:styleId="QuoteChar">
    <w:name w:val="Quote Char"/>
    <w:basedOn w:val="DefaultParagraphFont"/>
    <w:link w:val="Quote"/>
    <w:uiPriority w:val="29"/>
    <w:rsid w:val="0025350C"/>
    <w:rPr>
      <w:i/>
      <w:iCs/>
      <w:color w:val="404040" w:themeColor="text1" w:themeTint="BF"/>
    </w:rPr>
  </w:style>
  <w:style w:type="paragraph" w:styleId="ListParagraph">
    <w:name w:val="List Paragraph"/>
    <w:basedOn w:val="Normal"/>
    <w:uiPriority w:val="34"/>
    <w:qFormat/>
    <w:rsid w:val="0025350C"/>
    <w:pPr>
      <w:ind w:left="720"/>
      <w:contextualSpacing/>
    </w:pPr>
  </w:style>
  <w:style w:type="character" w:styleId="IntenseEmphasis">
    <w:name w:val="Intense Emphasis"/>
    <w:basedOn w:val="DefaultParagraphFont"/>
    <w:uiPriority w:val="21"/>
    <w:qFormat/>
    <w:rsid w:val="0025350C"/>
    <w:rPr>
      <w:i/>
      <w:iCs/>
      <w:color w:val="0F4761" w:themeColor="accent1" w:themeShade="BF"/>
    </w:rPr>
  </w:style>
  <w:style w:type="paragraph" w:styleId="IntenseQuote">
    <w:name w:val="Intense Quote"/>
    <w:basedOn w:val="Normal"/>
    <w:next w:val="Normal"/>
    <w:link w:val="IntenseQuoteChar"/>
    <w:uiPriority w:val="30"/>
    <w:qFormat/>
    <w:rsid w:val="002535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350C"/>
    <w:rPr>
      <w:i/>
      <w:iCs/>
      <w:color w:val="0F4761" w:themeColor="accent1" w:themeShade="BF"/>
    </w:rPr>
  </w:style>
  <w:style w:type="character" w:styleId="IntenseReference">
    <w:name w:val="Intense Reference"/>
    <w:basedOn w:val="DefaultParagraphFont"/>
    <w:uiPriority w:val="32"/>
    <w:qFormat/>
    <w:rsid w:val="0025350C"/>
    <w:rPr>
      <w:b/>
      <w:bCs/>
      <w:smallCaps/>
      <w:color w:val="0F4761" w:themeColor="accent1" w:themeShade="BF"/>
      <w:spacing w:val="5"/>
    </w:rPr>
  </w:style>
  <w:style w:type="character" w:styleId="Hyperlink">
    <w:name w:val="Hyperlink"/>
    <w:basedOn w:val="DefaultParagraphFont"/>
    <w:uiPriority w:val="99"/>
    <w:unhideWhenUsed/>
    <w:rsid w:val="003A2BDA"/>
    <w:rPr>
      <w:color w:val="467886" w:themeColor="hyperlink"/>
      <w:u w:val="single"/>
    </w:rPr>
  </w:style>
  <w:style w:type="character" w:styleId="UnresolvedMention">
    <w:name w:val="Unresolved Mention"/>
    <w:basedOn w:val="DefaultParagraphFont"/>
    <w:uiPriority w:val="99"/>
    <w:semiHidden/>
    <w:unhideWhenUsed/>
    <w:rsid w:val="003A2BDA"/>
    <w:rPr>
      <w:color w:val="605E5C"/>
      <w:shd w:val="clear" w:color="auto" w:fill="E1DFDD"/>
    </w:rPr>
  </w:style>
  <w:style w:type="paragraph" w:styleId="Header">
    <w:name w:val="header"/>
    <w:basedOn w:val="Normal"/>
    <w:link w:val="HeaderChar"/>
    <w:uiPriority w:val="99"/>
    <w:unhideWhenUsed/>
    <w:rsid w:val="009563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301"/>
  </w:style>
  <w:style w:type="paragraph" w:styleId="Footer">
    <w:name w:val="footer"/>
    <w:basedOn w:val="Normal"/>
    <w:link w:val="FooterChar"/>
    <w:uiPriority w:val="99"/>
    <w:unhideWhenUsed/>
    <w:rsid w:val="009563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301"/>
  </w:style>
  <w:style w:type="paragraph" w:styleId="NormalWeb">
    <w:name w:val="Normal (Web)"/>
    <w:basedOn w:val="Normal"/>
    <w:uiPriority w:val="99"/>
    <w:unhideWhenUsed/>
    <w:rsid w:val="00033A5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033A57"/>
    <w:rPr>
      <w:i/>
      <w:iCs/>
    </w:rPr>
  </w:style>
  <w:style w:type="character" w:styleId="FollowedHyperlink">
    <w:name w:val="FollowedHyperlink"/>
    <w:basedOn w:val="DefaultParagraphFont"/>
    <w:uiPriority w:val="99"/>
    <w:semiHidden/>
    <w:unhideWhenUsed/>
    <w:rsid w:val="00C740A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ssrn.com/abstract=5124611"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EB01E-7D18-43E5-B6F5-5DFB5A44F003}">
  <ds:schemaRefs>
    <ds:schemaRef ds:uri="http://schemas.openxmlformats.org/officeDocument/2006/bibliography"/>
  </ds:schemaRefs>
</ds:datastoreItem>
</file>

<file path=docMetadata/LabelInfo.xml><?xml version="1.0" encoding="utf-8"?>
<clbl:labelList xmlns:clbl="http://schemas.microsoft.com/office/2020/mipLabelMetadata">
  <clbl:label id="{4447dd6a-a4a1-440b-a6a3-9124ef1ee017}" enabled="1" method="Privileged" siteId="{7a18110d-ef9b-4274-acef-e62ab0fe28ed}" removed="0"/>
</clbl:labelList>
</file>

<file path=docProps/app.xml><?xml version="1.0" encoding="utf-8"?>
<Properties xmlns="http://schemas.openxmlformats.org/officeDocument/2006/extended-properties" xmlns:vt="http://schemas.openxmlformats.org/officeDocument/2006/docPropsVTypes">
  <Template>Normal.dotm</Template>
  <TotalTime>433</TotalTime>
  <Pages>9</Pages>
  <Words>3055</Words>
  <Characters>17414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Collins Aerospace</Company>
  <LinksUpToDate>false</LinksUpToDate>
  <CharactersWithSpaces>20429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Arumugam, Prasannakumar (NUSP in USA)</dc:creator>
  <cp:keywords/>
  <dc:description/>
  <cp:lastModifiedBy>Arumugam, Prasannakumar (NUSP in USA)</cp:lastModifiedBy>
  <cp:revision>194</cp:revision>
  <dcterms:created xsi:type="dcterms:W3CDTF">2026-03-23T20:04:00Z</dcterms:created>
  <dcterms:modified xsi:type="dcterms:W3CDTF">2026-04-03T03:50:00Z</dcterms:modified>
</cp:coreProperties>
</file>