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493" w:rsidRPr="009F3662" w:rsidRDefault="009F7493" w:rsidP="003B7103">
      <w:pPr>
        <w:spacing w:after="480"/>
        <w:jc w:val="center"/>
        <w:rPr>
          <w:rFonts w:ascii="Times New Roman" w:hAnsi="Times New Roman" w:cs="Times New Roman"/>
          <w:b/>
          <w:sz w:val="24"/>
        </w:rPr>
      </w:pPr>
      <w:r w:rsidRPr="009F3662">
        <w:rPr>
          <w:rFonts w:ascii="Times New Roman" w:hAnsi="Times New Roman" w:cs="Times New Roman"/>
          <w:b/>
          <w:sz w:val="24"/>
        </w:rPr>
        <w:t xml:space="preserve">Innovation, Governance, and ESG: Impacts on the Economic-Financial </w:t>
      </w:r>
      <w:proofErr w:type="gramStart"/>
      <w:r w:rsidRPr="009F3662">
        <w:rPr>
          <w:rFonts w:ascii="Times New Roman" w:hAnsi="Times New Roman" w:cs="Times New Roman"/>
          <w:b/>
          <w:sz w:val="24"/>
        </w:rPr>
        <w:t>Performance</w:t>
      </w:r>
      <w:proofErr w:type="gramEnd"/>
      <w:r w:rsidRPr="009F3662">
        <w:rPr>
          <w:rFonts w:ascii="Times New Roman" w:hAnsi="Times New Roman" w:cs="Times New Roman"/>
          <w:b/>
          <w:sz w:val="24"/>
        </w:rPr>
        <w:t xml:space="preserve"> in Organizations</w:t>
      </w:r>
    </w:p>
    <w:p w:rsidR="009F7493" w:rsidRPr="009F3662" w:rsidRDefault="009F7493" w:rsidP="009F7493">
      <w:pPr>
        <w:jc w:val="both"/>
        <w:rPr>
          <w:rFonts w:ascii="Times New Roman" w:hAnsi="Times New Roman" w:cs="Times New Roman"/>
          <w:b/>
          <w:sz w:val="24"/>
        </w:rPr>
      </w:pPr>
      <w:r w:rsidRPr="009F3662">
        <w:rPr>
          <w:rFonts w:ascii="Times New Roman" w:hAnsi="Times New Roman" w:cs="Times New Roman"/>
          <w:b/>
          <w:sz w:val="24"/>
        </w:rPr>
        <w:t>Abstract</w:t>
      </w:r>
    </w:p>
    <w:p w:rsidR="009F7493" w:rsidRPr="009F3662" w:rsidRDefault="00D52243" w:rsidP="00572828">
      <w:pPr>
        <w:spacing w:line="240" w:lineRule="auto"/>
        <w:jc w:val="both"/>
        <w:rPr>
          <w:rFonts w:ascii="Times New Roman" w:hAnsi="Times New Roman" w:cs="Times New Roman"/>
          <w:sz w:val="24"/>
        </w:rPr>
      </w:pPr>
      <w:r w:rsidRPr="009F3662">
        <w:rPr>
          <w:rFonts w:ascii="Times New Roman" w:hAnsi="Times New Roman" w:cs="Times New Roman"/>
          <w:sz w:val="24"/>
        </w:rPr>
        <w:t>In emerging economies, inte</w:t>
      </w:r>
      <w:r w:rsidR="005A6679" w:rsidRPr="009F3662">
        <w:rPr>
          <w:rFonts w:ascii="Times New Roman" w:hAnsi="Times New Roman" w:cs="Times New Roman"/>
          <w:sz w:val="24"/>
        </w:rPr>
        <w:t xml:space="preserve">grating innovation, governance, </w:t>
      </w:r>
      <w:r w:rsidRPr="009F3662">
        <w:rPr>
          <w:rFonts w:ascii="Times New Roman" w:hAnsi="Times New Roman" w:cs="Times New Roman"/>
          <w:sz w:val="24"/>
        </w:rPr>
        <w:t xml:space="preserve">and ESG criteria poses a strategic challenge, necessitating analyses that align these dimensions. This study, using data from 3483 observations of companies listed on B3 (2015-2022), examined the effects of these factors on economic-financial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alongside ESG’s role in mitigating CEO duality and promoting female board representation. Employing the Generalized Method of Moments (GMM), results revealed complex relationships: innovation positively impacted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solidifying its role as a competitive driver. CEO duality exhibited progressively negative effects, highlighting risks of </w:t>
      </w:r>
      <w:proofErr w:type="gramStart"/>
      <w:r w:rsidRPr="009F3662">
        <w:rPr>
          <w:rFonts w:ascii="Times New Roman" w:hAnsi="Times New Roman" w:cs="Times New Roman"/>
          <w:sz w:val="24"/>
        </w:rPr>
        <w:t>power</w:t>
      </w:r>
      <w:proofErr w:type="gramEnd"/>
      <w:r w:rsidRPr="009F3662">
        <w:rPr>
          <w:rFonts w:ascii="Times New Roman" w:hAnsi="Times New Roman" w:cs="Times New Roman"/>
          <w:sz w:val="24"/>
        </w:rPr>
        <w:t xml:space="preserve"> concentration. Female representation yielded ambiguous impacts, suggesting reliance on inclusion policies. ESG practices, though linked to operational costs and greenwashing in isolation, enhanced positive outcomes when combined with diversified boards, underscoring governance-sustainability synergies. Theoretically, the study integrated Stakeholder and Agency Theories, indicating ESG amplifies benefits in collaborative contexts but fails to offset governance gaps. Practically, it recommends balanced governance structures, separation of leadership roles, and gender diversity investments as strategic complements to ESG. Thus, the research underscores the relevance of multifaceted approaches for sustainable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in emerging markets, offering insights into mitigating risks while leveraging innovation and governance synergies</w:t>
      </w:r>
      <w:r w:rsidR="003B7103" w:rsidRPr="009F3662">
        <w:rPr>
          <w:rFonts w:ascii="Times New Roman" w:hAnsi="Times New Roman" w:cs="Times New Roman"/>
          <w:sz w:val="24"/>
        </w:rPr>
        <w:t>.</w:t>
      </w:r>
    </w:p>
    <w:p w:rsidR="005A3C92" w:rsidRPr="009F3662" w:rsidRDefault="009F7493" w:rsidP="00572828">
      <w:pPr>
        <w:spacing w:line="240" w:lineRule="auto"/>
        <w:jc w:val="both"/>
        <w:rPr>
          <w:rFonts w:ascii="Times New Roman" w:hAnsi="Times New Roman" w:cs="Times New Roman"/>
          <w:sz w:val="24"/>
        </w:rPr>
      </w:pPr>
      <w:r w:rsidRPr="009F3662">
        <w:rPr>
          <w:rFonts w:ascii="Times New Roman" w:hAnsi="Times New Roman" w:cs="Times New Roman"/>
          <w:b/>
          <w:sz w:val="24"/>
        </w:rPr>
        <w:t>Keywords:</w:t>
      </w:r>
      <w:r w:rsidRPr="009F3662">
        <w:rPr>
          <w:rFonts w:ascii="Times New Roman" w:hAnsi="Times New Roman" w:cs="Times New Roman"/>
          <w:sz w:val="24"/>
        </w:rPr>
        <w:t xml:space="preserve"> sustainability, accountability, transparency, inclusion, organizational culture</w:t>
      </w:r>
      <w:r w:rsidR="003B7103" w:rsidRPr="009F3662">
        <w:rPr>
          <w:rFonts w:ascii="Times New Roman" w:hAnsi="Times New Roman" w:cs="Times New Roman"/>
          <w:sz w:val="24"/>
        </w:rPr>
        <w:t>.</w:t>
      </w:r>
    </w:p>
    <w:p w:rsidR="009F7493" w:rsidRPr="009F3662" w:rsidRDefault="006F04AD" w:rsidP="003B7103">
      <w:pPr>
        <w:pStyle w:val="Ttulo1"/>
        <w:spacing w:after="480" w:line="360" w:lineRule="auto"/>
        <w:rPr>
          <w:rFonts w:ascii="Times New Roman" w:hAnsi="Times New Roman" w:cs="Times New Roman"/>
          <w:color w:val="auto"/>
          <w:sz w:val="24"/>
        </w:rPr>
      </w:pPr>
      <w:r w:rsidRPr="009F3662">
        <w:rPr>
          <w:rFonts w:ascii="Times New Roman" w:hAnsi="Times New Roman" w:cs="Times New Roman"/>
          <w:bCs w:val="0"/>
          <w:color w:val="auto"/>
          <w:sz w:val="24"/>
        </w:rPr>
        <w:t>1.</w:t>
      </w:r>
      <w:r w:rsidRPr="009F3662">
        <w:rPr>
          <w:rFonts w:ascii="Times New Roman" w:hAnsi="Times New Roman" w:cs="Times New Roman"/>
          <w:color w:val="auto"/>
          <w:sz w:val="24"/>
        </w:rPr>
        <w:t xml:space="preserve"> </w:t>
      </w:r>
      <w:r w:rsidR="009F7493" w:rsidRPr="009F3662">
        <w:rPr>
          <w:rFonts w:ascii="Times New Roman" w:hAnsi="Times New Roman" w:cs="Times New Roman"/>
          <w:color w:val="auto"/>
          <w:sz w:val="24"/>
        </w:rPr>
        <w:t>Introduction</w:t>
      </w:r>
    </w:p>
    <w:p w:rsidR="009F7493" w:rsidRPr="009F3662" w:rsidRDefault="009F7493"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increasing pressure resulting from climate change and social demands has encouraged organizations to adopt practices that meet high </w:t>
      </w:r>
      <w:proofErr w:type="gramStart"/>
      <w:r w:rsidRPr="009F3662">
        <w:rPr>
          <w:rFonts w:ascii="Times New Roman" w:hAnsi="Times New Roman" w:cs="Times New Roman"/>
          <w:sz w:val="24"/>
        </w:rPr>
        <w:t>standards</w:t>
      </w:r>
      <w:proofErr w:type="gramEnd"/>
      <w:r w:rsidRPr="009F3662">
        <w:rPr>
          <w:rFonts w:ascii="Times New Roman" w:hAnsi="Times New Roman" w:cs="Times New Roman"/>
          <w:sz w:val="24"/>
        </w:rPr>
        <w:t xml:space="preserve"> of environmental and social responsibility, thereby driving organizational transformation (Aguilera et al., 2021; Abid et al., 2022). Moreover, growing stakeholder awareness promotes transparency and a commitment to sustainability, establishing a solid foundation for internal changes (Ilyas &amp; Osiyevskyy, 2022; Med Bechir &amp; Jouirou, 2024; Zournatzidou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2025).</w:t>
      </w:r>
    </w:p>
    <w:p w:rsidR="009F7493" w:rsidRPr="009F3662" w:rsidRDefault="009F7493"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In this context, companies are challenged to develop innovative strategies that integrate economic-financial, environmental, and social aspects, fostering a holistic approach that meets the expectations of diverse audiences (Konadu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2022). In this regard, </w:t>
      </w:r>
      <w:proofErr w:type="gramStart"/>
      <w:r w:rsidRPr="009F3662">
        <w:rPr>
          <w:rFonts w:ascii="Times New Roman" w:hAnsi="Times New Roman" w:cs="Times New Roman"/>
          <w:sz w:val="24"/>
        </w:rPr>
        <w:t>green</w:t>
      </w:r>
      <w:proofErr w:type="gramEnd"/>
      <w:r w:rsidRPr="009F3662">
        <w:rPr>
          <w:rFonts w:ascii="Times New Roman" w:hAnsi="Times New Roman" w:cs="Times New Roman"/>
          <w:sz w:val="24"/>
        </w:rPr>
        <w:t xml:space="preserve"> innovation stands out by enhancing production processes and reducing environmental risks, acting as a catalyst for the creation of long-term value and strengthening competitiveness (Griffin et al., 2021; Korphaibool et al., 2024; Liu et al., 2024).</w:t>
      </w:r>
    </w:p>
    <w:p w:rsidR="009F7493" w:rsidRPr="009F3662" w:rsidRDefault="009F7493"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Furthermore, the incorporation of both tangible and intangible innovations into daily operations is essential, as it increases operational efficiency and enhances corporate reputation </w:t>
      </w:r>
      <w:r w:rsidRPr="009F3662">
        <w:rPr>
          <w:rFonts w:ascii="Times New Roman" w:hAnsi="Times New Roman" w:cs="Times New Roman"/>
          <w:sz w:val="24"/>
        </w:rPr>
        <w:lastRenderedPageBreak/>
        <w:t xml:space="preserve">by optimizing internal processes and bolstering the company’s image among stakeholders (Alkaraan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2025). This synergy between innovation and financial development proves to be a robust solution for promoting a sustainable society, generating both operational and financial gains (Abid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2022; Hsieh et al., 2024; Kwarteng et al., 2022).</w:t>
      </w:r>
    </w:p>
    <w:p w:rsidR="009F7493" w:rsidRPr="009F3662" w:rsidRDefault="009F7493"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adoption of Environmental, Social, and Governance (ESG) criteria in corporate governance effectively balances economic and environmental objectives (Aguilera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2021; Alkaraan et al., 2025). However, the lack of standardization in ESG scores can lead to inconsistent evaluations and greenwashing practices (Abid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2022). This highlights the need to improve these metrics so that ESG can become a true catalyst for innovation and governance enhancement (Liu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2024; Agoraki et al., 2024; Shakil et al., 2021; Nguyen et al., 2020; Ma et al., 2022).</w:t>
      </w:r>
    </w:p>
    <w:p w:rsidR="009F7493" w:rsidRPr="009F3662" w:rsidRDefault="009F7493"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At the same time, gender diversity on boards of directors contributes to more effective governance and balanced corporate decisions by mitigating conflicts and enriching the decision-making process, as advocated by Stakeholder Theory (Adams &amp; Ferreira, 2009; García-Meca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2024; Enciso-Alfaro &amp; García-Sánchez, 2024). In contrast, CEO duality</w:t>
      </w:r>
      <w:r w:rsidR="006F04AD" w:rsidRPr="009F3662">
        <w:rPr>
          <w:rFonts w:ascii="Times New Roman" w:hAnsi="Times New Roman" w:cs="Times New Roman"/>
          <w:sz w:val="24"/>
        </w:rPr>
        <w:t xml:space="preserve"> – </w:t>
      </w:r>
      <w:r w:rsidRPr="009F3662">
        <w:rPr>
          <w:rFonts w:ascii="Times New Roman" w:hAnsi="Times New Roman" w:cs="Times New Roman"/>
          <w:sz w:val="24"/>
        </w:rPr>
        <w:t>characterized by the accumulation of the roles of board chair and CEO</w:t>
      </w:r>
      <w:r w:rsidR="006F04AD" w:rsidRPr="009F3662">
        <w:rPr>
          <w:rFonts w:ascii="Times New Roman" w:hAnsi="Times New Roman" w:cs="Times New Roman"/>
          <w:sz w:val="24"/>
        </w:rPr>
        <w:t xml:space="preserve"> – </w:t>
      </w:r>
      <w:r w:rsidRPr="009F3662">
        <w:rPr>
          <w:rFonts w:ascii="Times New Roman" w:hAnsi="Times New Roman" w:cs="Times New Roman"/>
          <w:sz w:val="24"/>
        </w:rPr>
        <w:t xml:space="preserve">may restrict the implementation of disruptive innovations and the integration of ESG practices, thereby harming economic-financial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(Aguilera et al., 2021; Aksoy et al., 2020).</w:t>
      </w:r>
    </w:p>
    <w:p w:rsidR="009F7493" w:rsidRPr="009F3662" w:rsidRDefault="009F7493"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motivation for this study arises from the need to understand how the strategic integration of ESG practices, combined with sustainable innovations and the implementation of governance structures, can affect the financial sustainability of companies. There is a noticeable scarcity of research addressing these dynamics in an integrated manner. Faced with a scenario full of climatic challenges and demands for social justice, it is essential to analyze the interconnections among these elements to improve economic-financial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and position sustainability as a competitive advantage. Thus, the guiding question of this investigation is: Which factors in the strategic integration of ESG practices, in combination with sustainable innovations and governance structures, influence the financial sustainability of organizations?</w:t>
      </w:r>
    </w:p>
    <w:p w:rsidR="009F7493" w:rsidRPr="009F3662" w:rsidRDefault="009F7493"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Accordingly, the purpose of this study is to investigate the effects of innovation, governance factors, and ESG criteria on the economic-financial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of companies. Additionally, it aims to analyze these interactions and highlight the importance of ESG criteria in mitigating the impacts of CEO duality, as well as in promoting female representation on boards, thereby contributing to the generation of sustainable value.</w:t>
      </w:r>
    </w:p>
    <w:p w:rsidR="009F7493" w:rsidRPr="009F3662" w:rsidRDefault="009F7493"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To achieve these objectives, the work is structured into four essential parts:</w:t>
      </w:r>
    </w:p>
    <w:p w:rsidR="009F7493" w:rsidRPr="009F3662" w:rsidRDefault="009F7493" w:rsidP="003B7103">
      <w:pPr>
        <w:spacing w:after="0" w:line="360" w:lineRule="auto"/>
        <w:jc w:val="both"/>
        <w:rPr>
          <w:rFonts w:ascii="Times New Roman" w:hAnsi="Times New Roman" w:cs="Times New Roman"/>
          <w:sz w:val="24"/>
        </w:rPr>
      </w:pPr>
      <w:r w:rsidRPr="009F3662">
        <w:rPr>
          <w:rFonts w:ascii="Times New Roman" w:hAnsi="Times New Roman" w:cs="Times New Roman"/>
          <w:sz w:val="24"/>
        </w:rPr>
        <w:lastRenderedPageBreak/>
        <w:t xml:space="preserve">Part 2 – </w:t>
      </w:r>
      <w:proofErr w:type="gramStart"/>
      <w:r w:rsidRPr="009F3662">
        <w:rPr>
          <w:rFonts w:ascii="Times New Roman" w:hAnsi="Times New Roman" w:cs="Times New Roman"/>
          <w:sz w:val="24"/>
        </w:rPr>
        <w:t>Explores</w:t>
      </w:r>
      <w:proofErr w:type="gramEnd"/>
      <w:r w:rsidRPr="009F3662">
        <w:rPr>
          <w:rFonts w:ascii="Times New Roman" w:hAnsi="Times New Roman" w:cs="Times New Roman"/>
          <w:sz w:val="24"/>
        </w:rPr>
        <w:t xml:space="preserve"> the theoretical references necessary </w:t>
      </w:r>
      <w:r w:rsidR="00610E5D" w:rsidRPr="009F3662">
        <w:rPr>
          <w:rFonts w:ascii="Times New Roman" w:hAnsi="Times New Roman" w:cs="Times New Roman"/>
          <w:sz w:val="24"/>
        </w:rPr>
        <w:t xml:space="preserve">for formulating the hypotheses; </w:t>
      </w:r>
      <w:r w:rsidRPr="009F3662">
        <w:rPr>
          <w:rFonts w:ascii="Times New Roman" w:hAnsi="Times New Roman" w:cs="Times New Roman"/>
          <w:sz w:val="24"/>
        </w:rPr>
        <w:t>Part 3 – Discusses the methodology used, with a focus o</w:t>
      </w:r>
      <w:r w:rsidR="00610E5D" w:rsidRPr="009F3662">
        <w:rPr>
          <w:rFonts w:ascii="Times New Roman" w:hAnsi="Times New Roman" w:cs="Times New Roman"/>
          <w:sz w:val="24"/>
        </w:rPr>
        <w:t xml:space="preserve">n obtaining consistent results; </w:t>
      </w:r>
      <w:r w:rsidRPr="009F3662">
        <w:rPr>
          <w:rFonts w:ascii="Times New Roman" w:hAnsi="Times New Roman" w:cs="Times New Roman"/>
          <w:sz w:val="24"/>
        </w:rPr>
        <w:t>Part 4 – Presents the results accompanied</w:t>
      </w:r>
      <w:r w:rsidR="00610E5D" w:rsidRPr="009F3662">
        <w:rPr>
          <w:rFonts w:ascii="Times New Roman" w:hAnsi="Times New Roman" w:cs="Times New Roman"/>
          <w:sz w:val="24"/>
        </w:rPr>
        <w:t xml:space="preserve"> by an in-depth discussion; and </w:t>
      </w:r>
      <w:r w:rsidRPr="009F3662">
        <w:rPr>
          <w:rFonts w:ascii="Times New Roman" w:hAnsi="Times New Roman" w:cs="Times New Roman"/>
          <w:sz w:val="24"/>
        </w:rPr>
        <w:t>Part 5 – Concludes with the final considerations of the research.</w:t>
      </w:r>
    </w:p>
    <w:p w:rsidR="00610E5D" w:rsidRPr="009F3662" w:rsidRDefault="00610E5D" w:rsidP="003B7103">
      <w:pPr>
        <w:pStyle w:val="Ttulo1"/>
        <w:spacing w:after="480" w:line="360" w:lineRule="auto"/>
        <w:rPr>
          <w:rFonts w:ascii="Times New Roman" w:hAnsi="Times New Roman" w:cs="Times New Roman"/>
          <w:color w:val="auto"/>
          <w:sz w:val="24"/>
        </w:rPr>
      </w:pPr>
      <w:r w:rsidRPr="009F3662">
        <w:rPr>
          <w:rFonts w:ascii="Times New Roman" w:hAnsi="Times New Roman" w:cs="Times New Roman"/>
          <w:color w:val="auto"/>
          <w:sz w:val="24"/>
        </w:rPr>
        <w:t>2. Theoretical Framework</w:t>
      </w:r>
    </w:p>
    <w:p w:rsidR="00610E5D" w:rsidRPr="009F3662" w:rsidRDefault="00610E5D" w:rsidP="003B7103">
      <w:pPr>
        <w:pStyle w:val="Ttulo2"/>
        <w:spacing w:before="480" w:after="480" w:line="360" w:lineRule="auto"/>
        <w:rPr>
          <w:rFonts w:ascii="Times New Roman" w:hAnsi="Times New Roman" w:cs="Times New Roman"/>
          <w:b w:val="0"/>
          <w:i/>
          <w:color w:val="auto"/>
          <w:sz w:val="24"/>
        </w:rPr>
      </w:pPr>
      <w:r w:rsidRPr="009F3662">
        <w:rPr>
          <w:rFonts w:ascii="Times New Roman" w:hAnsi="Times New Roman" w:cs="Times New Roman"/>
          <w:b w:val="0"/>
          <w:i/>
          <w:color w:val="auto"/>
          <w:sz w:val="24"/>
        </w:rPr>
        <w:t xml:space="preserve">2.1. Innovation and Its Impact on Economic-Financial </w:t>
      </w:r>
      <w:proofErr w:type="gramStart"/>
      <w:r w:rsidRPr="009F3662">
        <w:rPr>
          <w:rFonts w:ascii="Times New Roman" w:hAnsi="Times New Roman" w:cs="Times New Roman"/>
          <w:b w:val="0"/>
          <w:i/>
          <w:color w:val="auto"/>
          <w:sz w:val="24"/>
        </w:rPr>
        <w:t>Performance</w:t>
      </w:r>
      <w:proofErr w:type="gramEnd"/>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It is evident that innovation has been identified as a crucial factor for enhancing the economic and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of organizations. Griffin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(2021) and Korphaibool et al. (2024) argue that integrating innovative practices into production processes not only minimizes environmental risks but also creates long-term value, thereby strengthening market competitiveness.</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Similarly, the study by Liu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(2024) analyzed, through regressions on a sample of companies listed in China between 2009 and 2021, that both disruptive green innovations and incremental green innovations contribute significantly to corporate performance and to the incorporation of environmental, social, and governance (ESG) practices. In parallel, Alkaraan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(2025) applied the assumptions of the Resource-Based View (RBV) in UK companies participating in the Financial Times Stock Exchange (FTSE)</w:t>
      </w:r>
      <w:r w:rsidR="006F04AD" w:rsidRPr="009F3662">
        <w:rPr>
          <w:rFonts w:ascii="Times New Roman" w:hAnsi="Times New Roman" w:cs="Times New Roman"/>
          <w:sz w:val="24"/>
        </w:rPr>
        <w:t xml:space="preserve"> –  </w:t>
      </w:r>
      <w:r w:rsidRPr="009F3662">
        <w:rPr>
          <w:rFonts w:ascii="Times New Roman" w:hAnsi="Times New Roman" w:cs="Times New Roman"/>
          <w:sz w:val="24"/>
        </w:rPr>
        <w:t>an index representing the 100 largest companies listed on the London Stock Exchange</w:t>
      </w:r>
      <w:r w:rsidR="006F04AD" w:rsidRPr="009F3662">
        <w:rPr>
          <w:rFonts w:ascii="Times New Roman" w:hAnsi="Times New Roman" w:cs="Times New Roman"/>
          <w:sz w:val="24"/>
        </w:rPr>
        <w:t xml:space="preserve"> – </w:t>
      </w:r>
      <w:r w:rsidRPr="009F3662">
        <w:rPr>
          <w:rFonts w:ascii="Times New Roman" w:hAnsi="Times New Roman" w:cs="Times New Roman"/>
          <w:sz w:val="24"/>
        </w:rPr>
        <w:t>between 2012 and 2021, concluding that the synergy between innovation and operational efficiency translates into significant financial gains.</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Thus, these studies reinforce the importance of innovation as a catalyst for positive outcomes. In light of the above, the first hypothesis emerges:</w:t>
      </w:r>
    </w:p>
    <w:p w:rsidR="00610E5D" w:rsidRPr="009F3662" w:rsidRDefault="00610E5D" w:rsidP="003B7103">
      <w:pPr>
        <w:spacing w:after="0" w:line="360" w:lineRule="auto"/>
        <w:ind w:firstLine="709"/>
        <w:jc w:val="both"/>
        <w:rPr>
          <w:rFonts w:ascii="Times New Roman" w:hAnsi="Times New Roman" w:cs="Times New Roman"/>
          <w:sz w:val="24"/>
        </w:rPr>
      </w:pPr>
      <w:r w:rsidRPr="009F3662">
        <w:rPr>
          <w:rFonts w:ascii="Times New Roman" w:hAnsi="Times New Roman" w:cs="Times New Roman"/>
          <w:b/>
          <w:sz w:val="24"/>
        </w:rPr>
        <w:t>H1:</w:t>
      </w:r>
      <w:r w:rsidRPr="009F3662">
        <w:rPr>
          <w:rFonts w:ascii="Times New Roman" w:hAnsi="Times New Roman" w:cs="Times New Roman"/>
          <w:sz w:val="24"/>
        </w:rPr>
        <w:t xml:space="preserve"> Innovation in assets suggests positive impacts on economic and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In line with studies on innovation and governance, Aguilera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(2021) emphasize that structured governance is essential for the effective implementation of ESG practices, corroborating the view that the synergy between governance and innovation is vital for the economic and financial performance of organizations. Enciso-Alfaro and García-Sánchez (2024) point out that gender diversity on boards of directors and board independence are </w:t>
      </w:r>
      <w:r w:rsidRPr="009F3662">
        <w:rPr>
          <w:rFonts w:ascii="Times New Roman" w:hAnsi="Times New Roman" w:cs="Times New Roman"/>
          <w:sz w:val="24"/>
        </w:rPr>
        <w:lastRenderedPageBreak/>
        <w:t xml:space="preserve">factors that enhance the adoption of ESG practices, thereby promoting improved corporate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w:t>
      </w:r>
    </w:p>
    <w:p w:rsidR="00610E5D" w:rsidRPr="009F3662" w:rsidRDefault="00610E5D" w:rsidP="003B7103">
      <w:pPr>
        <w:pStyle w:val="Ttulo2"/>
        <w:spacing w:before="480" w:after="480" w:line="360" w:lineRule="auto"/>
        <w:rPr>
          <w:rFonts w:ascii="Times New Roman" w:hAnsi="Times New Roman" w:cs="Times New Roman"/>
          <w:b w:val="0"/>
          <w:i/>
          <w:color w:val="auto"/>
          <w:sz w:val="24"/>
        </w:rPr>
      </w:pPr>
      <w:r w:rsidRPr="009F3662">
        <w:rPr>
          <w:rFonts w:ascii="Times New Roman" w:hAnsi="Times New Roman" w:cs="Times New Roman"/>
          <w:b w:val="0"/>
          <w:i/>
          <w:color w:val="auto"/>
          <w:sz w:val="24"/>
        </w:rPr>
        <w:t xml:space="preserve">2.2. Corporate Governance, Gender Diversity, and CEO </w:t>
      </w:r>
      <w:proofErr w:type="gramStart"/>
      <w:r w:rsidRPr="009F3662">
        <w:rPr>
          <w:rFonts w:ascii="Times New Roman" w:hAnsi="Times New Roman" w:cs="Times New Roman"/>
          <w:b w:val="0"/>
          <w:i/>
          <w:color w:val="auto"/>
          <w:sz w:val="24"/>
        </w:rPr>
        <w:t>Duality</w:t>
      </w:r>
      <w:proofErr w:type="gramEnd"/>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In the realm of corporate governance, the discussion focuses on the influence of gender diversity on boards of directors and the impact of CEO duality on the economic and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of organizations (Enciso-Alfaro &amp; García-Sánchez, 2024). Adams and Ferreira (2009) emphasize that the presence of women on boards, in line with Stakeholder Theory, promotes more inclusive and balanced decision-making.</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Decision-making and its effects on governance are further examined and supported by studies from Nguyen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(2020), which highlight the importance of female representation on boards for fostering more ethical and responsible governance. Similarly, Liu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(2024) demonstrate that including women on boards not only contributes to innovation and operational efficiency but also drives the adoption of sustainable practices, leading to significant economic benefits. In light of these findings, the second hypothesis was formulated.</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b/>
          <w:sz w:val="24"/>
        </w:rPr>
        <w:t>H2:</w:t>
      </w:r>
      <w:r w:rsidRPr="009F3662">
        <w:rPr>
          <w:rFonts w:ascii="Times New Roman" w:hAnsi="Times New Roman" w:cs="Times New Roman"/>
          <w:sz w:val="24"/>
        </w:rPr>
        <w:t xml:space="preserve"> The presence of women on boards positively impacts economic and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Furthermore, García-Meca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(2024) show that gender diversity on boards not only mitigates internal conflicts but also enriches strategic formulation, thereby facilitating the implementation of green innovations and sustainable practices. The presence of women on boards enhances decision-making in an inclusive and balanced manner, as Stakeholder Theory advocates for considering the interests of all parties involved in the company (Adams &amp; Ferreira, 2009).</w:t>
      </w:r>
    </w:p>
    <w:p w:rsidR="00610E5D" w:rsidRPr="009F3662" w:rsidRDefault="006F04A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Conversely, CEO duality – </w:t>
      </w:r>
      <w:r w:rsidR="00610E5D" w:rsidRPr="009F3662">
        <w:rPr>
          <w:rFonts w:ascii="Times New Roman" w:hAnsi="Times New Roman" w:cs="Times New Roman"/>
          <w:sz w:val="24"/>
        </w:rPr>
        <w:t>a situation in which the executive also serves as the board chair</w:t>
      </w:r>
      <w:r w:rsidRPr="009F3662">
        <w:rPr>
          <w:rFonts w:ascii="Times New Roman" w:hAnsi="Times New Roman" w:cs="Times New Roman"/>
          <w:sz w:val="24"/>
        </w:rPr>
        <w:t xml:space="preserve"> – </w:t>
      </w:r>
      <w:r w:rsidR="00610E5D" w:rsidRPr="009F3662">
        <w:rPr>
          <w:rFonts w:ascii="Times New Roman" w:hAnsi="Times New Roman" w:cs="Times New Roman"/>
          <w:sz w:val="24"/>
        </w:rPr>
        <w:t xml:space="preserve">has been linked to a concentration of </w:t>
      </w:r>
      <w:proofErr w:type="gramStart"/>
      <w:r w:rsidR="00610E5D" w:rsidRPr="009F3662">
        <w:rPr>
          <w:rFonts w:ascii="Times New Roman" w:hAnsi="Times New Roman" w:cs="Times New Roman"/>
          <w:sz w:val="24"/>
        </w:rPr>
        <w:t>power</w:t>
      </w:r>
      <w:proofErr w:type="gramEnd"/>
      <w:r w:rsidR="00610E5D" w:rsidRPr="009F3662">
        <w:rPr>
          <w:rFonts w:ascii="Times New Roman" w:hAnsi="Times New Roman" w:cs="Times New Roman"/>
          <w:sz w:val="24"/>
        </w:rPr>
        <w:t xml:space="preserve"> and the adoption of less collaborative decision-making processes, according to Romano et al. (2020). Studies by Khan </w:t>
      </w:r>
      <w:proofErr w:type="gramStart"/>
      <w:r w:rsidR="00610E5D" w:rsidRPr="009F3662">
        <w:rPr>
          <w:rFonts w:ascii="Times New Roman" w:hAnsi="Times New Roman" w:cs="Times New Roman"/>
          <w:sz w:val="24"/>
        </w:rPr>
        <w:t>et</w:t>
      </w:r>
      <w:proofErr w:type="gramEnd"/>
      <w:r w:rsidR="00610E5D" w:rsidRPr="009F3662">
        <w:rPr>
          <w:rFonts w:ascii="Times New Roman" w:hAnsi="Times New Roman" w:cs="Times New Roman"/>
          <w:sz w:val="24"/>
        </w:rPr>
        <w:t xml:space="preserve"> al. (2020) and Krause (2017) reveal that such a concentration of authority may elevate governance risks, resulting in negative effects on the economic and financial performance of organizations. CEO duality can restrict the diversity of opinions and the embrace of innovative approaches, thereby undermining operational efficiency and market competitiveness.</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lastRenderedPageBreak/>
        <w:t xml:space="preserve">Similarly, Med Bechir and Jouirou (2024) point to the adverse consequences of this practice, underscoring the necessity of diversified boards to counterbalance the negative effects stemming from </w:t>
      </w:r>
      <w:proofErr w:type="gramStart"/>
      <w:r w:rsidRPr="009F3662">
        <w:rPr>
          <w:rFonts w:ascii="Times New Roman" w:hAnsi="Times New Roman" w:cs="Times New Roman"/>
          <w:sz w:val="24"/>
        </w:rPr>
        <w:t>power</w:t>
      </w:r>
      <w:proofErr w:type="gramEnd"/>
      <w:r w:rsidRPr="009F3662">
        <w:rPr>
          <w:rFonts w:ascii="Times New Roman" w:hAnsi="Times New Roman" w:cs="Times New Roman"/>
          <w:sz w:val="24"/>
        </w:rPr>
        <w:t xml:space="preserve"> concentration. Agency Theory also supports the view that CEO duality may lead to conflicts of interest, wherein the CEO might prioritize personal interests over those of shareholders, thereby compromising corporate governance and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(Fama &amp; Jensen, 1983). Thus, the third hypothesis is presented.</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b/>
          <w:sz w:val="24"/>
        </w:rPr>
        <w:t>H3:</w:t>
      </w:r>
      <w:r w:rsidRPr="009F3662">
        <w:rPr>
          <w:rFonts w:ascii="Times New Roman" w:hAnsi="Times New Roman" w:cs="Times New Roman"/>
          <w:sz w:val="24"/>
        </w:rPr>
        <w:t xml:space="preserve"> CEO duality negatively impacts the economic and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of the company.</w:t>
      </w:r>
    </w:p>
    <w:p w:rsidR="00610E5D" w:rsidRPr="009F3662" w:rsidRDefault="00610E5D" w:rsidP="003B7103">
      <w:pPr>
        <w:pStyle w:val="Ttulo2"/>
        <w:spacing w:before="480" w:after="480" w:line="360" w:lineRule="auto"/>
        <w:rPr>
          <w:rFonts w:ascii="Times New Roman" w:hAnsi="Times New Roman" w:cs="Times New Roman"/>
          <w:b w:val="0"/>
          <w:i/>
          <w:color w:val="auto"/>
          <w:sz w:val="24"/>
        </w:rPr>
      </w:pPr>
      <w:r w:rsidRPr="009F3662">
        <w:rPr>
          <w:rFonts w:ascii="Times New Roman" w:hAnsi="Times New Roman" w:cs="Times New Roman"/>
          <w:b w:val="0"/>
          <w:i/>
          <w:color w:val="auto"/>
          <w:sz w:val="24"/>
        </w:rPr>
        <w:t>2.3. ESG Score and Its Amplification of Economic and Financial Impacts</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Environmental, Social, and Governance (ESG) criteria emerge as strategic elements that </w:t>
      </w:r>
      <w:proofErr w:type="gramStart"/>
      <w:r w:rsidRPr="009F3662">
        <w:rPr>
          <w:rFonts w:ascii="Times New Roman" w:hAnsi="Times New Roman" w:cs="Times New Roman"/>
          <w:sz w:val="24"/>
        </w:rPr>
        <w:t>go</w:t>
      </w:r>
      <w:proofErr w:type="gramEnd"/>
      <w:r w:rsidRPr="009F3662">
        <w:rPr>
          <w:rFonts w:ascii="Times New Roman" w:hAnsi="Times New Roman" w:cs="Times New Roman"/>
          <w:sz w:val="24"/>
        </w:rPr>
        <w:t xml:space="preserve"> beyond a mere classification, decisively influencing corporate responsibility and risk management. Baldi and Pandimiglio (2022) and Zhang (2023) emphasize that although the challenges of greenwashing pose a risk to transparency, the incorporation of ESG metrics reflects companies’ commitment to sustainability (Alkaraan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2025).</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adoption of ESG practices has been widely studied and shown to be a positive factor for organizations’ economic and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According to Friede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(2015), the analysis of more than 2,000 empirical studies revealed that companies with high ESG scores tend to exhibit better financial performance. This positive relationship is corroborated by studies from Abid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(2022), which highlight that the integration of ESG practices promotes a synergy between sustainability and financial development, resulting in both operational and economic benefits. In light of ESG practices and the synergy between sustainability and financial development, the fourth hypothesis was formulated.</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b/>
          <w:sz w:val="24"/>
        </w:rPr>
        <w:t>H4:</w:t>
      </w:r>
      <w:r w:rsidRPr="009F3662">
        <w:rPr>
          <w:rFonts w:ascii="Times New Roman" w:hAnsi="Times New Roman" w:cs="Times New Roman"/>
          <w:sz w:val="24"/>
        </w:rPr>
        <w:t xml:space="preserve"> The ESG score produces positive impacts on economic and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Studies by Post and Byron (2015) indicate that female representation on boards is associated with superior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When combined with sustainable practices, this effect becomes even more robust, demonstrating the importance of gender diversity in corporate governance. The inclusion of women on boards promotes more inclusive and balanced decision-making, aligned with Stakeholder Theory, which emphasizes considering the interests of all parties involved in the company (Adams &amp; Ferreira, 2009; García-Meca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2024; Enciso-Alfaro &amp; García-Sánchez, 2024).</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lastRenderedPageBreak/>
        <w:t xml:space="preserve">This argument is further corroborated by Liu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(2024), who demonstrate that the inclusion of women on boards, when coupled with robust ESG practices, increases operational efficiency and strengthens corporate image, making companies more resilient and competitive. Abid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(2022) support this view by highlighting that gender diversity on boards fosters more ethical and responsible governance, in line with sustainability principles. Thus, the fifth hypothesis is derived.</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b/>
          <w:sz w:val="24"/>
        </w:rPr>
        <w:t>H5:</w:t>
      </w:r>
      <w:r w:rsidRPr="009F3662">
        <w:rPr>
          <w:rFonts w:ascii="Times New Roman" w:hAnsi="Times New Roman" w:cs="Times New Roman"/>
          <w:sz w:val="24"/>
        </w:rPr>
        <w:t xml:space="preserve"> The ESG score favorably amplifies the impact of female board presence on organizational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On the other hand, it is observed that the ESG index also positively enhances the influence of CEO duality, generating beneficial effects on economic and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Aguilera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(2021) argue that, when combined with robust governance, ESG can mitigate the risks inherent in the concentration of power, promoting strategic decisions that are more aligned with stakeholders’ interests. Furthermore, Chu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(2023) reinforce that specific CEO characteristics, such as experience and strategic vision, can be maximized in contexts where the ESG score is high, allowing duality to serve as a catalyst for innovation and operational efficiency.</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This perspective is supported by recent empirical studies. For instance, Aksoy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(2020) conducted an analysis of Turkish companies and concluded that the adoption of ESG practices reduces agency conflicts associated with CEO duality, thereby enhancing transparency and accountability. Similarly, Konadu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(2022) highlight that companies with high ESG indices have a greater capacity to integrate environmental and social innovations, even in scenarios where CEO duality might otherwise be considered an obstacle. These findings indicate that ESG not only acts as a moderator but also as a facilitator that transforms potential disadvantages into growth opportunities. Consequently, the sixth hypothesis is formulated.</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H6: The ESG index favorably enhances the influence of CEO duality, generating positive effects on economic and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w:t>
      </w:r>
    </w:p>
    <w:p w:rsidR="00610E5D" w:rsidRPr="009F3662" w:rsidRDefault="00610E5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theoretical framework presented herein demonstrates that innovation, corporate governance, and ESG criteria play complementary and fundamental roles in determining an organization’s economic and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Thus, the strategic integration of these elements is essential for creating more resilient, innovative, and sustainable organizations.</w:t>
      </w:r>
    </w:p>
    <w:p w:rsidR="0074534B" w:rsidRPr="009F3662" w:rsidRDefault="0074534B"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Table 1 summa</w:t>
      </w:r>
      <w:bookmarkStart w:id="0" w:name="_GoBack"/>
      <w:bookmarkEnd w:id="0"/>
      <w:r w:rsidRPr="009F3662">
        <w:rPr>
          <w:rFonts w:ascii="Times New Roman" w:hAnsi="Times New Roman" w:cs="Times New Roman"/>
          <w:sz w:val="24"/>
        </w:rPr>
        <w:t>rizes the hypotheses raised in this study.</w:t>
      </w:r>
    </w:p>
    <w:p w:rsidR="00715E49" w:rsidRPr="009F3662" w:rsidRDefault="00715E49" w:rsidP="003B7103">
      <w:pPr>
        <w:spacing w:after="0" w:line="360" w:lineRule="auto"/>
        <w:ind w:firstLine="708"/>
        <w:jc w:val="both"/>
        <w:rPr>
          <w:rFonts w:ascii="Times New Roman" w:hAnsi="Times New Roman" w:cs="Times New Roman"/>
          <w:sz w:val="24"/>
        </w:rPr>
      </w:pPr>
    </w:p>
    <w:p w:rsidR="00CB05C1" w:rsidRPr="009F3662" w:rsidRDefault="00CB05C1" w:rsidP="00251446">
      <w:pPr>
        <w:spacing w:before="200" w:after="0" w:line="240" w:lineRule="auto"/>
        <w:rPr>
          <w:rFonts w:ascii="Times New Roman" w:hAnsi="Times New Roman" w:cs="Times New Roman"/>
          <w:sz w:val="24"/>
        </w:rPr>
      </w:pPr>
      <w:r w:rsidRPr="009F3662">
        <w:rPr>
          <w:rFonts w:ascii="Times New Roman" w:hAnsi="Times New Roman" w:cs="Times New Roman"/>
          <w:sz w:val="24"/>
        </w:rPr>
        <w:lastRenderedPageBreak/>
        <w:t>Table 1 – Hypotheses Raised in the Study</w:t>
      </w:r>
    </w:p>
    <w:tbl>
      <w:tblPr>
        <w:tblStyle w:val="SombreamentoClaro"/>
        <w:tblW w:w="4904" w:type="pct"/>
        <w:tblLayout w:type="fixed"/>
        <w:tblLook w:val="04A0" w:firstRow="1" w:lastRow="0" w:firstColumn="1" w:lastColumn="0" w:noHBand="0" w:noVBand="1"/>
      </w:tblPr>
      <w:tblGrid>
        <w:gridCol w:w="720"/>
        <w:gridCol w:w="6797"/>
        <w:gridCol w:w="1592"/>
      </w:tblGrid>
      <w:tr w:rsidR="009F3662" w:rsidRPr="00251446" w:rsidTr="00CB05C1">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4126" w:type="pct"/>
            <w:gridSpan w:val="2"/>
            <w:vAlign w:val="center"/>
            <w:hideMark/>
          </w:tcPr>
          <w:p w:rsidR="00CB05C1" w:rsidRPr="00251446" w:rsidRDefault="00CB05C1" w:rsidP="00CB05C1">
            <w:pPr>
              <w:jc w:val="center"/>
              <w:rPr>
                <w:rFonts w:ascii="Times New Roman" w:hAnsi="Times New Roman" w:cs="Times New Roman"/>
                <w:color w:val="auto"/>
                <w:sz w:val="20"/>
              </w:rPr>
            </w:pPr>
            <w:r w:rsidRPr="00251446">
              <w:rPr>
                <w:rFonts w:ascii="Times New Roman" w:hAnsi="Times New Roman" w:cs="Times New Roman"/>
                <w:color w:val="auto"/>
                <w:sz w:val="20"/>
              </w:rPr>
              <w:t>Hypotheses</w:t>
            </w:r>
          </w:p>
        </w:tc>
        <w:tc>
          <w:tcPr>
            <w:tcW w:w="874" w:type="pct"/>
            <w:vAlign w:val="center"/>
            <w:hideMark/>
          </w:tcPr>
          <w:p w:rsidR="00CB05C1" w:rsidRPr="00251446" w:rsidRDefault="00CB05C1" w:rsidP="00CB05C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51446">
              <w:rPr>
                <w:rFonts w:ascii="Times New Roman" w:hAnsi="Times New Roman" w:cs="Times New Roman"/>
                <w:color w:val="auto"/>
                <w:sz w:val="20"/>
              </w:rPr>
              <w:t>Expected Sign</w:t>
            </w:r>
          </w:p>
        </w:tc>
      </w:tr>
      <w:tr w:rsidR="009F3662" w:rsidRPr="00251446" w:rsidTr="00CB05C1">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95" w:type="pct"/>
            <w:shd w:val="clear" w:color="auto" w:fill="D9D9D9" w:themeFill="background1" w:themeFillShade="D9"/>
            <w:vAlign w:val="center"/>
            <w:hideMark/>
          </w:tcPr>
          <w:p w:rsidR="00CB05C1" w:rsidRPr="00251446" w:rsidRDefault="00CB05C1" w:rsidP="00CB05C1">
            <w:pPr>
              <w:jc w:val="center"/>
              <w:rPr>
                <w:rFonts w:ascii="Times New Roman" w:hAnsi="Times New Roman" w:cs="Times New Roman"/>
                <w:color w:val="auto"/>
                <w:sz w:val="20"/>
              </w:rPr>
            </w:pPr>
            <w:r w:rsidRPr="00251446">
              <w:rPr>
                <w:rFonts w:ascii="Times New Roman" w:hAnsi="Times New Roman" w:cs="Times New Roman"/>
                <w:color w:val="auto"/>
                <w:sz w:val="20"/>
              </w:rPr>
              <w:t>H1</w:t>
            </w:r>
          </w:p>
        </w:tc>
        <w:tc>
          <w:tcPr>
            <w:tcW w:w="3731" w:type="pct"/>
            <w:shd w:val="clear" w:color="auto" w:fill="D9D9D9" w:themeFill="background1" w:themeFillShade="D9"/>
            <w:vAlign w:val="center"/>
            <w:hideMark/>
          </w:tcPr>
          <w:p w:rsidR="00CB05C1" w:rsidRPr="00251446" w:rsidRDefault="00CB05C1" w:rsidP="00CB05C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51446">
              <w:rPr>
                <w:rFonts w:ascii="Times New Roman" w:hAnsi="Times New Roman" w:cs="Times New Roman"/>
                <w:color w:val="auto"/>
                <w:sz w:val="20"/>
              </w:rPr>
              <w:t xml:space="preserve">Innovation in assets suggests positive impacts on economic‑financial </w:t>
            </w:r>
            <w:proofErr w:type="gramStart"/>
            <w:r w:rsidRPr="00251446">
              <w:rPr>
                <w:rFonts w:ascii="Times New Roman" w:hAnsi="Times New Roman" w:cs="Times New Roman"/>
                <w:color w:val="auto"/>
                <w:sz w:val="20"/>
              </w:rPr>
              <w:t>performance</w:t>
            </w:r>
            <w:proofErr w:type="gramEnd"/>
            <w:r w:rsidRPr="00251446">
              <w:rPr>
                <w:rFonts w:ascii="Times New Roman" w:hAnsi="Times New Roman" w:cs="Times New Roman"/>
                <w:color w:val="auto"/>
                <w:sz w:val="20"/>
              </w:rPr>
              <w:t>.</w:t>
            </w:r>
          </w:p>
        </w:tc>
        <w:tc>
          <w:tcPr>
            <w:tcW w:w="874" w:type="pct"/>
            <w:shd w:val="clear" w:color="auto" w:fill="D9D9D9" w:themeFill="background1" w:themeFillShade="D9"/>
            <w:vAlign w:val="center"/>
            <w:hideMark/>
          </w:tcPr>
          <w:p w:rsidR="00CB05C1" w:rsidRPr="00251446" w:rsidRDefault="00CB05C1" w:rsidP="00CB05C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51446">
              <w:rPr>
                <w:rFonts w:ascii="Times New Roman" w:hAnsi="Times New Roman" w:cs="Times New Roman"/>
                <w:color w:val="auto"/>
                <w:sz w:val="20"/>
              </w:rPr>
              <w:t>+</w:t>
            </w:r>
          </w:p>
        </w:tc>
      </w:tr>
      <w:tr w:rsidR="009F3662" w:rsidRPr="00251446" w:rsidTr="00CB05C1">
        <w:trPr>
          <w:trHeight w:val="655"/>
        </w:trPr>
        <w:tc>
          <w:tcPr>
            <w:cnfStyle w:val="001000000000" w:firstRow="0" w:lastRow="0" w:firstColumn="1" w:lastColumn="0" w:oddVBand="0" w:evenVBand="0" w:oddHBand="0" w:evenHBand="0" w:firstRowFirstColumn="0" w:firstRowLastColumn="0" w:lastRowFirstColumn="0" w:lastRowLastColumn="0"/>
            <w:tcW w:w="395" w:type="pct"/>
            <w:vAlign w:val="center"/>
            <w:hideMark/>
          </w:tcPr>
          <w:p w:rsidR="00CB05C1" w:rsidRPr="00251446" w:rsidRDefault="00CB05C1" w:rsidP="00CB05C1">
            <w:pPr>
              <w:spacing w:line="360" w:lineRule="auto"/>
              <w:jc w:val="center"/>
              <w:rPr>
                <w:rFonts w:ascii="Times New Roman" w:hAnsi="Times New Roman" w:cs="Times New Roman"/>
                <w:color w:val="auto"/>
                <w:sz w:val="20"/>
              </w:rPr>
            </w:pPr>
            <w:r w:rsidRPr="00251446">
              <w:rPr>
                <w:rFonts w:ascii="Times New Roman" w:hAnsi="Times New Roman" w:cs="Times New Roman"/>
                <w:color w:val="auto"/>
                <w:sz w:val="20"/>
              </w:rPr>
              <w:t>H2</w:t>
            </w:r>
          </w:p>
        </w:tc>
        <w:tc>
          <w:tcPr>
            <w:tcW w:w="3731" w:type="pct"/>
            <w:vAlign w:val="center"/>
            <w:hideMark/>
          </w:tcPr>
          <w:p w:rsidR="00CB05C1" w:rsidRPr="00251446" w:rsidRDefault="00CB05C1" w:rsidP="00CB05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51446">
              <w:rPr>
                <w:rFonts w:ascii="Times New Roman" w:hAnsi="Times New Roman" w:cs="Times New Roman"/>
                <w:color w:val="auto"/>
                <w:sz w:val="20"/>
              </w:rPr>
              <w:t xml:space="preserve">Female presence on boards produces a positive impact on economic‑financial </w:t>
            </w:r>
            <w:proofErr w:type="gramStart"/>
            <w:r w:rsidRPr="00251446">
              <w:rPr>
                <w:rFonts w:ascii="Times New Roman" w:hAnsi="Times New Roman" w:cs="Times New Roman"/>
                <w:color w:val="auto"/>
                <w:sz w:val="20"/>
              </w:rPr>
              <w:t>performance</w:t>
            </w:r>
            <w:proofErr w:type="gramEnd"/>
            <w:r w:rsidRPr="00251446">
              <w:rPr>
                <w:rFonts w:ascii="Times New Roman" w:hAnsi="Times New Roman" w:cs="Times New Roman"/>
                <w:color w:val="auto"/>
                <w:sz w:val="20"/>
              </w:rPr>
              <w:t>.</w:t>
            </w:r>
          </w:p>
        </w:tc>
        <w:tc>
          <w:tcPr>
            <w:tcW w:w="874" w:type="pct"/>
            <w:vAlign w:val="center"/>
            <w:hideMark/>
          </w:tcPr>
          <w:p w:rsidR="00CB05C1" w:rsidRPr="00251446" w:rsidRDefault="00CB05C1" w:rsidP="00CB05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51446">
              <w:rPr>
                <w:rFonts w:ascii="Times New Roman" w:hAnsi="Times New Roman" w:cs="Times New Roman"/>
                <w:color w:val="auto"/>
                <w:sz w:val="20"/>
              </w:rPr>
              <w:t>+</w:t>
            </w:r>
          </w:p>
        </w:tc>
      </w:tr>
      <w:tr w:rsidR="009F3662" w:rsidRPr="00251446" w:rsidTr="00CB05C1">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95" w:type="pct"/>
            <w:shd w:val="clear" w:color="auto" w:fill="D9D9D9" w:themeFill="background1" w:themeFillShade="D9"/>
            <w:vAlign w:val="center"/>
            <w:hideMark/>
          </w:tcPr>
          <w:p w:rsidR="00CB05C1" w:rsidRPr="00251446" w:rsidRDefault="00CB05C1" w:rsidP="00CB05C1">
            <w:pPr>
              <w:spacing w:line="360" w:lineRule="auto"/>
              <w:jc w:val="center"/>
              <w:rPr>
                <w:rFonts w:ascii="Times New Roman" w:hAnsi="Times New Roman" w:cs="Times New Roman"/>
                <w:color w:val="auto"/>
                <w:sz w:val="20"/>
              </w:rPr>
            </w:pPr>
            <w:r w:rsidRPr="00251446">
              <w:rPr>
                <w:rFonts w:ascii="Times New Roman" w:hAnsi="Times New Roman" w:cs="Times New Roman"/>
                <w:color w:val="auto"/>
                <w:sz w:val="20"/>
              </w:rPr>
              <w:t>H3</w:t>
            </w:r>
          </w:p>
        </w:tc>
        <w:tc>
          <w:tcPr>
            <w:tcW w:w="3731" w:type="pct"/>
            <w:shd w:val="clear" w:color="auto" w:fill="D9D9D9" w:themeFill="background1" w:themeFillShade="D9"/>
            <w:vAlign w:val="center"/>
            <w:hideMark/>
          </w:tcPr>
          <w:p w:rsidR="00CB05C1" w:rsidRPr="00251446" w:rsidRDefault="00CB05C1" w:rsidP="00CB05C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51446">
              <w:rPr>
                <w:rFonts w:ascii="Times New Roman" w:hAnsi="Times New Roman" w:cs="Times New Roman"/>
                <w:color w:val="auto"/>
                <w:sz w:val="20"/>
              </w:rPr>
              <w:t xml:space="preserve">CEO duality negatively impacts the company's economic‑financial </w:t>
            </w:r>
            <w:proofErr w:type="gramStart"/>
            <w:r w:rsidRPr="00251446">
              <w:rPr>
                <w:rFonts w:ascii="Times New Roman" w:hAnsi="Times New Roman" w:cs="Times New Roman"/>
                <w:color w:val="auto"/>
                <w:sz w:val="20"/>
              </w:rPr>
              <w:t>performance</w:t>
            </w:r>
            <w:proofErr w:type="gramEnd"/>
            <w:r w:rsidRPr="00251446">
              <w:rPr>
                <w:rFonts w:ascii="Times New Roman" w:hAnsi="Times New Roman" w:cs="Times New Roman"/>
                <w:color w:val="auto"/>
                <w:sz w:val="20"/>
              </w:rPr>
              <w:t>.</w:t>
            </w:r>
          </w:p>
        </w:tc>
        <w:tc>
          <w:tcPr>
            <w:tcW w:w="874" w:type="pct"/>
            <w:shd w:val="clear" w:color="auto" w:fill="D9D9D9" w:themeFill="background1" w:themeFillShade="D9"/>
            <w:vAlign w:val="center"/>
            <w:hideMark/>
          </w:tcPr>
          <w:p w:rsidR="00CB05C1" w:rsidRPr="00251446" w:rsidRDefault="00CB05C1" w:rsidP="00CB05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51446">
              <w:rPr>
                <w:rFonts w:ascii="Times New Roman" w:hAnsi="Times New Roman" w:cs="Times New Roman"/>
                <w:color w:val="auto"/>
                <w:sz w:val="20"/>
              </w:rPr>
              <w:t>-</w:t>
            </w:r>
          </w:p>
        </w:tc>
      </w:tr>
      <w:tr w:rsidR="009F3662" w:rsidRPr="00251446" w:rsidTr="00CB05C1">
        <w:trPr>
          <w:trHeight w:val="655"/>
        </w:trPr>
        <w:tc>
          <w:tcPr>
            <w:cnfStyle w:val="001000000000" w:firstRow="0" w:lastRow="0" w:firstColumn="1" w:lastColumn="0" w:oddVBand="0" w:evenVBand="0" w:oddHBand="0" w:evenHBand="0" w:firstRowFirstColumn="0" w:firstRowLastColumn="0" w:lastRowFirstColumn="0" w:lastRowLastColumn="0"/>
            <w:tcW w:w="395" w:type="pct"/>
            <w:vAlign w:val="center"/>
            <w:hideMark/>
          </w:tcPr>
          <w:p w:rsidR="00CB05C1" w:rsidRPr="00251446" w:rsidRDefault="00CB05C1" w:rsidP="00CB05C1">
            <w:pPr>
              <w:spacing w:line="360" w:lineRule="auto"/>
              <w:jc w:val="center"/>
              <w:rPr>
                <w:rFonts w:ascii="Times New Roman" w:hAnsi="Times New Roman" w:cs="Times New Roman"/>
                <w:color w:val="auto"/>
                <w:sz w:val="20"/>
              </w:rPr>
            </w:pPr>
            <w:r w:rsidRPr="00251446">
              <w:rPr>
                <w:rFonts w:ascii="Times New Roman" w:hAnsi="Times New Roman" w:cs="Times New Roman"/>
                <w:color w:val="auto"/>
                <w:sz w:val="20"/>
              </w:rPr>
              <w:t>H4</w:t>
            </w:r>
          </w:p>
        </w:tc>
        <w:tc>
          <w:tcPr>
            <w:tcW w:w="3731" w:type="pct"/>
            <w:vAlign w:val="center"/>
            <w:hideMark/>
          </w:tcPr>
          <w:p w:rsidR="00CB05C1" w:rsidRPr="00251446" w:rsidRDefault="00CB05C1" w:rsidP="00CB05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51446">
              <w:rPr>
                <w:rFonts w:ascii="Times New Roman" w:hAnsi="Times New Roman" w:cs="Times New Roman"/>
                <w:color w:val="auto"/>
                <w:sz w:val="20"/>
              </w:rPr>
              <w:t xml:space="preserve">The ESG score rating produces positive impacts on economic‑financial </w:t>
            </w:r>
            <w:proofErr w:type="gramStart"/>
            <w:r w:rsidRPr="00251446">
              <w:rPr>
                <w:rFonts w:ascii="Times New Roman" w:hAnsi="Times New Roman" w:cs="Times New Roman"/>
                <w:color w:val="auto"/>
                <w:sz w:val="20"/>
              </w:rPr>
              <w:t>performance</w:t>
            </w:r>
            <w:proofErr w:type="gramEnd"/>
            <w:r w:rsidRPr="00251446">
              <w:rPr>
                <w:rFonts w:ascii="Times New Roman" w:hAnsi="Times New Roman" w:cs="Times New Roman"/>
                <w:color w:val="auto"/>
                <w:sz w:val="20"/>
              </w:rPr>
              <w:t>.</w:t>
            </w:r>
          </w:p>
        </w:tc>
        <w:tc>
          <w:tcPr>
            <w:tcW w:w="874" w:type="pct"/>
            <w:vAlign w:val="center"/>
            <w:hideMark/>
          </w:tcPr>
          <w:p w:rsidR="00CB05C1" w:rsidRPr="00251446" w:rsidRDefault="00CB05C1" w:rsidP="00CB05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51446">
              <w:rPr>
                <w:rFonts w:ascii="Times New Roman" w:hAnsi="Times New Roman" w:cs="Times New Roman"/>
                <w:color w:val="auto"/>
                <w:sz w:val="20"/>
              </w:rPr>
              <w:t>+</w:t>
            </w:r>
          </w:p>
        </w:tc>
      </w:tr>
      <w:tr w:rsidR="009F3662" w:rsidRPr="00251446" w:rsidTr="00CB05C1">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95" w:type="pct"/>
            <w:shd w:val="clear" w:color="auto" w:fill="D9D9D9" w:themeFill="background1" w:themeFillShade="D9"/>
            <w:vAlign w:val="center"/>
            <w:hideMark/>
          </w:tcPr>
          <w:p w:rsidR="00CB05C1" w:rsidRPr="00251446" w:rsidRDefault="00CB05C1" w:rsidP="00CB05C1">
            <w:pPr>
              <w:spacing w:line="360" w:lineRule="auto"/>
              <w:jc w:val="center"/>
              <w:rPr>
                <w:rFonts w:ascii="Times New Roman" w:hAnsi="Times New Roman" w:cs="Times New Roman"/>
                <w:color w:val="auto"/>
                <w:sz w:val="20"/>
              </w:rPr>
            </w:pPr>
            <w:r w:rsidRPr="00251446">
              <w:rPr>
                <w:rFonts w:ascii="Times New Roman" w:hAnsi="Times New Roman" w:cs="Times New Roman"/>
                <w:color w:val="auto"/>
                <w:sz w:val="20"/>
              </w:rPr>
              <w:t>H5</w:t>
            </w:r>
          </w:p>
        </w:tc>
        <w:tc>
          <w:tcPr>
            <w:tcW w:w="3731" w:type="pct"/>
            <w:shd w:val="clear" w:color="auto" w:fill="D9D9D9" w:themeFill="background1" w:themeFillShade="D9"/>
            <w:vAlign w:val="center"/>
            <w:hideMark/>
          </w:tcPr>
          <w:p w:rsidR="00CB05C1" w:rsidRPr="00251446" w:rsidRDefault="00CB05C1" w:rsidP="00CB05C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51446">
              <w:rPr>
                <w:rFonts w:ascii="Times New Roman" w:hAnsi="Times New Roman" w:cs="Times New Roman"/>
                <w:color w:val="auto"/>
                <w:sz w:val="20"/>
              </w:rPr>
              <w:t xml:space="preserve">The ESG score favorably amplifies the effect of female presence on boards on organizational </w:t>
            </w:r>
            <w:proofErr w:type="gramStart"/>
            <w:r w:rsidRPr="00251446">
              <w:rPr>
                <w:rFonts w:ascii="Times New Roman" w:hAnsi="Times New Roman" w:cs="Times New Roman"/>
                <w:color w:val="auto"/>
                <w:sz w:val="20"/>
              </w:rPr>
              <w:t>performance</w:t>
            </w:r>
            <w:proofErr w:type="gramEnd"/>
            <w:r w:rsidRPr="00251446">
              <w:rPr>
                <w:rFonts w:ascii="Times New Roman" w:hAnsi="Times New Roman" w:cs="Times New Roman"/>
                <w:color w:val="auto"/>
                <w:sz w:val="20"/>
              </w:rPr>
              <w:t>.</w:t>
            </w:r>
          </w:p>
        </w:tc>
        <w:tc>
          <w:tcPr>
            <w:tcW w:w="874" w:type="pct"/>
            <w:shd w:val="clear" w:color="auto" w:fill="D9D9D9" w:themeFill="background1" w:themeFillShade="D9"/>
            <w:vAlign w:val="center"/>
            <w:hideMark/>
          </w:tcPr>
          <w:p w:rsidR="00CB05C1" w:rsidRPr="00251446" w:rsidRDefault="00CB05C1" w:rsidP="00CB05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51446">
              <w:rPr>
                <w:rFonts w:ascii="Times New Roman" w:hAnsi="Times New Roman" w:cs="Times New Roman"/>
                <w:color w:val="auto"/>
                <w:sz w:val="20"/>
              </w:rPr>
              <w:t>+</w:t>
            </w:r>
          </w:p>
        </w:tc>
      </w:tr>
      <w:tr w:rsidR="009F3662" w:rsidRPr="00251446" w:rsidTr="00CB05C1">
        <w:trPr>
          <w:trHeight w:val="655"/>
        </w:trPr>
        <w:tc>
          <w:tcPr>
            <w:cnfStyle w:val="001000000000" w:firstRow="0" w:lastRow="0" w:firstColumn="1" w:lastColumn="0" w:oddVBand="0" w:evenVBand="0" w:oddHBand="0" w:evenHBand="0" w:firstRowFirstColumn="0" w:firstRowLastColumn="0" w:lastRowFirstColumn="0" w:lastRowLastColumn="0"/>
            <w:tcW w:w="395" w:type="pct"/>
            <w:vAlign w:val="center"/>
            <w:hideMark/>
          </w:tcPr>
          <w:p w:rsidR="00CB05C1" w:rsidRPr="00251446" w:rsidRDefault="00CB05C1" w:rsidP="00CB05C1">
            <w:pPr>
              <w:spacing w:line="360" w:lineRule="auto"/>
              <w:jc w:val="center"/>
              <w:rPr>
                <w:rFonts w:ascii="Times New Roman" w:hAnsi="Times New Roman" w:cs="Times New Roman"/>
                <w:color w:val="auto"/>
                <w:sz w:val="20"/>
              </w:rPr>
            </w:pPr>
            <w:r w:rsidRPr="00251446">
              <w:rPr>
                <w:rFonts w:ascii="Times New Roman" w:hAnsi="Times New Roman" w:cs="Times New Roman"/>
                <w:color w:val="auto"/>
                <w:sz w:val="20"/>
              </w:rPr>
              <w:t>H6</w:t>
            </w:r>
          </w:p>
        </w:tc>
        <w:tc>
          <w:tcPr>
            <w:tcW w:w="3731" w:type="pct"/>
            <w:vAlign w:val="center"/>
            <w:hideMark/>
          </w:tcPr>
          <w:p w:rsidR="00CB05C1" w:rsidRPr="00251446" w:rsidRDefault="00CB05C1" w:rsidP="00CB05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51446">
              <w:rPr>
                <w:rFonts w:ascii="Times New Roman" w:hAnsi="Times New Roman" w:cs="Times New Roman"/>
                <w:color w:val="auto"/>
                <w:sz w:val="20"/>
              </w:rPr>
              <w:t xml:space="preserve">The ESG index favorably enhances the influence of CEO duality, generating positive effects on economic‑financial </w:t>
            </w:r>
            <w:proofErr w:type="gramStart"/>
            <w:r w:rsidRPr="00251446">
              <w:rPr>
                <w:rFonts w:ascii="Times New Roman" w:hAnsi="Times New Roman" w:cs="Times New Roman"/>
                <w:color w:val="auto"/>
                <w:sz w:val="20"/>
              </w:rPr>
              <w:t>performance</w:t>
            </w:r>
            <w:proofErr w:type="gramEnd"/>
            <w:r w:rsidRPr="00251446">
              <w:rPr>
                <w:rFonts w:ascii="Times New Roman" w:hAnsi="Times New Roman" w:cs="Times New Roman"/>
                <w:color w:val="auto"/>
                <w:sz w:val="20"/>
              </w:rPr>
              <w:t>.</w:t>
            </w:r>
          </w:p>
        </w:tc>
        <w:tc>
          <w:tcPr>
            <w:tcW w:w="874" w:type="pct"/>
            <w:vAlign w:val="center"/>
            <w:hideMark/>
          </w:tcPr>
          <w:p w:rsidR="00CB05C1" w:rsidRPr="00251446" w:rsidRDefault="00CB05C1" w:rsidP="00CB05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51446">
              <w:rPr>
                <w:rFonts w:ascii="Times New Roman" w:hAnsi="Times New Roman" w:cs="Times New Roman"/>
                <w:color w:val="auto"/>
                <w:sz w:val="20"/>
              </w:rPr>
              <w:t>+</w:t>
            </w:r>
          </w:p>
        </w:tc>
      </w:tr>
    </w:tbl>
    <w:p w:rsidR="00CB05C1" w:rsidRPr="009F3662" w:rsidRDefault="00CB05C1" w:rsidP="00CB05C1">
      <w:pPr>
        <w:spacing w:after="0" w:line="360" w:lineRule="auto"/>
        <w:jc w:val="both"/>
        <w:rPr>
          <w:rFonts w:ascii="Times New Roman" w:hAnsi="Times New Roman" w:cs="Times New Roman"/>
          <w:sz w:val="20"/>
        </w:rPr>
      </w:pPr>
      <w:r w:rsidRPr="009F3662">
        <w:rPr>
          <w:rFonts w:ascii="Times New Roman" w:hAnsi="Times New Roman" w:cs="Times New Roman"/>
          <w:sz w:val="20"/>
        </w:rPr>
        <w:t>Source: Generated by the author based on the theoretical framework</w:t>
      </w:r>
    </w:p>
    <w:p w:rsidR="0074534B" w:rsidRPr="009F3662" w:rsidRDefault="0074534B" w:rsidP="003B7103">
      <w:pPr>
        <w:pStyle w:val="Ttulo2"/>
        <w:spacing w:before="480" w:after="480" w:line="360" w:lineRule="auto"/>
        <w:rPr>
          <w:rFonts w:ascii="Times New Roman" w:hAnsi="Times New Roman" w:cs="Times New Roman"/>
          <w:b w:val="0"/>
          <w:i/>
          <w:color w:val="auto"/>
          <w:sz w:val="24"/>
        </w:rPr>
      </w:pPr>
      <w:r w:rsidRPr="009F3662">
        <w:rPr>
          <w:rFonts w:ascii="Times New Roman" w:hAnsi="Times New Roman" w:cs="Times New Roman"/>
          <w:b w:val="0"/>
          <w:i/>
          <w:color w:val="auto"/>
          <w:sz w:val="24"/>
        </w:rPr>
        <w:t>2.4. Structural Model and Impact Flow</w:t>
      </w:r>
    </w:p>
    <w:p w:rsidR="0074534B" w:rsidRPr="009F3662" w:rsidRDefault="0074534B"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Figure 1 presents the schematic structural model of the flows and impacts of the assertions on economic‑financial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w:t>
      </w:r>
      <w:r w:rsidR="00005F21" w:rsidRPr="009F3662">
        <w:rPr>
          <w:rFonts w:ascii="Times New Roman" w:hAnsi="Times New Roman" w:cs="Times New Roman"/>
          <w:sz w:val="24"/>
        </w:rPr>
        <w:t xml:space="preserve"> </w:t>
      </w:r>
    </w:p>
    <w:p w:rsidR="0074534B" w:rsidRPr="009F3662" w:rsidRDefault="00CB05C1" w:rsidP="009F3662">
      <w:pPr>
        <w:spacing w:before="200" w:after="0" w:line="360" w:lineRule="auto"/>
        <w:jc w:val="both"/>
        <w:rPr>
          <w:rFonts w:ascii="Times New Roman" w:hAnsi="Times New Roman" w:cs="Times New Roman"/>
          <w:sz w:val="24"/>
        </w:rPr>
      </w:pPr>
      <w:r w:rsidRPr="009F3662">
        <w:rPr>
          <w:rFonts w:ascii="Times New Roman" w:hAnsi="Times New Roman" w:cs="Times New Roman"/>
          <w:sz w:val="24"/>
        </w:rPr>
        <w:t>Figure 1 - Schematic Structural Model and Distribution of Hypotheses</w:t>
      </w:r>
    </w:p>
    <w:p w:rsidR="00CB05C1" w:rsidRPr="009F3662" w:rsidRDefault="00CB05C1" w:rsidP="00251446">
      <w:pPr>
        <w:pStyle w:val="NormalWeb"/>
        <w:spacing w:before="0" w:beforeAutospacing="0" w:after="0" w:afterAutospacing="0"/>
        <w:jc w:val="both"/>
      </w:pPr>
      <w:r w:rsidRPr="009F3662">
        <w:rPr>
          <w:noProof/>
        </w:rPr>
        <w:drawing>
          <wp:inline distT="0" distB="0" distL="0" distR="0" wp14:anchorId="5CB14021" wp14:editId="16F6084F">
            <wp:extent cx="5683250" cy="3300500"/>
            <wp:effectExtent l="0" t="0" r="0" b="0"/>
            <wp:docPr id="1" name="Imagem 1" descr="C:\Users\Adeva\Desktop\SUBMISSÕES DE ARTIGOS\DADOS PARA SUBIMISSÃO - ARTIGO INOVAÇÃO-IGC - JOURNA BUSINESS &amp; SOCIETY\Figure 1 - Schematic Structural Model and Distribution of Hypothes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va\Desktop\SUBMISSÕES DE ARTIGOS\DADOS PARA SUBIMISSÃO - ARTIGO INOVAÇÃO-IGC - JOURNA BUSINESS &amp; SOCIETY\Figure 1 - Schematic Structural Model and Distribution of Hypotheses.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9964" cy="3304399"/>
                    </a:xfrm>
                    <a:prstGeom prst="rect">
                      <a:avLst/>
                    </a:prstGeom>
                    <a:noFill/>
                    <a:ln>
                      <a:noFill/>
                    </a:ln>
                  </pic:spPr>
                </pic:pic>
              </a:graphicData>
            </a:graphic>
          </wp:inline>
        </w:drawing>
      </w:r>
    </w:p>
    <w:p w:rsidR="009F3662" w:rsidRPr="009F3662" w:rsidRDefault="009F3662" w:rsidP="00CB05C1">
      <w:pPr>
        <w:pStyle w:val="NormalWeb"/>
        <w:spacing w:before="0" w:beforeAutospacing="0" w:after="0" w:afterAutospacing="0"/>
      </w:pPr>
      <w:r w:rsidRPr="009F3662">
        <w:rPr>
          <w:sz w:val="20"/>
        </w:rPr>
        <w:t>Source: Generated by the author</w:t>
      </w:r>
    </w:p>
    <w:p w:rsidR="0074534B" w:rsidRPr="009F3662" w:rsidRDefault="0074534B" w:rsidP="003B7103">
      <w:pPr>
        <w:pStyle w:val="Ttulo1"/>
        <w:spacing w:after="480" w:line="360" w:lineRule="auto"/>
        <w:rPr>
          <w:rFonts w:ascii="Times New Roman" w:hAnsi="Times New Roman" w:cs="Times New Roman"/>
          <w:color w:val="auto"/>
          <w:sz w:val="24"/>
        </w:rPr>
      </w:pPr>
      <w:r w:rsidRPr="009F3662">
        <w:rPr>
          <w:rFonts w:ascii="Times New Roman" w:hAnsi="Times New Roman" w:cs="Times New Roman"/>
          <w:color w:val="auto"/>
          <w:sz w:val="24"/>
        </w:rPr>
        <w:lastRenderedPageBreak/>
        <w:t>3. Methodology</w:t>
      </w:r>
    </w:p>
    <w:p w:rsidR="0074534B" w:rsidRPr="009F3662" w:rsidRDefault="0074534B"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This study investigates how innovation, sustainability, and corporate governance influence the economic‑financial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of organizations, drawing on recent empirical evidence (Liu et al., 2024; Palea et al., 2023). Initially, the research adopts a longitudinal quantitative approach with a descriptive character and cross‑sectional analysis, which allows for monitoring the evolution of variables over time and comparing companies from different sectors and sizes (Palea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2023; Abid et al., 2022).</w:t>
      </w:r>
    </w:p>
    <w:p w:rsidR="0074534B" w:rsidRPr="009F3662" w:rsidRDefault="0074534B"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To obtain the results, a multivariate linear regression was employed in an unbalanced panel model</w:t>
      </w:r>
      <w:r w:rsidR="00267B0E" w:rsidRPr="009F3662">
        <w:rPr>
          <w:rFonts w:ascii="Times New Roman" w:hAnsi="Times New Roman" w:cs="Times New Roman"/>
          <w:sz w:val="24"/>
        </w:rPr>
        <w:t xml:space="preserve">, </w:t>
      </w:r>
      <w:r w:rsidRPr="009F3662">
        <w:rPr>
          <w:rFonts w:ascii="Times New Roman" w:hAnsi="Times New Roman" w:cs="Times New Roman"/>
          <w:sz w:val="24"/>
        </w:rPr>
        <w:t xml:space="preserve">a technique that precisely captures temporal and sectorial variations (Wooldridge, 2010; An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2021). Additionally, to overcome challenges inherent to endogeneity, the Generalized Method of Moments (GMM) was utilized, whose effectiveness is well established in dynamic panel models (Alvarez &amp; Arellano, 2022; Arellano &amp; Bond, 1991; Boakye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2021). This methodological approach reinforces the reliability of the results (García‑Meca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2024).</w:t>
      </w:r>
    </w:p>
    <w:p w:rsidR="0074534B" w:rsidRPr="009F3662" w:rsidRDefault="0074534B" w:rsidP="003B7103">
      <w:pPr>
        <w:pStyle w:val="Ttulo2"/>
        <w:spacing w:before="480" w:after="480" w:line="360" w:lineRule="auto"/>
        <w:rPr>
          <w:rFonts w:ascii="Times New Roman" w:hAnsi="Times New Roman" w:cs="Times New Roman"/>
          <w:b w:val="0"/>
          <w:i/>
          <w:color w:val="auto"/>
          <w:sz w:val="24"/>
        </w:rPr>
      </w:pPr>
      <w:r w:rsidRPr="009F3662">
        <w:rPr>
          <w:rFonts w:ascii="Times New Roman" w:hAnsi="Times New Roman" w:cs="Times New Roman"/>
          <w:b w:val="0"/>
          <w:i/>
          <w:color w:val="auto"/>
          <w:sz w:val="24"/>
        </w:rPr>
        <w:t>3.1. Sample</w:t>
      </w:r>
    </w:p>
    <w:p w:rsidR="0074534B" w:rsidRPr="009F3662" w:rsidRDefault="00E011BC"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The sample comprised 3</w:t>
      </w:r>
      <w:r w:rsidR="0074534B" w:rsidRPr="009F3662">
        <w:rPr>
          <w:rFonts w:ascii="Times New Roman" w:hAnsi="Times New Roman" w:cs="Times New Roman"/>
          <w:sz w:val="24"/>
        </w:rPr>
        <w:t xml:space="preserve">483 observations extracted from the accounting and financial data of companies listed on the official Brazilian stock </w:t>
      </w:r>
      <w:proofErr w:type="gramStart"/>
      <w:r w:rsidR="0074534B" w:rsidRPr="009F3662">
        <w:rPr>
          <w:rFonts w:ascii="Times New Roman" w:hAnsi="Times New Roman" w:cs="Times New Roman"/>
          <w:sz w:val="24"/>
        </w:rPr>
        <w:t>exchange</w:t>
      </w:r>
      <w:proofErr w:type="gramEnd"/>
      <w:r w:rsidR="0074534B" w:rsidRPr="009F3662">
        <w:rPr>
          <w:rFonts w:ascii="Times New Roman" w:hAnsi="Times New Roman" w:cs="Times New Roman"/>
          <w:sz w:val="24"/>
        </w:rPr>
        <w:t xml:space="preserve"> (B3). Using the Economática and Bloomberg platforms, emphasis was placed on companies that are part of the B3 Corporate Governance Index (IGC)</w:t>
      </w:r>
      <w:r w:rsidR="00267B0E" w:rsidRPr="009F3662">
        <w:rPr>
          <w:rFonts w:ascii="Times New Roman" w:hAnsi="Times New Roman" w:cs="Times New Roman"/>
          <w:sz w:val="24"/>
        </w:rPr>
        <w:t xml:space="preserve">, </w:t>
      </w:r>
      <w:r w:rsidR="0074534B" w:rsidRPr="009F3662">
        <w:rPr>
          <w:rFonts w:ascii="Times New Roman" w:hAnsi="Times New Roman" w:cs="Times New Roman"/>
          <w:sz w:val="24"/>
        </w:rPr>
        <w:t xml:space="preserve">a subset that includes the Novo Mercado and Levels </w:t>
      </w:r>
      <w:proofErr w:type="gramStart"/>
      <w:r w:rsidR="0074534B" w:rsidRPr="009F3662">
        <w:rPr>
          <w:rFonts w:ascii="Times New Roman" w:hAnsi="Times New Roman" w:cs="Times New Roman"/>
          <w:sz w:val="24"/>
        </w:rPr>
        <w:t>1</w:t>
      </w:r>
      <w:proofErr w:type="gramEnd"/>
      <w:r w:rsidR="0074534B" w:rsidRPr="009F3662">
        <w:rPr>
          <w:rFonts w:ascii="Times New Roman" w:hAnsi="Times New Roman" w:cs="Times New Roman"/>
          <w:sz w:val="24"/>
        </w:rPr>
        <w:t xml:space="preserve"> and 2</w:t>
      </w:r>
      <w:r w:rsidR="00267B0E" w:rsidRPr="009F3662">
        <w:rPr>
          <w:rFonts w:ascii="Times New Roman" w:hAnsi="Times New Roman" w:cs="Times New Roman"/>
          <w:sz w:val="24"/>
        </w:rPr>
        <w:t xml:space="preserve">, </w:t>
      </w:r>
      <w:r w:rsidR="0074534B" w:rsidRPr="009F3662">
        <w:rPr>
          <w:rFonts w:ascii="Times New Roman" w:hAnsi="Times New Roman" w:cs="Times New Roman"/>
          <w:sz w:val="24"/>
        </w:rPr>
        <w:t xml:space="preserve">between 2015 and 2022. The selection of this period is justified by the availability of robust data and by the intensification of global discussions regarding governance and socio‑environmental responsibility, elements that are crucial for </w:t>
      </w:r>
      <w:proofErr w:type="gramStart"/>
      <w:r w:rsidR="0074534B" w:rsidRPr="009F3662">
        <w:rPr>
          <w:rFonts w:ascii="Times New Roman" w:hAnsi="Times New Roman" w:cs="Times New Roman"/>
          <w:sz w:val="24"/>
        </w:rPr>
        <w:t>performance</w:t>
      </w:r>
      <w:proofErr w:type="gramEnd"/>
      <w:r w:rsidR="0074534B" w:rsidRPr="009F3662">
        <w:rPr>
          <w:rFonts w:ascii="Times New Roman" w:hAnsi="Times New Roman" w:cs="Times New Roman"/>
          <w:sz w:val="24"/>
        </w:rPr>
        <w:t xml:space="preserve"> analysis in emerging economies (Liu et al., 2024; Palea et al., 2023). To minimize the impact of outliers, the data were winsorized at the 2nd and 98th percentiles (García‑Meca </w:t>
      </w:r>
      <w:proofErr w:type="gramStart"/>
      <w:r w:rsidR="0074534B" w:rsidRPr="009F3662">
        <w:rPr>
          <w:rFonts w:ascii="Times New Roman" w:hAnsi="Times New Roman" w:cs="Times New Roman"/>
          <w:sz w:val="24"/>
        </w:rPr>
        <w:t>et</w:t>
      </w:r>
      <w:proofErr w:type="gramEnd"/>
      <w:r w:rsidR="0074534B" w:rsidRPr="009F3662">
        <w:rPr>
          <w:rFonts w:ascii="Times New Roman" w:hAnsi="Times New Roman" w:cs="Times New Roman"/>
          <w:sz w:val="24"/>
        </w:rPr>
        <w:t xml:space="preserve"> al., 2024).</w:t>
      </w:r>
    </w:p>
    <w:p w:rsidR="00466EE9" w:rsidRPr="009F3662" w:rsidRDefault="00466EE9" w:rsidP="003B7103">
      <w:pPr>
        <w:pStyle w:val="Ttulo2"/>
        <w:spacing w:before="480" w:after="480" w:line="360" w:lineRule="auto"/>
        <w:rPr>
          <w:rFonts w:ascii="Times New Roman" w:hAnsi="Times New Roman" w:cs="Times New Roman"/>
          <w:b w:val="0"/>
          <w:i/>
          <w:color w:val="auto"/>
          <w:sz w:val="24"/>
        </w:rPr>
      </w:pPr>
      <w:r w:rsidRPr="009F3662">
        <w:rPr>
          <w:rFonts w:ascii="Times New Roman" w:hAnsi="Times New Roman" w:cs="Times New Roman"/>
          <w:b w:val="0"/>
          <w:i/>
          <w:color w:val="auto"/>
          <w:sz w:val="24"/>
        </w:rPr>
        <w:t>3.2. Dependent Variable</w:t>
      </w:r>
    </w:p>
    <w:p w:rsidR="00466EE9" w:rsidRPr="009F3662" w:rsidRDefault="00466EE9"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This study used return on assets (ROA) as the metric for the dependent endogenous variable, reflecting both operational efficiency and the profitability of asset usage, in accordance with the parameters adopted by Geissdoerfer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(2017) and Alkaraan et al. </w:t>
      </w:r>
      <w:r w:rsidRPr="009F3662">
        <w:rPr>
          <w:rFonts w:ascii="Times New Roman" w:hAnsi="Times New Roman" w:cs="Times New Roman"/>
          <w:sz w:val="24"/>
        </w:rPr>
        <w:lastRenderedPageBreak/>
        <w:t xml:space="preserve">(2025). In this way, the work contributes to understanding the relationships among innovation, sustainability, governance, and economic-financial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providing support for corporate policies and strategies aimed at competitiveness and socio-environmental responsibility (Ribeiro &amp; Funchal, 2018).</w:t>
      </w:r>
    </w:p>
    <w:p w:rsidR="00466EE9" w:rsidRPr="009F3662" w:rsidRDefault="00466EE9" w:rsidP="003B7103">
      <w:pPr>
        <w:pStyle w:val="Ttulo2"/>
        <w:spacing w:before="480" w:after="480" w:line="360" w:lineRule="auto"/>
        <w:rPr>
          <w:rFonts w:ascii="Times New Roman" w:hAnsi="Times New Roman" w:cs="Times New Roman"/>
          <w:b w:val="0"/>
          <w:i/>
          <w:color w:val="auto"/>
          <w:sz w:val="24"/>
        </w:rPr>
      </w:pPr>
      <w:r w:rsidRPr="009F3662">
        <w:rPr>
          <w:rFonts w:ascii="Times New Roman" w:hAnsi="Times New Roman" w:cs="Times New Roman"/>
          <w:b w:val="0"/>
          <w:i/>
          <w:color w:val="auto"/>
          <w:sz w:val="24"/>
        </w:rPr>
        <w:t>3.3. Independent Variables</w:t>
      </w:r>
    </w:p>
    <w:p w:rsidR="00466EE9" w:rsidRPr="009F3662" w:rsidRDefault="00466EE9"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variable (CAP) represents capital expenditures (CAPEX) and is used to evaluate the influence of technological innovation on organizational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as highlighted by Hall et al. (2014). CAPEX involves investments both in the acquisition of tangible assets and in fostering new </w:t>
      </w:r>
      <w:proofErr w:type="gramStart"/>
      <w:r w:rsidRPr="009F3662">
        <w:rPr>
          <w:rFonts w:ascii="Times New Roman" w:hAnsi="Times New Roman" w:cs="Times New Roman"/>
          <w:sz w:val="24"/>
        </w:rPr>
        <w:t>technologies</w:t>
      </w:r>
      <w:proofErr w:type="gramEnd"/>
      <w:r w:rsidRPr="009F3662">
        <w:rPr>
          <w:rFonts w:ascii="Times New Roman" w:hAnsi="Times New Roman" w:cs="Times New Roman"/>
          <w:sz w:val="24"/>
        </w:rPr>
        <w:t xml:space="preserve">, which not only increase productivity but also help reduce operating costs, as observed by Med et al. (2024). Investments in CAPEX thus reflect both the acquisition of tangible assets and the development of innovative strategies, such as </w:t>
      </w:r>
      <w:proofErr w:type="gramStart"/>
      <w:r w:rsidRPr="009F3662">
        <w:rPr>
          <w:rFonts w:ascii="Times New Roman" w:hAnsi="Times New Roman" w:cs="Times New Roman"/>
          <w:sz w:val="24"/>
        </w:rPr>
        <w:t>technologies</w:t>
      </w:r>
      <w:proofErr w:type="gramEnd"/>
      <w:r w:rsidRPr="009F3662">
        <w:rPr>
          <w:rFonts w:ascii="Times New Roman" w:hAnsi="Times New Roman" w:cs="Times New Roman"/>
          <w:sz w:val="24"/>
        </w:rPr>
        <w:t xml:space="preserve"> that enhance productivity and lower operational costs (Med et al., 2024).</w:t>
      </w:r>
    </w:p>
    <w:p w:rsidR="00466EE9" w:rsidRPr="009F3662" w:rsidRDefault="00466EE9"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However, the relationship between CAPEX and innovation can be bidirectional, since innovative companies may attract more resources for investment, while those with higher CAPEX have a greater capacity to finance innovations (Hall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2014). Nonetheless, some unobserved variables, such as management practices and </w:t>
      </w:r>
      <w:proofErr w:type="gramStart"/>
      <w:r w:rsidRPr="009F3662">
        <w:rPr>
          <w:rFonts w:ascii="Times New Roman" w:hAnsi="Times New Roman" w:cs="Times New Roman"/>
          <w:sz w:val="24"/>
        </w:rPr>
        <w:t>access</w:t>
      </w:r>
      <w:proofErr w:type="gramEnd"/>
      <w:r w:rsidRPr="009F3662">
        <w:rPr>
          <w:rFonts w:ascii="Times New Roman" w:hAnsi="Times New Roman" w:cs="Times New Roman"/>
          <w:sz w:val="24"/>
        </w:rPr>
        <w:t xml:space="preserve"> to capital, may affect the magnitude of this relationship, introducing distortions into the analysis.</w:t>
      </w:r>
    </w:p>
    <w:p w:rsidR="00466EE9" w:rsidRPr="009F3662" w:rsidRDefault="00466EE9"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To address these distortions and prevent endogeneity in causal models, the instrumental variable (IV) technique was adopted, which integrates CAPEX, Net Income, and the Corporate Governance Index (IGC) as instruments. This approach, as discussed by Adams and Ferreira (2009) and Agoraki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(2024), reveals that companies with solid governance direct resources toward strategic and sustainable innovations. The interaction between CAPEX, Net Income, and corporate governance highlights the strategic role of CAPEX in aligning financial returns with a positive environmental impact (Abid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2022; Friede et al., 2015).</w:t>
      </w:r>
    </w:p>
    <w:p w:rsidR="00466EE9" w:rsidRPr="009F3662" w:rsidRDefault="00466EE9"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Thus, this triple interaction (CAPEX, Net Income, and IGC) allows for the identification of specific effects, demonstrating how CAPEX can serve as a lever for the emergence of innovations that yield financial returns alongside positive environmental impacts. This connection, therefore, underscores the importance of intelligent CAPEX investment aimed not only at immediate profit but also at alignment with long-term sustainability practices.</w:t>
      </w:r>
    </w:p>
    <w:p w:rsidR="00466EE9" w:rsidRPr="009F3662" w:rsidRDefault="00466EE9"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lastRenderedPageBreak/>
        <w:t xml:space="preserve">Sustainability and corporate governance practices are measured by the variable (ESG), derived from the ESG Score collected on the Bloomberg platform, a variable well established in the literature (Ranta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2018; Austin &amp; Rahman, 2022). This index reflects organizations’ commitment to investments in sustainable innovation.</w:t>
      </w:r>
    </w:p>
    <w:p w:rsidR="00466EE9" w:rsidRPr="009F3662" w:rsidRDefault="00466EE9"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Board gender diversity (PFC) is operationalized as the proportion of women in decision-making positions, a factor associated with greater transparency and socio-environmental responsibility (Aksoy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2020; Konadu et al., 2022). Meanwhile, CEO duality (DCE), defined as a dummy variable (</w:t>
      </w:r>
      <w:proofErr w:type="gramStart"/>
      <w:r w:rsidRPr="009F3662">
        <w:rPr>
          <w:rFonts w:ascii="Times New Roman" w:hAnsi="Times New Roman" w:cs="Times New Roman"/>
          <w:sz w:val="24"/>
        </w:rPr>
        <w:t>1</w:t>
      </w:r>
      <w:proofErr w:type="gramEnd"/>
      <w:r w:rsidRPr="009F3662">
        <w:rPr>
          <w:rFonts w:ascii="Times New Roman" w:hAnsi="Times New Roman" w:cs="Times New Roman"/>
          <w:sz w:val="24"/>
        </w:rPr>
        <w:t xml:space="preserve"> if the CEO chairs the board, 0 otherwise), is linked to risks of power concentration, as theorized by Fama and Jensen (1983).</w:t>
      </w:r>
    </w:p>
    <w:p w:rsidR="00466EE9" w:rsidRPr="009F3662" w:rsidRDefault="00466EE9"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interactions ESG × DCE (ESDC) and ESG × PFC (ESPF) explore how sustainability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moderates the effects of governance</w:t>
      </w:r>
      <w:r w:rsidR="00267B0E" w:rsidRPr="009F3662">
        <w:rPr>
          <w:rFonts w:ascii="Times New Roman" w:hAnsi="Times New Roman" w:cs="Times New Roman"/>
          <w:sz w:val="24"/>
        </w:rPr>
        <w:t xml:space="preserve"> – </w:t>
      </w:r>
      <w:r w:rsidRPr="009F3662">
        <w:rPr>
          <w:rFonts w:ascii="Times New Roman" w:hAnsi="Times New Roman" w:cs="Times New Roman"/>
          <w:sz w:val="24"/>
        </w:rPr>
        <w:t>namely, CEO duality and female board presence</w:t>
      </w:r>
      <w:r w:rsidR="00267B0E" w:rsidRPr="009F3662">
        <w:rPr>
          <w:rFonts w:ascii="Times New Roman" w:hAnsi="Times New Roman" w:cs="Times New Roman"/>
          <w:sz w:val="24"/>
        </w:rPr>
        <w:t xml:space="preserve"> – </w:t>
      </w:r>
      <w:r w:rsidRPr="009F3662">
        <w:rPr>
          <w:rFonts w:ascii="Times New Roman" w:hAnsi="Times New Roman" w:cs="Times New Roman"/>
          <w:sz w:val="24"/>
        </w:rPr>
        <w:t xml:space="preserve">on the financial outcomes of organizations. Romano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(2020) demonstrate that companies with high ESG mitigate the risks associated with CEO duality, while Post and Byron (2015) show that gender diversity enhances sustainable investments. Friede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(2015) further reinforce that ESG broadens long-term returns, especially in contexts of robust governance.</w:t>
      </w:r>
    </w:p>
    <w:p w:rsidR="00466EE9" w:rsidRPr="009F3662" w:rsidRDefault="00466EE9" w:rsidP="003B7103">
      <w:pPr>
        <w:pStyle w:val="Ttulo2"/>
        <w:spacing w:before="480" w:after="480" w:line="360" w:lineRule="auto"/>
        <w:rPr>
          <w:rFonts w:ascii="Times New Roman" w:hAnsi="Times New Roman" w:cs="Times New Roman"/>
          <w:b w:val="0"/>
          <w:i/>
          <w:color w:val="auto"/>
          <w:sz w:val="24"/>
        </w:rPr>
      </w:pPr>
      <w:r w:rsidRPr="009F3662">
        <w:rPr>
          <w:rFonts w:ascii="Times New Roman" w:hAnsi="Times New Roman" w:cs="Times New Roman"/>
          <w:b w:val="0"/>
          <w:i/>
          <w:color w:val="auto"/>
          <w:sz w:val="24"/>
        </w:rPr>
        <w:t>3.4. Control Variables</w:t>
      </w:r>
    </w:p>
    <w:p w:rsidR="00466EE9" w:rsidRPr="009F3662" w:rsidRDefault="00466EE9"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This study employs control variables to analyze investments in innovation and sustainable economic-financial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The first variable used in this study was Financial Leverage (ALF), which measures indebtedness and its impact on the cost of capital. Companies with high financial leverage tend to have less flexibility to innovate due to liquidity constraints (Boakye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2021; Liu et al., 2024; Alkaraan et al., 2025). The independent variable, Market Value (VLM), reflects the ability to raise funds. Larger companies with a high market value have an advantage in investing in sustainable </w:t>
      </w:r>
      <w:proofErr w:type="gramStart"/>
      <w:r w:rsidRPr="009F3662">
        <w:rPr>
          <w:rFonts w:ascii="Times New Roman" w:hAnsi="Times New Roman" w:cs="Times New Roman"/>
          <w:sz w:val="24"/>
        </w:rPr>
        <w:t>technologies</w:t>
      </w:r>
      <w:proofErr w:type="gramEnd"/>
      <w:r w:rsidRPr="009F3662">
        <w:rPr>
          <w:rFonts w:ascii="Times New Roman" w:hAnsi="Times New Roman" w:cs="Times New Roman"/>
          <w:sz w:val="24"/>
        </w:rPr>
        <w:t xml:space="preserve"> (Agoraki et al., 2024; Kwarteng et al., 2022). Intangible Assets (ATI), which are associated with patents, R&amp;D, and intellectual capital, drive innovation and increase market value (García-Meca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2024; Alkaraan et al., 2025).</w:t>
      </w:r>
    </w:p>
    <w:p w:rsidR="00466EE9" w:rsidRPr="009F3662" w:rsidRDefault="00466EE9"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Methodological controls for temporal and sector fixed effects were also applied to isolate external influences, following robust econometric practices (Alvarez &amp; Arellano, 2022; Enciso-Alfaro &amp; García-Sánchez, 2024). This framework allows for the evaluation of </w:t>
      </w:r>
      <w:r w:rsidRPr="009F3662">
        <w:rPr>
          <w:rFonts w:ascii="Times New Roman" w:hAnsi="Times New Roman" w:cs="Times New Roman"/>
          <w:sz w:val="24"/>
        </w:rPr>
        <w:lastRenderedPageBreak/>
        <w:t xml:space="preserve">how ALF, VLM, and ATI </w:t>
      </w:r>
      <w:proofErr w:type="gramStart"/>
      <w:r w:rsidRPr="009F3662">
        <w:rPr>
          <w:rFonts w:ascii="Times New Roman" w:hAnsi="Times New Roman" w:cs="Times New Roman"/>
          <w:sz w:val="24"/>
        </w:rPr>
        <w:t>interact</w:t>
      </w:r>
      <w:proofErr w:type="gramEnd"/>
      <w:r w:rsidRPr="009F3662">
        <w:rPr>
          <w:rFonts w:ascii="Times New Roman" w:hAnsi="Times New Roman" w:cs="Times New Roman"/>
          <w:sz w:val="24"/>
        </w:rPr>
        <w:t xml:space="preserve"> with sustainable strategies, mitigating bias from omitted variables.</w:t>
      </w:r>
    </w:p>
    <w:p w:rsidR="00466EE9" w:rsidRPr="009F3662" w:rsidRDefault="00466EE9" w:rsidP="003B7103">
      <w:pPr>
        <w:pStyle w:val="Ttulo2"/>
        <w:spacing w:before="480" w:after="480" w:line="360" w:lineRule="auto"/>
        <w:rPr>
          <w:rFonts w:ascii="Times New Roman" w:hAnsi="Times New Roman" w:cs="Times New Roman"/>
          <w:b w:val="0"/>
          <w:i/>
          <w:color w:val="auto"/>
          <w:sz w:val="24"/>
        </w:rPr>
      </w:pPr>
      <w:r w:rsidRPr="009F3662">
        <w:rPr>
          <w:rFonts w:ascii="Times New Roman" w:hAnsi="Times New Roman" w:cs="Times New Roman"/>
          <w:b w:val="0"/>
          <w:i/>
          <w:color w:val="auto"/>
          <w:sz w:val="24"/>
        </w:rPr>
        <w:t>3.5. Treatment of Endogeneity and Robustness</w:t>
      </w:r>
    </w:p>
    <w:p w:rsidR="00D527C0" w:rsidRPr="009F3662" w:rsidRDefault="00D527C0"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relationship between CAPEX (capital expenditures) and innovation exhibits a causal dynamic, where investments in fixed assets are often influenced by expectations of technological advancements and improvements in organizations’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However, this relationship can be undermined by endogeneity issues, which arise when explanatory variables correlate with the model’s error term. To mitigate these challenges, the use of an instrumental variable (IV) is recommended, as proposed by Arellano and Bond (1991) and Boakye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(2021).</w:t>
      </w:r>
    </w:p>
    <w:p w:rsidR="00D527C0" w:rsidRPr="009F3662" w:rsidRDefault="00D527C0"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In this study, the instrumental variable is represented by the interaction between CAPEX, Net Profit, and participation in B3’s Corporate Governance Index (IGC), forming the CLS variable. This approach is relevant because the IGC reflects companies’ commitment to governance practices, directly influencing their investment decisions in innovation. Thus, the use of the CLS variable enables capturing the combined effects of these dimensions within the context of innovation and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w:t>
      </w:r>
    </w:p>
    <w:p w:rsidR="00D527C0" w:rsidRPr="009F3662" w:rsidRDefault="00D527C0"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To robustly estimate the effects, the Generalized Method of Moments (GMM) was employed, a methodology widely used in economic and financial research to address endogeneity concerns. As highlighted by Alvarez and Arellano (2022), Arellano and Bond (1991), and Boakye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(2021), GMM is effective because it utilizes internal instruments, such as the CLS variable, to correct biases in estimates. This methodology is particularly advantageous when addressing correlations between explanatory variables and the model’s error term, ensuring greater precision in the inferences drawn.</w:t>
      </w:r>
    </w:p>
    <w:p w:rsidR="0074534B" w:rsidRPr="009F3662" w:rsidRDefault="00D527C0"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By combining GMM with the creation of the CLS variable, a more robust analytical model is achieved. This approach enables a deeper understanding of how CAPEX, alongside corporate governance and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influences innovation investments in a well-founded and consistent manner.</w:t>
      </w:r>
    </w:p>
    <w:p w:rsidR="00466EE9" w:rsidRPr="009F3662" w:rsidRDefault="00466EE9" w:rsidP="003B7103">
      <w:pPr>
        <w:pStyle w:val="Ttulo2"/>
        <w:spacing w:before="480" w:after="480" w:line="360" w:lineRule="auto"/>
        <w:rPr>
          <w:rFonts w:ascii="Times New Roman" w:hAnsi="Times New Roman" w:cs="Times New Roman"/>
          <w:b w:val="0"/>
          <w:i/>
          <w:color w:val="auto"/>
          <w:sz w:val="24"/>
        </w:rPr>
      </w:pPr>
      <w:r w:rsidRPr="009F3662">
        <w:rPr>
          <w:rFonts w:ascii="Times New Roman" w:hAnsi="Times New Roman" w:cs="Times New Roman"/>
          <w:b w:val="0"/>
          <w:i/>
          <w:color w:val="auto"/>
          <w:sz w:val="24"/>
        </w:rPr>
        <w:t>3.6. Econometric Model</w:t>
      </w:r>
    </w:p>
    <w:p w:rsidR="00466EE9" w:rsidRPr="009F3662" w:rsidRDefault="00466EE9"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The econometric model for this study is specified as follows:</w:t>
      </w:r>
    </w:p>
    <w:p w:rsidR="00466EE9" w:rsidRPr="009F3662" w:rsidRDefault="00466EE9" w:rsidP="003B7103">
      <w:pPr>
        <w:spacing w:before="480" w:after="480" w:line="360" w:lineRule="auto"/>
        <w:ind w:left="709" w:hanging="709"/>
        <w:jc w:val="both"/>
        <w:rPr>
          <w:rFonts w:ascii="Times New Roman" w:hAnsi="Times New Roman" w:cs="Times New Roman"/>
          <w:i/>
        </w:rPr>
      </w:pPr>
      <w:proofErr w:type="gramStart"/>
      <w:r w:rsidRPr="009F3662">
        <w:rPr>
          <w:rFonts w:ascii="Times New Roman" w:hAnsi="Times New Roman" w:cs="Times New Roman"/>
          <w:i/>
        </w:rPr>
        <w:lastRenderedPageBreak/>
        <w:t>ROA</w:t>
      </w:r>
      <w:r w:rsidRPr="009F3662">
        <w:rPr>
          <w:rFonts w:ascii="Times New Roman" w:hAnsi="Times New Roman" w:cs="Times New Roman"/>
          <w:i/>
          <w:vertAlign w:val="subscript"/>
        </w:rPr>
        <w:t>it</w:t>
      </w:r>
      <w:proofErr w:type="gramEnd"/>
      <w:r w:rsidRPr="009F3662">
        <w:rPr>
          <w:rFonts w:ascii="Times New Roman" w:hAnsi="Times New Roman" w:cs="Times New Roman"/>
          <w:i/>
        </w:rPr>
        <w:t xml:space="preserve"> = β0 + β1 CLS</w:t>
      </w:r>
      <w:r w:rsidRPr="009F3662">
        <w:rPr>
          <w:rFonts w:ascii="Times New Roman" w:hAnsi="Times New Roman" w:cs="Times New Roman"/>
          <w:i/>
          <w:vertAlign w:val="subscript"/>
        </w:rPr>
        <w:t>it</w:t>
      </w:r>
      <w:r w:rsidRPr="009F3662">
        <w:rPr>
          <w:rFonts w:ascii="Times New Roman" w:hAnsi="Times New Roman" w:cs="Times New Roman"/>
          <w:i/>
        </w:rPr>
        <w:t xml:space="preserve"> + β2 ESG</w:t>
      </w:r>
      <w:r w:rsidRPr="009F3662">
        <w:rPr>
          <w:rFonts w:ascii="Times New Roman" w:hAnsi="Times New Roman" w:cs="Times New Roman"/>
          <w:i/>
          <w:vertAlign w:val="subscript"/>
        </w:rPr>
        <w:t>it</w:t>
      </w:r>
      <w:r w:rsidRPr="009F3662">
        <w:rPr>
          <w:rFonts w:ascii="Times New Roman" w:hAnsi="Times New Roman" w:cs="Times New Roman"/>
          <w:i/>
        </w:rPr>
        <w:t xml:space="preserve"> + β3 PFC</w:t>
      </w:r>
      <w:r w:rsidRPr="009F3662">
        <w:rPr>
          <w:rFonts w:ascii="Times New Roman" w:hAnsi="Times New Roman" w:cs="Times New Roman"/>
          <w:i/>
          <w:vertAlign w:val="subscript"/>
        </w:rPr>
        <w:t>it</w:t>
      </w:r>
      <w:r w:rsidRPr="009F3662">
        <w:rPr>
          <w:rFonts w:ascii="Times New Roman" w:hAnsi="Times New Roman" w:cs="Times New Roman"/>
          <w:i/>
        </w:rPr>
        <w:t xml:space="preserve"> + β4 DCE</w:t>
      </w:r>
      <w:r w:rsidRPr="009F3662">
        <w:rPr>
          <w:rFonts w:ascii="Times New Roman" w:hAnsi="Times New Roman" w:cs="Times New Roman"/>
          <w:i/>
          <w:vertAlign w:val="subscript"/>
        </w:rPr>
        <w:t>it</w:t>
      </w:r>
      <w:r w:rsidRPr="009F3662">
        <w:rPr>
          <w:rFonts w:ascii="Times New Roman" w:hAnsi="Times New Roman" w:cs="Times New Roman"/>
          <w:i/>
        </w:rPr>
        <w:t xml:space="preserve"> + β5 (ESG*PFC)</w:t>
      </w:r>
      <w:r w:rsidRPr="009F3662">
        <w:rPr>
          <w:rFonts w:ascii="Times New Roman" w:hAnsi="Times New Roman" w:cs="Times New Roman"/>
          <w:i/>
          <w:vertAlign w:val="subscript"/>
        </w:rPr>
        <w:t>it</w:t>
      </w:r>
      <w:r w:rsidRPr="009F3662">
        <w:rPr>
          <w:rFonts w:ascii="Times New Roman" w:hAnsi="Times New Roman" w:cs="Times New Roman"/>
          <w:i/>
        </w:rPr>
        <w:t xml:space="preserve"> + β6 (ESG*DCE)</w:t>
      </w:r>
      <w:r w:rsidRPr="009F3662">
        <w:rPr>
          <w:rFonts w:ascii="Times New Roman" w:hAnsi="Times New Roman" w:cs="Times New Roman"/>
          <w:i/>
          <w:vertAlign w:val="subscript"/>
        </w:rPr>
        <w:t>it</w:t>
      </w:r>
      <w:r w:rsidRPr="009F3662">
        <w:rPr>
          <w:rFonts w:ascii="Times New Roman" w:hAnsi="Times New Roman" w:cs="Times New Roman"/>
          <w:i/>
        </w:rPr>
        <w:t xml:space="preserve"> + β7 ALF</w:t>
      </w:r>
      <w:r w:rsidRPr="009F3662">
        <w:rPr>
          <w:rFonts w:ascii="Times New Roman" w:hAnsi="Times New Roman" w:cs="Times New Roman"/>
          <w:i/>
          <w:vertAlign w:val="subscript"/>
        </w:rPr>
        <w:t>it</w:t>
      </w:r>
      <w:r w:rsidRPr="009F3662">
        <w:rPr>
          <w:rFonts w:ascii="Times New Roman" w:hAnsi="Times New Roman" w:cs="Times New Roman"/>
          <w:i/>
        </w:rPr>
        <w:t xml:space="preserve"> + β8 VLM</w:t>
      </w:r>
      <w:r w:rsidRPr="009F3662">
        <w:rPr>
          <w:rFonts w:ascii="Times New Roman" w:hAnsi="Times New Roman" w:cs="Times New Roman"/>
          <w:i/>
          <w:vertAlign w:val="subscript"/>
        </w:rPr>
        <w:t>it</w:t>
      </w:r>
      <w:r w:rsidRPr="009F3662">
        <w:rPr>
          <w:rFonts w:ascii="Times New Roman" w:hAnsi="Times New Roman" w:cs="Times New Roman"/>
          <w:i/>
        </w:rPr>
        <w:t xml:space="preserve"> + β9 ATI</w:t>
      </w:r>
      <w:r w:rsidRPr="009F3662">
        <w:rPr>
          <w:rFonts w:ascii="Times New Roman" w:hAnsi="Times New Roman" w:cs="Times New Roman"/>
          <w:i/>
          <w:vertAlign w:val="subscript"/>
        </w:rPr>
        <w:t>it</w:t>
      </w:r>
      <w:r w:rsidRPr="009F3662">
        <w:rPr>
          <w:rFonts w:ascii="Times New Roman" w:hAnsi="Times New Roman" w:cs="Times New Roman"/>
          <w:i/>
        </w:rPr>
        <w:t xml:space="preserve"> + β10 i.SETOR</w:t>
      </w:r>
      <w:r w:rsidRPr="009F3662">
        <w:rPr>
          <w:rFonts w:ascii="Times New Roman" w:hAnsi="Times New Roman" w:cs="Times New Roman"/>
          <w:i/>
          <w:vertAlign w:val="subscript"/>
        </w:rPr>
        <w:t>i</w:t>
      </w:r>
      <w:r w:rsidRPr="009F3662">
        <w:rPr>
          <w:rFonts w:ascii="Times New Roman" w:hAnsi="Times New Roman" w:cs="Times New Roman"/>
          <w:i/>
        </w:rPr>
        <w:t xml:space="preserve"> +  β11 i.ANO</w:t>
      </w:r>
      <w:r w:rsidRPr="009F3662">
        <w:rPr>
          <w:rFonts w:ascii="Times New Roman" w:hAnsi="Times New Roman" w:cs="Times New Roman"/>
          <w:i/>
          <w:vertAlign w:val="subscript"/>
        </w:rPr>
        <w:t>t</w:t>
      </w:r>
      <w:r w:rsidR="00572828" w:rsidRPr="009F3662">
        <w:rPr>
          <w:rFonts w:ascii="Times New Roman" w:hAnsi="Times New Roman" w:cs="Times New Roman"/>
          <w:i/>
        </w:rPr>
        <w:t xml:space="preserve"> + E</w:t>
      </w:r>
      <w:r w:rsidR="00572828" w:rsidRPr="009F3662">
        <w:rPr>
          <w:rFonts w:ascii="Times New Roman" w:hAnsi="Times New Roman" w:cs="Times New Roman"/>
          <w:i/>
          <w:vertAlign w:val="subscript"/>
        </w:rPr>
        <w:t>it</w:t>
      </w:r>
    </w:p>
    <w:p w:rsidR="00466EE9" w:rsidRPr="009F3662" w:rsidRDefault="00466EE9"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Where:</w:t>
      </w:r>
    </w:p>
    <w:p w:rsidR="00466EE9" w:rsidRPr="009F3662" w:rsidRDefault="00466EE9" w:rsidP="003B7103">
      <w:pPr>
        <w:spacing w:after="0" w:line="360" w:lineRule="auto"/>
        <w:jc w:val="both"/>
        <w:rPr>
          <w:rFonts w:ascii="Times New Roman" w:hAnsi="Times New Roman" w:cs="Times New Roman"/>
          <w:sz w:val="24"/>
        </w:rPr>
      </w:pPr>
      <w:r w:rsidRPr="009F3662">
        <w:rPr>
          <w:rFonts w:ascii="Times New Roman" w:hAnsi="Times New Roman" w:cs="Times New Roman"/>
          <w:i/>
          <w:sz w:val="24"/>
        </w:rPr>
        <w:t>ROA:</w:t>
      </w:r>
      <w:r w:rsidRPr="009F3662">
        <w:rPr>
          <w:rFonts w:ascii="Times New Roman" w:hAnsi="Times New Roman" w:cs="Times New Roman"/>
          <w:sz w:val="24"/>
        </w:rPr>
        <w:t xml:space="preserve"> Return on Assets (ROA);</w:t>
      </w:r>
      <w:r w:rsidR="00572828" w:rsidRPr="009F3662">
        <w:rPr>
          <w:rFonts w:ascii="Times New Roman" w:hAnsi="Times New Roman" w:cs="Times New Roman"/>
          <w:sz w:val="24"/>
        </w:rPr>
        <w:t xml:space="preserve"> </w:t>
      </w:r>
      <w:r w:rsidRPr="009F3662">
        <w:rPr>
          <w:rFonts w:ascii="Times New Roman" w:hAnsi="Times New Roman" w:cs="Times New Roman"/>
          <w:i/>
          <w:sz w:val="24"/>
        </w:rPr>
        <w:t>CLS:</w:t>
      </w:r>
      <w:r w:rsidRPr="009F3662">
        <w:rPr>
          <w:rFonts w:ascii="Times New Roman" w:hAnsi="Times New Roman" w:cs="Times New Roman"/>
          <w:sz w:val="24"/>
        </w:rPr>
        <w:t xml:space="preserve"> Interaction between CAPEX and Net Profit in organizations participating in the Corporate Governance Index (IGC);</w:t>
      </w:r>
      <w:r w:rsidR="00572828" w:rsidRPr="009F3662">
        <w:rPr>
          <w:rFonts w:ascii="Times New Roman" w:hAnsi="Times New Roman" w:cs="Times New Roman"/>
          <w:sz w:val="24"/>
        </w:rPr>
        <w:t xml:space="preserve"> </w:t>
      </w:r>
      <w:r w:rsidRPr="009F3662">
        <w:rPr>
          <w:rFonts w:ascii="Times New Roman" w:hAnsi="Times New Roman" w:cs="Times New Roman"/>
          <w:i/>
          <w:sz w:val="24"/>
        </w:rPr>
        <w:t>ESG:</w:t>
      </w:r>
      <w:r w:rsidRPr="009F3662">
        <w:rPr>
          <w:rFonts w:ascii="Times New Roman" w:hAnsi="Times New Roman" w:cs="Times New Roman"/>
          <w:sz w:val="24"/>
        </w:rPr>
        <w:t xml:space="preserve"> ESG score;</w:t>
      </w:r>
      <w:r w:rsidR="00572828" w:rsidRPr="009F3662">
        <w:rPr>
          <w:rFonts w:ascii="Times New Roman" w:hAnsi="Times New Roman" w:cs="Times New Roman"/>
          <w:sz w:val="24"/>
        </w:rPr>
        <w:t xml:space="preserve"> </w:t>
      </w:r>
      <w:r w:rsidRPr="009F3662">
        <w:rPr>
          <w:rFonts w:ascii="Times New Roman" w:hAnsi="Times New Roman" w:cs="Times New Roman"/>
          <w:i/>
          <w:sz w:val="24"/>
        </w:rPr>
        <w:t>PFC:</w:t>
      </w:r>
      <w:r w:rsidRPr="009F3662">
        <w:rPr>
          <w:rFonts w:ascii="Times New Roman" w:hAnsi="Times New Roman" w:cs="Times New Roman"/>
          <w:sz w:val="24"/>
        </w:rPr>
        <w:t xml:space="preserve"> Proportion of female members on the board of directors;</w:t>
      </w:r>
      <w:r w:rsidR="00572828" w:rsidRPr="009F3662">
        <w:rPr>
          <w:rFonts w:ascii="Times New Roman" w:hAnsi="Times New Roman" w:cs="Times New Roman"/>
          <w:sz w:val="24"/>
        </w:rPr>
        <w:t xml:space="preserve"> </w:t>
      </w:r>
      <w:r w:rsidRPr="009F3662">
        <w:rPr>
          <w:rFonts w:ascii="Times New Roman" w:hAnsi="Times New Roman" w:cs="Times New Roman"/>
          <w:i/>
          <w:sz w:val="24"/>
        </w:rPr>
        <w:t>DCE:</w:t>
      </w:r>
      <w:r w:rsidRPr="009F3662">
        <w:rPr>
          <w:rFonts w:ascii="Times New Roman" w:hAnsi="Times New Roman" w:cs="Times New Roman"/>
          <w:sz w:val="24"/>
        </w:rPr>
        <w:t xml:space="preserve"> CEO duality dummy;</w:t>
      </w:r>
      <w:r w:rsidR="00572828" w:rsidRPr="009F3662">
        <w:rPr>
          <w:rFonts w:ascii="Times New Roman" w:hAnsi="Times New Roman" w:cs="Times New Roman"/>
          <w:sz w:val="24"/>
        </w:rPr>
        <w:t xml:space="preserve"> </w:t>
      </w:r>
      <w:r w:rsidRPr="009F3662">
        <w:rPr>
          <w:rFonts w:ascii="Times New Roman" w:hAnsi="Times New Roman" w:cs="Times New Roman"/>
          <w:i/>
          <w:sz w:val="24"/>
        </w:rPr>
        <w:t>ESG*PFC</w:t>
      </w:r>
      <w:r w:rsidRPr="009F3662">
        <w:rPr>
          <w:rFonts w:ascii="Times New Roman" w:hAnsi="Times New Roman" w:cs="Times New Roman"/>
          <w:sz w:val="24"/>
        </w:rPr>
        <w:t xml:space="preserve"> or </w:t>
      </w:r>
      <w:r w:rsidRPr="009F3662">
        <w:rPr>
          <w:rFonts w:ascii="Times New Roman" w:hAnsi="Times New Roman" w:cs="Times New Roman"/>
          <w:i/>
          <w:sz w:val="24"/>
        </w:rPr>
        <w:t>(ESPF)</w:t>
      </w:r>
      <w:r w:rsidRPr="009F3662">
        <w:rPr>
          <w:rFonts w:ascii="Times New Roman" w:hAnsi="Times New Roman" w:cs="Times New Roman"/>
          <w:sz w:val="24"/>
        </w:rPr>
        <w:t>: Interaction between the ESG score and the proportion of female representation on the board;</w:t>
      </w:r>
      <w:r w:rsidR="00572828" w:rsidRPr="009F3662">
        <w:rPr>
          <w:rFonts w:ascii="Times New Roman" w:hAnsi="Times New Roman" w:cs="Times New Roman"/>
          <w:sz w:val="24"/>
        </w:rPr>
        <w:t xml:space="preserve"> </w:t>
      </w:r>
      <w:r w:rsidRPr="009F3662">
        <w:rPr>
          <w:rFonts w:ascii="Times New Roman" w:hAnsi="Times New Roman" w:cs="Times New Roman"/>
          <w:i/>
          <w:sz w:val="24"/>
        </w:rPr>
        <w:t>ESG*DCE</w:t>
      </w:r>
      <w:r w:rsidRPr="009F3662">
        <w:rPr>
          <w:rFonts w:ascii="Times New Roman" w:hAnsi="Times New Roman" w:cs="Times New Roman"/>
          <w:sz w:val="24"/>
        </w:rPr>
        <w:t xml:space="preserve"> or </w:t>
      </w:r>
      <w:r w:rsidRPr="009F3662">
        <w:rPr>
          <w:rFonts w:ascii="Times New Roman" w:hAnsi="Times New Roman" w:cs="Times New Roman"/>
          <w:i/>
          <w:sz w:val="24"/>
        </w:rPr>
        <w:t>(ESDC)</w:t>
      </w:r>
      <w:r w:rsidRPr="009F3662">
        <w:rPr>
          <w:rFonts w:ascii="Times New Roman" w:hAnsi="Times New Roman" w:cs="Times New Roman"/>
          <w:sz w:val="24"/>
        </w:rPr>
        <w:t>: Interaction between the ESG score and the CEO duality dummy;</w:t>
      </w:r>
      <w:r w:rsidR="00572828" w:rsidRPr="009F3662">
        <w:rPr>
          <w:rFonts w:ascii="Times New Roman" w:hAnsi="Times New Roman" w:cs="Times New Roman"/>
          <w:sz w:val="24"/>
        </w:rPr>
        <w:t xml:space="preserve"> </w:t>
      </w:r>
      <w:r w:rsidRPr="009F3662">
        <w:rPr>
          <w:rFonts w:ascii="Times New Roman" w:hAnsi="Times New Roman" w:cs="Times New Roman"/>
          <w:i/>
          <w:sz w:val="24"/>
        </w:rPr>
        <w:t>ALF:</w:t>
      </w:r>
      <w:r w:rsidRPr="009F3662">
        <w:rPr>
          <w:rFonts w:ascii="Times New Roman" w:hAnsi="Times New Roman" w:cs="Times New Roman"/>
          <w:sz w:val="24"/>
        </w:rPr>
        <w:t xml:space="preserve"> Natural logarithm of financial leverage values;</w:t>
      </w:r>
      <w:r w:rsidR="00572828" w:rsidRPr="009F3662">
        <w:rPr>
          <w:rFonts w:ascii="Times New Roman" w:hAnsi="Times New Roman" w:cs="Times New Roman"/>
          <w:sz w:val="24"/>
        </w:rPr>
        <w:t xml:space="preserve"> </w:t>
      </w:r>
      <w:r w:rsidRPr="009F3662">
        <w:rPr>
          <w:rFonts w:ascii="Times New Roman" w:hAnsi="Times New Roman" w:cs="Times New Roman"/>
          <w:i/>
          <w:sz w:val="24"/>
        </w:rPr>
        <w:t>VLM:</w:t>
      </w:r>
      <w:r w:rsidRPr="009F3662">
        <w:rPr>
          <w:rFonts w:ascii="Times New Roman" w:hAnsi="Times New Roman" w:cs="Times New Roman"/>
          <w:sz w:val="24"/>
        </w:rPr>
        <w:t xml:space="preserve"> Natural logarithm of market value;</w:t>
      </w:r>
      <w:r w:rsidR="00572828" w:rsidRPr="009F3662">
        <w:rPr>
          <w:rFonts w:ascii="Times New Roman" w:hAnsi="Times New Roman" w:cs="Times New Roman"/>
          <w:sz w:val="24"/>
        </w:rPr>
        <w:t xml:space="preserve"> </w:t>
      </w:r>
      <w:r w:rsidRPr="009F3662">
        <w:rPr>
          <w:rFonts w:ascii="Times New Roman" w:hAnsi="Times New Roman" w:cs="Times New Roman"/>
          <w:i/>
          <w:sz w:val="24"/>
        </w:rPr>
        <w:t>ATI:</w:t>
      </w:r>
      <w:r w:rsidRPr="009F3662">
        <w:rPr>
          <w:rFonts w:ascii="Times New Roman" w:hAnsi="Times New Roman" w:cs="Times New Roman"/>
          <w:sz w:val="24"/>
        </w:rPr>
        <w:t xml:space="preserve"> Natural logarithm of intangible asset values;</w:t>
      </w:r>
      <w:r w:rsidR="00572828" w:rsidRPr="009F3662">
        <w:rPr>
          <w:rFonts w:ascii="Times New Roman" w:hAnsi="Times New Roman" w:cs="Times New Roman"/>
          <w:sz w:val="24"/>
        </w:rPr>
        <w:t xml:space="preserve"> </w:t>
      </w:r>
      <w:proofErr w:type="gramStart"/>
      <w:r w:rsidRPr="009F3662">
        <w:rPr>
          <w:rFonts w:ascii="Times New Roman" w:hAnsi="Times New Roman" w:cs="Times New Roman"/>
          <w:i/>
          <w:sz w:val="24"/>
        </w:rPr>
        <w:t>i.</w:t>
      </w:r>
      <w:proofErr w:type="gramEnd"/>
      <w:r w:rsidRPr="009F3662">
        <w:rPr>
          <w:rFonts w:ascii="Times New Roman" w:hAnsi="Times New Roman" w:cs="Times New Roman"/>
          <w:i/>
          <w:sz w:val="24"/>
        </w:rPr>
        <w:t>SECTOR:</w:t>
      </w:r>
      <w:r w:rsidRPr="009F3662">
        <w:rPr>
          <w:rFonts w:ascii="Times New Roman" w:hAnsi="Times New Roman" w:cs="Times New Roman"/>
          <w:sz w:val="24"/>
        </w:rPr>
        <w:t xml:space="preserve"> Fixed effect by sector;</w:t>
      </w:r>
      <w:r w:rsidR="00572828" w:rsidRPr="009F3662">
        <w:rPr>
          <w:rFonts w:ascii="Times New Roman" w:hAnsi="Times New Roman" w:cs="Times New Roman"/>
          <w:sz w:val="24"/>
        </w:rPr>
        <w:t xml:space="preserve"> </w:t>
      </w:r>
      <w:r w:rsidRPr="009F3662">
        <w:rPr>
          <w:rFonts w:ascii="Times New Roman" w:hAnsi="Times New Roman" w:cs="Times New Roman"/>
          <w:i/>
          <w:sz w:val="24"/>
        </w:rPr>
        <w:t>i.YEAR:</w:t>
      </w:r>
      <w:r w:rsidRPr="009F3662">
        <w:rPr>
          <w:rFonts w:ascii="Times New Roman" w:hAnsi="Times New Roman" w:cs="Times New Roman"/>
          <w:sz w:val="24"/>
        </w:rPr>
        <w:t xml:space="preserve"> Fixed effect by year;</w:t>
      </w:r>
      <w:r w:rsidR="00572828" w:rsidRPr="009F3662">
        <w:rPr>
          <w:rFonts w:ascii="Times New Roman" w:hAnsi="Times New Roman" w:cs="Times New Roman"/>
          <w:sz w:val="24"/>
        </w:rPr>
        <w:t xml:space="preserve"> </w:t>
      </w:r>
      <w:r w:rsidRPr="009F3662">
        <w:rPr>
          <w:rFonts w:ascii="Times New Roman" w:hAnsi="Times New Roman" w:cs="Times New Roman"/>
          <w:i/>
          <w:sz w:val="24"/>
        </w:rPr>
        <w:t>it:</w:t>
      </w:r>
      <w:r w:rsidRPr="009F3662">
        <w:rPr>
          <w:rFonts w:ascii="Times New Roman" w:hAnsi="Times New Roman" w:cs="Times New Roman"/>
          <w:sz w:val="24"/>
        </w:rPr>
        <w:t xml:space="preserve"> individual and time, respectively; and</w:t>
      </w:r>
      <w:r w:rsidR="00572828" w:rsidRPr="009F3662">
        <w:rPr>
          <w:rFonts w:ascii="Times New Roman" w:hAnsi="Times New Roman" w:cs="Times New Roman"/>
          <w:sz w:val="24"/>
        </w:rPr>
        <w:t xml:space="preserve"> </w:t>
      </w:r>
      <w:r w:rsidR="00572828" w:rsidRPr="009F3662">
        <w:rPr>
          <w:rFonts w:ascii="Times New Roman" w:hAnsi="Times New Roman" w:cs="Times New Roman"/>
          <w:i/>
          <w:sz w:val="24"/>
        </w:rPr>
        <w:t>E</w:t>
      </w:r>
      <w:r w:rsidRPr="009F3662">
        <w:rPr>
          <w:rFonts w:ascii="Times New Roman" w:hAnsi="Times New Roman" w:cs="Times New Roman"/>
          <w:i/>
          <w:sz w:val="24"/>
        </w:rPr>
        <w:t>:</w:t>
      </w:r>
      <w:r w:rsidRPr="009F3662">
        <w:rPr>
          <w:rFonts w:ascii="Times New Roman" w:hAnsi="Times New Roman" w:cs="Times New Roman"/>
          <w:sz w:val="24"/>
        </w:rPr>
        <w:t xml:space="preserve"> Error.</w:t>
      </w:r>
    </w:p>
    <w:p w:rsidR="00466EE9" w:rsidRPr="009F3662" w:rsidRDefault="00060528" w:rsidP="003B7103">
      <w:pPr>
        <w:pStyle w:val="Ttulo1"/>
        <w:spacing w:after="480" w:line="360" w:lineRule="auto"/>
        <w:rPr>
          <w:rFonts w:ascii="Times New Roman" w:hAnsi="Times New Roman" w:cs="Times New Roman"/>
          <w:color w:val="auto"/>
          <w:sz w:val="24"/>
        </w:rPr>
      </w:pPr>
      <w:r w:rsidRPr="009F3662">
        <w:rPr>
          <w:rFonts w:ascii="Times New Roman" w:hAnsi="Times New Roman" w:cs="Times New Roman"/>
          <w:color w:val="auto"/>
          <w:sz w:val="24"/>
        </w:rPr>
        <w:t xml:space="preserve">4. </w:t>
      </w:r>
      <w:r w:rsidR="00D52243" w:rsidRPr="009F3662">
        <w:rPr>
          <w:rFonts w:ascii="Times New Roman" w:hAnsi="Times New Roman" w:cs="Times New Roman"/>
          <w:color w:val="auto"/>
          <w:sz w:val="24"/>
        </w:rPr>
        <w:t>Results and discussion</w:t>
      </w:r>
    </w:p>
    <w:p w:rsidR="00466EE9" w:rsidRPr="009F3662" w:rsidRDefault="00466EE9" w:rsidP="003B7103">
      <w:pPr>
        <w:pStyle w:val="Ttulo2"/>
        <w:spacing w:before="480" w:after="480" w:line="360" w:lineRule="auto"/>
        <w:rPr>
          <w:rFonts w:ascii="Times New Roman" w:hAnsi="Times New Roman" w:cs="Times New Roman"/>
          <w:b w:val="0"/>
          <w:i/>
          <w:color w:val="auto"/>
          <w:sz w:val="24"/>
        </w:rPr>
      </w:pPr>
      <w:r w:rsidRPr="009F3662">
        <w:rPr>
          <w:rFonts w:ascii="Times New Roman" w:hAnsi="Times New Roman" w:cs="Times New Roman"/>
          <w:b w:val="0"/>
          <w:i/>
          <w:color w:val="auto"/>
          <w:sz w:val="24"/>
        </w:rPr>
        <w:t>4.1. Correlations Between Variables</w:t>
      </w:r>
    </w:p>
    <w:p w:rsidR="00466EE9" w:rsidRPr="009F3662" w:rsidRDefault="00466EE9"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analysis of Pearson’s correlation matrix (Table 2) reveals varied relationships among the variables. Notable are moderate correlations, such as between capital expenditures (CAPEX) and VLM (0.52) and between PFC and ESPF (0.59), as well as a strong negative correlation between ESG and ATI, which was –0.59. However, values above 0.70 would indicate high correlation and potential redundancy, thereby increasing the risk of multicollinearity, which was not observed. Relationships below 0.30 predominate, suggesting a limited impact on the estimation of a regression. According to Adams and Ferreira (2009) and Abid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(2022), this configuration favors running regressions without significant multicollinearity issues, thereby yielding more robust and reliable results.</w:t>
      </w:r>
    </w:p>
    <w:p w:rsidR="009F3662" w:rsidRPr="00251446" w:rsidRDefault="009F3662" w:rsidP="009F3662">
      <w:pPr>
        <w:spacing w:before="200" w:after="0" w:line="240" w:lineRule="auto"/>
        <w:jc w:val="both"/>
        <w:rPr>
          <w:rFonts w:ascii="Times New Roman" w:hAnsi="Times New Roman" w:cs="Times New Roman"/>
          <w:sz w:val="24"/>
        </w:rPr>
      </w:pPr>
      <w:r w:rsidRPr="00251446">
        <w:rPr>
          <w:rFonts w:ascii="Times New Roman" w:hAnsi="Times New Roman" w:cs="Times New Roman"/>
          <w:sz w:val="24"/>
        </w:rPr>
        <w:t>Table 2 – Correlations Between Variables</w:t>
      </w:r>
    </w:p>
    <w:tbl>
      <w:tblPr>
        <w:tblStyle w:val="SombreamentoClaro"/>
        <w:tblW w:w="4853" w:type="pct"/>
        <w:jc w:val="center"/>
        <w:tblLayout w:type="fixed"/>
        <w:tblLook w:val="04A0" w:firstRow="1" w:lastRow="0" w:firstColumn="1" w:lastColumn="0" w:noHBand="0" w:noVBand="1"/>
      </w:tblPr>
      <w:tblGrid>
        <w:gridCol w:w="289"/>
        <w:gridCol w:w="791"/>
        <w:gridCol w:w="1008"/>
        <w:gridCol w:w="867"/>
        <w:gridCol w:w="867"/>
        <w:gridCol w:w="867"/>
        <w:gridCol w:w="869"/>
        <w:gridCol w:w="867"/>
        <w:gridCol w:w="867"/>
        <w:gridCol w:w="867"/>
        <w:gridCol w:w="855"/>
      </w:tblGrid>
      <w:tr w:rsidR="009F3662" w:rsidRPr="00251446" w:rsidTr="009F3662">
        <w:trPr>
          <w:cnfStyle w:val="100000000000" w:firstRow="1" w:lastRow="0" w:firstColumn="0" w:lastColumn="0" w:oddVBand="0" w:evenVBand="0" w:oddHBand="0"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160" w:type="pct"/>
            <w:noWrap/>
            <w:vAlign w:val="center"/>
            <w:hideMark/>
          </w:tcPr>
          <w:p w:rsidR="009F3662" w:rsidRPr="00251446" w:rsidRDefault="009F3662" w:rsidP="009F3662">
            <w:pPr>
              <w:jc w:val="center"/>
              <w:rPr>
                <w:rFonts w:ascii="Times New Roman" w:hAnsi="Times New Roman" w:cs="Times New Roman"/>
                <w:b w:val="0"/>
                <w:color w:val="auto"/>
                <w:sz w:val="20"/>
                <w:szCs w:val="20"/>
              </w:rPr>
            </w:pPr>
          </w:p>
        </w:tc>
        <w:tc>
          <w:tcPr>
            <w:tcW w:w="439" w:type="pct"/>
            <w:noWrap/>
            <w:vAlign w:val="center"/>
            <w:hideMark/>
          </w:tcPr>
          <w:p w:rsidR="009F3662" w:rsidRPr="00251446"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p>
        </w:tc>
        <w:tc>
          <w:tcPr>
            <w:tcW w:w="559" w:type="pct"/>
            <w:noWrap/>
            <w:vAlign w:val="center"/>
            <w:hideMark/>
          </w:tcPr>
          <w:p w:rsidR="009F3662" w:rsidRPr="00251446"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1</w:t>
            </w:r>
            <w:proofErr w:type="gramEnd"/>
          </w:p>
        </w:tc>
        <w:tc>
          <w:tcPr>
            <w:tcW w:w="481" w:type="pct"/>
            <w:noWrap/>
            <w:vAlign w:val="center"/>
            <w:hideMark/>
          </w:tcPr>
          <w:p w:rsidR="009F3662" w:rsidRPr="00251446"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2</w:t>
            </w:r>
            <w:proofErr w:type="gramEnd"/>
          </w:p>
        </w:tc>
        <w:tc>
          <w:tcPr>
            <w:tcW w:w="481" w:type="pct"/>
            <w:noWrap/>
            <w:vAlign w:val="center"/>
            <w:hideMark/>
          </w:tcPr>
          <w:p w:rsidR="009F3662" w:rsidRPr="00251446"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3</w:t>
            </w:r>
            <w:proofErr w:type="gramEnd"/>
          </w:p>
        </w:tc>
        <w:tc>
          <w:tcPr>
            <w:tcW w:w="481" w:type="pct"/>
            <w:noWrap/>
            <w:vAlign w:val="center"/>
            <w:hideMark/>
          </w:tcPr>
          <w:p w:rsidR="009F3662" w:rsidRPr="00251446"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4</w:t>
            </w:r>
            <w:proofErr w:type="gramEnd"/>
          </w:p>
        </w:tc>
        <w:tc>
          <w:tcPr>
            <w:tcW w:w="482" w:type="pct"/>
            <w:noWrap/>
            <w:vAlign w:val="center"/>
            <w:hideMark/>
          </w:tcPr>
          <w:p w:rsidR="009F3662" w:rsidRPr="00251446"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5</w:t>
            </w:r>
            <w:proofErr w:type="gramEnd"/>
          </w:p>
        </w:tc>
        <w:tc>
          <w:tcPr>
            <w:tcW w:w="481" w:type="pct"/>
            <w:noWrap/>
            <w:vAlign w:val="center"/>
            <w:hideMark/>
          </w:tcPr>
          <w:p w:rsidR="009F3662" w:rsidRPr="00251446"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6</w:t>
            </w:r>
            <w:proofErr w:type="gramEnd"/>
          </w:p>
        </w:tc>
        <w:tc>
          <w:tcPr>
            <w:tcW w:w="481" w:type="pct"/>
            <w:noWrap/>
            <w:vAlign w:val="center"/>
            <w:hideMark/>
          </w:tcPr>
          <w:p w:rsidR="009F3662" w:rsidRPr="00251446"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7</w:t>
            </w:r>
            <w:proofErr w:type="gramEnd"/>
          </w:p>
        </w:tc>
        <w:tc>
          <w:tcPr>
            <w:tcW w:w="481" w:type="pct"/>
            <w:noWrap/>
            <w:vAlign w:val="center"/>
            <w:hideMark/>
          </w:tcPr>
          <w:p w:rsidR="009F3662" w:rsidRPr="00251446"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8</w:t>
            </w:r>
            <w:proofErr w:type="gramEnd"/>
          </w:p>
        </w:tc>
        <w:tc>
          <w:tcPr>
            <w:tcW w:w="475" w:type="pct"/>
            <w:noWrap/>
            <w:vAlign w:val="center"/>
            <w:hideMark/>
          </w:tcPr>
          <w:p w:rsidR="009F3662" w:rsidRPr="00251446"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9</w:t>
            </w:r>
            <w:proofErr w:type="gramEnd"/>
          </w:p>
        </w:tc>
      </w:tr>
      <w:tr w:rsidR="009F3662" w:rsidRPr="00251446" w:rsidTr="009F3662">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160" w:type="pct"/>
            <w:shd w:val="clear" w:color="auto" w:fill="D9D9D9" w:themeFill="background1" w:themeFillShade="D9"/>
            <w:noWrap/>
            <w:vAlign w:val="center"/>
            <w:hideMark/>
          </w:tcPr>
          <w:p w:rsidR="009F3662" w:rsidRPr="00251446" w:rsidRDefault="009F3662" w:rsidP="009F3662">
            <w:pPr>
              <w:jc w:val="right"/>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1</w:t>
            </w:r>
            <w:proofErr w:type="gramEnd"/>
          </w:p>
        </w:tc>
        <w:tc>
          <w:tcPr>
            <w:tcW w:w="439" w:type="pct"/>
            <w:shd w:val="clear" w:color="auto" w:fill="D9D9D9" w:themeFill="background1" w:themeFillShade="D9"/>
            <w:noWrap/>
            <w:vAlign w:val="center"/>
            <w:hideMark/>
          </w:tcPr>
          <w:p w:rsidR="009F3662" w:rsidRPr="00251446" w:rsidRDefault="009F3662" w:rsidP="009F36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CAP</w:t>
            </w:r>
          </w:p>
        </w:tc>
        <w:tc>
          <w:tcPr>
            <w:tcW w:w="559"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1.00</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82"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75"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9F3662" w:rsidRPr="00251446" w:rsidTr="009F3662">
        <w:trPr>
          <w:trHeight w:val="329"/>
          <w:jc w:val="center"/>
        </w:trPr>
        <w:tc>
          <w:tcPr>
            <w:cnfStyle w:val="001000000000" w:firstRow="0" w:lastRow="0" w:firstColumn="1" w:lastColumn="0" w:oddVBand="0" w:evenVBand="0" w:oddHBand="0" w:evenHBand="0" w:firstRowFirstColumn="0" w:firstRowLastColumn="0" w:lastRowFirstColumn="0" w:lastRowLastColumn="0"/>
            <w:tcW w:w="160" w:type="pct"/>
            <w:noWrap/>
            <w:vAlign w:val="center"/>
            <w:hideMark/>
          </w:tcPr>
          <w:p w:rsidR="009F3662" w:rsidRPr="00251446" w:rsidRDefault="009F3662" w:rsidP="009F3662">
            <w:pPr>
              <w:jc w:val="right"/>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2</w:t>
            </w:r>
            <w:proofErr w:type="gramEnd"/>
          </w:p>
        </w:tc>
        <w:tc>
          <w:tcPr>
            <w:tcW w:w="439" w:type="pct"/>
            <w:noWrap/>
            <w:vAlign w:val="center"/>
            <w:hideMark/>
          </w:tcPr>
          <w:p w:rsidR="009F3662" w:rsidRPr="00251446" w:rsidRDefault="009F3662" w:rsidP="009F36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DCE</w:t>
            </w:r>
          </w:p>
        </w:tc>
        <w:tc>
          <w:tcPr>
            <w:tcW w:w="559"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0.21</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1.00</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82"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75"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9F3662" w:rsidRPr="00251446" w:rsidTr="009F3662">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160" w:type="pct"/>
            <w:shd w:val="clear" w:color="auto" w:fill="D9D9D9" w:themeFill="background1" w:themeFillShade="D9"/>
            <w:noWrap/>
            <w:vAlign w:val="center"/>
            <w:hideMark/>
          </w:tcPr>
          <w:p w:rsidR="009F3662" w:rsidRPr="00251446" w:rsidRDefault="009F3662" w:rsidP="009F3662">
            <w:pPr>
              <w:jc w:val="right"/>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3</w:t>
            </w:r>
            <w:proofErr w:type="gramEnd"/>
          </w:p>
        </w:tc>
        <w:tc>
          <w:tcPr>
            <w:tcW w:w="439" w:type="pct"/>
            <w:shd w:val="clear" w:color="auto" w:fill="D9D9D9" w:themeFill="background1" w:themeFillShade="D9"/>
            <w:noWrap/>
            <w:vAlign w:val="center"/>
            <w:hideMark/>
          </w:tcPr>
          <w:p w:rsidR="009F3662" w:rsidRPr="00251446" w:rsidRDefault="009F3662" w:rsidP="009F36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PFC</w:t>
            </w:r>
          </w:p>
        </w:tc>
        <w:tc>
          <w:tcPr>
            <w:tcW w:w="559"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0.09</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0.24</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1.00</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82"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75"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9F3662" w:rsidRPr="00251446" w:rsidTr="009F3662">
        <w:trPr>
          <w:trHeight w:val="329"/>
          <w:jc w:val="center"/>
        </w:trPr>
        <w:tc>
          <w:tcPr>
            <w:cnfStyle w:val="001000000000" w:firstRow="0" w:lastRow="0" w:firstColumn="1" w:lastColumn="0" w:oddVBand="0" w:evenVBand="0" w:oddHBand="0" w:evenHBand="0" w:firstRowFirstColumn="0" w:firstRowLastColumn="0" w:lastRowFirstColumn="0" w:lastRowLastColumn="0"/>
            <w:tcW w:w="160" w:type="pct"/>
            <w:noWrap/>
            <w:vAlign w:val="center"/>
            <w:hideMark/>
          </w:tcPr>
          <w:p w:rsidR="009F3662" w:rsidRPr="00251446" w:rsidRDefault="009F3662" w:rsidP="009F3662">
            <w:pPr>
              <w:jc w:val="right"/>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4</w:t>
            </w:r>
            <w:proofErr w:type="gramEnd"/>
          </w:p>
        </w:tc>
        <w:tc>
          <w:tcPr>
            <w:tcW w:w="439" w:type="pct"/>
            <w:noWrap/>
            <w:vAlign w:val="center"/>
            <w:hideMark/>
          </w:tcPr>
          <w:p w:rsidR="009F3662" w:rsidRPr="00251446" w:rsidRDefault="009F3662" w:rsidP="009F36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ESG</w:t>
            </w:r>
          </w:p>
        </w:tc>
        <w:tc>
          <w:tcPr>
            <w:tcW w:w="559"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-0.29</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-0.07</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0.09</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1.00</w:t>
            </w:r>
          </w:p>
        </w:tc>
        <w:tc>
          <w:tcPr>
            <w:tcW w:w="482"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75"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9F3662" w:rsidRPr="00251446" w:rsidTr="009F3662">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160" w:type="pct"/>
            <w:shd w:val="clear" w:color="auto" w:fill="D9D9D9" w:themeFill="background1" w:themeFillShade="D9"/>
            <w:noWrap/>
            <w:vAlign w:val="center"/>
            <w:hideMark/>
          </w:tcPr>
          <w:p w:rsidR="009F3662" w:rsidRPr="00251446" w:rsidRDefault="009F3662" w:rsidP="009F3662">
            <w:pPr>
              <w:jc w:val="right"/>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5</w:t>
            </w:r>
            <w:proofErr w:type="gramEnd"/>
          </w:p>
        </w:tc>
        <w:tc>
          <w:tcPr>
            <w:tcW w:w="439" w:type="pct"/>
            <w:shd w:val="clear" w:color="auto" w:fill="D9D9D9" w:themeFill="background1" w:themeFillShade="D9"/>
            <w:noWrap/>
            <w:vAlign w:val="center"/>
            <w:hideMark/>
          </w:tcPr>
          <w:p w:rsidR="009F3662" w:rsidRPr="00251446" w:rsidRDefault="009F3662" w:rsidP="009F36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ESDC</w:t>
            </w:r>
          </w:p>
        </w:tc>
        <w:tc>
          <w:tcPr>
            <w:tcW w:w="559"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0.18</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0.50</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0.15</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0.41</w:t>
            </w:r>
          </w:p>
        </w:tc>
        <w:tc>
          <w:tcPr>
            <w:tcW w:w="482"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1.00</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75"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9F3662" w:rsidRPr="00251446" w:rsidTr="009F3662">
        <w:trPr>
          <w:trHeight w:val="329"/>
          <w:jc w:val="center"/>
        </w:trPr>
        <w:tc>
          <w:tcPr>
            <w:cnfStyle w:val="001000000000" w:firstRow="0" w:lastRow="0" w:firstColumn="1" w:lastColumn="0" w:oddVBand="0" w:evenVBand="0" w:oddHBand="0" w:evenHBand="0" w:firstRowFirstColumn="0" w:firstRowLastColumn="0" w:lastRowFirstColumn="0" w:lastRowLastColumn="0"/>
            <w:tcW w:w="160" w:type="pct"/>
            <w:noWrap/>
            <w:vAlign w:val="center"/>
            <w:hideMark/>
          </w:tcPr>
          <w:p w:rsidR="009F3662" w:rsidRPr="00251446" w:rsidRDefault="009F3662" w:rsidP="009F3662">
            <w:pPr>
              <w:jc w:val="right"/>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lastRenderedPageBreak/>
              <w:t>6</w:t>
            </w:r>
            <w:proofErr w:type="gramEnd"/>
          </w:p>
        </w:tc>
        <w:tc>
          <w:tcPr>
            <w:tcW w:w="439" w:type="pct"/>
            <w:noWrap/>
            <w:vAlign w:val="center"/>
            <w:hideMark/>
          </w:tcPr>
          <w:p w:rsidR="009F3662" w:rsidRPr="00251446" w:rsidRDefault="009F3662" w:rsidP="009F36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ESPF</w:t>
            </w:r>
          </w:p>
        </w:tc>
        <w:tc>
          <w:tcPr>
            <w:tcW w:w="559"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-0.06</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0.04</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0.59</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0.51</w:t>
            </w:r>
          </w:p>
        </w:tc>
        <w:tc>
          <w:tcPr>
            <w:tcW w:w="482"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0.36</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1.00</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75"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9F3662" w:rsidRPr="00251446" w:rsidTr="009F3662">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160" w:type="pct"/>
            <w:shd w:val="clear" w:color="auto" w:fill="D9D9D9" w:themeFill="background1" w:themeFillShade="D9"/>
            <w:noWrap/>
            <w:vAlign w:val="center"/>
            <w:hideMark/>
          </w:tcPr>
          <w:p w:rsidR="009F3662" w:rsidRPr="00251446" w:rsidRDefault="009F3662" w:rsidP="009F3662">
            <w:pPr>
              <w:jc w:val="right"/>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7</w:t>
            </w:r>
            <w:proofErr w:type="gramEnd"/>
          </w:p>
        </w:tc>
        <w:tc>
          <w:tcPr>
            <w:tcW w:w="439" w:type="pct"/>
            <w:shd w:val="clear" w:color="auto" w:fill="D9D9D9" w:themeFill="background1" w:themeFillShade="D9"/>
            <w:noWrap/>
            <w:vAlign w:val="center"/>
            <w:hideMark/>
          </w:tcPr>
          <w:p w:rsidR="009F3662" w:rsidRPr="00251446" w:rsidRDefault="009F3662" w:rsidP="009F36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ALF</w:t>
            </w:r>
          </w:p>
        </w:tc>
        <w:tc>
          <w:tcPr>
            <w:tcW w:w="559"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0.06</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0.17</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0.02</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0.06</w:t>
            </w:r>
          </w:p>
        </w:tc>
        <w:tc>
          <w:tcPr>
            <w:tcW w:w="482"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0.04</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0.08</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1.00</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475"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9F3662" w:rsidRPr="00251446" w:rsidTr="009F3662">
        <w:trPr>
          <w:trHeight w:val="329"/>
          <w:jc w:val="center"/>
        </w:trPr>
        <w:tc>
          <w:tcPr>
            <w:cnfStyle w:val="001000000000" w:firstRow="0" w:lastRow="0" w:firstColumn="1" w:lastColumn="0" w:oddVBand="0" w:evenVBand="0" w:oddHBand="0" w:evenHBand="0" w:firstRowFirstColumn="0" w:firstRowLastColumn="0" w:lastRowFirstColumn="0" w:lastRowLastColumn="0"/>
            <w:tcW w:w="160" w:type="pct"/>
            <w:noWrap/>
            <w:vAlign w:val="center"/>
            <w:hideMark/>
          </w:tcPr>
          <w:p w:rsidR="009F3662" w:rsidRPr="00251446" w:rsidRDefault="009F3662" w:rsidP="009F3662">
            <w:pPr>
              <w:jc w:val="right"/>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8</w:t>
            </w:r>
            <w:proofErr w:type="gramEnd"/>
          </w:p>
        </w:tc>
        <w:tc>
          <w:tcPr>
            <w:tcW w:w="439" w:type="pct"/>
            <w:noWrap/>
            <w:vAlign w:val="center"/>
            <w:hideMark/>
          </w:tcPr>
          <w:p w:rsidR="009F3662" w:rsidRPr="00251446" w:rsidRDefault="009F3662" w:rsidP="009F36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VLM</w:t>
            </w:r>
          </w:p>
        </w:tc>
        <w:tc>
          <w:tcPr>
            <w:tcW w:w="559"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0.52</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0.05</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-0.04</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-0.26</w:t>
            </w:r>
          </w:p>
        </w:tc>
        <w:tc>
          <w:tcPr>
            <w:tcW w:w="482"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0.17</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-0.08</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0.03</w:t>
            </w:r>
          </w:p>
        </w:tc>
        <w:tc>
          <w:tcPr>
            <w:tcW w:w="481"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1.00</w:t>
            </w:r>
          </w:p>
        </w:tc>
        <w:tc>
          <w:tcPr>
            <w:tcW w:w="475" w:type="pct"/>
            <w:noWrap/>
            <w:vAlign w:val="center"/>
            <w:hideMark/>
          </w:tcPr>
          <w:p w:rsidR="009F3662" w:rsidRPr="00251446"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9F3662" w:rsidRPr="00251446" w:rsidTr="009F3662">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160" w:type="pct"/>
            <w:shd w:val="clear" w:color="auto" w:fill="D9D9D9" w:themeFill="background1" w:themeFillShade="D9"/>
            <w:noWrap/>
            <w:vAlign w:val="center"/>
            <w:hideMark/>
          </w:tcPr>
          <w:p w:rsidR="009F3662" w:rsidRPr="00251446" w:rsidRDefault="009F3662" w:rsidP="009F3662">
            <w:pPr>
              <w:jc w:val="right"/>
              <w:rPr>
                <w:rFonts w:ascii="Times New Roman" w:hAnsi="Times New Roman" w:cs="Times New Roman"/>
                <w:b w:val="0"/>
                <w:color w:val="auto"/>
                <w:sz w:val="20"/>
                <w:szCs w:val="20"/>
              </w:rPr>
            </w:pPr>
            <w:proofErr w:type="gramStart"/>
            <w:r w:rsidRPr="00251446">
              <w:rPr>
                <w:rFonts w:ascii="Times New Roman" w:hAnsi="Times New Roman" w:cs="Times New Roman"/>
                <w:b w:val="0"/>
                <w:color w:val="auto"/>
                <w:sz w:val="20"/>
                <w:szCs w:val="20"/>
              </w:rPr>
              <w:t>9</w:t>
            </w:r>
            <w:proofErr w:type="gramEnd"/>
          </w:p>
        </w:tc>
        <w:tc>
          <w:tcPr>
            <w:tcW w:w="439" w:type="pct"/>
            <w:shd w:val="clear" w:color="auto" w:fill="D9D9D9" w:themeFill="background1" w:themeFillShade="D9"/>
            <w:noWrap/>
            <w:vAlign w:val="center"/>
            <w:hideMark/>
          </w:tcPr>
          <w:p w:rsidR="009F3662" w:rsidRPr="00251446" w:rsidRDefault="009F3662" w:rsidP="009F36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ATI</w:t>
            </w:r>
          </w:p>
        </w:tc>
        <w:tc>
          <w:tcPr>
            <w:tcW w:w="559"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0.50</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0.09</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0.03</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-0.59</w:t>
            </w:r>
          </w:p>
        </w:tc>
        <w:tc>
          <w:tcPr>
            <w:tcW w:w="482"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-0.18</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-0.22</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0.03</w:t>
            </w:r>
          </w:p>
        </w:tc>
        <w:tc>
          <w:tcPr>
            <w:tcW w:w="481" w:type="pct"/>
            <w:shd w:val="clear" w:color="auto" w:fill="D9D9D9" w:themeFill="background1" w:themeFillShade="D9"/>
            <w:noWrap/>
            <w:vAlign w:val="center"/>
            <w:hideMark/>
          </w:tcPr>
          <w:p w:rsidR="009F3662" w:rsidRPr="00251446"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0.35</w:t>
            </w:r>
          </w:p>
        </w:tc>
        <w:tc>
          <w:tcPr>
            <w:tcW w:w="475" w:type="pct"/>
            <w:shd w:val="clear" w:color="auto" w:fill="D9D9D9" w:themeFill="background1" w:themeFillShade="D9"/>
            <w:noWrap/>
            <w:vAlign w:val="center"/>
            <w:hideMark/>
          </w:tcPr>
          <w:p w:rsidR="009F3662" w:rsidRPr="00251446" w:rsidRDefault="009F3662" w:rsidP="009F3662">
            <w:pPr>
              <w:keepNex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51446">
              <w:rPr>
                <w:rFonts w:ascii="Times New Roman" w:hAnsi="Times New Roman" w:cs="Times New Roman"/>
                <w:color w:val="auto"/>
                <w:sz w:val="20"/>
                <w:szCs w:val="20"/>
              </w:rPr>
              <w:t>1.00</w:t>
            </w:r>
          </w:p>
        </w:tc>
      </w:tr>
    </w:tbl>
    <w:p w:rsidR="00466EE9" w:rsidRPr="00251446" w:rsidRDefault="009F3662" w:rsidP="009F3662">
      <w:pPr>
        <w:spacing w:after="0" w:line="360" w:lineRule="auto"/>
        <w:rPr>
          <w:rFonts w:ascii="Times New Roman" w:hAnsi="Times New Roman" w:cs="Times New Roman"/>
          <w:sz w:val="24"/>
        </w:rPr>
      </w:pPr>
      <w:r w:rsidRPr="00251446">
        <w:rPr>
          <w:rFonts w:ascii="Times New Roman" w:hAnsi="Times New Roman" w:cs="Times New Roman"/>
          <w:sz w:val="20"/>
        </w:rPr>
        <w:t>Source: Generated by the author from the database</w:t>
      </w:r>
    </w:p>
    <w:p w:rsidR="00466EE9" w:rsidRPr="009F3662" w:rsidRDefault="00466EE9" w:rsidP="003B7103">
      <w:pPr>
        <w:pStyle w:val="Ttulo2"/>
        <w:spacing w:before="480" w:after="480" w:line="360" w:lineRule="auto"/>
        <w:rPr>
          <w:rFonts w:ascii="Times New Roman" w:hAnsi="Times New Roman" w:cs="Times New Roman"/>
          <w:b w:val="0"/>
          <w:i/>
          <w:color w:val="auto"/>
          <w:sz w:val="24"/>
        </w:rPr>
      </w:pPr>
      <w:r w:rsidRPr="009F3662">
        <w:rPr>
          <w:rFonts w:ascii="Times New Roman" w:hAnsi="Times New Roman" w:cs="Times New Roman"/>
          <w:b w:val="0"/>
          <w:i/>
          <w:color w:val="auto"/>
          <w:sz w:val="24"/>
        </w:rPr>
        <w:t>4.2. Descriptive Statistics</w:t>
      </w:r>
    </w:p>
    <w:p w:rsidR="00466EE9" w:rsidRPr="009F3662" w:rsidRDefault="00060528"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w:t>
      </w:r>
      <w:r w:rsidR="00466EE9" w:rsidRPr="009F3662">
        <w:rPr>
          <w:rFonts w:ascii="Times New Roman" w:hAnsi="Times New Roman" w:cs="Times New Roman"/>
          <w:sz w:val="24"/>
        </w:rPr>
        <w:t>Table 3 presents descriptive statistics among variables, with unbalanced samples ranging from 178 to 3,153 observations. The analysis of the descriptive statistics reveals that the capital expenditure variable (CAP) has a mean of 11.58, with values ranging from -2.43 to 15.03 and a standard deviation of 2.37, indicating moderate dispersion. CEO duality (DCE) occurs in 21% of the observations, with binary values (</w:t>
      </w:r>
      <w:proofErr w:type="gramStart"/>
      <w:r w:rsidR="00466EE9" w:rsidRPr="009F3662">
        <w:rPr>
          <w:rFonts w:ascii="Times New Roman" w:hAnsi="Times New Roman" w:cs="Times New Roman"/>
          <w:sz w:val="24"/>
        </w:rPr>
        <w:t>0</w:t>
      </w:r>
      <w:proofErr w:type="gramEnd"/>
      <w:r w:rsidR="00466EE9" w:rsidRPr="009F3662">
        <w:rPr>
          <w:rFonts w:ascii="Times New Roman" w:hAnsi="Times New Roman" w:cs="Times New Roman"/>
          <w:sz w:val="24"/>
        </w:rPr>
        <w:t xml:space="preserve"> or 1). The proportion of women on the board (PFC) is low, with an average of 7%, highlighting the underrepresentation of women on boards.</w:t>
      </w:r>
    </w:p>
    <w:p w:rsidR="00466EE9" w:rsidRPr="009F3662" w:rsidRDefault="00466EE9"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ESG variable showed high variability, with a standard deviation of 14.60, reflecting significant disparities in environmental, social, and governance practices. Meanwhile, the interactions ESDC and ESPF display wide ranges of values, suggesting heterogeneous impacts. The ROA variable presents a negative minimum value of -30.39, indicating potential financial challenges in some companies. Overall, the data highlight a diversity of corporate practices and operational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w:t>
      </w:r>
    </w:p>
    <w:p w:rsidR="009F3662" w:rsidRPr="009F3662" w:rsidRDefault="009F3662" w:rsidP="009F3662">
      <w:pPr>
        <w:spacing w:before="200" w:after="0" w:line="240" w:lineRule="auto"/>
        <w:jc w:val="both"/>
        <w:rPr>
          <w:rFonts w:ascii="Times New Roman" w:hAnsi="Times New Roman" w:cs="Times New Roman"/>
          <w:color w:val="000000" w:themeColor="text1"/>
          <w:sz w:val="24"/>
        </w:rPr>
      </w:pPr>
      <w:r w:rsidRPr="009F3662">
        <w:rPr>
          <w:rFonts w:ascii="Times New Roman" w:hAnsi="Times New Roman" w:cs="Times New Roman"/>
          <w:color w:val="000000" w:themeColor="text1"/>
          <w:sz w:val="24"/>
        </w:rPr>
        <w:t>Table 3 – Description of Variables</w:t>
      </w:r>
    </w:p>
    <w:tbl>
      <w:tblPr>
        <w:tblStyle w:val="SombreamentoClaro"/>
        <w:tblW w:w="4959" w:type="pct"/>
        <w:jc w:val="center"/>
        <w:tblLook w:val="04A0" w:firstRow="1" w:lastRow="0" w:firstColumn="1" w:lastColumn="0" w:noHBand="0" w:noVBand="1"/>
      </w:tblPr>
      <w:tblGrid>
        <w:gridCol w:w="1237"/>
        <w:gridCol w:w="1595"/>
        <w:gridCol w:w="1595"/>
        <w:gridCol w:w="1595"/>
        <w:gridCol w:w="1595"/>
        <w:gridCol w:w="1594"/>
      </w:tblGrid>
      <w:tr w:rsidR="009F3662" w:rsidRPr="009F3662" w:rsidTr="009F3662">
        <w:trPr>
          <w:cnfStyle w:val="100000000000" w:firstRow="1" w:lastRow="0" w:firstColumn="0" w:lastColumn="0" w:oddVBand="0" w:evenVBand="0" w:oddHBand="0"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671" w:type="pct"/>
            <w:noWrap/>
            <w:vAlign w:val="center"/>
            <w:hideMark/>
          </w:tcPr>
          <w:p w:rsidR="009F3662" w:rsidRPr="009F3662" w:rsidRDefault="009F3662" w:rsidP="009F3662">
            <w:pPr>
              <w:jc w:val="cente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Variables</w:t>
            </w:r>
          </w:p>
        </w:tc>
        <w:tc>
          <w:tcPr>
            <w:tcW w:w="866" w:type="pct"/>
            <w:noWrap/>
            <w:vAlign w:val="center"/>
            <w:hideMark/>
          </w:tcPr>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Obs</w:t>
            </w:r>
          </w:p>
        </w:tc>
        <w:tc>
          <w:tcPr>
            <w:tcW w:w="866" w:type="pct"/>
            <w:noWrap/>
            <w:vAlign w:val="center"/>
            <w:hideMark/>
          </w:tcPr>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Mean</w:t>
            </w:r>
          </w:p>
        </w:tc>
        <w:tc>
          <w:tcPr>
            <w:tcW w:w="866" w:type="pct"/>
            <w:noWrap/>
            <w:vAlign w:val="center"/>
            <w:hideMark/>
          </w:tcPr>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Standard</w:t>
            </w:r>
          </w:p>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Deviation</w:t>
            </w:r>
          </w:p>
        </w:tc>
        <w:tc>
          <w:tcPr>
            <w:tcW w:w="866" w:type="pct"/>
            <w:noWrap/>
            <w:vAlign w:val="center"/>
            <w:hideMark/>
          </w:tcPr>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Minimum</w:t>
            </w:r>
          </w:p>
        </w:tc>
        <w:tc>
          <w:tcPr>
            <w:tcW w:w="865" w:type="pct"/>
            <w:noWrap/>
            <w:vAlign w:val="center"/>
            <w:hideMark/>
          </w:tcPr>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Máximum</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671" w:type="pct"/>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CAP</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2378</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11.58</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2.37</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-2.43</w:t>
            </w:r>
          </w:p>
        </w:tc>
        <w:tc>
          <w:tcPr>
            <w:tcW w:w="865"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15.03</w:t>
            </w:r>
          </w:p>
        </w:tc>
      </w:tr>
      <w:tr w:rsidR="009F3662" w:rsidRPr="009F3662" w:rsidTr="009F3662">
        <w:trPr>
          <w:trHeight w:val="402"/>
          <w:jc w:val="center"/>
        </w:trPr>
        <w:tc>
          <w:tcPr>
            <w:cnfStyle w:val="001000000000" w:firstRow="0" w:lastRow="0" w:firstColumn="1" w:lastColumn="0" w:oddVBand="0" w:evenVBand="0" w:oddHBand="0" w:evenHBand="0" w:firstRowFirstColumn="0" w:firstRowLastColumn="0" w:lastRowFirstColumn="0" w:lastRowLastColumn="0"/>
            <w:tcW w:w="671" w:type="pct"/>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DCE</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406</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0.21</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0.41</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0.00</w:t>
            </w:r>
          </w:p>
        </w:tc>
        <w:tc>
          <w:tcPr>
            <w:tcW w:w="865"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1.00</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671" w:type="pct"/>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PFC</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406</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0.07</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0.10</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0.00</w:t>
            </w:r>
          </w:p>
        </w:tc>
        <w:tc>
          <w:tcPr>
            <w:tcW w:w="865"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0.43</w:t>
            </w:r>
          </w:p>
        </w:tc>
      </w:tr>
      <w:tr w:rsidR="009F3662" w:rsidRPr="009F3662" w:rsidTr="009F3662">
        <w:trPr>
          <w:trHeight w:val="402"/>
          <w:jc w:val="center"/>
        </w:trPr>
        <w:tc>
          <w:tcPr>
            <w:cnfStyle w:val="001000000000" w:firstRow="0" w:lastRow="0" w:firstColumn="1" w:lastColumn="0" w:oddVBand="0" w:evenVBand="0" w:oddHBand="0" w:evenHBand="0" w:firstRowFirstColumn="0" w:firstRowLastColumn="0" w:lastRowFirstColumn="0" w:lastRowLastColumn="0"/>
            <w:tcW w:w="671" w:type="pct"/>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ESG</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178</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10.05</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14.60</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0.92</w:t>
            </w:r>
          </w:p>
        </w:tc>
        <w:tc>
          <w:tcPr>
            <w:tcW w:w="865"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57.34</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671" w:type="pct"/>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ESDC</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178</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2.56</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8.57</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0.00</w:t>
            </w:r>
          </w:p>
        </w:tc>
        <w:tc>
          <w:tcPr>
            <w:tcW w:w="865"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57.34</w:t>
            </w:r>
          </w:p>
        </w:tc>
      </w:tr>
      <w:tr w:rsidR="009F3662" w:rsidRPr="009F3662" w:rsidTr="009F3662">
        <w:trPr>
          <w:trHeight w:val="402"/>
          <w:jc w:val="center"/>
        </w:trPr>
        <w:tc>
          <w:tcPr>
            <w:cnfStyle w:val="001000000000" w:firstRow="0" w:lastRow="0" w:firstColumn="1" w:lastColumn="0" w:oddVBand="0" w:evenVBand="0" w:oddHBand="0" w:evenHBand="0" w:firstRowFirstColumn="0" w:firstRowLastColumn="0" w:lastRowFirstColumn="0" w:lastRowLastColumn="0"/>
            <w:tcW w:w="671" w:type="pct"/>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ESPF</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178</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0.98</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2.59</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0.00</w:t>
            </w:r>
          </w:p>
        </w:tc>
        <w:tc>
          <w:tcPr>
            <w:tcW w:w="865"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18.77</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671" w:type="pct"/>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ALF</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2960</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1.57</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3.20</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-5.81</w:t>
            </w:r>
          </w:p>
        </w:tc>
        <w:tc>
          <w:tcPr>
            <w:tcW w:w="865"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9.91</w:t>
            </w:r>
          </w:p>
        </w:tc>
      </w:tr>
      <w:tr w:rsidR="009F3662" w:rsidRPr="009F3662" w:rsidTr="009F3662">
        <w:trPr>
          <w:trHeight w:val="402"/>
          <w:jc w:val="center"/>
        </w:trPr>
        <w:tc>
          <w:tcPr>
            <w:cnfStyle w:val="001000000000" w:firstRow="0" w:lastRow="0" w:firstColumn="1" w:lastColumn="0" w:oddVBand="0" w:evenVBand="0" w:oddHBand="0" w:evenHBand="0" w:firstRowFirstColumn="0" w:firstRowLastColumn="0" w:lastRowFirstColumn="0" w:lastRowLastColumn="0"/>
            <w:tcW w:w="671" w:type="pct"/>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VLM</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2440</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14.42</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2.14</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10.42</w:t>
            </w:r>
          </w:p>
        </w:tc>
        <w:tc>
          <w:tcPr>
            <w:tcW w:w="865"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17.98</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671" w:type="pct"/>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ATI</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2085</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11.02</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3.56</w:t>
            </w:r>
          </w:p>
        </w:tc>
        <w:tc>
          <w:tcPr>
            <w:tcW w:w="866"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-1.28</w:t>
            </w:r>
          </w:p>
        </w:tc>
        <w:tc>
          <w:tcPr>
            <w:tcW w:w="865"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16.12</w:t>
            </w:r>
          </w:p>
        </w:tc>
      </w:tr>
      <w:tr w:rsidR="009F3662" w:rsidRPr="009F3662" w:rsidTr="009F3662">
        <w:trPr>
          <w:trHeight w:val="402"/>
          <w:jc w:val="center"/>
        </w:trPr>
        <w:tc>
          <w:tcPr>
            <w:cnfStyle w:val="001000000000" w:firstRow="0" w:lastRow="0" w:firstColumn="1" w:lastColumn="0" w:oddVBand="0" w:evenVBand="0" w:oddHBand="0" w:evenHBand="0" w:firstRowFirstColumn="0" w:firstRowLastColumn="0" w:lastRowFirstColumn="0" w:lastRowLastColumn="0"/>
            <w:tcW w:w="671" w:type="pct"/>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ROA</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3153</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1.09</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10.95</w:t>
            </w:r>
          </w:p>
        </w:tc>
        <w:tc>
          <w:tcPr>
            <w:tcW w:w="866"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-30.39</w:t>
            </w:r>
          </w:p>
        </w:tc>
        <w:tc>
          <w:tcPr>
            <w:tcW w:w="865" w:type="pct"/>
            <w:shd w:val="clear" w:color="auto" w:fill="auto"/>
            <w:noWrap/>
            <w:vAlign w:val="center"/>
            <w:hideMark/>
          </w:tcPr>
          <w:p w:rsidR="009F3662" w:rsidRPr="009F3662" w:rsidRDefault="009F3662" w:rsidP="009F3662">
            <w:pPr>
              <w:keepNex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17.53</w:t>
            </w:r>
          </w:p>
        </w:tc>
      </w:tr>
    </w:tbl>
    <w:p w:rsidR="009F3662" w:rsidRPr="009F3662" w:rsidRDefault="009F3662" w:rsidP="009F3662">
      <w:pPr>
        <w:spacing w:after="0" w:line="360" w:lineRule="auto"/>
        <w:jc w:val="both"/>
        <w:rPr>
          <w:rFonts w:ascii="Times New Roman" w:hAnsi="Times New Roman" w:cs="Times New Roman"/>
          <w:sz w:val="24"/>
        </w:rPr>
      </w:pPr>
      <w:r w:rsidRPr="009F3662">
        <w:rPr>
          <w:rFonts w:ascii="Times New Roman" w:hAnsi="Times New Roman" w:cs="Times New Roman"/>
          <w:color w:val="000000" w:themeColor="text1"/>
          <w:sz w:val="20"/>
        </w:rPr>
        <w:t>Source: Generated by the author from the database</w:t>
      </w:r>
    </w:p>
    <w:p w:rsidR="00466EE9" w:rsidRPr="009F3662" w:rsidRDefault="00466EE9" w:rsidP="003B7103">
      <w:pPr>
        <w:pStyle w:val="Ttulo2"/>
        <w:spacing w:before="480" w:after="480" w:line="360" w:lineRule="auto"/>
        <w:rPr>
          <w:rFonts w:ascii="Times New Roman" w:hAnsi="Times New Roman" w:cs="Times New Roman"/>
          <w:b w:val="0"/>
          <w:i/>
          <w:color w:val="auto"/>
          <w:sz w:val="24"/>
        </w:rPr>
      </w:pPr>
      <w:r w:rsidRPr="009F3662">
        <w:rPr>
          <w:rFonts w:ascii="Times New Roman" w:hAnsi="Times New Roman" w:cs="Times New Roman"/>
          <w:b w:val="0"/>
          <w:i/>
          <w:color w:val="auto"/>
          <w:sz w:val="24"/>
        </w:rPr>
        <w:lastRenderedPageBreak/>
        <w:t>4.3. Main Results</w:t>
      </w:r>
    </w:p>
    <w:p w:rsidR="00466EE9" w:rsidRPr="009F3662" w:rsidRDefault="00466EE9"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Table 4 presents the regression results. To understand the impact of each variable under different conditions, the regression results were divided into four stages. In the final rows, model quality indicators, verification tests, and tests of instrument validity are provided to ensure robustness and mitigate endogeneity issues.</w:t>
      </w:r>
    </w:p>
    <w:p w:rsidR="009F3662" w:rsidRPr="009F3662" w:rsidRDefault="009F3662" w:rsidP="009F3662">
      <w:pPr>
        <w:spacing w:before="200" w:after="0" w:line="240" w:lineRule="auto"/>
        <w:jc w:val="both"/>
        <w:rPr>
          <w:rFonts w:ascii="Times New Roman" w:hAnsi="Times New Roman" w:cs="Times New Roman"/>
          <w:color w:val="000000" w:themeColor="text1"/>
          <w:sz w:val="24"/>
        </w:rPr>
      </w:pPr>
      <w:r w:rsidRPr="009F3662">
        <w:rPr>
          <w:rFonts w:ascii="Times New Roman" w:hAnsi="Times New Roman" w:cs="Times New Roman"/>
          <w:color w:val="000000" w:themeColor="text1"/>
          <w:sz w:val="24"/>
        </w:rPr>
        <w:t>Table 4 – Results of Isolated Variables</w:t>
      </w:r>
    </w:p>
    <w:tbl>
      <w:tblPr>
        <w:tblStyle w:val="SombreamentoClaro"/>
        <w:tblW w:w="9054" w:type="dxa"/>
        <w:tblLayout w:type="fixed"/>
        <w:tblLook w:val="04A0" w:firstRow="1" w:lastRow="0" w:firstColumn="1" w:lastColumn="0" w:noHBand="0" w:noVBand="1"/>
      </w:tblPr>
      <w:tblGrid>
        <w:gridCol w:w="1932"/>
        <w:gridCol w:w="1780"/>
        <w:gridCol w:w="1781"/>
        <w:gridCol w:w="1780"/>
        <w:gridCol w:w="1781"/>
      </w:tblGrid>
      <w:tr w:rsidR="009F3662" w:rsidRPr="009F3662" w:rsidTr="009F3662">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932" w:type="dxa"/>
            <w:shd w:val="clear" w:color="auto" w:fill="auto"/>
            <w:noWrap/>
            <w:vAlign w:val="center"/>
            <w:hideMark/>
          </w:tcPr>
          <w:p w:rsidR="009F3662" w:rsidRPr="009F3662" w:rsidRDefault="009F3662" w:rsidP="009F3662">
            <w:pPr>
              <w:jc w:val="cente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Variables</w:t>
            </w:r>
          </w:p>
        </w:tc>
        <w:tc>
          <w:tcPr>
            <w:tcW w:w="1780" w:type="dxa"/>
            <w:shd w:val="clear" w:color="auto" w:fill="auto"/>
            <w:noWrap/>
            <w:vAlign w:val="center"/>
            <w:hideMark/>
          </w:tcPr>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 xml:space="preserve">Stage </w:t>
            </w:r>
            <w:proofErr w:type="gramStart"/>
            <w:r w:rsidRPr="009F3662">
              <w:rPr>
                <w:rFonts w:ascii="Times New Roman" w:hAnsi="Times New Roman" w:cs="Times New Roman"/>
                <w:b w:val="0"/>
                <w:color w:val="000000" w:themeColor="text1"/>
                <w:sz w:val="20"/>
                <w:szCs w:val="20"/>
              </w:rPr>
              <w:t>1</w:t>
            </w:r>
            <w:proofErr w:type="gramEnd"/>
          </w:p>
        </w:tc>
        <w:tc>
          <w:tcPr>
            <w:tcW w:w="1781" w:type="dxa"/>
            <w:shd w:val="clear" w:color="auto" w:fill="auto"/>
            <w:noWrap/>
            <w:vAlign w:val="center"/>
            <w:hideMark/>
          </w:tcPr>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 xml:space="preserve">Stage </w:t>
            </w:r>
            <w:proofErr w:type="gramStart"/>
            <w:r w:rsidRPr="009F3662">
              <w:rPr>
                <w:rFonts w:ascii="Times New Roman" w:hAnsi="Times New Roman" w:cs="Times New Roman"/>
                <w:b w:val="0"/>
                <w:color w:val="000000" w:themeColor="text1"/>
                <w:sz w:val="20"/>
                <w:szCs w:val="20"/>
              </w:rPr>
              <w:t>2</w:t>
            </w:r>
            <w:proofErr w:type="gramEnd"/>
          </w:p>
        </w:tc>
        <w:tc>
          <w:tcPr>
            <w:tcW w:w="1780" w:type="dxa"/>
            <w:shd w:val="clear" w:color="auto" w:fill="auto"/>
            <w:noWrap/>
            <w:vAlign w:val="center"/>
            <w:hideMark/>
          </w:tcPr>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 xml:space="preserve">Stage </w:t>
            </w:r>
            <w:proofErr w:type="gramStart"/>
            <w:r w:rsidRPr="009F3662">
              <w:rPr>
                <w:rFonts w:ascii="Times New Roman" w:hAnsi="Times New Roman" w:cs="Times New Roman"/>
                <w:b w:val="0"/>
                <w:color w:val="000000" w:themeColor="text1"/>
                <w:sz w:val="20"/>
                <w:szCs w:val="20"/>
              </w:rPr>
              <w:t>3</w:t>
            </w:r>
            <w:proofErr w:type="gramEnd"/>
          </w:p>
        </w:tc>
        <w:tc>
          <w:tcPr>
            <w:tcW w:w="1781" w:type="dxa"/>
            <w:shd w:val="clear" w:color="auto" w:fill="auto"/>
            <w:noWrap/>
            <w:vAlign w:val="center"/>
            <w:hideMark/>
          </w:tcPr>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 xml:space="preserve">Stage </w:t>
            </w:r>
            <w:proofErr w:type="gramStart"/>
            <w:r w:rsidRPr="009F3662">
              <w:rPr>
                <w:rFonts w:ascii="Times New Roman" w:hAnsi="Times New Roman" w:cs="Times New Roman"/>
                <w:b w:val="0"/>
                <w:color w:val="000000" w:themeColor="text1"/>
                <w:sz w:val="20"/>
                <w:szCs w:val="20"/>
              </w:rPr>
              <w:t>4</w:t>
            </w:r>
            <w:proofErr w:type="gramEnd"/>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932" w:type="dxa"/>
            <w:vMerge w:val="restart"/>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CLS</w:t>
            </w:r>
          </w:p>
        </w:tc>
        <w:tc>
          <w:tcPr>
            <w:tcW w:w="1780"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0.867***</w:t>
            </w:r>
          </w:p>
        </w:tc>
        <w:tc>
          <w:tcPr>
            <w:tcW w:w="1781"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0.868***</w:t>
            </w:r>
          </w:p>
        </w:tc>
        <w:tc>
          <w:tcPr>
            <w:tcW w:w="1780"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1.232**</w:t>
            </w:r>
          </w:p>
        </w:tc>
        <w:tc>
          <w:tcPr>
            <w:tcW w:w="1781"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1.188**</w:t>
            </w:r>
          </w:p>
        </w:tc>
      </w:tr>
      <w:tr w:rsidR="009F3662" w:rsidRPr="009F3662" w:rsidTr="009F3662">
        <w:trPr>
          <w:trHeight w:val="372"/>
        </w:trPr>
        <w:tc>
          <w:tcPr>
            <w:cnfStyle w:val="001000000000" w:firstRow="0" w:lastRow="0" w:firstColumn="1" w:lastColumn="0" w:oddVBand="0" w:evenVBand="0" w:oddHBand="0" w:evenHBand="0" w:firstRowFirstColumn="0" w:firstRowLastColumn="0" w:lastRowFirstColumn="0" w:lastRowLastColumn="0"/>
            <w:tcW w:w="1932" w:type="dxa"/>
            <w:vMerge/>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p>
        </w:tc>
        <w:tc>
          <w:tcPr>
            <w:tcW w:w="1780"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(0.264)</w:t>
            </w:r>
          </w:p>
        </w:tc>
        <w:tc>
          <w:tcPr>
            <w:tcW w:w="1781"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(0.268)</w:t>
            </w:r>
          </w:p>
        </w:tc>
        <w:tc>
          <w:tcPr>
            <w:tcW w:w="1780"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(0.425)</w:t>
            </w:r>
          </w:p>
        </w:tc>
        <w:tc>
          <w:tcPr>
            <w:tcW w:w="1781"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(0.424)</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932" w:type="dxa"/>
            <w:vMerge w:val="restart"/>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DCE</w:t>
            </w:r>
          </w:p>
        </w:tc>
        <w:tc>
          <w:tcPr>
            <w:tcW w:w="1780"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-0.879*</w:t>
            </w:r>
          </w:p>
        </w:tc>
        <w:tc>
          <w:tcPr>
            <w:tcW w:w="1781"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780"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781"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-1.925***</w:t>
            </w:r>
          </w:p>
        </w:tc>
      </w:tr>
      <w:tr w:rsidR="009F3662" w:rsidRPr="009F3662" w:rsidTr="009F3662">
        <w:trPr>
          <w:trHeight w:val="372"/>
        </w:trPr>
        <w:tc>
          <w:tcPr>
            <w:cnfStyle w:val="001000000000" w:firstRow="0" w:lastRow="0" w:firstColumn="1" w:lastColumn="0" w:oddVBand="0" w:evenVBand="0" w:oddHBand="0" w:evenHBand="0" w:firstRowFirstColumn="0" w:firstRowLastColumn="0" w:lastRowFirstColumn="0" w:lastRowLastColumn="0"/>
            <w:tcW w:w="1932" w:type="dxa"/>
            <w:vMerge/>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p>
        </w:tc>
        <w:tc>
          <w:tcPr>
            <w:tcW w:w="1780"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(0.472)</w:t>
            </w:r>
          </w:p>
        </w:tc>
        <w:tc>
          <w:tcPr>
            <w:tcW w:w="1781"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780"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781"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(0.569)</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932" w:type="dxa"/>
            <w:vMerge w:val="restart"/>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PFC</w:t>
            </w:r>
          </w:p>
        </w:tc>
        <w:tc>
          <w:tcPr>
            <w:tcW w:w="1780"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781"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-1.740</w:t>
            </w:r>
          </w:p>
        </w:tc>
        <w:tc>
          <w:tcPr>
            <w:tcW w:w="1780"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781"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5724*</w:t>
            </w:r>
          </w:p>
        </w:tc>
      </w:tr>
      <w:tr w:rsidR="009F3662" w:rsidRPr="009F3662" w:rsidTr="009F3662">
        <w:trPr>
          <w:trHeight w:val="372"/>
        </w:trPr>
        <w:tc>
          <w:tcPr>
            <w:cnfStyle w:val="001000000000" w:firstRow="0" w:lastRow="0" w:firstColumn="1" w:lastColumn="0" w:oddVBand="0" w:evenVBand="0" w:oddHBand="0" w:evenHBand="0" w:firstRowFirstColumn="0" w:firstRowLastColumn="0" w:lastRowFirstColumn="0" w:lastRowLastColumn="0"/>
            <w:tcW w:w="1932" w:type="dxa"/>
            <w:vMerge/>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p>
        </w:tc>
        <w:tc>
          <w:tcPr>
            <w:tcW w:w="1780"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781"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(2.334)</w:t>
            </w:r>
          </w:p>
        </w:tc>
        <w:tc>
          <w:tcPr>
            <w:tcW w:w="1780"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781"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(3.037)</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932" w:type="dxa"/>
            <w:vMerge w:val="restart"/>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ESG</w:t>
            </w:r>
          </w:p>
        </w:tc>
        <w:tc>
          <w:tcPr>
            <w:tcW w:w="1780"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781"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780"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-0.040</w:t>
            </w:r>
          </w:p>
        </w:tc>
        <w:tc>
          <w:tcPr>
            <w:tcW w:w="1781"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-0.054**</w:t>
            </w:r>
          </w:p>
        </w:tc>
      </w:tr>
      <w:tr w:rsidR="009F3662" w:rsidRPr="009F3662" w:rsidTr="009F3662">
        <w:trPr>
          <w:trHeight w:val="372"/>
        </w:trPr>
        <w:tc>
          <w:tcPr>
            <w:cnfStyle w:val="001000000000" w:firstRow="0" w:lastRow="0" w:firstColumn="1" w:lastColumn="0" w:oddVBand="0" w:evenVBand="0" w:oddHBand="0" w:evenHBand="0" w:firstRowFirstColumn="0" w:firstRowLastColumn="0" w:lastRowFirstColumn="0" w:lastRowLastColumn="0"/>
            <w:tcW w:w="1932" w:type="dxa"/>
            <w:vMerge/>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p>
        </w:tc>
        <w:tc>
          <w:tcPr>
            <w:tcW w:w="1780"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781"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780"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(0.028)</w:t>
            </w:r>
          </w:p>
        </w:tc>
        <w:tc>
          <w:tcPr>
            <w:tcW w:w="1781"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(0.024)</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932" w:type="dxa"/>
            <w:vMerge w:val="restart"/>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ALF</w:t>
            </w:r>
          </w:p>
        </w:tc>
        <w:tc>
          <w:tcPr>
            <w:tcW w:w="1780"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0.457**</w:t>
            </w:r>
          </w:p>
        </w:tc>
        <w:tc>
          <w:tcPr>
            <w:tcW w:w="1781"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0.461**</w:t>
            </w:r>
          </w:p>
        </w:tc>
        <w:tc>
          <w:tcPr>
            <w:tcW w:w="1780"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0.735**</w:t>
            </w:r>
          </w:p>
        </w:tc>
        <w:tc>
          <w:tcPr>
            <w:tcW w:w="1781"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0.799***</w:t>
            </w:r>
          </w:p>
        </w:tc>
      </w:tr>
      <w:tr w:rsidR="009F3662" w:rsidRPr="009F3662" w:rsidTr="009F3662">
        <w:trPr>
          <w:trHeight w:val="372"/>
        </w:trPr>
        <w:tc>
          <w:tcPr>
            <w:cnfStyle w:val="001000000000" w:firstRow="0" w:lastRow="0" w:firstColumn="1" w:lastColumn="0" w:oddVBand="0" w:evenVBand="0" w:oddHBand="0" w:evenHBand="0" w:firstRowFirstColumn="0" w:firstRowLastColumn="0" w:lastRowFirstColumn="0" w:lastRowLastColumn="0"/>
            <w:tcW w:w="1932" w:type="dxa"/>
            <w:vMerge/>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p>
        </w:tc>
        <w:tc>
          <w:tcPr>
            <w:tcW w:w="1780"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(0.147)</w:t>
            </w:r>
          </w:p>
        </w:tc>
        <w:tc>
          <w:tcPr>
            <w:tcW w:w="1781"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(0.146)</w:t>
            </w:r>
          </w:p>
        </w:tc>
        <w:tc>
          <w:tcPr>
            <w:tcW w:w="1780"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(0.254)</w:t>
            </w:r>
          </w:p>
        </w:tc>
        <w:tc>
          <w:tcPr>
            <w:tcW w:w="1781"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(0.212)</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932" w:type="dxa"/>
            <w:vMerge w:val="restart"/>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VLM</w:t>
            </w:r>
          </w:p>
        </w:tc>
        <w:tc>
          <w:tcPr>
            <w:tcW w:w="1780"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1.160***</w:t>
            </w:r>
          </w:p>
        </w:tc>
        <w:tc>
          <w:tcPr>
            <w:tcW w:w="1781"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1.120***</w:t>
            </w:r>
          </w:p>
        </w:tc>
        <w:tc>
          <w:tcPr>
            <w:tcW w:w="1780"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0.563</w:t>
            </w:r>
          </w:p>
        </w:tc>
        <w:tc>
          <w:tcPr>
            <w:tcW w:w="1781"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0.656**</w:t>
            </w:r>
          </w:p>
        </w:tc>
      </w:tr>
      <w:tr w:rsidR="009F3662" w:rsidRPr="009F3662" w:rsidTr="009F3662">
        <w:trPr>
          <w:trHeight w:val="372"/>
        </w:trPr>
        <w:tc>
          <w:tcPr>
            <w:cnfStyle w:val="001000000000" w:firstRow="0" w:lastRow="0" w:firstColumn="1" w:lastColumn="0" w:oddVBand="0" w:evenVBand="0" w:oddHBand="0" w:evenHBand="0" w:firstRowFirstColumn="0" w:firstRowLastColumn="0" w:lastRowFirstColumn="0" w:lastRowLastColumn="0"/>
            <w:tcW w:w="1932" w:type="dxa"/>
            <w:vMerge/>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p>
        </w:tc>
        <w:tc>
          <w:tcPr>
            <w:tcW w:w="1780"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(0.313)</w:t>
            </w:r>
          </w:p>
        </w:tc>
        <w:tc>
          <w:tcPr>
            <w:tcW w:w="1781"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(0.317)</w:t>
            </w:r>
          </w:p>
        </w:tc>
        <w:tc>
          <w:tcPr>
            <w:tcW w:w="1780"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(0.377)</w:t>
            </w:r>
          </w:p>
        </w:tc>
        <w:tc>
          <w:tcPr>
            <w:tcW w:w="1781"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(0.324)</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932" w:type="dxa"/>
            <w:vMerge w:val="restart"/>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ATI</w:t>
            </w:r>
          </w:p>
        </w:tc>
        <w:tc>
          <w:tcPr>
            <w:tcW w:w="1780"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-1.440***</w:t>
            </w:r>
          </w:p>
        </w:tc>
        <w:tc>
          <w:tcPr>
            <w:tcW w:w="1781"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-1.420***</w:t>
            </w:r>
          </w:p>
        </w:tc>
        <w:tc>
          <w:tcPr>
            <w:tcW w:w="1780"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-1.549***</w:t>
            </w:r>
          </w:p>
        </w:tc>
        <w:tc>
          <w:tcPr>
            <w:tcW w:w="1781"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-1.674***</w:t>
            </w:r>
          </w:p>
        </w:tc>
      </w:tr>
      <w:tr w:rsidR="009F3662" w:rsidRPr="009F3662" w:rsidTr="009F3662">
        <w:trPr>
          <w:trHeight w:val="372"/>
        </w:trPr>
        <w:tc>
          <w:tcPr>
            <w:cnfStyle w:val="001000000000" w:firstRow="0" w:lastRow="0" w:firstColumn="1" w:lastColumn="0" w:oddVBand="0" w:evenVBand="0" w:oddHBand="0" w:evenHBand="0" w:firstRowFirstColumn="0" w:firstRowLastColumn="0" w:lastRowFirstColumn="0" w:lastRowLastColumn="0"/>
            <w:tcW w:w="1932" w:type="dxa"/>
            <w:vMerge/>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p>
        </w:tc>
        <w:tc>
          <w:tcPr>
            <w:tcW w:w="1780"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(0.155)</w:t>
            </w:r>
          </w:p>
        </w:tc>
        <w:tc>
          <w:tcPr>
            <w:tcW w:w="1781"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(0.159)</w:t>
            </w:r>
          </w:p>
        </w:tc>
        <w:tc>
          <w:tcPr>
            <w:tcW w:w="1780"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(0.278)</w:t>
            </w:r>
          </w:p>
        </w:tc>
        <w:tc>
          <w:tcPr>
            <w:tcW w:w="1781" w:type="dxa"/>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(0.247)</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932" w:type="dxa"/>
            <w:vMerge w:val="restart"/>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Constant</w:t>
            </w:r>
          </w:p>
        </w:tc>
        <w:tc>
          <w:tcPr>
            <w:tcW w:w="1780"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-12.221***</w:t>
            </w:r>
          </w:p>
        </w:tc>
        <w:tc>
          <w:tcPr>
            <w:tcW w:w="1781"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-11.828***</w:t>
            </w:r>
          </w:p>
        </w:tc>
        <w:tc>
          <w:tcPr>
            <w:tcW w:w="1780"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1.436</w:t>
            </w:r>
          </w:p>
        </w:tc>
        <w:tc>
          <w:tcPr>
            <w:tcW w:w="1781" w:type="dxa"/>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2.641</w:t>
            </w:r>
          </w:p>
        </w:tc>
      </w:tr>
      <w:tr w:rsidR="009F3662" w:rsidRPr="009F3662" w:rsidTr="009F3662">
        <w:trPr>
          <w:trHeight w:val="372"/>
        </w:trPr>
        <w:tc>
          <w:tcPr>
            <w:cnfStyle w:val="001000000000" w:firstRow="0" w:lastRow="0" w:firstColumn="1" w:lastColumn="0" w:oddVBand="0" w:evenVBand="0" w:oddHBand="0" w:evenHBand="0" w:firstRowFirstColumn="0" w:firstRowLastColumn="0" w:lastRowFirstColumn="0" w:lastRowLastColumn="0"/>
            <w:tcW w:w="1932" w:type="dxa"/>
            <w:vMerge/>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p>
        </w:tc>
        <w:tc>
          <w:tcPr>
            <w:tcW w:w="1780"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(3.537)</w:t>
            </w:r>
          </w:p>
        </w:tc>
        <w:tc>
          <w:tcPr>
            <w:tcW w:w="1781"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(3.666)</w:t>
            </w:r>
          </w:p>
        </w:tc>
        <w:tc>
          <w:tcPr>
            <w:tcW w:w="1780"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(6.040)</w:t>
            </w:r>
          </w:p>
        </w:tc>
        <w:tc>
          <w:tcPr>
            <w:tcW w:w="1781"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(5.122)</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932" w:type="dxa"/>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R² (Centered)</w:t>
            </w:r>
          </w:p>
        </w:tc>
        <w:tc>
          <w:tcPr>
            <w:tcW w:w="1780"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0.406</w:t>
            </w:r>
          </w:p>
        </w:tc>
        <w:tc>
          <w:tcPr>
            <w:tcW w:w="1781"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0.398</w:t>
            </w:r>
          </w:p>
        </w:tc>
        <w:tc>
          <w:tcPr>
            <w:tcW w:w="1780"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0.369</w:t>
            </w:r>
          </w:p>
        </w:tc>
        <w:tc>
          <w:tcPr>
            <w:tcW w:w="1781"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0.457</w:t>
            </w:r>
          </w:p>
        </w:tc>
      </w:tr>
      <w:tr w:rsidR="009F3662" w:rsidRPr="009F3662" w:rsidTr="009F3662">
        <w:trPr>
          <w:trHeight w:val="372"/>
        </w:trPr>
        <w:tc>
          <w:tcPr>
            <w:cnfStyle w:val="001000000000" w:firstRow="0" w:lastRow="0" w:firstColumn="1" w:lastColumn="0" w:oddVBand="0" w:evenVBand="0" w:oddHBand="0" w:evenHBand="0" w:firstRowFirstColumn="0" w:firstRowLastColumn="0" w:lastRowFirstColumn="0" w:lastRowLastColumn="0"/>
            <w:tcW w:w="1932" w:type="dxa"/>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Underidentification Test</w:t>
            </w:r>
            <w:r w:rsidRPr="009F3662">
              <w:rPr>
                <w:rFonts w:ascii="Times New Roman" w:hAnsi="Times New Roman" w:cs="Times New Roman"/>
                <w:b w:val="0"/>
                <w:color w:val="000000" w:themeColor="text1"/>
                <w:sz w:val="20"/>
                <w:szCs w:val="20"/>
              </w:rPr>
              <w:br/>
            </w:r>
            <w:proofErr w:type="gramStart"/>
            <w:r w:rsidRPr="009F3662">
              <w:rPr>
                <w:rFonts w:ascii="Times New Roman" w:hAnsi="Times New Roman" w:cs="Times New Roman"/>
                <w:b w:val="0"/>
                <w:color w:val="000000" w:themeColor="text1"/>
                <w:sz w:val="20"/>
                <w:szCs w:val="20"/>
              </w:rPr>
              <w:t>(</w:t>
            </w:r>
            <w:proofErr w:type="gramEnd"/>
            <w:r w:rsidRPr="009F3662">
              <w:rPr>
                <w:rFonts w:ascii="Times New Roman" w:hAnsi="Times New Roman" w:cs="Times New Roman"/>
                <w:b w:val="0"/>
                <w:color w:val="000000" w:themeColor="text1"/>
                <w:sz w:val="20"/>
                <w:szCs w:val="20"/>
              </w:rPr>
              <w:t>LM statistic)</w:t>
            </w:r>
          </w:p>
        </w:tc>
        <w:tc>
          <w:tcPr>
            <w:tcW w:w="1780"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26.49***</w:t>
            </w:r>
          </w:p>
        </w:tc>
        <w:tc>
          <w:tcPr>
            <w:tcW w:w="1781"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26.36***</w:t>
            </w:r>
          </w:p>
        </w:tc>
        <w:tc>
          <w:tcPr>
            <w:tcW w:w="1780"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25.60***</w:t>
            </w:r>
          </w:p>
        </w:tc>
        <w:tc>
          <w:tcPr>
            <w:tcW w:w="1781"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25.06**</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932" w:type="dxa"/>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Identification Test</w:t>
            </w:r>
            <w:r w:rsidRPr="009F3662">
              <w:rPr>
                <w:rFonts w:ascii="Times New Roman" w:hAnsi="Times New Roman" w:cs="Times New Roman"/>
                <w:b w:val="0"/>
                <w:color w:val="000000" w:themeColor="text1"/>
                <w:sz w:val="20"/>
                <w:szCs w:val="20"/>
              </w:rPr>
              <w:br/>
            </w:r>
            <w:proofErr w:type="gramStart"/>
            <w:r w:rsidRPr="009F3662">
              <w:rPr>
                <w:rFonts w:ascii="Times New Roman" w:hAnsi="Times New Roman" w:cs="Times New Roman"/>
                <w:b w:val="0"/>
                <w:color w:val="000000" w:themeColor="text1"/>
                <w:sz w:val="20"/>
                <w:szCs w:val="20"/>
              </w:rPr>
              <w:t>(</w:t>
            </w:r>
            <w:proofErr w:type="gramEnd"/>
            <w:r w:rsidRPr="009F3662">
              <w:rPr>
                <w:rFonts w:ascii="Times New Roman" w:hAnsi="Times New Roman" w:cs="Times New Roman"/>
                <w:b w:val="0"/>
                <w:color w:val="000000" w:themeColor="text1"/>
                <w:sz w:val="20"/>
                <w:szCs w:val="20"/>
              </w:rPr>
              <w:t>Wald F statistic)</w:t>
            </w:r>
          </w:p>
        </w:tc>
        <w:tc>
          <w:tcPr>
            <w:tcW w:w="1780"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144.580</w:t>
            </w:r>
          </w:p>
        </w:tc>
        <w:tc>
          <w:tcPr>
            <w:tcW w:w="1781"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144.180</w:t>
            </w:r>
          </w:p>
        </w:tc>
        <w:tc>
          <w:tcPr>
            <w:tcW w:w="1780"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76.220</w:t>
            </w:r>
          </w:p>
        </w:tc>
        <w:tc>
          <w:tcPr>
            <w:tcW w:w="1781" w:type="dxa"/>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78.370</w:t>
            </w:r>
          </w:p>
        </w:tc>
      </w:tr>
      <w:tr w:rsidR="009F3662" w:rsidRPr="009F3662" w:rsidTr="009F3662">
        <w:trPr>
          <w:trHeight w:val="372"/>
        </w:trPr>
        <w:tc>
          <w:tcPr>
            <w:cnfStyle w:val="001000000000" w:firstRow="0" w:lastRow="0" w:firstColumn="1" w:lastColumn="0" w:oddVBand="0" w:evenVBand="0" w:oddHBand="0" w:evenHBand="0" w:firstRowFirstColumn="0" w:firstRowLastColumn="0" w:lastRowFirstColumn="0" w:lastRowLastColumn="0"/>
            <w:tcW w:w="1932" w:type="dxa"/>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Hansen Test</w:t>
            </w:r>
            <w:r w:rsidRPr="009F3662">
              <w:rPr>
                <w:rFonts w:ascii="Times New Roman" w:hAnsi="Times New Roman" w:cs="Times New Roman"/>
                <w:b w:val="0"/>
                <w:color w:val="000000" w:themeColor="text1"/>
                <w:sz w:val="20"/>
                <w:szCs w:val="20"/>
              </w:rPr>
              <w:br/>
            </w:r>
            <w:proofErr w:type="gramStart"/>
            <w:r w:rsidRPr="009F3662">
              <w:rPr>
                <w:rFonts w:ascii="Times New Roman" w:hAnsi="Times New Roman" w:cs="Times New Roman"/>
                <w:b w:val="0"/>
                <w:color w:val="000000" w:themeColor="text1"/>
                <w:sz w:val="20"/>
                <w:szCs w:val="20"/>
              </w:rPr>
              <w:t>(</w:t>
            </w:r>
            <w:proofErr w:type="gramEnd"/>
            <w:r w:rsidRPr="009F3662">
              <w:rPr>
                <w:rFonts w:ascii="Times New Roman" w:hAnsi="Times New Roman" w:cs="Times New Roman"/>
                <w:b w:val="0"/>
                <w:color w:val="000000" w:themeColor="text1"/>
                <w:sz w:val="20"/>
                <w:szCs w:val="20"/>
              </w:rPr>
              <w:t>p-valor)</w:t>
            </w:r>
          </w:p>
        </w:tc>
        <w:tc>
          <w:tcPr>
            <w:tcW w:w="1780"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0.470</w:t>
            </w:r>
          </w:p>
        </w:tc>
        <w:tc>
          <w:tcPr>
            <w:tcW w:w="1781"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0.540</w:t>
            </w:r>
          </w:p>
        </w:tc>
        <w:tc>
          <w:tcPr>
            <w:tcW w:w="1780" w:type="dxa"/>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0.990</w:t>
            </w:r>
          </w:p>
        </w:tc>
        <w:tc>
          <w:tcPr>
            <w:tcW w:w="1781" w:type="dxa"/>
            <w:shd w:val="clear" w:color="auto" w:fill="auto"/>
            <w:noWrap/>
            <w:vAlign w:val="center"/>
            <w:hideMark/>
          </w:tcPr>
          <w:p w:rsidR="009F3662" w:rsidRPr="009F3662" w:rsidRDefault="009F3662" w:rsidP="009F3662">
            <w:pPr>
              <w:keepNex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0.960</w:t>
            </w:r>
          </w:p>
        </w:tc>
      </w:tr>
    </w:tbl>
    <w:p w:rsidR="009F3662" w:rsidRPr="009F3662" w:rsidRDefault="009F3662" w:rsidP="009F3662">
      <w:pPr>
        <w:spacing w:after="0" w:line="240" w:lineRule="auto"/>
        <w:jc w:val="both"/>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Source: Generated by the author from the research results</w:t>
      </w:r>
    </w:p>
    <w:p w:rsidR="009F3662" w:rsidRPr="009F3662" w:rsidRDefault="009F3662" w:rsidP="009F3662">
      <w:pPr>
        <w:spacing w:after="0" w:line="240" w:lineRule="auto"/>
        <w:jc w:val="both"/>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Note 1 – Distribution of p-values: * p-value &lt; 0.10; ** p-value &lt; 0.05; *** p-value &lt; 0.01.</w:t>
      </w:r>
    </w:p>
    <w:p w:rsidR="00715E49" w:rsidRPr="009F3662" w:rsidRDefault="009F3662" w:rsidP="009F3662">
      <w:pPr>
        <w:spacing w:line="240" w:lineRule="auto"/>
        <w:jc w:val="both"/>
        <w:rPr>
          <w:rFonts w:ascii="Times New Roman" w:hAnsi="Times New Roman" w:cs="Times New Roman"/>
          <w:sz w:val="24"/>
        </w:rPr>
      </w:pPr>
      <w:r w:rsidRPr="009F3662">
        <w:rPr>
          <w:rFonts w:ascii="Times New Roman" w:hAnsi="Times New Roman" w:cs="Times New Roman"/>
          <w:color w:val="000000" w:themeColor="text1"/>
          <w:sz w:val="20"/>
        </w:rPr>
        <w:t>Note 2 – Values in parentheses are standard errors, while the values without parentheses represent the coefficients of the respective variables.</w:t>
      </w:r>
    </w:p>
    <w:p w:rsidR="00CA64B1" w:rsidRPr="009F3662" w:rsidRDefault="00CA64B1"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analysis of the four stages presented in Table 4 reveals significant relationships between corporate variables and economic-financial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In Stage </w:t>
      </w:r>
      <w:proofErr w:type="gramStart"/>
      <w:r w:rsidRPr="009F3662">
        <w:rPr>
          <w:rFonts w:ascii="Times New Roman" w:hAnsi="Times New Roman" w:cs="Times New Roman"/>
          <w:sz w:val="24"/>
        </w:rPr>
        <w:t>1</w:t>
      </w:r>
      <w:proofErr w:type="gramEnd"/>
      <w:r w:rsidRPr="009F3662">
        <w:rPr>
          <w:rFonts w:ascii="Times New Roman" w:hAnsi="Times New Roman" w:cs="Times New Roman"/>
          <w:sz w:val="24"/>
        </w:rPr>
        <w:t>, the instrumental innovation variable (CLS) shows a positive and significant coefficient (0.867; p-</w:t>
      </w:r>
      <w:r w:rsidRPr="009F3662">
        <w:rPr>
          <w:rFonts w:ascii="Times New Roman" w:hAnsi="Times New Roman" w:cs="Times New Roman"/>
          <w:sz w:val="24"/>
        </w:rPr>
        <w:lastRenderedPageBreak/>
        <w:t xml:space="preserve">value=0.001), while CEO duality (DCE) exhibits a marginally negative effect (-0.879; p-value=0.063). In Stage </w:t>
      </w:r>
      <w:proofErr w:type="gramStart"/>
      <w:r w:rsidRPr="009F3662">
        <w:rPr>
          <w:rFonts w:ascii="Times New Roman" w:hAnsi="Times New Roman" w:cs="Times New Roman"/>
          <w:sz w:val="24"/>
        </w:rPr>
        <w:t>2</w:t>
      </w:r>
      <w:proofErr w:type="gramEnd"/>
      <w:r w:rsidRPr="009F3662">
        <w:rPr>
          <w:rFonts w:ascii="Times New Roman" w:hAnsi="Times New Roman" w:cs="Times New Roman"/>
          <w:sz w:val="24"/>
        </w:rPr>
        <w:t xml:space="preserve">, female board presence (PFC) registers a non-significant negative coefficient (-1.740; p-value=0.456). With the inclusion of ESG in Stage </w:t>
      </w:r>
      <w:proofErr w:type="gramStart"/>
      <w:r w:rsidRPr="009F3662">
        <w:rPr>
          <w:rFonts w:ascii="Times New Roman" w:hAnsi="Times New Roman" w:cs="Times New Roman"/>
          <w:sz w:val="24"/>
        </w:rPr>
        <w:t>3</w:t>
      </w:r>
      <w:proofErr w:type="gramEnd"/>
      <w:r w:rsidRPr="009F3662">
        <w:rPr>
          <w:rFonts w:ascii="Times New Roman" w:hAnsi="Times New Roman" w:cs="Times New Roman"/>
          <w:sz w:val="24"/>
        </w:rPr>
        <w:t>, innovation strengthens its positive impact (1.232; p-value=0.004), leverage retains a positive sign (0.735; p-value=0.004), while ESG shows a non-significant negative effect (-0.040; p-value=0.150).</w:t>
      </w:r>
    </w:p>
    <w:p w:rsidR="00CA64B1" w:rsidRPr="009F3662" w:rsidRDefault="00CA64B1" w:rsidP="003B7103">
      <w:pPr>
        <w:spacing w:after="0" w:line="360" w:lineRule="auto"/>
        <w:jc w:val="both"/>
        <w:rPr>
          <w:rFonts w:ascii="Times New Roman" w:hAnsi="Times New Roman" w:cs="Times New Roman"/>
          <w:sz w:val="24"/>
        </w:rPr>
      </w:pPr>
      <w:r w:rsidRPr="009F3662">
        <w:rPr>
          <w:rFonts w:ascii="Times New Roman" w:hAnsi="Times New Roman" w:cs="Times New Roman"/>
          <w:sz w:val="24"/>
        </w:rPr>
        <w:tab/>
        <w:t xml:space="preserve">In Stage </w:t>
      </w:r>
      <w:proofErr w:type="gramStart"/>
      <w:r w:rsidRPr="009F3662">
        <w:rPr>
          <w:rFonts w:ascii="Times New Roman" w:hAnsi="Times New Roman" w:cs="Times New Roman"/>
          <w:sz w:val="24"/>
        </w:rPr>
        <w:t>4</w:t>
      </w:r>
      <w:proofErr w:type="gramEnd"/>
      <w:r w:rsidRPr="009F3662">
        <w:rPr>
          <w:rFonts w:ascii="Times New Roman" w:hAnsi="Times New Roman" w:cs="Times New Roman"/>
          <w:sz w:val="24"/>
        </w:rPr>
        <w:t>, innovation maintains robustness (1.188; p-value=0.005), CEO duality (DCE) becomes strongly negative (-1.925; p-value=0.001), and ESG gains statistically significant negative relevance (-0.054; p-value=0.025). Female presence (PFC) shifts to a marginally positive coefficient (5.723; p-value=0.059). The R² values (0.369 to 0.457) and identification tests (LM, Wald F, and Hansen) validate the models.</w:t>
      </w:r>
    </w:p>
    <w:p w:rsidR="00CA64B1" w:rsidRPr="009F3662" w:rsidRDefault="00CA64B1"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Comparing the stages, CLS retains positive consistency, supporting H1 and reinforcing innovation’s role in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as corroborated by Abid et al. (2022) and Alvarez and Arellano (2022). DCE confirms H3, with an increasing negative impact aligned with Adams and Ferreira (2009), suggesting risks of </w:t>
      </w:r>
      <w:proofErr w:type="gramStart"/>
      <w:r w:rsidRPr="009F3662">
        <w:rPr>
          <w:rFonts w:ascii="Times New Roman" w:hAnsi="Times New Roman" w:cs="Times New Roman"/>
          <w:sz w:val="24"/>
        </w:rPr>
        <w:t>power</w:t>
      </w:r>
      <w:proofErr w:type="gramEnd"/>
      <w:r w:rsidRPr="009F3662">
        <w:rPr>
          <w:rFonts w:ascii="Times New Roman" w:hAnsi="Times New Roman" w:cs="Times New Roman"/>
          <w:sz w:val="24"/>
        </w:rPr>
        <w:t xml:space="preserve"> concentration. PFC shows inconsistencies (negative in Stage </w:t>
      </w:r>
      <w:proofErr w:type="gramStart"/>
      <w:r w:rsidRPr="009F3662">
        <w:rPr>
          <w:rFonts w:ascii="Times New Roman" w:hAnsi="Times New Roman" w:cs="Times New Roman"/>
          <w:sz w:val="24"/>
        </w:rPr>
        <w:t>2</w:t>
      </w:r>
      <w:proofErr w:type="gramEnd"/>
      <w:r w:rsidRPr="009F3662">
        <w:rPr>
          <w:rFonts w:ascii="Times New Roman" w:hAnsi="Times New Roman" w:cs="Times New Roman"/>
          <w:sz w:val="24"/>
        </w:rPr>
        <w:t xml:space="preserve"> and positive in Stage 4), indicating partial confirmation of H2 and reflecting complexity in gender diversity, per Aguilera et al. (2021). ESG, contrary to H4, demonstrates a significant negative effect in Stage </w:t>
      </w:r>
      <w:proofErr w:type="gramStart"/>
      <w:r w:rsidRPr="009F3662">
        <w:rPr>
          <w:rFonts w:ascii="Times New Roman" w:hAnsi="Times New Roman" w:cs="Times New Roman"/>
          <w:sz w:val="24"/>
        </w:rPr>
        <w:t>4</w:t>
      </w:r>
      <w:proofErr w:type="gramEnd"/>
      <w:r w:rsidRPr="009F3662">
        <w:rPr>
          <w:rFonts w:ascii="Times New Roman" w:hAnsi="Times New Roman" w:cs="Times New Roman"/>
          <w:sz w:val="24"/>
        </w:rPr>
        <w:t>, potentially linked to operational costs or greenwashing, as discussed by Baldi and Pandimiglio (2022) and Zhang (2023), diverging from Friede et al. (2015).</w:t>
      </w:r>
    </w:p>
    <w:p w:rsidR="00CA64B1" w:rsidRPr="009F3662" w:rsidRDefault="00C139EC"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Furthermore, IV validation tests were conducted using metrics such as the Stock-Yogo test, LM statistic, Wald F statistic, and Hansen test. The Stock-Yogo critical value ranges from 7.25 to 19.93, and the Wald F statistic results (76.22 to 144.58) consistently exceed these critical values, indicating the instrument’s strength and relevance. Additionally, the Hansen test (p-values between 0.47 and 0.99) suggests valid instruments with no exclusion restriction violations.</w:t>
      </w:r>
    </w:p>
    <w:p w:rsidR="00CA64B1" w:rsidRPr="009F3662" w:rsidRDefault="00CA64B1"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results demonstrate that innovation and board role separation are critical factors for economic-financial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Gender diversity shows ambiguous impacts, while ESG may have negative effects in certain contexts. These findings emphasize the need to balance governance and sustainability practices to maximize organizational benefits.</w:t>
      </w:r>
    </w:p>
    <w:p w:rsidR="008B4EED" w:rsidRPr="009F3662" w:rsidRDefault="008B4EED"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Table 5 presents the regression results illustrating how ESG moderators influence the effects of DCE and PFC variables on organizational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To this end, the results are organized into three stages (5, 6, and </w:t>
      </w:r>
      <w:proofErr w:type="gramStart"/>
      <w:r w:rsidRPr="009F3662">
        <w:rPr>
          <w:rFonts w:ascii="Times New Roman" w:hAnsi="Times New Roman" w:cs="Times New Roman"/>
          <w:sz w:val="24"/>
        </w:rPr>
        <w:t>7</w:t>
      </w:r>
      <w:proofErr w:type="gramEnd"/>
      <w:r w:rsidRPr="009F3662">
        <w:rPr>
          <w:rFonts w:ascii="Times New Roman" w:hAnsi="Times New Roman" w:cs="Times New Roman"/>
          <w:sz w:val="24"/>
        </w:rPr>
        <w:t xml:space="preserve">), which include independent variables such as the instrumental innovation variable (CLS), the interaction between ESG and CEO Duality (ESDC), and the interaction between ESG and Female Board Presence (ESPF). Additionally, </w:t>
      </w:r>
      <w:r w:rsidRPr="009F3662">
        <w:rPr>
          <w:rFonts w:ascii="Times New Roman" w:hAnsi="Times New Roman" w:cs="Times New Roman"/>
          <w:sz w:val="24"/>
        </w:rPr>
        <w:lastRenderedPageBreak/>
        <w:t>analyses of control variables – Financial Leverage (ALF), Market Value (VLM), and Intangible Assets (ATI) – are provided. Furthermore, metrics such as centered R², underidentification tests (LM statistic), identification tests (Wald F statistic), and the Hansen test were employed to assess model robustness and validate the instrument.</w:t>
      </w:r>
    </w:p>
    <w:p w:rsidR="009F3662" w:rsidRPr="009F3662" w:rsidRDefault="009F3662" w:rsidP="009F3662">
      <w:pPr>
        <w:spacing w:before="200" w:after="0" w:line="240" w:lineRule="auto"/>
        <w:jc w:val="both"/>
        <w:rPr>
          <w:rFonts w:ascii="Times New Roman" w:hAnsi="Times New Roman" w:cs="Times New Roman"/>
          <w:color w:val="000000" w:themeColor="text1"/>
          <w:sz w:val="24"/>
        </w:rPr>
      </w:pPr>
      <w:r w:rsidRPr="009F3662">
        <w:rPr>
          <w:rFonts w:ascii="Times New Roman" w:hAnsi="Times New Roman" w:cs="Times New Roman"/>
          <w:color w:val="000000" w:themeColor="text1"/>
          <w:sz w:val="24"/>
        </w:rPr>
        <w:t>Table 5 - Moderating Variable Results</w:t>
      </w:r>
    </w:p>
    <w:tbl>
      <w:tblPr>
        <w:tblStyle w:val="SombreamentoClaro"/>
        <w:tblW w:w="4920" w:type="pct"/>
        <w:jc w:val="center"/>
        <w:tblLayout w:type="fixed"/>
        <w:tblLook w:val="04A0" w:firstRow="1" w:lastRow="0" w:firstColumn="1" w:lastColumn="0" w:noHBand="0" w:noVBand="1"/>
      </w:tblPr>
      <w:tblGrid>
        <w:gridCol w:w="2379"/>
        <w:gridCol w:w="2319"/>
        <w:gridCol w:w="2221"/>
        <w:gridCol w:w="2219"/>
      </w:tblGrid>
      <w:tr w:rsidR="009F3662" w:rsidRPr="009F3662" w:rsidTr="009F3662">
        <w:trPr>
          <w:cnfStyle w:val="100000000000" w:firstRow="1" w:lastRow="0" w:firstColumn="0" w:lastColumn="0" w:oddVBand="0" w:evenVBand="0" w:oddHBand="0"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D9D9D9" w:themeFill="background1" w:themeFillShade="D9"/>
            <w:noWrap/>
            <w:vAlign w:val="center"/>
            <w:hideMark/>
          </w:tcPr>
          <w:p w:rsidR="009F3662" w:rsidRPr="009F3662" w:rsidRDefault="009F3662" w:rsidP="009F3662">
            <w:pPr>
              <w:jc w:val="cente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Variables</w:t>
            </w:r>
          </w:p>
        </w:tc>
        <w:tc>
          <w:tcPr>
            <w:tcW w:w="1269" w:type="pct"/>
            <w:shd w:val="clear" w:color="auto" w:fill="D9D9D9" w:themeFill="background1" w:themeFillShade="D9"/>
            <w:noWrap/>
            <w:vAlign w:val="center"/>
            <w:hideMark/>
          </w:tcPr>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 xml:space="preserve">Stage </w:t>
            </w:r>
            <w:proofErr w:type="gramStart"/>
            <w:r w:rsidRPr="009F3662">
              <w:rPr>
                <w:rFonts w:ascii="Times New Roman" w:hAnsi="Times New Roman" w:cs="Times New Roman"/>
                <w:b w:val="0"/>
                <w:color w:val="000000" w:themeColor="text1"/>
                <w:sz w:val="20"/>
                <w:szCs w:val="20"/>
              </w:rPr>
              <w:t>5</w:t>
            </w:r>
            <w:proofErr w:type="gramEnd"/>
          </w:p>
        </w:tc>
        <w:tc>
          <w:tcPr>
            <w:tcW w:w="1215" w:type="pct"/>
            <w:shd w:val="clear" w:color="auto" w:fill="D9D9D9" w:themeFill="background1" w:themeFillShade="D9"/>
            <w:noWrap/>
            <w:vAlign w:val="center"/>
            <w:hideMark/>
          </w:tcPr>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Stage</w:t>
            </w:r>
            <w:r w:rsidRPr="009F3662">
              <w:rPr>
                <w:rFonts w:ascii="Times New Roman" w:hAnsi="Times New Roman" w:cs="Times New Roman"/>
                <w:color w:val="000000" w:themeColor="text1"/>
                <w:sz w:val="20"/>
                <w:szCs w:val="20"/>
              </w:rPr>
              <w:t xml:space="preserve"> </w:t>
            </w:r>
            <w:proofErr w:type="gramStart"/>
            <w:r w:rsidRPr="009F3662">
              <w:rPr>
                <w:rFonts w:ascii="Times New Roman" w:hAnsi="Times New Roman" w:cs="Times New Roman"/>
                <w:b w:val="0"/>
                <w:color w:val="000000" w:themeColor="text1"/>
                <w:sz w:val="20"/>
                <w:szCs w:val="20"/>
              </w:rPr>
              <w:t>6</w:t>
            </w:r>
            <w:proofErr w:type="gramEnd"/>
          </w:p>
        </w:tc>
        <w:tc>
          <w:tcPr>
            <w:tcW w:w="1214" w:type="pct"/>
            <w:shd w:val="clear" w:color="auto" w:fill="D9D9D9" w:themeFill="background1" w:themeFillShade="D9"/>
            <w:noWrap/>
            <w:vAlign w:val="center"/>
            <w:hideMark/>
          </w:tcPr>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 xml:space="preserve">Stage </w:t>
            </w:r>
            <w:proofErr w:type="gramStart"/>
            <w:r w:rsidRPr="009F3662">
              <w:rPr>
                <w:rFonts w:ascii="Times New Roman" w:hAnsi="Times New Roman" w:cs="Times New Roman"/>
                <w:b w:val="0"/>
                <w:color w:val="000000" w:themeColor="text1"/>
                <w:sz w:val="20"/>
                <w:szCs w:val="20"/>
              </w:rPr>
              <w:t>7</w:t>
            </w:r>
            <w:proofErr w:type="gramEnd"/>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302" w:type="pct"/>
            <w:vMerge w:val="restart"/>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CLS</w:t>
            </w:r>
          </w:p>
        </w:tc>
        <w:tc>
          <w:tcPr>
            <w:tcW w:w="1269" w:type="pct"/>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1.612***</w:t>
            </w:r>
          </w:p>
        </w:tc>
        <w:tc>
          <w:tcPr>
            <w:tcW w:w="1215" w:type="pct"/>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1.301**</w:t>
            </w:r>
          </w:p>
        </w:tc>
        <w:tc>
          <w:tcPr>
            <w:tcW w:w="1214" w:type="pct"/>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1.605***</w:t>
            </w:r>
          </w:p>
        </w:tc>
      </w:tr>
      <w:tr w:rsidR="009F3662" w:rsidRPr="009F3662" w:rsidTr="009F3662">
        <w:trPr>
          <w:trHeight w:val="317"/>
          <w:jc w:val="center"/>
        </w:trPr>
        <w:tc>
          <w:tcPr>
            <w:cnfStyle w:val="001000000000" w:firstRow="0" w:lastRow="0" w:firstColumn="1" w:lastColumn="0" w:oddVBand="0" w:evenVBand="0" w:oddHBand="0" w:evenHBand="0" w:firstRowFirstColumn="0" w:firstRowLastColumn="0" w:lastRowFirstColumn="0" w:lastRowLastColumn="0"/>
            <w:tcW w:w="1302" w:type="pct"/>
            <w:vMerge/>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p>
        </w:tc>
        <w:tc>
          <w:tcPr>
            <w:tcW w:w="1269"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(0.484)</w:t>
            </w:r>
          </w:p>
        </w:tc>
        <w:tc>
          <w:tcPr>
            <w:tcW w:w="1215"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(0.433)</w:t>
            </w:r>
          </w:p>
        </w:tc>
        <w:tc>
          <w:tcPr>
            <w:tcW w:w="1214"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(0.489)</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302" w:type="pct"/>
            <w:vMerge w:val="restart"/>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ESDC</w:t>
            </w:r>
          </w:p>
        </w:tc>
        <w:tc>
          <w:tcPr>
            <w:tcW w:w="1269"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-0.114***</w:t>
            </w:r>
          </w:p>
        </w:tc>
        <w:tc>
          <w:tcPr>
            <w:tcW w:w="1215"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214"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-0.127***</w:t>
            </w:r>
          </w:p>
        </w:tc>
      </w:tr>
      <w:tr w:rsidR="009F3662" w:rsidRPr="009F3662" w:rsidTr="009F3662">
        <w:trPr>
          <w:trHeight w:val="317"/>
          <w:jc w:val="center"/>
        </w:trPr>
        <w:tc>
          <w:tcPr>
            <w:cnfStyle w:val="001000000000" w:firstRow="0" w:lastRow="0" w:firstColumn="1" w:lastColumn="0" w:oddVBand="0" w:evenVBand="0" w:oddHBand="0" w:evenHBand="0" w:firstRowFirstColumn="0" w:firstRowLastColumn="0" w:lastRowFirstColumn="0" w:lastRowLastColumn="0"/>
            <w:tcW w:w="1302" w:type="pct"/>
            <w:vMerge/>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p>
        </w:tc>
        <w:tc>
          <w:tcPr>
            <w:tcW w:w="1269" w:type="pct"/>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(0.028)</w:t>
            </w:r>
          </w:p>
        </w:tc>
        <w:tc>
          <w:tcPr>
            <w:tcW w:w="1215" w:type="pct"/>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214" w:type="pct"/>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(0.032)</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302" w:type="pct"/>
            <w:vMerge w:val="restart"/>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ESPF</w:t>
            </w:r>
          </w:p>
        </w:tc>
        <w:tc>
          <w:tcPr>
            <w:tcW w:w="1269" w:type="pct"/>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215" w:type="pct"/>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0.168**</w:t>
            </w:r>
          </w:p>
        </w:tc>
        <w:tc>
          <w:tcPr>
            <w:tcW w:w="1214" w:type="pct"/>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0.239***</w:t>
            </w:r>
          </w:p>
        </w:tc>
      </w:tr>
      <w:tr w:rsidR="009F3662" w:rsidRPr="009F3662" w:rsidTr="009F3662">
        <w:trPr>
          <w:trHeight w:val="317"/>
          <w:jc w:val="center"/>
        </w:trPr>
        <w:tc>
          <w:tcPr>
            <w:cnfStyle w:val="001000000000" w:firstRow="0" w:lastRow="0" w:firstColumn="1" w:lastColumn="0" w:oddVBand="0" w:evenVBand="0" w:oddHBand="0" w:evenHBand="0" w:firstRowFirstColumn="0" w:firstRowLastColumn="0" w:lastRowFirstColumn="0" w:lastRowLastColumn="0"/>
            <w:tcW w:w="1302" w:type="pct"/>
            <w:vMerge/>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p>
        </w:tc>
        <w:tc>
          <w:tcPr>
            <w:tcW w:w="1269"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215"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(0.078)</w:t>
            </w:r>
          </w:p>
        </w:tc>
        <w:tc>
          <w:tcPr>
            <w:tcW w:w="1214"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(0.049)</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302" w:type="pct"/>
            <w:vMerge w:val="restart"/>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ALF</w:t>
            </w:r>
          </w:p>
        </w:tc>
        <w:tc>
          <w:tcPr>
            <w:tcW w:w="1269"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0.735***</w:t>
            </w:r>
          </w:p>
        </w:tc>
        <w:tc>
          <w:tcPr>
            <w:tcW w:w="1215"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0.647**</w:t>
            </w:r>
          </w:p>
        </w:tc>
        <w:tc>
          <w:tcPr>
            <w:tcW w:w="1214"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0.687***</w:t>
            </w:r>
          </w:p>
        </w:tc>
      </w:tr>
      <w:tr w:rsidR="009F3662" w:rsidRPr="009F3662" w:rsidTr="009F3662">
        <w:trPr>
          <w:trHeight w:val="317"/>
          <w:jc w:val="center"/>
        </w:trPr>
        <w:tc>
          <w:tcPr>
            <w:cnfStyle w:val="001000000000" w:firstRow="0" w:lastRow="0" w:firstColumn="1" w:lastColumn="0" w:oddVBand="0" w:evenVBand="0" w:oddHBand="0" w:evenHBand="0" w:firstRowFirstColumn="0" w:firstRowLastColumn="0" w:lastRowFirstColumn="0" w:lastRowLastColumn="0"/>
            <w:tcW w:w="1302" w:type="pct"/>
            <w:vMerge/>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p>
        </w:tc>
        <w:tc>
          <w:tcPr>
            <w:tcW w:w="1269" w:type="pct"/>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(0.218)</w:t>
            </w:r>
          </w:p>
        </w:tc>
        <w:tc>
          <w:tcPr>
            <w:tcW w:w="1215" w:type="pct"/>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(0.228)</w:t>
            </w:r>
          </w:p>
        </w:tc>
        <w:tc>
          <w:tcPr>
            <w:tcW w:w="1214" w:type="pct"/>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(0.195)</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302" w:type="pct"/>
            <w:vMerge w:val="restart"/>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VLM</w:t>
            </w:r>
          </w:p>
        </w:tc>
        <w:tc>
          <w:tcPr>
            <w:tcW w:w="1269" w:type="pct"/>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0.919***</w:t>
            </w:r>
          </w:p>
        </w:tc>
        <w:tc>
          <w:tcPr>
            <w:tcW w:w="1215" w:type="pct"/>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0.672**</w:t>
            </w:r>
          </w:p>
        </w:tc>
        <w:tc>
          <w:tcPr>
            <w:tcW w:w="1214" w:type="pct"/>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0.975***</w:t>
            </w:r>
          </w:p>
        </w:tc>
      </w:tr>
      <w:tr w:rsidR="009F3662" w:rsidRPr="009F3662" w:rsidTr="009F3662">
        <w:trPr>
          <w:trHeight w:val="317"/>
          <w:jc w:val="center"/>
        </w:trPr>
        <w:tc>
          <w:tcPr>
            <w:cnfStyle w:val="001000000000" w:firstRow="0" w:lastRow="0" w:firstColumn="1" w:lastColumn="0" w:oddVBand="0" w:evenVBand="0" w:oddHBand="0" w:evenHBand="0" w:firstRowFirstColumn="0" w:firstRowLastColumn="0" w:lastRowFirstColumn="0" w:lastRowLastColumn="0"/>
            <w:tcW w:w="1302" w:type="pct"/>
            <w:vMerge/>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p>
        </w:tc>
        <w:tc>
          <w:tcPr>
            <w:tcW w:w="1269"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(0.278)</w:t>
            </w:r>
          </w:p>
        </w:tc>
        <w:tc>
          <w:tcPr>
            <w:tcW w:w="1215"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(0.317)</w:t>
            </w:r>
          </w:p>
        </w:tc>
        <w:tc>
          <w:tcPr>
            <w:tcW w:w="1214"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(0.278)</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302" w:type="pct"/>
            <w:vMerge w:val="restart"/>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ATI</w:t>
            </w:r>
          </w:p>
        </w:tc>
        <w:tc>
          <w:tcPr>
            <w:tcW w:w="1269"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-1.773***</w:t>
            </w:r>
          </w:p>
        </w:tc>
        <w:tc>
          <w:tcPr>
            <w:tcW w:w="1215"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-1.389***</w:t>
            </w:r>
          </w:p>
        </w:tc>
        <w:tc>
          <w:tcPr>
            <w:tcW w:w="1214"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-1.750***</w:t>
            </w:r>
          </w:p>
        </w:tc>
      </w:tr>
      <w:tr w:rsidR="009F3662" w:rsidRPr="009F3662" w:rsidTr="009F3662">
        <w:trPr>
          <w:trHeight w:val="317"/>
          <w:jc w:val="center"/>
        </w:trPr>
        <w:tc>
          <w:tcPr>
            <w:cnfStyle w:val="001000000000" w:firstRow="0" w:lastRow="0" w:firstColumn="1" w:lastColumn="0" w:oddVBand="0" w:evenVBand="0" w:oddHBand="0" w:evenHBand="0" w:firstRowFirstColumn="0" w:firstRowLastColumn="0" w:lastRowFirstColumn="0" w:lastRowLastColumn="0"/>
            <w:tcW w:w="1302" w:type="pct"/>
            <w:vMerge/>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p>
        </w:tc>
        <w:tc>
          <w:tcPr>
            <w:tcW w:w="1269" w:type="pct"/>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(0.240)</w:t>
            </w:r>
          </w:p>
        </w:tc>
        <w:tc>
          <w:tcPr>
            <w:tcW w:w="1215" w:type="pct"/>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(0.250)</w:t>
            </w:r>
          </w:p>
        </w:tc>
        <w:tc>
          <w:tcPr>
            <w:tcW w:w="1214" w:type="pct"/>
            <w:shd w:val="clear" w:color="auto" w:fill="D9D9D9" w:themeFill="background1" w:themeFillShade="D9"/>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(0.235)</w:t>
            </w:r>
          </w:p>
        </w:tc>
      </w:tr>
      <w:tr w:rsidR="009F3662" w:rsidRPr="009F3662" w:rsidTr="009F3662">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302" w:type="pct"/>
            <w:vMerge w:val="restart"/>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Constant</w:t>
            </w:r>
          </w:p>
        </w:tc>
        <w:tc>
          <w:tcPr>
            <w:tcW w:w="1269" w:type="pct"/>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-6.462</w:t>
            </w:r>
          </w:p>
        </w:tc>
        <w:tc>
          <w:tcPr>
            <w:tcW w:w="1215" w:type="pct"/>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-3.941</w:t>
            </w:r>
          </w:p>
        </w:tc>
        <w:tc>
          <w:tcPr>
            <w:tcW w:w="1214" w:type="pct"/>
            <w:shd w:val="clear" w:color="auto" w:fill="auto"/>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-7.628*</w:t>
            </w:r>
          </w:p>
        </w:tc>
      </w:tr>
      <w:tr w:rsidR="009F3662" w:rsidRPr="009F3662" w:rsidTr="009F3662">
        <w:trPr>
          <w:trHeight w:val="317"/>
          <w:jc w:val="center"/>
        </w:trPr>
        <w:tc>
          <w:tcPr>
            <w:cnfStyle w:val="001000000000" w:firstRow="0" w:lastRow="0" w:firstColumn="1" w:lastColumn="0" w:oddVBand="0" w:evenVBand="0" w:oddHBand="0" w:evenHBand="0" w:firstRowFirstColumn="0" w:firstRowLastColumn="0" w:lastRowFirstColumn="0" w:lastRowLastColumn="0"/>
            <w:tcW w:w="1302" w:type="pct"/>
            <w:vMerge/>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p>
        </w:tc>
        <w:tc>
          <w:tcPr>
            <w:tcW w:w="1269"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(4.509)</w:t>
            </w:r>
          </w:p>
        </w:tc>
        <w:tc>
          <w:tcPr>
            <w:tcW w:w="1215"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(4.724)</w:t>
            </w:r>
          </w:p>
        </w:tc>
        <w:tc>
          <w:tcPr>
            <w:tcW w:w="1214"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(4.592)</w:t>
            </w:r>
          </w:p>
        </w:tc>
      </w:tr>
      <w:tr w:rsidR="009F3662" w:rsidRPr="009F3662" w:rsidTr="00251446">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R² (Centered)</w:t>
            </w:r>
          </w:p>
        </w:tc>
        <w:tc>
          <w:tcPr>
            <w:tcW w:w="1269"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0.383</w:t>
            </w:r>
          </w:p>
        </w:tc>
        <w:tc>
          <w:tcPr>
            <w:tcW w:w="1215"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0.355</w:t>
            </w:r>
          </w:p>
        </w:tc>
        <w:tc>
          <w:tcPr>
            <w:tcW w:w="1214"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0.438</w:t>
            </w:r>
          </w:p>
        </w:tc>
      </w:tr>
      <w:tr w:rsidR="009F3662" w:rsidRPr="009F3662" w:rsidTr="00251446">
        <w:trPr>
          <w:trHeight w:val="317"/>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Underidentification Test</w:t>
            </w:r>
            <w:r w:rsidRPr="009F3662">
              <w:rPr>
                <w:rFonts w:ascii="Times New Roman" w:hAnsi="Times New Roman" w:cs="Times New Roman"/>
                <w:b w:val="0"/>
                <w:color w:val="000000" w:themeColor="text1"/>
                <w:sz w:val="20"/>
                <w:szCs w:val="20"/>
              </w:rPr>
              <w:br/>
            </w:r>
            <w:proofErr w:type="gramStart"/>
            <w:r w:rsidRPr="009F3662">
              <w:rPr>
                <w:rFonts w:ascii="Times New Roman" w:hAnsi="Times New Roman" w:cs="Times New Roman"/>
                <w:b w:val="0"/>
                <w:color w:val="000000" w:themeColor="text1"/>
                <w:sz w:val="20"/>
                <w:szCs w:val="20"/>
              </w:rPr>
              <w:t>(</w:t>
            </w:r>
            <w:proofErr w:type="gramEnd"/>
            <w:r w:rsidRPr="009F3662">
              <w:rPr>
                <w:rFonts w:ascii="Times New Roman" w:hAnsi="Times New Roman" w:cs="Times New Roman"/>
                <w:b w:val="0"/>
                <w:color w:val="000000" w:themeColor="text1"/>
                <w:sz w:val="20"/>
                <w:szCs w:val="20"/>
              </w:rPr>
              <w:t>LM statistic)</w:t>
            </w:r>
          </w:p>
        </w:tc>
        <w:tc>
          <w:tcPr>
            <w:tcW w:w="1269"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6.22**</w:t>
            </w:r>
          </w:p>
        </w:tc>
        <w:tc>
          <w:tcPr>
            <w:tcW w:w="1215"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6.05**</w:t>
            </w:r>
          </w:p>
        </w:tc>
        <w:tc>
          <w:tcPr>
            <w:tcW w:w="1214"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6.01**</w:t>
            </w:r>
          </w:p>
        </w:tc>
      </w:tr>
      <w:tr w:rsidR="009F3662" w:rsidRPr="009F3662" w:rsidTr="00251446">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D9D9D9" w:themeFill="background1" w:themeFillShade="D9"/>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Identification Test</w:t>
            </w:r>
            <w:r w:rsidRPr="009F3662">
              <w:rPr>
                <w:rFonts w:ascii="Times New Roman" w:hAnsi="Times New Roman" w:cs="Times New Roman"/>
                <w:b w:val="0"/>
                <w:color w:val="000000" w:themeColor="text1"/>
                <w:sz w:val="20"/>
                <w:szCs w:val="20"/>
              </w:rPr>
              <w:br/>
            </w:r>
            <w:proofErr w:type="gramStart"/>
            <w:r w:rsidRPr="009F3662">
              <w:rPr>
                <w:rFonts w:ascii="Times New Roman" w:hAnsi="Times New Roman" w:cs="Times New Roman"/>
                <w:b w:val="0"/>
                <w:color w:val="000000" w:themeColor="text1"/>
                <w:sz w:val="20"/>
                <w:szCs w:val="20"/>
              </w:rPr>
              <w:t>(</w:t>
            </w:r>
            <w:proofErr w:type="gramEnd"/>
            <w:r w:rsidRPr="009F3662">
              <w:rPr>
                <w:rFonts w:ascii="Times New Roman" w:hAnsi="Times New Roman" w:cs="Times New Roman"/>
                <w:b w:val="0"/>
                <w:color w:val="000000" w:themeColor="text1"/>
                <w:sz w:val="20"/>
                <w:szCs w:val="20"/>
              </w:rPr>
              <w:t>Wald F statistic)</w:t>
            </w:r>
          </w:p>
        </w:tc>
        <w:tc>
          <w:tcPr>
            <w:tcW w:w="1269"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80.240</w:t>
            </w:r>
          </w:p>
        </w:tc>
        <w:tc>
          <w:tcPr>
            <w:tcW w:w="1215"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85.130</w:t>
            </w:r>
          </w:p>
        </w:tc>
        <w:tc>
          <w:tcPr>
            <w:tcW w:w="1214" w:type="pct"/>
            <w:shd w:val="clear" w:color="auto" w:fill="D9D9D9" w:themeFill="background1" w:themeFillShade="D9"/>
            <w:noWrap/>
            <w:vAlign w:val="center"/>
            <w:hideMark/>
          </w:tcPr>
          <w:p w:rsidR="009F3662" w:rsidRPr="009F3662" w:rsidRDefault="009F3662" w:rsidP="009F366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80.950</w:t>
            </w:r>
          </w:p>
        </w:tc>
      </w:tr>
      <w:tr w:rsidR="009F3662" w:rsidRPr="009F3662" w:rsidTr="00251446">
        <w:trPr>
          <w:trHeight w:val="317"/>
          <w:jc w:val="center"/>
        </w:trPr>
        <w:tc>
          <w:tcPr>
            <w:cnfStyle w:val="001000000000" w:firstRow="0" w:lastRow="0" w:firstColumn="1" w:lastColumn="0" w:oddVBand="0" w:evenVBand="0" w:oddHBand="0" w:evenHBand="0" w:firstRowFirstColumn="0" w:firstRowLastColumn="0" w:lastRowFirstColumn="0" w:lastRowLastColumn="0"/>
            <w:tcW w:w="1302" w:type="pct"/>
            <w:shd w:val="clear" w:color="auto" w:fill="auto"/>
            <w:noWrap/>
            <w:vAlign w:val="center"/>
            <w:hideMark/>
          </w:tcPr>
          <w:p w:rsidR="009F3662" w:rsidRPr="009F3662" w:rsidRDefault="009F3662" w:rsidP="009F3662">
            <w:pPr>
              <w:rPr>
                <w:rFonts w:ascii="Times New Roman" w:hAnsi="Times New Roman" w:cs="Times New Roman"/>
                <w:b w:val="0"/>
                <w:color w:val="000000" w:themeColor="text1"/>
                <w:sz w:val="20"/>
                <w:szCs w:val="20"/>
              </w:rPr>
            </w:pPr>
            <w:r w:rsidRPr="009F3662">
              <w:rPr>
                <w:rFonts w:ascii="Times New Roman" w:hAnsi="Times New Roman" w:cs="Times New Roman"/>
                <w:b w:val="0"/>
                <w:color w:val="000000" w:themeColor="text1"/>
                <w:sz w:val="20"/>
                <w:szCs w:val="20"/>
              </w:rPr>
              <w:t>Hansen Test</w:t>
            </w:r>
            <w:r w:rsidRPr="009F3662">
              <w:rPr>
                <w:rFonts w:ascii="Times New Roman" w:hAnsi="Times New Roman" w:cs="Times New Roman"/>
                <w:b w:val="0"/>
                <w:color w:val="000000" w:themeColor="text1"/>
                <w:sz w:val="20"/>
                <w:szCs w:val="20"/>
              </w:rPr>
              <w:br/>
            </w:r>
            <w:proofErr w:type="gramStart"/>
            <w:r w:rsidRPr="009F3662">
              <w:rPr>
                <w:rFonts w:ascii="Times New Roman" w:hAnsi="Times New Roman" w:cs="Times New Roman"/>
                <w:b w:val="0"/>
                <w:color w:val="000000" w:themeColor="text1"/>
                <w:sz w:val="20"/>
                <w:szCs w:val="20"/>
              </w:rPr>
              <w:t>(</w:t>
            </w:r>
            <w:proofErr w:type="gramEnd"/>
            <w:r w:rsidRPr="009F3662">
              <w:rPr>
                <w:rFonts w:ascii="Times New Roman" w:hAnsi="Times New Roman" w:cs="Times New Roman"/>
                <w:b w:val="0"/>
                <w:color w:val="000000" w:themeColor="text1"/>
                <w:sz w:val="20"/>
                <w:szCs w:val="20"/>
              </w:rPr>
              <w:t>p-valor)</w:t>
            </w:r>
          </w:p>
        </w:tc>
        <w:tc>
          <w:tcPr>
            <w:tcW w:w="1269"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0.750</w:t>
            </w:r>
          </w:p>
        </w:tc>
        <w:tc>
          <w:tcPr>
            <w:tcW w:w="1215"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0.320</w:t>
            </w:r>
          </w:p>
        </w:tc>
        <w:tc>
          <w:tcPr>
            <w:tcW w:w="1214" w:type="pct"/>
            <w:shd w:val="clear" w:color="auto" w:fill="auto"/>
            <w:noWrap/>
            <w:vAlign w:val="center"/>
            <w:hideMark/>
          </w:tcPr>
          <w:p w:rsidR="009F3662" w:rsidRPr="009F3662" w:rsidRDefault="009F3662" w:rsidP="009F366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3662">
              <w:rPr>
                <w:rFonts w:ascii="Times New Roman" w:hAnsi="Times New Roman" w:cs="Times New Roman"/>
                <w:color w:val="000000" w:themeColor="text1"/>
                <w:sz w:val="20"/>
                <w:szCs w:val="20"/>
              </w:rPr>
              <w:t>0.870</w:t>
            </w:r>
          </w:p>
        </w:tc>
      </w:tr>
    </w:tbl>
    <w:p w:rsidR="009F3662" w:rsidRPr="009F3662" w:rsidRDefault="009F3662" w:rsidP="009F3662">
      <w:pPr>
        <w:spacing w:after="0" w:line="240" w:lineRule="auto"/>
        <w:jc w:val="both"/>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Source: Generated by the author from the research results</w:t>
      </w:r>
    </w:p>
    <w:p w:rsidR="009F3662" w:rsidRPr="009F3662" w:rsidRDefault="009F3662" w:rsidP="009F3662">
      <w:pPr>
        <w:spacing w:after="0" w:line="240" w:lineRule="auto"/>
        <w:jc w:val="both"/>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Note 1 – Distribution of p-values: * p-value &lt; 0.10; ** p-value &lt; 0.05; *** p-value &lt; 0.01.</w:t>
      </w:r>
    </w:p>
    <w:p w:rsidR="00CA64B1" w:rsidRPr="009F3662" w:rsidRDefault="009F3662" w:rsidP="009F3662">
      <w:pPr>
        <w:spacing w:line="240" w:lineRule="auto"/>
        <w:rPr>
          <w:rFonts w:ascii="Times New Roman" w:hAnsi="Times New Roman" w:cs="Times New Roman"/>
          <w:sz w:val="24"/>
        </w:rPr>
      </w:pPr>
      <w:r w:rsidRPr="009F3662">
        <w:rPr>
          <w:rFonts w:ascii="Times New Roman" w:hAnsi="Times New Roman" w:cs="Times New Roman"/>
          <w:color w:val="000000" w:themeColor="text1"/>
          <w:sz w:val="20"/>
        </w:rPr>
        <w:t>Note 2 – Values in parentheses are standard errors, while the values without parentheses represent the coefficients of the respective variables.</w:t>
      </w:r>
    </w:p>
    <w:p w:rsidR="007A1D5F" w:rsidRPr="009F3662" w:rsidRDefault="007A1D5F"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study analyzes the effects of variables such as innovation (CLS), ESG practices (environmental, social, and governance), female board representation, and CEO duality on organizational economic and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The innovation instrumental variable (CLS) showed positive and significant coefficients in all stages</w:t>
      </w:r>
      <w:r w:rsidR="00267B0E" w:rsidRPr="009F3662">
        <w:rPr>
          <w:rFonts w:ascii="Times New Roman" w:hAnsi="Times New Roman" w:cs="Times New Roman"/>
          <w:sz w:val="24"/>
        </w:rPr>
        <w:t xml:space="preserve">, </w:t>
      </w:r>
      <w:r w:rsidRPr="009F3662">
        <w:rPr>
          <w:rFonts w:ascii="Times New Roman" w:hAnsi="Times New Roman" w:cs="Times New Roman"/>
          <w:sz w:val="24"/>
        </w:rPr>
        <w:t xml:space="preserve">the coefficients being 1.612 in Stage 5, 1.301 in Stage </w:t>
      </w:r>
      <w:proofErr w:type="gramStart"/>
      <w:r w:rsidRPr="009F3662">
        <w:rPr>
          <w:rFonts w:ascii="Times New Roman" w:hAnsi="Times New Roman" w:cs="Times New Roman"/>
          <w:sz w:val="24"/>
        </w:rPr>
        <w:t>6</w:t>
      </w:r>
      <w:proofErr w:type="gramEnd"/>
      <w:r w:rsidRPr="009F3662">
        <w:rPr>
          <w:rFonts w:ascii="Times New Roman" w:hAnsi="Times New Roman" w:cs="Times New Roman"/>
          <w:sz w:val="24"/>
        </w:rPr>
        <w:t xml:space="preserve">, and 1.605 in Stage 7. This indicates that, regardless of the model, innovations contribute significantly to organizational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confirming the central role of innovation in generating results (Abid et al., 2022; Alvarez and Arellano, 2022).</w:t>
      </w:r>
    </w:p>
    <w:p w:rsidR="007A1D5F" w:rsidRPr="009F3662" w:rsidRDefault="007A1D5F"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effects of the control variables are also consistent: Financial Leverage (ALF) and Market Value (VLM) present positive and significant coefficients in all stages, whereas Intangible Assets (ATI) exhibit a negative and highly significant coefficient, suggesting that </w:t>
      </w:r>
      <w:r w:rsidRPr="009F3662">
        <w:rPr>
          <w:rFonts w:ascii="Times New Roman" w:hAnsi="Times New Roman" w:cs="Times New Roman"/>
          <w:sz w:val="24"/>
        </w:rPr>
        <w:lastRenderedPageBreak/>
        <w:t xml:space="preserve">high investments in intangibles may possibly reflect costs or inefficiencies (Chu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2023). Regarding the validation of the IV instrument, the statistical tests provide robust evidence of its adequacy. The underidentification test (LM statistic) yielded values of 6.22, 6.05, and 6.01 for the respective stages, indicating that the instruments are not underidentified and that there is sufficient correlation between the instrument and the endogenous variable.</w:t>
      </w:r>
    </w:p>
    <w:p w:rsidR="007A1D5F" w:rsidRPr="009F3662" w:rsidRDefault="007A1D5F"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The identification test, measured by the Wald F statistic, is particularly relevant for verifying the strength of the instruments. With values of 80.24, 85.13, and 80.95, these results far exceed the Stock-Yogo critical values, which range between 7.25 and 19.93. According to Woodridge (2010), an F statistic above these critical thresholds ensures that the instruments are strong enough to avoid the problem of weak instruments, which can lead to biased and inconsistent estimates. Thus, the results indicate that the instruments used possess high relevance and robustness.</w:t>
      </w:r>
    </w:p>
    <w:p w:rsidR="007A1D5F" w:rsidRPr="009F3662" w:rsidRDefault="007A1D5F"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Regarding the interactions, the variable ESDC (ESG combined with CEO duality) revealed negative and significant coefficients in Stages </w:t>
      </w:r>
      <w:proofErr w:type="gramStart"/>
      <w:r w:rsidRPr="009F3662">
        <w:rPr>
          <w:rFonts w:ascii="Times New Roman" w:hAnsi="Times New Roman" w:cs="Times New Roman"/>
          <w:sz w:val="24"/>
        </w:rPr>
        <w:t>5</w:t>
      </w:r>
      <w:proofErr w:type="gramEnd"/>
      <w:r w:rsidRPr="009F3662">
        <w:rPr>
          <w:rFonts w:ascii="Times New Roman" w:hAnsi="Times New Roman" w:cs="Times New Roman"/>
          <w:sz w:val="24"/>
        </w:rPr>
        <w:t xml:space="preserve"> and 7, refuting hypothesis H6. These results indicate that the concentration of </w:t>
      </w:r>
      <w:proofErr w:type="gramStart"/>
      <w:r w:rsidRPr="009F3662">
        <w:rPr>
          <w:rFonts w:ascii="Times New Roman" w:hAnsi="Times New Roman" w:cs="Times New Roman"/>
          <w:sz w:val="24"/>
        </w:rPr>
        <w:t>power</w:t>
      </w:r>
      <w:proofErr w:type="gramEnd"/>
      <w:r w:rsidRPr="009F3662">
        <w:rPr>
          <w:rFonts w:ascii="Times New Roman" w:hAnsi="Times New Roman" w:cs="Times New Roman"/>
          <w:sz w:val="24"/>
        </w:rPr>
        <w:t xml:space="preserve"> in the CEO, even in high ESG contexts, impairs performance, corroborating warnings about conflicts of interest and lack of accountability (Aguilera et al., 2021; Shakil et al., 2021). In contrast, the variable ESPF (ESG with female board presence) presented positive and significant coefficients in Stages </w:t>
      </w:r>
      <w:proofErr w:type="gramStart"/>
      <w:r w:rsidRPr="009F3662">
        <w:rPr>
          <w:rFonts w:ascii="Times New Roman" w:hAnsi="Times New Roman" w:cs="Times New Roman"/>
          <w:sz w:val="24"/>
        </w:rPr>
        <w:t>6</w:t>
      </w:r>
      <w:proofErr w:type="gramEnd"/>
      <w:r w:rsidRPr="009F3662">
        <w:rPr>
          <w:rFonts w:ascii="Times New Roman" w:hAnsi="Times New Roman" w:cs="Times New Roman"/>
          <w:sz w:val="24"/>
        </w:rPr>
        <w:t xml:space="preserve"> and 7, supporting hypothesis H5. This synergy suggests that ESG practices amplify the benefits of gender diversity, aligning with studies that associate higher female participation with environmental innovations and transparency (Nguyen </w:t>
      </w:r>
      <w:proofErr w:type="gramStart"/>
      <w:r w:rsidRPr="009F3662">
        <w:rPr>
          <w:rFonts w:ascii="Times New Roman" w:hAnsi="Times New Roman" w:cs="Times New Roman"/>
          <w:sz w:val="24"/>
        </w:rPr>
        <w:t>et</w:t>
      </w:r>
      <w:proofErr w:type="gramEnd"/>
      <w:r w:rsidRPr="009F3662">
        <w:rPr>
          <w:rFonts w:ascii="Times New Roman" w:hAnsi="Times New Roman" w:cs="Times New Roman"/>
          <w:sz w:val="24"/>
        </w:rPr>
        <w:t xml:space="preserve"> al., 2020; Konadu et al., 2022).</w:t>
      </w:r>
    </w:p>
    <w:p w:rsidR="007A1D5F" w:rsidRPr="009F3662" w:rsidRDefault="007A1D5F"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dichotomy between the results of the ESPF and ESDC interactions can be explained by distinct theories. Stakeholder Theory posits that female board presence fosters collaboration and pluralistic decision-making (Post &amp; Byron, 2015), a benefit that is enhanced by ESG. Conversely, Agency Theory (Fama &amp; Jensen, 1983) emphasizes that CEO duality concentrates </w:t>
      </w:r>
      <w:proofErr w:type="gramStart"/>
      <w:r w:rsidRPr="009F3662">
        <w:rPr>
          <w:rFonts w:ascii="Times New Roman" w:hAnsi="Times New Roman" w:cs="Times New Roman"/>
          <w:sz w:val="24"/>
        </w:rPr>
        <w:t>power</w:t>
      </w:r>
      <w:proofErr w:type="gramEnd"/>
      <w:r w:rsidRPr="009F3662">
        <w:rPr>
          <w:rFonts w:ascii="Times New Roman" w:hAnsi="Times New Roman" w:cs="Times New Roman"/>
          <w:sz w:val="24"/>
        </w:rPr>
        <w:t>, thereby reducing board independence and creating governance risks, even in high ESG environments (Romano et al., 2020).</w:t>
      </w:r>
    </w:p>
    <w:p w:rsidR="007A1D5F" w:rsidRPr="009F3662" w:rsidRDefault="007A1D5F"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In summary, the results show that ESG practices are catalysts for positive impacts only when combined with balanced governance structures, such as diversified boards. However, they fail to mitigate the negative effects of </w:t>
      </w:r>
      <w:proofErr w:type="gramStart"/>
      <w:r w:rsidRPr="009F3662">
        <w:rPr>
          <w:rFonts w:ascii="Times New Roman" w:hAnsi="Times New Roman" w:cs="Times New Roman"/>
          <w:sz w:val="24"/>
        </w:rPr>
        <w:t>power</w:t>
      </w:r>
      <w:proofErr w:type="gramEnd"/>
      <w:r w:rsidRPr="009F3662">
        <w:rPr>
          <w:rFonts w:ascii="Times New Roman" w:hAnsi="Times New Roman" w:cs="Times New Roman"/>
          <w:sz w:val="24"/>
        </w:rPr>
        <w:t xml:space="preserve"> concentration, as seen in CEO duality. These conclusions reinforce the need for policies that integrate sustainability, diversity, and the separation of strategic roles, aiming to optimize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and reduce decision-making asymmetries.</w:t>
      </w:r>
    </w:p>
    <w:p w:rsidR="007A1D5F" w:rsidRPr="009F3662" w:rsidRDefault="007A1D5F"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The Table 6 presents a summary of the hypothesis results.</w:t>
      </w:r>
    </w:p>
    <w:p w:rsidR="009F3662" w:rsidRPr="009F3662" w:rsidRDefault="009F3662" w:rsidP="009F3662">
      <w:pPr>
        <w:spacing w:after="0" w:line="240" w:lineRule="auto"/>
        <w:jc w:val="both"/>
        <w:rPr>
          <w:rFonts w:ascii="Times New Roman" w:hAnsi="Times New Roman" w:cs="Times New Roman"/>
          <w:color w:val="000000" w:themeColor="text1"/>
          <w:sz w:val="24"/>
        </w:rPr>
      </w:pPr>
      <w:r w:rsidRPr="009F3662">
        <w:rPr>
          <w:rFonts w:ascii="Times New Roman" w:hAnsi="Times New Roman" w:cs="Times New Roman"/>
          <w:color w:val="000000" w:themeColor="text1"/>
          <w:sz w:val="24"/>
        </w:rPr>
        <w:lastRenderedPageBreak/>
        <w:t>Table 6 – Summary of the Hypothesis Results</w:t>
      </w:r>
    </w:p>
    <w:tbl>
      <w:tblPr>
        <w:tblStyle w:val="SombreamentoClaro"/>
        <w:tblW w:w="4918" w:type="pct"/>
        <w:jc w:val="center"/>
        <w:tblLayout w:type="fixed"/>
        <w:tblLook w:val="04A0" w:firstRow="1" w:lastRow="0" w:firstColumn="1" w:lastColumn="0" w:noHBand="0" w:noVBand="1"/>
      </w:tblPr>
      <w:tblGrid>
        <w:gridCol w:w="510"/>
        <w:gridCol w:w="4805"/>
        <w:gridCol w:w="1125"/>
        <w:gridCol w:w="1199"/>
        <w:gridCol w:w="1496"/>
      </w:tblGrid>
      <w:tr w:rsidR="009F3662" w:rsidRPr="009F3662" w:rsidTr="00251446">
        <w:trPr>
          <w:cnfStyle w:val="100000000000" w:firstRow="1" w:lastRow="0" w:firstColumn="0" w:lastColumn="0" w:oddVBand="0" w:evenVBand="0" w:oddHBand="0"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2909" w:type="pct"/>
            <w:gridSpan w:val="2"/>
            <w:vAlign w:val="center"/>
            <w:hideMark/>
          </w:tcPr>
          <w:p w:rsidR="009F3662" w:rsidRPr="009F3662" w:rsidRDefault="009F3662" w:rsidP="009F3662">
            <w:pPr>
              <w:jc w:val="center"/>
              <w:rPr>
                <w:rFonts w:ascii="Times New Roman" w:hAnsi="Times New Roman" w:cs="Times New Roman"/>
                <w:b w:val="0"/>
                <w:color w:val="000000" w:themeColor="text1"/>
                <w:sz w:val="20"/>
              </w:rPr>
            </w:pPr>
            <w:r w:rsidRPr="009F3662">
              <w:rPr>
                <w:rFonts w:ascii="Times New Roman" w:hAnsi="Times New Roman" w:cs="Times New Roman"/>
                <w:b w:val="0"/>
                <w:color w:val="000000" w:themeColor="text1"/>
                <w:sz w:val="20"/>
              </w:rPr>
              <w:t>Hypotheses</w:t>
            </w:r>
          </w:p>
        </w:tc>
        <w:tc>
          <w:tcPr>
            <w:tcW w:w="616" w:type="pct"/>
            <w:vAlign w:val="center"/>
            <w:hideMark/>
          </w:tcPr>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sidRPr="009F3662">
              <w:rPr>
                <w:rFonts w:ascii="Times New Roman" w:hAnsi="Times New Roman" w:cs="Times New Roman"/>
                <w:b w:val="0"/>
                <w:color w:val="000000" w:themeColor="text1"/>
                <w:sz w:val="20"/>
              </w:rPr>
              <w:t>Expected Sign</w:t>
            </w:r>
          </w:p>
        </w:tc>
        <w:tc>
          <w:tcPr>
            <w:tcW w:w="656" w:type="pct"/>
            <w:vAlign w:val="center"/>
            <w:hideMark/>
          </w:tcPr>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sidRPr="009F3662">
              <w:rPr>
                <w:rFonts w:ascii="Times New Roman" w:hAnsi="Times New Roman" w:cs="Times New Roman"/>
                <w:b w:val="0"/>
                <w:color w:val="000000" w:themeColor="text1"/>
                <w:sz w:val="20"/>
              </w:rPr>
              <w:t>Achieved Sign</w:t>
            </w:r>
          </w:p>
        </w:tc>
        <w:tc>
          <w:tcPr>
            <w:tcW w:w="819" w:type="pct"/>
            <w:vAlign w:val="center"/>
            <w:hideMark/>
          </w:tcPr>
          <w:p w:rsidR="009F3662" w:rsidRPr="009F3662" w:rsidRDefault="009F3662" w:rsidP="009F36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sidRPr="009F3662">
              <w:rPr>
                <w:rFonts w:ascii="Times New Roman" w:hAnsi="Times New Roman" w:cs="Times New Roman"/>
                <w:b w:val="0"/>
                <w:color w:val="000000" w:themeColor="text1"/>
                <w:sz w:val="20"/>
              </w:rPr>
              <w:t>Outcome</w:t>
            </w:r>
          </w:p>
        </w:tc>
      </w:tr>
      <w:tr w:rsidR="009F3662" w:rsidRPr="009F3662" w:rsidTr="00251446">
        <w:trPr>
          <w:cnfStyle w:val="000000100000" w:firstRow="0" w:lastRow="0" w:firstColumn="0" w:lastColumn="0" w:oddVBand="0" w:evenVBand="0" w:oddHBand="1" w:evenHBand="0" w:firstRowFirstColumn="0" w:firstRowLastColumn="0" w:lastRowFirstColumn="0" w:lastRowLastColumn="0"/>
          <w:trHeight w:val="662"/>
          <w:jc w:val="center"/>
        </w:trPr>
        <w:tc>
          <w:tcPr>
            <w:cnfStyle w:val="001000000000" w:firstRow="0" w:lastRow="0" w:firstColumn="1" w:lastColumn="0" w:oddVBand="0" w:evenVBand="0" w:oddHBand="0" w:evenHBand="0" w:firstRowFirstColumn="0" w:firstRowLastColumn="0" w:lastRowFirstColumn="0" w:lastRowLastColumn="0"/>
            <w:tcW w:w="279" w:type="pct"/>
            <w:shd w:val="clear" w:color="auto" w:fill="D9D9D9" w:themeFill="background1" w:themeFillShade="D9"/>
            <w:vAlign w:val="center"/>
            <w:hideMark/>
          </w:tcPr>
          <w:p w:rsidR="009F3662" w:rsidRPr="009F3662" w:rsidRDefault="009F3662" w:rsidP="009F3662">
            <w:pPr>
              <w:rPr>
                <w:rFonts w:ascii="Times New Roman" w:hAnsi="Times New Roman" w:cs="Times New Roman"/>
                <w:b w:val="0"/>
                <w:color w:val="000000" w:themeColor="text1"/>
                <w:sz w:val="20"/>
              </w:rPr>
            </w:pPr>
            <w:r w:rsidRPr="009F3662">
              <w:rPr>
                <w:rFonts w:ascii="Times New Roman" w:hAnsi="Times New Roman" w:cs="Times New Roman"/>
                <w:b w:val="0"/>
                <w:color w:val="000000" w:themeColor="text1"/>
                <w:sz w:val="20"/>
              </w:rPr>
              <w:t>H1</w:t>
            </w:r>
          </w:p>
        </w:tc>
        <w:tc>
          <w:tcPr>
            <w:tcW w:w="2630" w:type="pct"/>
            <w:shd w:val="clear" w:color="auto" w:fill="D9D9D9" w:themeFill="background1" w:themeFillShade="D9"/>
            <w:vAlign w:val="center"/>
            <w:hideMark/>
          </w:tcPr>
          <w:p w:rsidR="009F3662" w:rsidRPr="009F3662" w:rsidRDefault="009F3662" w:rsidP="009F36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 xml:space="preserve">Innovation in assets suggests positive impacts on economic‑financial </w:t>
            </w:r>
            <w:proofErr w:type="gramStart"/>
            <w:r w:rsidRPr="009F3662">
              <w:rPr>
                <w:rFonts w:ascii="Times New Roman" w:hAnsi="Times New Roman" w:cs="Times New Roman"/>
                <w:color w:val="000000" w:themeColor="text1"/>
                <w:sz w:val="20"/>
              </w:rPr>
              <w:t>performance</w:t>
            </w:r>
            <w:proofErr w:type="gramEnd"/>
            <w:r w:rsidRPr="009F3662">
              <w:rPr>
                <w:rFonts w:ascii="Times New Roman" w:hAnsi="Times New Roman" w:cs="Times New Roman"/>
                <w:color w:val="000000" w:themeColor="text1"/>
                <w:sz w:val="20"/>
              </w:rPr>
              <w:t>.</w:t>
            </w:r>
          </w:p>
        </w:tc>
        <w:tc>
          <w:tcPr>
            <w:tcW w:w="616" w:type="pct"/>
            <w:shd w:val="clear" w:color="auto" w:fill="D9D9D9" w:themeFill="background1" w:themeFillShade="D9"/>
            <w:vAlign w:val="center"/>
            <w:hideMark/>
          </w:tcPr>
          <w:p w:rsidR="009F3662" w:rsidRPr="009F3662" w:rsidRDefault="009F3662" w:rsidP="009F36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w:t>
            </w:r>
          </w:p>
        </w:tc>
        <w:tc>
          <w:tcPr>
            <w:tcW w:w="656" w:type="pct"/>
            <w:shd w:val="clear" w:color="auto" w:fill="D9D9D9" w:themeFill="background1" w:themeFillShade="D9"/>
            <w:vAlign w:val="center"/>
            <w:hideMark/>
          </w:tcPr>
          <w:p w:rsidR="009F3662" w:rsidRPr="009F3662" w:rsidRDefault="009F3662" w:rsidP="009F36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w:t>
            </w:r>
          </w:p>
        </w:tc>
        <w:tc>
          <w:tcPr>
            <w:tcW w:w="819" w:type="pct"/>
            <w:shd w:val="clear" w:color="auto" w:fill="D9D9D9" w:themeFill="background1" w:themeFillShade="D9"/>
            <w:vAlign w:val="center"/>
            <w:hideMark/>
          </w:tcPr>
          <w:p w:rsidR="009F3662" w:rsidRPr="009F3662" w:rsidRDefault="009F3662" w:rsidP="009F36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Supported</w:t>
            </w:r>
          </w:p>
        </w:tc>
      </w:tr>
      <w:tr w:rsidR="009F3662" w:rsidRPr="009F3662" w:rsidTr="00251446">
        <w:trPr>
          <w:trHeight w:val="662"/>
          <w:jc w:val="center"/>
        </w:trPr>
        <w:tc>
          <w:tcPr>
            <w:cnfStyle w:val="001000000000" w:firstRow="0" w:lastRow="0" w:firstColumn="1" w:lastColumn="0" w:oddVBand="0" w:evenVBand="0" w:oddHBand="0" w:evenHBand="0" w:firstRowFirstColumn="0" w:firstRowLastColumn="0" w:lastRowFirstColumn="0" w:lastRowLastColumn="0"/>
            <w:tcW w:w="279" w:type="pct"/>
            <w:vAlign w:val="center"/>
            <w:hideMark/>
          </w:tcPr>
          <w:p w:rsidR="009F3662" w:rsidRPr="009F3662" w:rsidRDefault="009F3662" w:rsidP="009F3662">
            <w:pPr>
              <w:rPr>
                <w:rFonts w:ascii="Times New Roman" w:hAnsi="Times New Roman" w:cs="Times New Roman"/>
                <w:b w:val="0"/>
                <w:color w:val="000000" w:themeColor="text1"/>
                <w:sz w:val="20"/>
              </w:rPr>
            </w:pPr>
            <w:r w:rsidRPr="009F3662">
              <w:rPr>
                <w:rFonts w:ascii="Times New Roman" w:hAnsi="Times New Roman" w:cs="Times New Roman"/>
                <w:b w:val="0"/>
                <w:color w:val="000000" w:themeColor="text1"/>
                <w:sz w:val="20"/>
              </w:rPr>
              <w:t>H2</w:t>
            </w:r>
          </w:p>
        </w:tc>
        <w:tc>
          <w:tcPr>
            <w:tcW w:w="2630" w:type="pct"/>
            <w:vAlign w:val="center"/>
            <w:hideMark/>
          </w:tcPr>
          <w:p w:rsidR="009F3662" w:rsidRPr="009F3662" w:rsidRDefault="009F3662" w:rsidP="009F366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 xml:space="preserve">Female presence on boards produces a positive impact on economic‑financial </w:t>
            </w:r>
            <w:proofErr w:type="gramStart"/>
            <w:r w:rsidRPr="009F3662">
              <w:rPr>
                <w:rFonts w:ascii="Times New Roman" w:hAnsi="Times New Roman" w:cs="Times New Roman"/>
                <w:color w:val="000000" w:themeColor="text1"/>
                <w:sz w:val="20"/>
              </w:rPr>
              <w:t>performance</w:t>
            </w:r>
            <w:proofErr w:type="gramEnd"/>
            <w:r w:rsidRPr="009F3662">
              <w:rPr>
                <w:rFonts w:ascii="Times New Roman" w:hAnsi="Times New Roman" w:cs="Times New Roman"/>
                <w:color w:val="000000" w:themeColor="text1"/>
                <w:sz w:val="20"/>
              </w:rPr>
              <w:t>.</w:t>
            </w:r>
          </w:p>
        </w:tc>
        <w:tc>
          <w:tcPr>
            <w:tcW w:w="616" w:type="pct"/>
            <w:vAlign w:val="center"/>
            <w:hideMark/>
          </w:tcPr>
          <w:p w:rsidR="009F3662" w:rsidRPr="009F3662" w:rsidRDefault="009F3662" w:rsidP="009F36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w:t>
            </w:r>
          </w:p>
        </w:tc>
        <w:tc>
          <w:tcPr>
            <w:tcW w:w="656" w:type="pct"/>
            <w:vAlign w:val="center"/>
            <w:hideMark/>
          </w:tcPr>
          <w:p w:rsidR="009F3662" w:rsidRPr="009F3662" w:rsidRDefault="009F3662" w:rsidP="009F36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w:t>
            </w:r>
          </w:p>
        </w:tc>
        <w:tc>
          <w:tcPr>
            <w:tcW w:w="819" w:type="pct"/>
            <w:vAlign w:val="center"/>
            <w:hideMark/>
          </w:tcPr>
          <w:p w:rsidR="009F3662" w:rsidRPr="009F3662" w:rsidRDefault="009F3662" w:rsidP="009F36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Partially supported</w:t>
            </w:r>
          </w:p>
        </w:tc>
      </w:tr>
      <w:tr w:rsidR="009F3662" w:rsidRPr="009F3662" w:rsidTr="00251446">
        <w:trPr>
          <w:cnfStyle w:val="000000100000" w:firstRow="0" w:lastRow="0" w:firstColumn="0" w:lastColumn="0" w:oddVBand="0" w:evenVBand="0" w:oddHBand="1" w:evenHBand="0" w:firstRowFirstColumn="0" w:firstRowLastColumn="0" w:lastRowFirstColumn="0" w:lastRowLastColumn="0"/>
          <w:trHeight w:val="662"/>
          <w:jc w:val="center"/>
        </w:trPr>
        <w:tc>
          <w:tcPr>
            <w:cnfStyle w:val="001000000000" w:firstRow="0" w:lastRow="0" w:firstColumn="1" w:lastColumn="0" w:oddVBand="0" w:evenVBand="0" w:oddHBand="0" w:evenHBand="0" w:firstRowFirstColumn="0" w:firstRowLastColumn="0" w:lastRowFirstColumn="0" w:lastRowLastColumn="0"/>
            <w:tcW w:w="279" w:type="pct"/>
            <w:shd w:val="clear" w:color="auto" w:fill="D9D9D9" w:themeFill="background1" w:themeFillShade="D9"/>
            <w:vAlign w:val="center"/>
            <w:hideMark/>
          </w:tcPr>
          <w:p w:rsidR="009F3662" w:rsidRPr="009F3662" w:rsidRDefault="009F3662" w:rsidP="009F3662">
            <w:pPr>
              <w:rPr>
                <w:rFonts w:ascii="Times New Roman" w:hAnsi="Times New Roman" w:cs="Times New Roman"/>
                <w:b w:val="0"/>
                <w:color w:val="000000" w:themeColor="text1"/>
                <w:sz w:val="20"/>
              </w:rPr>
            </w:pPr>
            <w:r w:rsidRPr="009F3662">
              <w:rPr>
                <w:rFonts w:ascii="Times New Roman" w:hAnsi="Times New Roman" w:cs="Times New Roman"/>
                <w:b w:val="0"/>
                <w:color w:val="000000" w:themeColor="text1"/>
                <w:sz w:val="20"/>
              </w:rPr>
              <w:t>H3</w:t>
            </w:r>
          </w:p>
        </w:tc>
        <w:tc>
          <w:tcPr>
            <w:tcW w:w="2630" w:type="pct"/>
            <w:shd w:val="clear" w:color="auto" w:fill="D9D9D9" w:themeFill="background1" w:themeFillShade="D9"/>
            <w:vAlign w:val="center"/>
            <w:hideMark/>
          </w:tcPr>
          <w:p w:rsidR="009F3662" w:rsidRPr="009F3662" w:rsidRDefault="009F3662" w:rsidP="009F36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 xml:space="preserve">CEO duality negatively impacts the company's economic‑financial </w:t>
            </w:r>
            <w:proofErr w:type="gramStart"/>
            <w:r w:rsidRPr="009F3662">
              <w:rPr>
                <w:rFonts w:ascii="Times New Roman" w:hAnsi="Times New Roman" w:cs="Times New Roman"/>
                <w:color w:val="000000" w:themeColor="text1"/>
                <w:sz w:val="20"/>
              </w:rPr>
              <w:t>performance</w:t>
            </w:r>
            <w:proofErr w:type="gramEnd"/>
            <w:r w:rsidRPr="009F3662">
              <w:rPr>
                <w:rFonts w:ascii="Times New Roman" w:hAnsi="Times New Roman" w:cs="Times New Roman"/>
                <w:color w:val="000000" w:themeColor="text1"/>
                <w:sz w:val="20"/>
              </w:rPr>
              <w:t>.</w:t>
            </w:r>
          </w:p>
        </w:tc>
        <w:tc>
          <w:tcPr>
            <w:tcW w:w="616" w:type="pct"/>
            <w:shd w:val="clear" w:color="auto" w:fill="D9D9D9" w:themeFill="background1" w:themeFillShade="D9"/>
            <w:vAlign w:val="center"/>
            <w:hideMark/>
          </w:tcPr>
          <w:p w:rsidR="009F3662" w:rsidRPr="009F3662" w:rsidRDefault="009F3662" w:rsidP="009F36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w:t>
            </w:r>
          </w:p>
        </w:tc>
        <w:tc>
          <w:tcPr>
            <w:tcW w:w="656" w:type="pct"/>
            <w:shd w:val="clear" w:color="auto" w:fill="D9D9D9" w:themeFill="background1" w:themeFillShade="D9"/>
            <w:vAlign w:val="center"/>
            <w:hideMark/>
          </w:tcPr>
          <w:p w:rsidR="009F3662" w:rsidRPr="009F3662" w:rsidRDefault="009F3662" w:rsidP="009F36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w:t>
            </w:r>
          </w:p>
        </w:tc>
        <w:tc>
          <w:tcPr>
            <w:tcW w:w="819" w:type="pct"/>
            <w:shd w:val="clear" w:color="auto" w:fill="D9D9D9" w:themeFill="background1" w:themeFillShade="D9"/>
            <w:vAlign w:val="center"/>
            <w:hideMark/>
          </w:tcPr>
          <w:p w:rsidR="009F3662" w:rsidRPr="009F3662" w:rsidRDefault="009F3662" w:rsidP="009F36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Supported</w:t>
            </w:r>
          </w:p>
        </w:tc>
      </w:tr>
      <w:tr w:rsidR="009F3662" w:rsidRPr="009F3662" w:rsidTr="00251446">
        <w:trPr>
          <w:trHeight w:val="662"/>
          <w:jc w:val="center"/>
        </w:trPr>
        <w:tc>
          <w:tcPr>
            <w:cnfStyle w:val="001000000000" w:firstRow="0" w:lastRow="0" w:firstColumn="1" w:lastColumn="0" w:oddVBand="0" w:evenVBand="0" w:oddHBand="0" w:evenHBand="0" w:firstRowFirstColumn="0" w:firstRowLastColumn="0" w:lastRowFirstColumn="0" w:lastRowLastColumn="0"/>
            <w:tcW w:w="279" w:type="pct"/>
            <w:vAlign w:val="center"/>
            <w:hideMark/>
          </w:tcPr>
          <w:p w:rsidR="009F3662" w:rsidRPr="009F3662" w:rsidRDefault="009F3662" w:rsidP="009F3662">
            <w:pPr>
              <w:rPr>
                <w:rFonts w:ascii="Times New Roman" w:hAnsi="Times New Roman" w:cs="Times New Roman"/>
                <w:b w:val="0"/>
                <w:color w:val="000000" w:themeColor="text1"/>
                <w:sz w:val="20"/>
              </w:rPr>
            </w:pPr>
            <w:r w:rsidRPr="009F3662">
              <w:rPr>
                <w:rFonts w:ascii="Times New Roman" w:hAnsi="Times New Roman" w:cs="Times New Roman"/>
                <w:b w:val="0"/>
                <w:color w:val="000000" w:themeColor="text1"/>
                <w:sz w:val="20"/>
              </w:rPr>
              <w:t>H4</w:t>
            </w:r>
          </w:p>
        </w:tc>
        <w:tc>
          <w:tcPr>
            <w:tcW w:w="2630" w:type="pct"/>
            <w:vAlign w:val="center"/>
            <w:hideMark/>
          </w:tcPr>
          <w:p w:rsidR="009F3662" w:rsidRPr="009F3662" w:rsidRDefault="009F3662" w:rsidP="009F366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 xml:space="preserve">The ESG score rating produces positive impacts on economic‑financial </w:t>
            </w:r>
            <w:proofErr w:type="gramStart"/>
            <w:r w:rsidRPr="009F3662">
              <w:rPr>
                <w:rFonts w:ascii="Times New Roman" w:hAnsi="Times New Roman" w:cs="Times New Roman"/>
                <w:color w:val="000000" w:themeColor="text1"/>
                <w:sz w:val="20"/>
              </w:rPr>
              <w:t>performance</w:t>
            </w:r>
            <w:proofErr w:type="gramEnd"/>
            <w:r w:rsidRPr="009F3662">
              <w:rPr>
                <w:rFonts w:ascii="Times New Roman" w:hAnsi="Times New Roman" w:cs="Times New Roman"/>
                <w:color w:val="000000" w:themeColor="text1"/>
                <w:sz w:val="20"/>
              </w:rPr>
              <w:t>.</w:t>
            </w:r>
          </w:p>
        </w:tc>
        <w:tc>
          <w:tcPr>
            <w:tcW w:w="616" w:type="pct"/>
            <w:vAlign w:val="center"/>
            <w:hideMark/>
          </w:tcPr>
          <w:p w:rsidR="009F3662" w:rsidRPr="009F3662" w:rsidRDefault="009F3662" w:rsidP="009F36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w:t>
            </w:r>
          </w:p>
        </w:tc>
        <w:tc>
          <w:tcPr>
            <w:tcW w:w="656" w:type="pct"/>
            <w:vAlign w:val="center"/>
            <w:hideMark/>
          </w:tcPr>
          <w:p w:rsidR="009F3662" w:rsidRPr="009F3662" w:rsidRDefault="009F3662" w:rsidP="009F36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w:t>
            </w:r>
          </w:p>
        </w:tc>
        <w:tc>
          <w:tcPr>
            <w:tcW w:w="819" w:type="pct"/>
            <w:vAlign w:val="center"/>
            <w:hideMark/>
          </w:tcPr>
          <w:p w:rsidR="009F3662" w:rsidRPr="009F3662" w:rsidRDefault="009F3662" w:rsidP="009F36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Not supported</w:t>
            </w:r>
          </w:p>
        </w:tc>
      </w:tr>
      <w:tr w:rsidR="009F3662" w:rsidRPr="009F3662" w:rsidTr="00251446">
        <w:trPr>
          <w:cnfStyle w:val="000000100000" w:firstRow="0" w:lastRow="0" w:firstColumn="0" w:lastColumn="0" w:oddVBand="0" w:evenVBand="0" w:oddHBand="1" w:evenHBand="0" w:firstRowFirstColumn="0" w:firstRowLastColumn="0" w:lastRowFirstColumn="0" w:lastRowLastColumn="0"/>
          <w:trHeight w:val="662"/>
          <w:jc w:val="center"/>
        </w:trPr>
        <w:tc>
          <w:tcPr>
            <w:cnfStyle w:val="001000000000" w:firstRow="0" w:lastRow="0" w:firstColumn="1" w:lastColumn="0" w:oddVBand="0" w:evenVBand="0" w:oddHBand="0" w:evenHBand="0" w:firstRowFirstColumn="0" w:firstRowLastColumn="0" w:lastRowFirstColumn="0" w:lastRowLastColumn="0"/>
            <w:tcW w:w="279" w:type="pct"/>
            <w:shd w:val="clear" w:color="auto" w:fill="D9D9D9" w:themeFill="background1" w:themeFillShade="D9"/>
            <w:vAlign w:val="center"/>
            <w:hideMark/>
          </w:tcPr>
          <w:p w:rsidR="009F3662" w:rsidRPr="009F3662" w:rsidRDefault="009F3662" w:rsidP="009F3662">
            <w:pPr>
              <w:rPr>
                <w:rFonts w:ascii="Times New Roman" w:hAnsi="Times New Roman" w:cs="Times New Roman"/>
                <w:b w:val="0"/>
                <w:color w:val="000000" w:themeColor="text1"/>
                <w:sz w:val="20"/>
              </w:rPr>
            </w:pPr>
            <w:r w:rsidRPr="009F3662">
              <w:rPr>
                <w:rFonts w:ascii="Times New Roman" w:hAnsi="Times New Roman" w:cs="Times New Roman"/>
                <w:b w:val="0"/>
                <w:color w:val="000000" w:themeColor="text1"/>
                <w:sz w:val="20"/>
              </w:rPr>
              <w:t>H5</w:t>
            </w:r>
          </w:p>
        </w:tc>
        <w:tc>
          <w:tcPr>
            <w:tcW w:w="2630" w:type="pct"/>
            <w:shd w:val="clear" w:color="auto" w:fill="D9D9D9" w:themeFill="background1" w:themeFillShade="D9"/>
            <w:vAlign w:val="center"/>
            <w:hideMark/>
          </w:tcPr>
          <w:p w:rsidR="009F3662" w:rsidRPr="009F3662" w:rsidRDefault="009F3662" w:rsidP="009F36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 xml:space="preserve">The ESG score favorably amplifies the effect of female presence on boards on organizational </w:t>
            </w:r>
            <w:proofErr w:type="gramStart"/>
            <w:r w:rsidRPr="009F3662">
              <w:rPr>
                <w:rFonts w:ascii="Times New Roman" w:hAnsi="Times New Roman" w:cs="Times New Roman"/>
                <w:color w:val="000000" w:themeColor="text1"/>
                <w:sz w:val="20"/>
              </w:rPr>
              <w:t>performance</w:t>
            </w:r>
            <w:proofErr w:type="gramEnd"/>
            <w:r w:rsidRPr="009F3662">
              <w:rPr>
                <w:rFonts w:ascii="Times New Roman" w:hAnsi="Times New Roman" w:cs="Times New Roman"/>
                <w:color w:val="000000" w:themeColor="text1"/>
                <w:sz w:val="20"/>
              </w:rPr>
              <w:t>.</w:t>
            </w:r>
          </w:p>
        </w:tc>
        <w:tc>
          <w:tcPr>
            <w:tcW w:w="616" w:type="pct"/>
            <w:shd w:val="clear" w:color="auto" w:fill="D9D9D9" w:themeFill="background1" w:themeFillShade="D9"/>
            <w:vAlign w:val="center"/>
            <w:hideMark/>
          </w:tcPr>
          <w:p w:rsidR="009F3662" w:rsidRPr="009F3662" w:rsidRDefault="009F3662" w:rsidP="009F36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w:t>
            </w:r>
          </w:p>
        </w:tc>
        <w:tc>
          <w:tcPr>
            <w:tcW w:w="656" w:type="pct"/>
            <w:shd w:val="clear" w:color="auto" w:fill="D9D9D9" w:themeFill="background1" w:themeFillShade="D9"/>
            <w:vAlign w:val="center"/>
            <w:hideMark/>
          </w:tcPr>
          <w:p w:rsidR="009F3662" w:rsidRPr="009F3662" w:rsidRDefault="009F3662" w:rsidP="009F36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w:t>
            </w:r>
          </w:p>
        </w:tc>
        <w:tc>
          <w:tcPr>
            <w:tcW w:w="819" w:type="pct"/>
            <w:shd w:val="clear" w:color="auto" w:fill="D9D9D9" w:themeFill="background1" w:themeFillShade="D9"/>
            <w:vAlign w:val="center"/>
            <w:hideMark/>
          </w:tcPr>
          <w:p w:rsidR="009F3662" w:rsidRPr="009F3662" w:rsidRDefault="009F3662" w:rsidP="009F36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Supported</w:t>
            </w:r>
          </w:p>
        </w:tc>
      </w:tr>
      <w:tr w:rsidR="009F3662" w:rsidRPr="009F3662" w:rsidTr="00251446">
        <w:trPr>
          <w:trHeight w:val="662"/>
          <w:jc w:val="center"/>
        </w:trPr>
        <w:tc>
          <w:tcPr>
            <w:cnfStyle w:val="001000000000" w:firstRow="0" w:lastRow="0" w:firstColumn="1" w:lastColumn="0" w:oddVBand="0" w:evenVBand="0" w:oddHBand="0" w:evenHBand="0" w:firstRowFirstColumn="0" w:firstRowLastColumn="0" w:lastRowFirstColumn="0" w:lastRowLastColumn="0"/>
            <w:tcW w:w="279" w:type="pct"/>
            <w:vAlign w:val="center"/>
            <w:hideMark/>
          </w:tcPr>
          <w:p w:rsidR="009F3662" w:rsidRPr="009F3662" w:rsidRDefault="009F3662" w:rsidP="009F3662">
            <w:pPr>
              <w:rPr>
                <w:rFonts w:ascii="Times New Roman" w:hAnsi="Times New Roman" w:cs="Times New Roman"/>
                <w:b w:val="0"/>
                <w:color w:val="000000" w:themeColor="text1"/>
                <w:sz w:val="20"/>
              </w:rPr>
            </w:pPr>
            <w:r w:rsidRPr="009F3662">
              <w:rPr>
                <w:rFonts w:ascii="Times New Roman" w:hAnsi="Times New Roman" w:cs="Times New Roman"/>
                <w:b w:val="0"/>
                <w:color w:val="000000" w:themeColor="text1"/>
                <w:sz w:val="20"/>
              </w:rPr>
              <w:t>H6</w:t>
            </w:r>
          </w:p>
        </w:tc>
        <w:tc>
          <w:tcPr>
            <w:tcW w:w="2630" w:type="pct"/>
            <w:vAlign w:val="center"/>
            <w:hideMark/>
          </w:tcPr>
          <w:p w:rsidR="009F3662" w:rsidRPr="009F3662" w:rsidRDefault="009F3662" w:rsidP="009F366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 xml:space="preserve">The ESG index favorably enhances the influence of CEO duality, generating positive effects on economic‑financial </w:t>
            </w:r>
            <w:proofErr w:type="gramStart"/>
            <w:r w:rsidRPr="009F3662">
              <w:rPr>
                <w:rFonts w:ascii="Times New Roman" w:hAnsi="Times New Roman" w:cs="Times New Roman"/>
                <w:color w:val="000000" w:themeColor="text1"/>
                <w:sz w:val="20"/>
              </w:rPr>
              <w:t>performance</w:t>
            </w:r>
            <w:proofErr w:type="gramEnd"/>
            <w:r w:rsidRPr="009F3662">
              <w:rPr>
                <w:rFonts w:ascii="Times New Roman" w:hAnsi="Times New Roman" w:cs="Times New Roman"/>
                <w:color w:val="000000" w:themeColor="text1"/>
                <w:sz w:val="20"/>
              </w:rPr>
              <w:t>.</w:t>
            </w:r>
          </w:p>
        </w:tc>
        <w:tc>
          <w:tcPr>
            <w:tcW w:w="616" w:type="pct"/>
            <w:vAlign w:val="center"/>
            <w:hideMark/>
          </w:tcPr>
          <w:p w:rsidR="009F3662" w:rsidRPr="009F3662" w:rsidRDefault="009F3662" w:rsidP="009F36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w:t>
            </w:r>
          </w:p>
        </w:tc>
        <w:tc>
          <w:tcPr>
            <w:tcW w:w="656" w:type="pct"/>
            <w:vAlign w:val="center"/>
            <w:hideMark/>
          </w:tcPr>
          <w:p w:rsidR="009F3662" w:rsidRPr="009F3662" w:rsidRDefault="009F3662" w:rsidP="009F36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w:t>
            </w:r>
          </w:p>
        </w:tc>
        <w:tc>
          <w:tcPr>
            <w:tcW w:w="819" w:type="pct"/>
            <w:vAlign w:val="center"/>
            <w:hideMark/>
          </w:tcPr>
          <w:p w:rsidR="009F3662" w:rsidRPr="009F3662" w:rsidRDefault="009F3662" w:rsidP="009F3662">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9F3662">
              <w:rPr>
                <w:rFonts w:ascii="Times New Roman" w:hAnsi="Times New Roman" w:cs="Times New Roman"/>
                <w:color w:val="000000" w:themeColor="text1"/>
                <w:sz w:val="20"/>
              </w:rPr>
              <w:t>Not supported</w:t>
            </w:r>
          </w:p>
        </w:tc>
      </w:tr>
    </w:tbl>
    <w:p w:rsidR="00715E49" w:rsidRPr="009F3662" w:rsidRDefault="009F3662" w:rsidP="009F3662">
      <w:pPr>
        <w:spacing w:after="0" w:line="360" w:lineRule="auto"/>
        <w:jc w:val="both"/>
        <w:rPr>
          <w:rFonts w:ascii="Times New Roman" w:hAnsi="Times New Roman" w:cs="Times New Roman"/>
          <w:sz w:val="24"/>
        </w:rPr>
      </w:pPr>
      <w:r w:rsidRPr="009F3662">
        <w:rPr>
          <w:rFonts w:ascii="Times New Roman" w:hAnsi="Times New Roman" w:cs="Times New Roman"/>
          <w:color w:val="000000" w:themeColor="text1"/>
          <w:sz w:val="20"/>
        </w:rPr>
        <w:t>Source: Generated by the author based on the theoretical framework and research findings</w:t>
      </w:r>
    </w:p>
    <w:p w:rsidR="00267B0E" w:rsidRPr="009F3662" w:rsidRDefault="00060528" w:rsidP="003B7103">
      <w:pPr>
        <w:pStyle w:val="Ttulo1"/>
        <w:spacing w:after="480" w:line="360" w:lineRule="auto"/>
        <w:rPr>
          <w:rFonts w:ascii="Times New Roman" w:hAnsi="Times New Roman" w:cs="Times New Roman"/>
          <w:color w:val="auto"/>
          <w:sz w:val="24"/>
        </w:rPr>
      </w:pPr>
      <w:r w:rsidRPr="009F3662">
        <w:rPr>
          <w:rFonts w:ascii="Times New Roman" w:hAnsi="Times New Roman" w:cs="Times New Roman"/>
          <w:color w:val="auto"/>
          <w:sz w:val="24"/>
        </w:rPr>
        <w:t xml:space="preserve">5. </w:t>
      </w:r>
      <w:r w:rsidR="00267B0E" w:rsidRPr="009F3662">
        <w:rPr>
          <w:rFonts w:ascii="Times New Roman" w:hAnsi="Times New Roman" w:cs="Times New Roman"/>
          <w:color w:val="auto"/>
          <w:sz w:val="24"/>
        </w:rPr>
        <w:t>Conclusion</w:t>
      </w:r>
    </w:p>
    <w:p w:rsidR="00267B0E" w:rsidRPr="009F3662" w:rsidRDefault="00267B0E"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This study investigated the effects of innovation, governance factors, and ESG criteria on the economic and financial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of companies. It also examined the implications of ESG criteria in mitigating the effects of CEO duality, as well as in promoting female representation on boards. By employing the Generalized Method of Moments (GMM) to address endogeneity issues, the results revealed complex and multifaceted relationships.</w:t>
      </w:r>
    </w:p>
    <w:p w:rsidR="00267B0E" w:rsidRPr="009F3662" w:rsidRDefault="00267B0E"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findings demonstrated that innovation exerts a positive and consistent influence on </w:t>
      </w:r>
      <w:proofErr w:type="gramStart"/>
      <w:r w:rsidRPr="009F3662">
        <w:rPr>
          <w:rFonts w:ascii="Times New Roman" w:hAnsi="Times New Roman" w:cs="Times New Roman"/>
          <w:sz w:val="24"/>
        </w:rPr>
        <w:t>performance</w:t>
      </w:r>
      <w:proofErr w:type="gramEnd"/>
      <w:r w:rsidRPr="009F3662">
        <w:rPr>
          <w:rFonts w:ascii="Times New Roman" w:hAnsi="Times New Roman" w:cs="Times New Roman"/>
          <w:sz w:val="24"/>
        </w:rPr>
        <w:t xml:space="preserve">, corroborating its role as a driver of competitiveness. In contrast, CEO duality exhibited increasingly negative effects, reinforcing the risks associated with concentrated decision-making </w:t>
      </w:r>
      <w:proofErr w:type="gramStart"/>
      <w:r w:rsidRPr="009F3662">
        <w:rPr>
          <w:rFonts w:ascii="Times New Roman" w:hAnsi="Times New Roman" w:cs="Times New Roman"/>
          <w:sz w:val="24"/>
        </w:rPr>
        <w:t>power</w:t>
      </w:r>
      <w:proofErr w:type="gramEnd"/>
      <w:r w:rsidRPr="009F3662">
        <w:rPr>
          <w:rFonts w:ascii="Times New Roman" w:hAnsi="Times New Roman" w:cs="Times New Roman"/>
          <w:sz w:val="24"/>
        </w:rPr>
        <w:t>. Female representation on boards yielded ambiguous results with fluctuating impacts, suggesting that its effectiveness depends on contextual mediators such as inclusion policies and organizational culture. Meanwhile, ESG practices, although linked to operational costs and greenwashing risks in isolated analyses, proved to be catalysts for positive outcomes when combined with diversified boards, corroborating the importance of synergies between sustainability and governance.</w:t>
      </w:r>
    </w:p>
    <w:p w:rsidR="00267B0E" w:rsidRPr="009F3662" w:rsidRDefault="00267B0E"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 xml:space="preserve">The theoretical implications reside in integrating perspectives from Stakeholder Theory and Agency Theory, highlighting that ESG practices amplify benefits in collaborative contexts but fail to compensate for governance shortcomings. For managerial practice, the </w:t>
      </w:r>
      <w:r w:rsidRPr="009F3662">
        <w:rPr>
          <w:rFonts w:ascii="Times New Roman" w:hAnsi="Times New Roman" w:cs="Times New Roman"/>
          <w:sz w:val="24"/>
        </w:rPr>
        <w:lastRenderedPageBreak/>
        <w:t>results suggest that companies should prioritize balanced governance structures by separating the roles of CEO and president, and invest in gender diversity as a strategic complement to ESG. Furthermore, managing intangible assets requires caution, given their potential for underutilization and high costs.</w:t>
      </w:r>
    </w:p>
    <w:p w:rsidR="00267B0E" w:rsidRPr="009F3662" w:rsidRDefault="00267B0E" w:rsidP="003B7103">
      <w:pPr>
        <w:spacing w:after="0" w:line="360" w:lineRule="auto"/>
        <w:ind w:firstLine="708"/>
        <w:jc w:val="both"/>
        <w:rPr>
          <w:rFonts w:ascii="Times New Roman" w:hAnsi="Times New Roman" w:cs="Times New Roman"/>
          <w:sz w:val="24"/>
        </w:rPr>
      </w:pPr>
      <w:r w:rsidRPr="009F3662">
        <w:rPr>
          <w:rFonts w:ascii="Times New Roman" w:hAnsi="Times New Roman" w:cs="Times New Roman"/>
          <w:sz w:val="24"/>
        </w:rPr>
        <w:t>Among the limitations, the potential omission of moderating variables (e.g., organizational culture) and the concentration of the sample in specific sectors or regions stand out, which may limit generalizability. Moreover, standardized ESG metrics still require refinement to capture substantive versus performative practices. As suggestions for future research, it is proposed to investigate temporal interactions between variables, analyze sectors with stringent environmental regulations, and explore the role of mediators such as transparency policies and accountability mechanisms. The combination of qualitative and quantitative methods could also elucidate nuances not captured by econometric models, deepening the understanding of the dynamics observed here.</w:t>
      </w:r>
    </w:p>
    <w:p w:rsidR="007A1D5F" w:rsidRPr="009F3662" w:rsidRDefault="00267B0E" w:rsidP="003B7103">
      <w:pPr>
        <w:pStyle w:val="Ttulo1"/>
        <w:spacing w:after="480" w:line="360" w:lineRule="auto"/>
        <w:rPr>
          <w:rFonts w:ascii="Times New Roman" w:hAnsi="Times New Roman" w:cs="Times New Roman"/>
          <w:color w:val="auto"/>
          <w:sz w:val="24"/>
        </w:rPr>
      </w:pPr>
      <w:r w:rsidRPr="009F3662">
        <w:rPr>
          <w:rFonts w:ascii="Times New Roman" w:hAnsi="Times New Roman" w:cs="Times New Roman"/>
          <w:color w:val="auto"/>
          <w:sz w:val="24"/>
        </w:rPr>
        <w:t>References</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Abid, N., Ceci, F., Ahmad, F., &amp; Aftab, J. (2022). Financial development and </w:t>
      </w:r>
      <w:proofErr w:type="gramStart"/>
      <w:r w:rsidRPr="009F3662">
        <w:rPr>
          <w:rFonts w:ascii="Times New Roman" w:hAnsi="Times New Roman" w:cs="Times New Roman"/>
        </w:rPr>
        <w:t>green</w:t>
      </w:r>
      <w:proofErr w:type="gramEnd"/>
      <w:r w:rsidRPr="009F3662">
        <w:rPr>
          <w:rFonts w:ascii="Times New Roman" w:hAnsi="Times New Roman" w:cs="Times New Roman"/>
        </w:rPr>
        <w:t xml:space="preserve"> innovation, the ultimate solutions to an environmentally sustainable society: Evidence from leading economies. </w:t>
      </w:r>
      <w:r w:rsidRPr="009F3662">
        <w:rPr>
          <w:rFonts w:ascii="Times New Roman" w:hAnsi="Times New Roman" w:cs="Times New Roman"/>
          <w:i/>
        </w:rPr>
        <w:t>Journal of Cleaner Production</w:t>
      </w:r>
      <w:r w:rsidRPr="009F3662">
        <w:rPr>
          <w:rFonts w:ascii="Times New Roman" w:hAnsi="Times New Roman" w:cs="Times New Roman"/>
        </w:rPr>
        <w:t xml:space="preserve">, 369, 133223. </w:t>
      </w:r>
      <w:hyperlink r:id="rId7" w:tgtFrame="_new" w:history="1">
        <w:r w:rsidRPr="009F3662">
          <w:rPr>
            <w:rStyle w:val="Hyperlink"/>
            <w:rFonts w:ascii="Times New Roman" w:hAnsi="Times New Roman" w:cs="Times New Roman"/>
            <w:color w:val="auto"/>
          </w:rPr>
          <w:t>https://doi.org/10.1016/j.jclepro.2022.133223</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Adams, R. B., &amp; Ferreira, </w:t>
      </w:r>
      <w:proofErr w:type="gramStart"/>
      <w:r w:rsidRPr="009F3662">
        <w:rPr>
          <w:rFonts w:ascii="Times New Roman" w:hAnsi="Times New Roman" w:cs="Times New Roman"/>
        </w:rPr>
        <w:t>D.</w:t>
      </w:r>
      <w:proofErr w:type="gramEnd"/>
      <w:r w:rsidRPr="009F3662">
        <w:rPr>
          <w:rFonts w:ascii="Times New Roman" w:hAnsi="Times New Roman" w:cs="Times New Roman"/>
        </w:rPr>
        <w:t xml:space="preserve"> (2009). Women in the boardroom and their impact on governance and </w:t>
      </w:r>
      <w:proofErr w:type="gramStart"/>
      <w:r w:rsidRPr="009F3662">
        <w:rPr>
          <w:rFonts w:ascii="Times New Roman" w:hAnsi="Times New Roman" w:cs="Times New Roman"/>
        </w:rPr>
        <w:t>performance</w:t>
      </w:r>
      <w:proofErr w:type="gramEnd"/>
      <w:r w:rsidRPr="009F3662">
        <w:rPr>
          <w:rFonts w:ascii="Times New Roman" w:hAnsi="Times New Roman" w:cs="Times New Roman"/>
        </w:rPr>
        <w:t xml:space="preserve">. </w:t>
      </w:r>
      <w:r w:rsidRPr="009F3662">
        <w:rPr>
          <w:rFonts w:ascii="Times New Roman" w:hAnsi="Times New Roman" w:cs="Times New Roman"/>
          <w:i/>
        </w:rPr>
        <w:t>Journal of financial economics</w:t>
      </w:r>
      <w:r w:rsidRPr="009F3662">
        <w:rPr>
          <w:rFonts w:ascii="Times New Roman" w:hAnsi="Times New Roman" w:cs="Times New Roman"/>
        </w:rPr>
        <w:t xml:space="preserve">, 94(2), 291-309. </w:t>
      </w:r>
      <w:hyperlink r:id="rId8" w:tgtFrame="_new" w:history="1">
        <w:r w:rsidRPr="009F3662">
          <w:rPr>
            <w:rStyle w:val="Hyperlink"/>
            <w:rFonts w:ascii="Times New Roman" w:hAnsi="Times New Roman" w:cs="Times New Roman"/>
            <w:color w:val="auto"/>
          </w:rPr>
          <w:t>https://doi.org/10.1016/j.jfineco.2008.10.007</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Agoraki, K. K</w:t>
      </w:r>
      <w:proofErr w:type="gramStart"/>
      <w:r w:rsidRPr="009F3662">
        <w:rPr>
          <w:rFonts w:ascii="Times New Roman" w:hAnsi="Times New Roman" w:cs="Times New Roman"/>
        </w:rPr>
        <w:t>.,</w:t>
      </w:r>
      <w:proofErr w:type="gramEnd"/>
      <w:r w:rsidRPr="009F3662">
        <w:rPr>
          <w:rFonts w:ascii="Times New Roman" w:hAnsi="Times New Roman" w:cs="Times New Roman"/>
        </w:rPr>
        <w:t xml:space="preserve"> Giaka, M., Konstantios, D., &amp; Negkakis, I. (2024). The relationship between firm-level climate change exposure, financial integration, cost of capital and investment efficiency. </w:t>
      </w:r>
      <w:r w:rsidRPr="009F3662">
        <w:rPr>
          <w:rFonts w:ascii="Times New Roman" w:hAnsi="Times New Roman" w:cs="Times New Roman"/>
          <w:i/>
        </w:rPr>
        <w:t>Journal of International Money and Finance</w:t>
      </w:r>
      <w:r w:rsidRPr="009F3662">
        <w:rPr>
          <w:rFonts w:ascii="Times New Roman" w:hAnsi="Times New Roman" w:cs="Times New Roman"/>
        </w:rPr>
        <w:t xml:space="preserve">, 141, 102994. </w:t>
      </w:r>
      <w:hyperlink r:id="rId9" w:history="1">
        <w:r w:rsidRPr="009F3662">
          <w:rPr>
            <w:rStyle w:val="Hyperlink"/>
            <w:rFonts w:ascii="Times New Roman" w:hAnsi="Times New Roman" w:cs="Times New Roman"/>
            <w:color w:val="auto"/>
          </w:rPr>
          <w:t>https://doi.org/10.1016/j.jimonfin.2023.102994</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Aguilera, R. V., Aragón-Correa, J. A., Marano, V., &amp; Tashman, P. A. (2021). The corporate governance of environmental sustainability: A review and proposal for more integrated research. </w:t>
      </w:r>
      <w:r w:rsidRPr="009F3662">
        <w:rPr>
          <w:rFonts w:ascii="Times New Roman" w:hAnsi="Times New Roman" w:cs="Times New Roman"/>
          <w:i/>
        </w:rPr>
        <w:t>Journal of Management</w:t>
      </w:r>
      <w:r w:rsidRPr="009F3662">
        <w:rPr>
          <w:rFonts w:ascii="Times New Roman" w:hAnsi="Times New Roman" w:cs="Times New Roman"/>
        </w:rPr>
        <w:t xml:space="preserve">, 47(6), 1468-1497. </w:t>
      </w:r>
      <w:hyperlink r:id="rId10" w:history="1">
        <w:r w:rsidRPr="009F3662">
          <w:rPr>
            <w:rStyle w:val="Hyperlink"/>
            <w:rFonts w:ascii="Times New Roman" w:hAnsi="Times New Roman" w:cs="Times New Roman"/>
            <w:color w:val="auto"/>
          </w:rPr>
          <w:t>https://doi.org/10.1177/0149206321991212</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Aksoy, M., Yilmaz, M. K</w:t>
      </w:r>
      <w:proofErr w:type="gramStart"/>
      <w:r w:rsidRPr="009F3662">
        <w:rPr>
          <w:rFonts w:ascii="Times New Roman" w:hAnsi="Times New Roman" w:cs="Times New Roman"/>
        </w:rPr>
        <w:t>.,</w:t>
      </w:r>
      <w:proofErr w:type="gramEnd"/>
      <w:r w:rsidRPr="009F3662">
        <w:rPr>
          <w:rFonts w:ascii="Times New Roman" w:hAnsi="Times New Roman" w:cs="Times New Roman"/>
        </w:rPr>
        <w:t xml:space="preserve"> Tatoglu, E., &amp; Basar, M. (2020). Antecedents of corporate sustainability </w:t>
      </w:r>
      <w:proofErr w:type="gramStart"/>
      <w:r w:rsidRPr="009F3662">
        <w:rPr>
          <w:rFonts w:ascii="Times New Roman" w:hAnsi="Times New Roman" w:cs="Times New Roman"/>
        </w:rPr>
        <w:t>performance</w:t>
      </w:r>
      <w:proofErr w:type="gramEnd"/>
      <w:r w:rsidRPr="009F3662">
        <w:rPr>
          <w:rFonts w:ascii="Times New Roman" w:hAnsi="Times New Roman" w:cs="Times New Roman"/>
        </w:rPr>
        <w:t xml:space="preserve"> in Turkey: The effects of ownership structure and board attributes on non-financial companies. </w:t>
      </w:r>
      <w:r w:rsidRPr="009F3662">
        <w:rPr>
          <w:rFonts w:ascii="Times New Roman" w:hAnsi="Times New Roman" w:cs="Times New Roman"/>
          <w:i/>
        </w:rPr>
        <w:t>Journal of Cleaner Production</w:t>
      </w:r>
      <w:r w:rsidRPr="009F3662">
        <w:rPr>
          <w:rFonts w:ascii="Times New Roman" w:hAnsi="Times New Roman" w:cs="Times New Roman"/>
        </w:rPr>
        <w:t xml:space="preserve">, 276, 124284. </w:t>
      </w:r>
      <w:hyperlink r:id="rId11" w:history="1">
        <w:r w:rsidRPr="009F3662">
          <w:rPr>
            <w:rStyle w:val="Hyperlink"/>
            <w:rFonts w:ascii="Times New Roman" w:hAnsi="Times New Roman" w:cs="Times New Roman"/>
            <w:color w:val="auto"/>
          </w:rPr>
          <w:t>https://doi.org/10.1016/j.jclepro.2020.124284</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Alkaraan, F., Elmarzouky, M., de Sousa Jabbour, A. B. L., Jabbour, C. J. C., &amp; Gulko, N. (2025). Maximising sustainable </w:t>
      </w:r>
      <w:proofErr w:type="gramStart"/>
      <w:r w:rsidRPr="009F3662">
        <w:rPr>
          <w:rFonts w:ascii="Times New Roman" w:hAnsi="Times New Roman" w:cs="Times New Roman"/>
        </w:rPr>
        <w:t>performance</w:t>
      </w:r>
      <w:proofErr w:type="gramEnd"/>
      <w:r w:rsidRPr="009F3662">
        <w:rPr>
          <w:rFonts w:ascii="Times New Roman" w:hAnsi="Times New Roman" w:cs="Times New Roman"/>
        </w:rPr>
        <w:t xml:space="preserve">: Integrating servitisation innovation into green sustainable supply chain management under the influence of governance and Industry 4.0. </w:t>
      </w:r>
      <w:r w:rsidRPr="009F3662">
        <w:rPr>
          <w:rFonts w:ascii="Times New Roman" w:hAnsi="Times New Roman" w:cs="Times New Roman"/>
          <w:i/>
        </w:rPr>
        <w:t>Journal of Business Research</w:t>
      </w:r>
      <w:r w:rsidRPr="009F3662">
        <w:rPr>
          <w:rFonts w:ascii="Times New Roman" w:hAnsi="Times New Roman" w:cs="Times New Roman"/>
        </w:rPr>
        <w:t xml:space="preserve">, 186, 115029. </w:t>
      </w:r>
      <w:hyperlink r:id="rId12" w:history="1">
        <w:r w:rsidRPr="009F3662">
          <w:rPr>
            <w:rStyle w:val="Hyperlink"/>
            <w:rFonts w:ascii="Times New Roman" w:hAnsi="Times New Roman" w:cs="Times New Roman"/>
            <w:color w:val="auto"/>
          </w:rPr>
          <w:t>https://doi.org/10.1016/j.jbusres.2024.115029</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Alvarez, J</w:t>
      </w:r>
      <w:proofErr w:type="gramStart"/>
      <w:r w:rsidRPr="009F3662">
        <w:rPr>
          <w:rFonts w:ascii="Times New Roman" w:hAnsi="Times New Roman" w:cs="Times New Roman"/>
        </w:rPr>
        <w:t>.,</w:t>
      </w:r>
      <w:proofErr w:type="gramEnd"/>
      <w:r w:rsidRPr="009F3662">
        <w:rPr>
          <w:rFonts w:ascii="Times New Roman" w:hAnsi="Times New Roman" w:cs="Times New Roman"/>
        </w:rPr>
        <w:t xml:space="preserve"> &amp; Arellano, M. (2022). Robust likelihood estimation of dynamic panel data models. </w:t>
      </w:r>
      <w:r w:rsidRPr="009F3662">
        <w:rPr>
          <w:rFonts w:ascii="Times New Roman" w:hAnsi="Times New Roman" w:cs="Times New Roman"/>
          <w:i/>
        </w:rPr>
        <w:t>Journal of econometrics</w:t>
      </w:r>
      <w:r w:rsidRPr="009F3662">
        <w:rPr>
          <w:rFonts w:ascii="Times New Roman" w:hAnsi="Times New Roman" w:cs="Times New Roman"/>
        </w:rPr>
        <w:t xml:space="preserve">, 226(1), 21-61. </w:t>
      </w:r>
      <w:hyperlink r:id="rId13" w:history="1">
        <w:r w:rsidRPr="009F3662">
          <w:rPr>
            <w:rStyle w:val="Hyperlink"/>
            <w:rFonts w:ascii="Times New Roman" w:hAnsi="Times New Roman" w:cs="Times New Roman"/>
            <w:color w:val="auto"/>
          </w:rPr>
          <w:t>https://doi.org/10.1016/j.jeconom.2021.03.005</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lastRenderedPageBreak/>
        <w:t>An, H., Chen, C. R., Wu, Q., &amp; Zhang, T. (2021). Corporate innovation: Do diverse boards help</w:t>
      </w:r>
      <w:proofErr w:type="gramStart"/>
      <w:r w:rsidRPr="009F3662">
        <w:rPr>
          <w:rFonts w:ascii="Times New Roman" w:hAnsi="Times New Roman" w:cs="Times New Roman"/>
        </w:rPr>
        <w:t>?.</w:t>
      </w:r>
      <w:proofErr w:type="gramEnd"/>
      <w:r w:rsidRPr="009F3662">
        <w:rPr>
          <w:rFonts w:ascii="Times New Roman" w:hAnsi="Times New Roman" w:cs="Times New Roman"/>
        </w:rPr>
        <w:t> </w:t>
      </w:r>
      <w:r w:rsidRPr="009F3662">
        <w:rPr>
          <w:rFonts w:ascii="Times New Roman" w:hAnsi="Times New Roman" w:cs="Times New Roman"/>
          <w:i/>
          <w:iCs/>
        </w:rPr>
        <w:t>Journal of Financial and Quantitative Analysis</w:t>
      </w:r>
      <w:r w:rsidRPr="009F3662">
        <w:rPr>
          <w:rFonts w:ascii="Times New Roman" w:hAnsi="Times New Roman" w:cs="Times New Roman"/>
        </w:rPr>
        <w:t>, </w:t>
      </w:r>
      <w:r w:rsidRPr="009F3662">
        <w:rPr>
          <w:rFonts w:ascii="Times New Roman" w:hAnsi="Times New Roman" w:cs="Times New Roman"/>
          <w:i/>
          <w:iCs/>
        </w:rPr>
        <w:t>56</w:t>
      </w:r>
      <w:r w:rsidRPr="009F3662">
        <w:rPr>
          <w:rFonts w:ascii="Times New Roman" w:hAnsi="Times New Roman" w:cs="Times New Roman"/>
        </w:rPr>
        <w:t xml:space="preserve">(1), 155-182. </w:t>
      </w:r>
      <w:hyperlink r:id="rId14" w:history="1">
        <w:r w:rsidRPr="009F3662">
          <w:rPr>
            <w:rStyle w:val="Hyperlink"/>
            <w:rFonts w:ascii="Times New Roman" w:hAnsi="Times New Roman" w:cs="Times New Roman"/>
            <w:color w:val="auto"/>
          </w:rPr>
          <w:t>https://doi.org/10.1017/S0022109019001005</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lang w:val="en-US"/>
        </w:rPr>
        <w:t>Austin, A., &amp; Rahman, I. U. (2022). A triple helix of market failures: Financing the 3Rs of the circular economy in European SMEs. </w:t>
      </w:r>
      <w:r w:rsidRPr="009F3662">
        <w:rPr>
          <w:rFonts w:ascii="Times New Roman" w:hAnsi="Times New Roman" w:cs="Times New Roman"/>
          <w:i/>
          <w:iCs/>
        </w:rPr>
        <w:t>Journal of Cleaner Production</w:t>
      </w:r>
      <w:r w:rsidRPr="009F3662">
        <w:rPr>
          <w:rFonts w:ascii="Times New Roman" w:hAnsi="Times New Roman" w:cs="Times New Roman"/>
        </w:rPr>
        <w:t>, </w:t>
      </w:r>
      <w:r w:rsidRPr="009F3662">
        <w:rPr>
          <w:rFonts w:ascii="Times New Roman" w:hAnsi="Times New Roman" w:cs="Times New Roman"/>
          <w:i/>
          <w:iCs/>
        </w:rPr>
        <w:t>361</w:t>
      </w:r>
      <w:r w:rsidRPr="009F3662">
        <w:rPr>
          <w:rFonts w:ascii="Times New Roman" w:hAnsi="Times New Roman" w:cs="Times New Roman"/>
        </w:rPr>
        <w:t xml:space="preserve">, 132284. </w:t>
      </w:r>
      <w:hyperlink r:id="rId15" w:history="1">
        <w:r w:rsidRPr="009F3662">
          <w:rPr>
            <w:rStyle w:val="Hyperlink"/>
            <w:rFonts w:ascii="Times New Roman" w:hAnsi="Times New Roman" w:cs="Times New Roman"/>
            <w:color w:val="auto"/>
          </w:rPr>
          <w:t>https://doi.org/10.1016/j.jclepro.2022.132284</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Baldi, F., &amp; Pandimiglio, A. (2022). The role of ESG scoring and greenwashing risk in explaining the yields of </w:t>
      </w:r>
      <w:proofErr w:type="gramStart"/>
      <w:r w:rsidRPr="009F3662">
        <w:rPr>
          <w:rFonts w:ascii="Times New Roman" w:hAnsi="Times New Roman" w:cs="Times New Roman"/>
        </w:rPr>
        <w:t>green</w:t>
      </w:r>
      <w:proofErr w:type="gramEnd"/>
      <w:r w:rsidRPr="009F3662">
        <w:rPr>
          <w:rFonts w:ascii="Times New Roman" w:hAnsi="Times New Roman" w:cs="Times New Roman"/>
        </w:rPr>
        <w:t xml:space="preserve"> bonds: A conceptual framework and an econometric analysis. </w:t>
      </w:r>
      <w:r w:rsidRPr="009F3662">
        <w:rPr>
          <w:rFonts w:ascii="Times New Roman" w:hAnsi="Times New Roman" w:cs="Times New Roman"/>
          <w:i/>
        </w:rPr>
        <w:t>Global Finance Journal</w:t>
      </w:r>
      <w:r w:rsidRPr="009F3662">
        <w:rPr>
          <w:rFonts w:ascii="Times New Roman" w:hAnsi="Times New Roman" w:cs="Times New Roman"/>
        </w:rPr>
        <w:t xml:space="preserve">, 52, 100711. </w:t>
      </w:r>
      <w:hyperlink r:id="rId16" w:history="1">
        <w:r w:rsidRPr="009F3662">
          <w:rPr>
            <w:rStyle w:val="Hyperlink"/>
            <w:rFonts w:ascii="Times New Roman" w:hAnsi="Times New Roman" w:cs="Times New Roman"/>
            <w:color w:val="auto"/>
          </w:rPr>
          <w:t>https://doi.org/10.1016/j.gfj.2022.100711</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lang w:val="en-US"/>
        </w:rPr>
        <w:t>Boakye, D. J., Tingbani, I., Ahinful, G. S., &amp; Nsor-Ambala, R. (2021). The relationship between environmental management performance and financial performance of firms listed in the Alternative Investment Market (AIM) in the UK. </w:t>
      </w:r>
      <w:r w:rsidRPr="009F3662">
        <w:rPr>
          <w:rFonts w:ascii="Times New Roman" w:hAnsi="Times New Roman" w:cs="Times New Roman"/>
          <w:i/>
          <w:iCs/>
        </w:rPr>
        <w:t>Journal of Cleaner Production</w:t>
      </w:r>
      <w:r w:rsidRPr="009F3662">
        <w:rPr>
          <w:rFonts w:ascii="Times New Roman" w:hAnsi="Times New Roman" w:cs="Times New Roman"/>
        </w:rPr>
        <w:t>, </w:t>
      </w:r>
      <w:r w:rsidRPr="009F3662">
        <w:rPr>
          <w:rFonts w:ascii="Times New Roman" w:hAnsi="Times New Roman" w:cs="Times New Roman"/>
          <w:i/>
          <w:iCs/>
        </w:rPr>
        <w:t>278</w:t>
      </w:r>
      <w:r w:rsidRPr="009F3662">
        <w:rPr>
          <w:rFonts w:ascii="Times New Roman" w:hAnsi="Times New Roman" w:cs="Times New Roman"/>
        </w:rPr>
        <w:t xml:space="preserve">, 124034. </w:t>
      </w:r>
      <w:hyperlink r:id="rId17" w:history="1">
        <w:r w:rsidRPr="009F3662">
          <w:rPr>
            <w:rStyle w:val="Hyperlink"/>
            <w:rFonts w:ascii="Times New Roman" w:hAnsi="Times New Roman" w:cs="Times New Roman"/>
            <w:color w:val="auto"/>
          </w:rPr>
          <w:t>https://doi.org/10.1016/j.jclepro.2020.124034</w:t>
        </w:r>
      </w:hyperlink>
    </w:p>
    <w:p w:rsidR="00060528" w:rsidRPr="009F3662" w:rsidRDefault="00060528" w:rsidP="002F1E0B">
      <w:pPr>
        <w:pStyle w:val="PargrafodaLista"/>
        <w:numPr>
          <w:ilvl w:val="0"/>
          <w:numId w:val="2"/>
        </w:numPr>
        <w:spacing w:before="200" w:line="240" w:lineRule="auto"/>
        <w:jc w:val="both"/>
        <w:rPr>
          <w:rStyle w:val="Hyperlink"/>
          <w:rFonts w:ascii="Times New Roman" w:hAnsi="Times New Roman" w:cs="Times New Roman"/>
          <w:color w:val="auto"/>
        </w:rPr>
      </w:pPr>
      <w:r w:rsidRPr="009F3662">
        <w:rPr>
          <w:rFonts w:ascii="Times New Roman" w:hAnsi="Times New Roman" w:cs="Times New Roman"/>
        </w:rPr>
        <w:t>Chu, H. L., Liu, N. Y</w:t>
      </w:r>
      <w:proofErr w:type="gramStart"/>
      <w:r w:rsidRPr="009F3662">
        <w:rPr>
          <w:rFonts w:ascii="Times New Roman" w:hAnsi="Times New Roman" w:cs="Times New Roman"/>
        </w:rPr>
        <w:t>.,</w:t>
      </w:r>
      <w:proofErr w:type="gramEnd"/>
      <w:r w:rsidRPr="009F3662">
        <w:rPr>
          <w:rFonts w:ascii="Times New Roman" w:hAnsi="Times New Roman" w:cs="Times New Roman"/>
        </w:rPr>
        <w:t xml:space="preserve"> &amp; Chiu, S. C. (2023). </w:t>
      </w:r>
      <w:r w:rsidRPr="009F3662">
        <w:rPr>
          <w:rFonts w:ascii="Times New Roman" w:hAnsi="Times New Roman" w:cs="Times New Roman"/>
          <w:lang w:val="en-US"/>
        </w:rPr>
        <w:t>CEO power and CSR: the moderating role of CEO characteristics. </w:t>
      </w:r>
      <w:r w:rsidRPr="009F3662">
        <w:rPr>
          <w:rFonts w:ascii="Times New Roman" w:hAnsi="Times New Roman" w:cs="Times New Roman"/>
          <w:i/>
          <w:iCs/>
        </w:rPr>
        <w:t>China Accounting and Finance Review</w:t>
      </w:r>
      <w:r w:rsidRPr="009F3662">
        <w:rPr>
          <w:rFonts w:ascii="Times New Roman" w:hAnsi="Times New Roman" w:cs="Times New Roman"/>
        </w:rPr>
        <w:t>, </w:t>
      </w:r>
      <w:r w:rsidRPr="009F3662">
        <w:rPr>
          <w:rFonts w:ascii="Times New Roman" w:hAnsi="Times New Roman" w:cs="Times New Roman"/>
          <w:i/>
          <w:iCs/>
        </w:rPr>
        <w:t>25</w:t>
      </w:r>
      <w:r w:rsidRPr="009F3662">
        <w:rPr>
          <w:rFonts w:ascii="Times New Roman" w:hAnsi="Times New Roman" w:cs="Times New Roman"/>
        </w:rPr>
        <w:t xml:space="preserve">(1), 101-121. </w:t>
      </w:r>
      <w:hyperlink r:id="rId18" w:history="1">
        <w:r w:rsidRPr="009F3662">
          <w:rPr>
            <w:rStyle w:val="Hyperlink"/>
            <w:rFonts w:ascii="Times New Roman" w:hAnsi="Times New Roman" w:cs="Times New Roman"/>
            <w:color w:val="auto"/>
          </w:rPr>
          <w:t>https://doi.org/10.1108/CAFR-03-2022-0027</w:t>
        </w:r>
      </w:hyperlink>
      <w:r w:rsidRPr="009F3662">
        <w:rPr>
          <w:rStyle w:val="Hyperlink"/>
          <w:rFonts w:ascii="Times New Roman" w:hAnsi="Times New Roman" w:cs="Times New Roman"/>
          <w:color w:val="auto"/>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Enciso‐Alfaro, S. Y</w:t>
      </w:r>
      <w:proofErr w:type="gramStart"/>
      <w:r w:rsidRPr="009F3662">
        <w:rPr>
          <w:rFonts w:ascii="Times New Roman" w:hAnsi="Times New Roman" w:cs="Times New Roman"/>
        </w:rPr>
        <w:t>.,</w:t>
      </w:r>
      <w:proofErr w:type="gramEnd"/>
      <w:r w:rsidRPr="009F3662">
        <w:rPr>
          <w:rFonts w:ascii="Times New Roman" w:hAnsi="Times New Roman" w:cs="Times New Roman"/>
        </w:rPr>
        <w:t xml:space="preserve"> &amp; García‐Sánchez, I. M. (2024). Do boards care about planetary boundaries? A gender perspective on circular economy disclosures. </w:t>
      </w:r>
      <w:r w:rsidRPr="009F3662">
        <w:rPr>
          <w:rFonts w:ascii="Times New Roman" w:hAnsi="Times New Roman" w:cs="Times New Roman"/>
          <w:i/>
        </w:rPr>
        <w:t>Business Strategy and the Environment</w:t>
      </w:r>
      <w:r w:rsidRPr="009F3662">
        <w:rPr>
          <w:rFonts w:ascii="Times New Roman" w:hAnsi="Times New Roman" w:cs="Times New Roman"/>
        </w:rPr>
        <w:t xml:space="preserve">, 33(5), 4562-4597. </w:t>
      </w:r>
      <w:hyperlink r:id="rId19" w:history="1">
        <w:r w:rsidRPr="009F3662">
          <w:rPr>
            <w:rStyle w:val="Hyperlink"/>
            <w:rFonts w:ascii="Times New Roman" w:hAnsi="Times New Roman" w:cs="Times New Roman"/>
            <w:color w:val="auto"/>
          </w:rPr>
          <w:t>https://doi.org/10.1002/bse.3700</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Fama, E.F., &amp; Jensen, M.C., (1983). Separation of ownership and control. </w:t>
      </w:r>
      <w:r w:rsidRPr="009F3662">
        <w:rPr>
          <w:rFonts w:ascii="Times New Roman" w:hAnsi="Times New Roman" w:cs="Times New Roman"/>
          <w:i/>
          <w:iCs/>
        </w:rPr>
        <w:t>SSRN Electronic Journal</w:t>
      </w:r>
      <w:r w:rsidRPr="009F3662">
        <w:rPr>
          <w:rFonts w:ascii="Times New Roman" w:hAnsi="Times New Roman" w:cs="Times New Roman"/>
        </w:rPr>
        <w:t xml:space="preserve">. </w:t>
      </w:r>
      <w:r w:rsidRPr="009F3662">
        <w:rPr>
          <w:rFonts w:ascii="Times New Roman" w:hAnsi="Times New Roman" w:cs="Times New Roman"/>
          <w:i/>
          <w:iCs/>
        </w:rPr>
        <w:t>26</w:t>
      </w:r>
      <w:r w:rsidRPr="009F3662">
        <w:rPr>
          <w:rFonts w:ascii="Times New Roman" w:hAnsi="Times New Roman" w:cs="Times New Roman"/>
        </w:rPr>
        <w:t xml:space="preserve"> (2), 301-325. </w:t>
      </w:r>
      <w:hyperlink r:id="rId20" w:history="1">
        <w:r w:rsidRPr="009F3662">
          <w:rPr>
            <w:rStyle w:val="Hyperlink"/>
            <w:rFonts w:ascii="Times New Roman" w:hAnsi="Times New Roman" w:cs="Times New Roman"/>
            <w:color w:val="auto"/>
          </w:rPr>
          <w:t>https://doi.org/10.2139/ssrn.94034</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Friede, G., Busch, T., &amp; Bassen, A. (2015). ESG and financial </w:t>
      </w:r>
      <w:proofErr w:type="gramStart"/>
      <w:r w:rsidRPr="009F3662">
        <w:rPr>
          <w:rFonts w:ascii="Times New Roman" w:hAnsi="Times New Roman" w:cs="Times New Roman"/>
        </w:rPr>
        <w:t>performance</w:t>
      </w:r>
      <w:proofErr w:type="gramEnd"/>
      <w:r w:rsidRPr="009F3662">
        <w:rPr>
          <w:rFonts w:ascii="Times New Roman" w:hAnsi="Times New Roman" w:cs="Times New Roman"/>
        </w:rPr>
        <w:t>: aggregated evidence from more than 2000 empirical studies. </w:t>
      </w:r>
      <w:r w:rsidRPr="009F3662">
        <w:rPr>
          <w:rFonts w:ascii="Times New Roman" w:hAnsi="Times New Roman" w:cs="Times New Roman"/>
          <w:i/>
          <w:iCs/>
        </w:rPr>
        <w:t>Journal of sustainable finance &amp; investment</w:t>
      </w:r>
      <w:r w:rsidRPr="009F3662">
        <w:rPr>
          <w:rFonts w:ascii="Times New Roman" w:hAnsi="Times New Roman" w:cs="Times New Roman"/>
        </w:rPr>
        <w:t>, </w:t>
      </w:r>
      <w:r w:rsidRPr="009F3662">
        <w:rPr>
          <w:rFonts w:ascii="Times New Roman" w:hAnsi="Times New Roman" w:cs="Times New Roman"/>
          <w:i/>
          <w:iCs/>
        </w:rPr>
        <w:t>5</w:t>
      </w:r>
      <w:r w:rsidRPr="009F3662">
        <w:rPr>
          <w:rFonts w:ascii="Times New Roman" w:hAnsi="Times New Roman" w:cs="Times New Roman"/>
        </w:rPr>
        <w:t xml:space="preserve">(4), 210-233. </w:t>
      </w:r>
      <w:hyperlink r:id="rId21" w:history="1">
        <w:r w:rsidRPr="009F3662">
          <w:rPr>
            <w:rStyle w:val="Hyperlink"/>
            <w:rFonts w:ascii="Times New Roman" w:hAnsi="Times New Roman" w:cs="Times New Roman"/>
            <w:color w:val="auto"/>
          </w:rPr>
          <w:t>https://doi.org/10.1080/20430795.2015.1118917</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García-Meca, E</w:t>
      </w:r>
      <w:proofErr w:type="gramStart"/>
      <w:r w:rsidRPr="009F3662">
        <w:rPr>
          <w:rFonts w:ascii="Times New Roman" w:hAnsi="Times New Roman" w:cs="Times New Roman"/>
        </w:rPr>
        <w:t>.,</w:t>
      </w:r>
      <w:proofErr w:type="gramEnd"/>
      <w:r w:rsidRPr="009F3662">
        <w:rPr>
          <w:rFonts w:ascii="Times New Roman" w:hAnsi="Times New Roman" w:cs="Times New Roman"/>
        </w:rPr>
        <w:t xml:space="preserve"> Ramón-Llorens, M. C., &amp; Martínez-Ferrero, J. (2024). Feminine expertise on board and environmental innovation: the role of critical mass. </w:t>
      </w:r>
      <w:r w:rsidRPr="009F3662">
        <w:rPr>
          <w:rFonts w:ascii="Times New Roman" w:hAnsi="Times New Roman" w:cs="Times New Roman"/>
          <w:i/>
        </w:rPr>
        <w:t>Review of Managerial Science</w:t>
      </w:r>
      <w:r w:rsidRPr="009F3662">
        <w:rPr>
          <w:rFonts w:ascii="Times New Roman" w:hAnsi="Times New Roman" w:cs="Times New Roman"/>
        </w:rPr>
        <w:t xml:space="preserve">, 18(8), 2255-2286. </w:t>
      </w:r>
      <w:hyperlink r:id="rId22" w:tgtFrame="_new" w:history="1">
        <w:r w:rsidRPr="009F3662">
          <w:rPr>
            <w:rStyle w:val="Hyperlink"/>
            <w:rFonts w:ascii="Times New Roman" w:hAnsi="Times New Roman" w:cs="Times New Roman"/>
            <w:color w:val="auto"/>
          </w:rPr>
          <w:t>https://doi.org/10.1007/s11846-023-00685-2</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Geissdoerfer, M., Savaget, P., Bocken, N. M. P., &amp; Hultink, E. J. (2017). The Circular Economy – A New Sustainability Paradigm? </w:t>
      </w:r>
      <w:r w:rsidRPr="009F3662">
        <w:rPr>
          <w:rFonts w:ascii="Times New Roman" w:hAnsi="Times New Roman" w:cs="Times New Roman"/>
          <w:i/>
          <w:iCs/>
        </w:rPr>
        <w:t>Journal of Cleaner Production</w:t>
      </w:r>
      <w:r w:rsidRPr="009F3662">
        <w:rPr>
          <w:rFonts w:ascii="Times New Roman" w:hAnsi="Times New Roman" w:cs="Times New Roman"/>
        </w:rPr>
        <w:t xml:space="preserve">, 143, 757–768. </w:t>
      </w:r>
      <w:hyperlink r:id="rId23" w:history="1">
        <w:r w:rsidRPr="009F3662">
          <w:rPr>
            <w:rStyle w:val="Hyperlink"/>
            <w:rFonts w:ascii="Times New Roman" w:hAnsi="Times New Roman" w:cs="Times New Roman"/>
            <w:color w:val="auto"/>
          </w:rPr>
          <w:t>https://doi.org/10.1016/j.jclepro.2016.12.048</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Griffin, </w:t>
      </w:r>
      <w:proofErr w:type="gramStart"/>
      <w:r w:rsidRPr="009F3662">
        <w:rPr>
          <w:rFonts w:ascii="Times New Roman" w:hAnsi="Times New Roman" w:cs="Times New Roman"/>
        </w:rPr>
        <w:t>D.</w:t>
      </w:r>
      <w:proofErr w:type="gramEnd"/>
      <w:r w:rsidRPr="009F3662">
        <w:rPr>
          <w:rFonts w:ascii="Times New Roman" w:hAnsi="Times New Roman" w:cs="Times New Roman"/>
        </w:rPr>
        <w:t xml:space="preserve">, Li, K., &amp; Xu, T. (2021). Board gender diversity and corporate innovation: International evidence. </w:t>
      </w:r>
      <w:r w:rsidRPr="009F3662">
        <w:rPr>
          <w:rFonts w:ascii="Times New Roman" w:hAnsi="Times New Roman" w:cs="Times New Roman"/>
          <w:i/>
        </w:rPr>
        <w:t>Journal of Financial and Quantitative Analysis</w:t>
      </w:r>
      <w:r w:rsidRPr="009F3662">
        <w:rPr>
          <w:rFonts w:ascii="Times New Roman" w:hAnsi="Times New Roman" w:cs="Times New Roman"/>
        </w:rPr>
        <w:t xml:space="preserve">, 56(1), 123-154. </w:t>
      </w:r>
      <w:hyperlink r:id="rId24" w:history="1">
        <w:r w:rsidRPr="009F3662">
          <w:rPr>
            <w:rStyle w:val="Hyperlink"/>
            <w:rFonts w:ascii="Times New Roman" w:hAnsi="Times New Roman" w:cs="Times New Roman"/>
            <w:color w:val="auto"/>
          </w:rPr>
          <w:t>https://doi.org/10.1017/S002210901900098X</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Hall, B. H., Lotti, F., &amp; Mairesse, J. (2014). Evidence on the Impact of R&amp;D and ICT Investment on Innovation and Productivity in Italian Firms. </w:t>
      </w:r>
      <w:r w:rsidRPr="009F3662">
        <w:rPr>
          <w:rFonts w:ascii="Times New Roman" w:hAnsi="Times New Roman" w:cs="Times New Roman"/>
          <w:i/>
          <w:iCs/>
        </w:rPr>
        <w:t>Economics of Innovation and New Technology</w:t>
      </w:r>
      <w:r w:rsidRPr="009F3662">
        <w:rPr>
          <w:rFonts w:ascii="Times New Roman" w:hAnsi="Times New Roman" w:cs="Times New Roman"/>
        </w:rPr>
        <w:t xml:space="preserve">, 23(3), 300–328. </w:t>
      </w:r>
      <w:hyperlink r:id="rId25" w:history="1">
        <w:r w:rsidRPr="009F3662">
          <w:rPr>
            <w:rStyle w:val="Hyperlink"/>
            <w:rFonts w:ascii="Times New Roman" w:hAnsi="Times New Roman" w:cs="Times New Roman"/>
            <w:color w:val="auto"/>
          </w:rPr>
          <w:t>https://doi.org/10.1080/10438599.2012.708134</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Hsieh, T. Y</w:t>
      </w:r>
      <w:proofErr w:type="gramStart"/>
      <w:r w:rsidRPr="009F3662">
        <w:rPr>
          <w:rFonts w:ascii="Times New Roman" w:hAnsi="Times New Roman" w:cs="Times New Roman"/>
        </w:rPr>
        <w:t>.,</w:t>
      </w:r>
      <w:proofErr w:type="gramEnd"/>
      <w:r w:rsidRPr="009F3662">
        <w:rPr>
          <w:rFonts w:ascii="Times New Roman" w:hAnsi="Times New Roman" w:cs="Times New Roman"/>
        </w:rPr>
        <w:t xml:space="preserve"> Lin, T. Y., Li, F., &amp; Kuo, J. N. (2024). CEO duality and corporation innovation. </w:t>
      </w:r>
      <w:r w:rsidRPr="009F3662">
        <w:rPr>
          <w:rFonts w:ascii="Times New Roman" w:hAnsi="Times New Roman" w:cs="Times New Roman"/>
          <w:i/>
        </w:rPr>
        <w:t>Sage</w:t>
      </w:r>
      <w:r w:rsidRPr="009F3662">
        <w:rPr>
          <w:rFonts w:ascii="Times New Roman" w:hAnsi="Times New Roman" w:cs="Times New Roman"/>
        </w:rPr>
        <w:t xml:space="preserve"> Open, 14(1), 21582440231226019.  </w:t>
      </w:r>
      <w:hyperlink r:id="rId26" w:history="1">
        <w:r w:rsidRPr="009F3662">
          <w:rPr>
            <w:rStyle w:val="Hyperlink"/>
            <w:rFonts w:ascii="Times New Roman" w:hAnsi="Times New Roman" w:cs="Times New Roman"/>
            <w:color w:val="auto"/>
          </w:rPr>
          <w:t>https://doi.org/10.1177/21582440231226019</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Ilyas, I. M., &amp; Osiyevskyy, O. (2022). Exploring the impact of sustainable value proposition on firm </w:t>
      </w:r>
      <w:proofErr w:type="gramStart"/>
      <w:r w:rsidRPr="009F3662">
        <w:rPr>
          <w:rFonts w:ascii="Times New Roman" w:hAnsi="Times New Roman" w:cs="Times New Roman"/>
        </w:rPr>
        <w:t>performance</w:t>
      </w:r>
      <w:proofErr w:type="gramEnd"/>
      <w:r w:rsidRPr="009F3662">
        <w:rPr>
          <w:rFonts w:ascii="Times New Roman" w:hAnsi="Times New Roman" w:cs="Times New Roman"/>
        </w:rPr>
        <w:t xml:space="preserve">. </w:t>
      </w:r>
      <w:r w:rsidRPr="009F3662">
        <w:rPr>
          <w:rFonts w:ascii="Times New Roman" w:hAnsi="Times New Roman" w:cs="Times New Roman"/>
          <w:i/>
        </w:rPr>
        <w:t>European Management Journal</w:t>
      </w:r>
      <w:r w:rsidRPr="009F3662">
        <w:rPr>
          <w:rFonts w:ascii="Times New Roman" w:hAnsi="Times New Roman" w:cs="Times New Roman"/>
        </w:rPr>
        <w:t xml:space="preserve">, 40(5), 729-740. </w:t>
      </w:r>
      <w:hyperlink r:id="rId27" w:history="1">
        <w:r w:rsidRPr="009F3662">
          <w:rPr>
            <w:rStyle w:val="Hyperlink"/>
            <w:rFonts w:ascii="Times New Roman" w:hAnsi="Times New Roman" w:cs="Times New Roman"/>
            <w:color w:val="auto"/>
          </w:rPr>
          <w:t>https://doi.org/10.1016/j.emj.2021.09.009</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Khan, T. M., Gang, B., Fareed, Z</w:t>
      </w:r>
      <w:proofErr w:type="gramStart"/>
      <w:r w:rsidRPr="009F3662">
        <w:rPr>
          <w:rFonts w:ascii="Times New Roman" w:hAnsi="Times New Roman" w:cs="Times New Roman"/>
        </w:rPr>
        <w:t>.,</w:t>
      </w:r>
      <w:proofErr w:type="gramEnd"/>
      <w:r w:rsidRPr="009F3662">
        <w:rPr>
          <w:rFonts w:ascii="Times New Roman" w:hAnsi="Times New Roman" w:cs="Times New Roman"/>
        </w:rPr>
        <w:t xml:space="preserve"> &amp; Yasmeen, R. (2020). The impact of CEO tenure on corporate social and environmental </w:t>
      </w:r>
      <w:proofErr w:type="gramStart"/>
      <w:r w:rsidRPr="009F3662">
        <w:rPr>
          <w:rFonts w:ascii="Times New Roman" w:hAnsi="Times New Roman" w:cs="Times New Roman"/>
        </w:rPr>
        <w:t>performance</w:t>
      </w:r>
      <w:proofErr w:type="gramEnd"/>
      <w:r w:rsidRPr="009F3662">
        <w:rPr>
          <w:rFonts w:ascii="Times New Roman" w:hAnsi="Times New Roman" w:cs="Times New Roman"/>
        </w:rPr>
        <w:t xml:space="preserve">: an emerging country’s analysis. </w:t>
      </w:r>
      <w:r w:rsidRPr="009F3662">
        <w:rPr>
          <w:rFonts w:ascii="Times New Roman" w:hAnsi="Times New Roman" w:cs="Times New Roman"/>
          <w:i/>
        </w:rPr>
        <w:t>Environmental Science and Pollution Research</w:t>
      </w:r>
      <w:r w:rsidRPr="009F3662">
        <w:rPr>
          <w:rFonts w:ascii="Times New Roman" w:hAnsi="Times New Roman" w:cs="Times New Roman"/>
        </w:rPr>
        <w:t xml:space="preserve">, 27, 19314-19326. </w:t>
      </w:r>
      <w:hyperlink r:id="rId28" w:history="1">
        <w:r w:rsidRPr="009F3662">
          <w:rPr>
            <w:rStyle w:val="Hyperlink"/>
            <w:rFonts w:ascii="Times New Roman" w:hAnsi="Times New Roman" w:cs="Times New Roman"/>
            <w:color w:val="auto"/>
          </w:rPr>
          <w:t>https://doi.org/10.1007/s11356-020-08468-y</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lang w:val="en-US"/>
        </w:rPr>
        <w:t xml:space="preserve">Konadu, R., Ahinful, G. S., Boakye, D. J., &amp; Elbardan, H. (2022). </w:t>
      </w:r>
      <w:r w:rsidRPr="009F3662">
        <w:rPr>
          <w:rFonts w:ascii="Times New Roman" w:hAnsi="Times New Roman" w:cs="Times New Roman"/>
        </w:rPr>
        <w:t>Board gender diversity, environmental innovation and corporate carbon emissions. </w:t>
      </w:r>
      <w:r w:rsidRPr="009F3662">
        <w:rPr>
          <w:rFonts w:ascii="Times New Roman" w:hAnsi="Times New Roman" w:cs="Times New Roman"/>
          <w:i/>
          <w:iCs/>
        </w:rPr>
        <w:t>Technological Forecasting and Social Change</w:t>
      </w:r>
      <w:r w:rsidRPr="009F3662">
        <w:rPr>
          <w:rFonts w:ascii="Times New Roman" w:hAnsi="Times New Roman" w:cs="Times New Roman"/>
        </w:rPr>
        <w:t>, </w:t>
      </w:r>
      <w:r w:rsidRPr="009F3662">
        <w:rPr>
          <w:rFonts w:ascii="Times New Roman" w:hAnsi="Times New Roman" w:cs="Times New Roman"/>
          <w:i/>
          <w:iCs/>
        </w:rPr>
        <w:t>174</w:t>
      </w:r>
      <w:r w:rsidRPr="009F3662">
        <w:rPr>
          <w:rFonts w:ascii="Times New Roman" w:hAnsi="Times New Roman" w:cs="Times New Roman"/>
        </w:rPr>
        <w:t xml:space="preserve">, 121279.  </w:t>
      </w:r>
      <w:hyperlink r:id="rId29" w:history="1">
        <w:r w:rsidRPr="009F3662">
          <w:rPr>
            <w:rStyle w:val="Hyperlink"/>
            <w:rFonts w:ascii="Times New Roman" w:hAnsi="Times New Roman" w:cs="Times New Roman"/>
            <w:color w:val="auto"/>
          </w:rPr>
          <w:t>https://doi.org/10.1016/j.techfore.2021.121279</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Konadu, R., Ahinful, G. S., Boakye, D. J</w:t>
      </w:r>
      <w:proofErr w:type="gramStart"/>
      <w:r w:rsidRPr="009F3662">
        <w:rPr>
          <w:rFonts w:ascii="Times New Roman" w:hAnsi="Times New Roman" w:cs="Times New Roman"/>
        </w:rPr>
        <w:t>.,</w:t>
      </w:r>
      <w:proofErr w:type="gramEnd"/>
      <w:r w:rsidRPr="009F3662">
        <w:rPr>
          <w:rFonts w:ascii="Times New Roman" w:hAnsi="Times New Roman" w:cs="Times New Roman"/>
        </w:rPr>
        <w:t xml:space="preserve"> &amp; Elbardan, H. (2022). Board gender diversity, environmental innovation and corporate carbon emissions. </w:t>
      </w:r>
      <w:r w:rsidRPr="009F3662">
        <w:rPr>
          <w:rFonts w:ascii="Times New Roman" w:hAnsi="Times New Roman" w:cs="Times New Roman"/>
          <w:i/>
        </w:rPr>
        <w:t>Technological Forecasting and Social Change</w:t>
      </w:r>
      <w:r w:rsidRPr="009F3662">
        <w:rPr>
          <w:rFonts w:ascii="Times New Roman" w:hAnsi="Times New Roman" w:cs="Times New Roman"/>
        </w:rPr>
        <w:t xml:space="preserve">, 174, 121279. </w:t>
      </w:r>
      <w:hyperlink r:id="rId30" w:history="1">
        <w:r w:rsidRPr="009F3662">
          <w:rPr>
            <w:rStyle w:val="Hyperlink"/>
            <w:rFonts w:ascii="Times New Roman" w:hAnsi="Times New Roman" w:cs="Times New Roman"/>
            <w:color w:val="auto"/>
          </w:rPr>
          <w:t>https://doi.org/10.1016/j.techfore.2021.121279</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Korphaibool, V., Chindasombatcharoen, P., Chatjuthamard, P., Jiraporn, P., &amp; Treepongkaruna, S. (2024). Business sustainability under the influence of female directors toward the risk‐taking in innovation: Evidence from textual analysis. </w:t>
      </w:r>
      <w:r w:rsidRPr="009F3662">
        <w:rPr>
          <w:rFonts w:ascii="Times New Roman" w:hAnsi="Times New Roman" w:cs="Times New Roman"/>
          <w:i/>
        </w:rPr>
        <w:t>Business Strategy and the Environment</w:t>
      </w:r>
      <w:r w:rsidRPr="009F3662">
        <w:rPr>
          <w:rFonts w:ascii="Times New Roman" w:hAnsi="Times New Roman" w:cs="Times New Roman"/>
        </w:rPr>
        <w:t xml:space="preserve">, 33(3), 1578-1591. </w:t>
      </w:r>
      <w:hyperlink r:id="rId31" w:history="1">
        <w:r w:rsidRPr="009F3662">
          <w:rPr>
            <w:rStyle w:val="Hyperlink"/>
            <w:rFonts w:ascii="Times New Roman" w:hAnsi="Times New Roman" w:cs="Times New Roman"/>
            <w:color w:val="auto"/>
          </w:rPr>
          <w:t>https://doi.org/10.1002/bse.3560</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lastRenderedPageBreak/>
        <w:t xml:space="preserve">Krause, R. (2017). Being the CEO's boss: An examination of board chair orientations. </w:t>
      </w:r>
      <w:r w:rsidRPr="009F3662">
        <w:rPr>
          <w:rFonts w:ascii="Times New Roman" w:hAnsi="Times New Roman" w:cs="Times New Roman"/>
          <w:i/>
        </w:rPr>
        <w:t>Strategic Management Journal</w:t>
      </w:r>
      <w:r w:rsidRPr="009F3662">
        <w:rPr>
          <w:rFonts w:ascii="Times New Roman" w:hAnsi="Times New Roman" w:cs="Times New Roman"/>
        </w:rPr>
        <w:t xml:space="preserve">, 38(3), 697-713. </w:t>
      </w:r>
      <w:hyperlink r:id="rId32" w:history="1">
        <w:r w:rsidRPr="009F3662">
          <w:rPr>
            <w:rStyle w:val="Hyperlink"/>
            <w:rFonts w:ascii="Times New Roman" w:hAnsi="Times New Roman" w:cs="Times New Roman"/>
            <w:color w:val="auto"/>
          </w:rPr>
          <w:t>https://doi.org/10.1002/smj.2500</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Kwarteng, A., Simpson, S. N. Y</w:t>
      </w:r>
      <w:proofErr w:type="gramStart"/>
      <w:r w:rsidRPr="009F3662">
        <w:rPr>
          <w:rFonts w:ascii="Times New Roman" w:hAnsi="Times New Roman" w:cs="Times New Roman"/>
        </w:rPr>
        <w:t>.,</w:t>
      </w:r>
      <w:proofErr w:type="gramEnd"/>
      <w:r w:rsidRPr="009F3662">
        <w:rPr>
          <w:rFonts w:ascii="Times New Roman" w:hAnsi="Times New Roman" w:cs="Times New Roman"/>
        </w:rPr>
        <w:t xml:space="preserve"> &amp; Agyenim-Boateng, C. (2022). The effects of circular economy initiative implementation on business </w:t>
      </w:r>
      <w:proofErr w:type="gramStart"/>
      <w:r w:rsidRPr="009F3662">
        <w:rPr>
          <w:rFonts w:ascii="Times New Roman" w:hAnsi="Times New Roman" w:cs="Times New Roman"/>
        </w:rPr>
        <w:t>performance</w:t>
      </w:r>
      <w:proofErr w:type="gramEnd"/>
      <w:r w:rsidRPr="009F3662">
        <w:rPr>
          <w:rFonts w:ascii="Times New Roman" w:hAnsi="Times New Roman" w:cs="Times New Roman"/>
        </w:rPr>
        <w:t xml:space="preserve">: the moderating role of organizational culture. </w:t>
      </w:r>
      <w:r w:rsidRPr="009F3662">
        <w:rPr>
          <w:rFonts w:ascii="Times New Roman" w:hAnsi="Times New Roman" w:cs="Times New Roman"/>
          <w:i/>
        </w:rPr>
        <w:t>Social Responsibility Journal</w:t>
      </w:r>
      <w:r w:rsidRPr="009F3662">
        <w:rPr>
          <w:rFonts w:ascii="Times New Roman" w:hAnsi="Times New Roman" w:cs="Times New Roman"/>
        </w:rPr>
        <w:t xml:space="preserve">, 18(7), 1311-1341. </w:t>
      </w:r>
      <w:hyperlink r:id="rId33" w:tgtFrame="_new" w:history="1">
        <w:r w:rsidRPr="009F3662">
          <w:rPr>
            <w:rStyle w:val="Hyperlink"/>
            <w:rFonts w:ascii="Times New Roman" w:hAnsi="Times New Roman" w:cs="Times New Roman"/>
            <w:color w:val="auto"/>
          </w:rPr>
          <w:t>https://doi.org/10.1108/SRJ-01-2021-0045</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Liu, X</w:t>
      </w:r>
      <w:proofErr w:type="gramStart"/>
      <w:r w:rsidRPr="009F3662">
        <w:rPr>
          <w:rFonts w:ascii="Times New Roman" w:hAnsi="Times New Roman" w:cs="Times New Roman"/>
        </w:rPr>
        <w:t>.,</w:t>
      </w:r>
      <w:proofErr w:type="gramEnd"/>
      <w:r w:rsidRPr="009F3662">
        <w:rPr>
          <w:rFonts w:ascii="Times New Roman" w:hAnsi="Times New Roman" w:cs="Times New Roman"/>
        </w:rPr>
        <w:t xml:space="preserve"> Huang, N., Su, W., &amp; Zhou, H. (2024). Green innovation and corporate ESG </w:t>
      </w:r>
      <w:proofErr w:type="gramStart"/>
      <w:r w:rsidRPr="009F3662">
        <w:rPr>
          <w:rFonts w:ascii="Times New Roman" w:hAnsi="Times New Roman" w:cs="Times New Roman"/>
        </w:rPr>
        <w:t>performance</w:t>
      </w:r>
      <w:proofErr w:type="gramEnd"/>
      <w:r w:rsidRPr="009F3662">
        <w:rPr>
          <w:rFonts w:ascii="Times New Roman" w:hAnsi="Times New Roman" w:cs="Times New Roman"/>
        </w:rPr>
        <w:t xml:space="preserve">: Evidence from Chinese listed companies. </w:t>
      </w:r>
      <w:r w:rsidRPr="009F3662">
        <w:rPr>
          <w:rFonts w:ascii="Times New Roman" w:hAnsi="Times New Roman" w:cs="Times New Roman"/>
          <w:i/>
        </w:rPr>
        <w:t>International Review of Economics &amp; Finance</w:t>
      </w:r>
      <w:r w:rsidRPr="009F3662">
        <w:rPr>
          <w:rFonts w:ascii="Times New Roman" w:hAnsi="Times New Roman" w:cs="Times New Roman"/>
        </w:rPr>
        <w:t xml:space="preserve">, 95, 103461. </w:t>
      </w:r>
      <w:hyperlink r:id="rId34" w:history="1">
        <w:r w:rsidRPr="009F3662">
          <w:rPr>
            <w:rStyle w:val="Hyperlink"/>
            <w:rFonts w:ascii="Times New Roman" w:hAnsi="Times New Roman" w:cs="Times New Roman"/>
            <w:color w:val="auto"/>
          </w:rPr>
          <w:t>https://doi.org/10.1016/j.iref.2024.103461</w:t>
        </w:r>
      </w:hyperlink>
      <w:proofErr w:type="gramStart"/>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proofErr w:type="gramEnd"/>
      <w:r w:rsidRPr="009F3662">
        <w:rPr>
          <w:rFonts w:ascii="Times New Roman" w:hAnsi="Times New Roman" w:cs="Times New Roman"/>
        </w:rPr>
        <w:t>Ma, Z</w:t>
      </w:r>
      <w:proofErr w:type="gramStart"/>
      <w:r w:rsidRPr="009F3662">
        <w:rPr>
          <w:rFonts w:ascii="Times New Roman" w:hAnsi="Times New Roman" w:cs="Times New Roman"/>
        </w:rPr>
        <w:t>.,</w:t>
      </w:r>
      <w:proofErr w:type="gramEnd"/>
      <w:r w:rsidRPr="009F3662">
        <w:rPr>
          <w:rFonts w:ascii="Times New Roman" w:hAnsi="Times New Roman" w:cs="Times New Roman"/>
        </w:rPr>
        <w:t xml:space="preserve"> Shu, G., Wang, Q., &amp; Wang, L. (2022). Sustainable governance and </w:t>
      </w:r>
      <w:proofErr w:type="gramStart"/>
      <w:r w:rsidRPr="009F3662">
        <w:rPr>
          <w:rFonts w:ascii="Times New Roman" w:hAnsi="Times New Roman" w:cs="Times New Roman"/>
        </w:rPr>
        <w:t>green</w:t>
      </w:r>
      <w:proofErr w:type="gramEnd"/>
      <w:r w:rsidRPr="009F3662">
        <w:rPr>
          <w:rFonts w:ascii="Times New Roman" w:hAnsi="Times New Roman" w:cs="Times New Roman"/>
        </w:rPr>
        <w:t xml:space="preserve"> innovation: A perspective from gender diversity in China's listed companies. </w:t>
      </w:r>
      <w:r w:rsidRPr="009F3662">
        <w:rPr>
          <w:rFonts w:ascii="Times New Roman" w:hAnsi="Times New Roman" w:cs="Times New Roman"/>
          <w:i/>
        </w:rPr>
        <w:t>Sustainability</w:t>
      </w:r>
      <w:r w:rsidRPr="009F3662">
        <w:rPr>
          <w:rFonts w:ascii="Times New Roman" w:hAnsi="Times New Roman" w:cs="Times New Roman"/>
        </w:rPr>
        <w:t xml:space="preserve">, 14(11), 6403. </w:t>
      </w:r>
      <w:hyperlink r:id="rId35" w:history="1">
        <w:r w:rsidRPr="009F3662">
          <w:rPr>
            <w:rStyle w:val="Hyperlink"/>
            <w:rFonts w:ascii="Times New Roman" w:hAnsi="Times New Roman" w:cs="Times New Roman"/>
            <w:color w:val="auto"/>
          </w:rPr>
          <w:t>https://doi.org/10.3390/su14116403</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shd w:val="clear" w:color="auto" w:fill="FFFFFF"/>
        </w:rPr>
        <w:t>Med Bechir, C., &amp; Jouirou, M. (2024). Investment efficiency and corporate governance: evidence from Asian listed firms. </w:t>
      </w:r>
      <w:r w:rsidRPr="009F3662">
        <w:rPr>
          <w:rFonts w:ascii="Times New Roman" w:hAnsi="Times New Roman" w:cs="Times New Roman"/>
          <w:i/>
          <w:iCs/>
          <w:shd w:val="clear" w:color="auto" w:fill="FFFFFF"/>
        </w:rPr>
        <w:t>Journal of Sustainable Finance &amp; Investment</w:t>
      </w:r>
      <w:r w:rsidRPr="009F3662">
        <w:rPr>
          <w:rFonts w:ascii="Times New Roman" w:hAnsi="Times New Roman" w:cs="Times New Roman"/>
          <w:shd w:val="clear" w:color="auto" w:fill="FFFFFF"/>
        </w:rPr>
        <w:t>, </w:t>
      </w:r>
      <w:r w:rsidRPr="009F3662">
        <w:rPr>
          <w:rFonts w:ascii="Times New Roman" w:hAnsi="Times New Roman" w:cs="Times New Roman"/>
          <w:i/>
          <w:iCs/>
          <w:shd w:val="clear" w:color="auto" w:fill="FFFFFF"/>
        </w:rPr>
        <w:t>14</w:t>
      </w:r>
      <w:r w:rsidRPr="009F3662">
        <w:rPr>
          <w:rFonts w:ascii="Times New Roman" w:hAnsi="Times New Roman" w:cs="Times New Roman"/>
          <w:shd w:val="clear" w:color="auto" w:fill="FFFFFF"/>
        </w:rPr>
        <w:t xml:space="preserve">(3), 596-618. </w:t>
      </w:r>
      <w:hyperlink r:id="rId36" w:tgtFrame="_new" w:history="1">
        <w:r w:rsidRPr="009F3662">
          <w:rPr>
            <w:rStyle w:val="Hyperlink"/>
            <w:rFonts w:ascii="Times New Roman" w:hAnsi="Times New Roman" w:cs="Times New Roman"/>
            <w:color w:val="auto"/>
          </w:rPr>
          <w:t>https://doi.org/10.1080/20430795.2021.1974241</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Nguyen, T. H. H., Ntim, C. G., &amp; Malagila, J. K</w:t>
      </w:r>
      <w:proofErr w:type="gramStart"/>
      <w:r w:rsidRPr="009F3662">
        <w:rPr>
          <w:rFonts w:ascii="Times New Roman" w:hAnsi="Times New Roman" w:cs="Times New Roman"/>
        </w:rPr>
        <w:t>.,</w:t>
      </w:r>
      <w:proofErr w:type="gramEnd"/>
      <w:r w:rsidRPr="009F3662">
        <w:rPr>
          <w:rFonts w:ascii="Times New Roman" w:hAnsi="Times New Roman" w:cs="Times New Roman"/>
        </w:rPr>
        <w:t xml:space="preserve"> (2020). Women on corporate boards and corporate financial and non-financial erformance: A systematic literature review and future research agenda. </w:t>
      </w:r>
      <w:r w:rsidRPr="009F3662">
        <w:rPr>
          <w:rFonts w:ascii="Times New Roman" w:hAnsi="Times New Roman" w:cs="Times New Roman"/>
          <w:i/>
        </w:rPr>
        <w:t>International Review of Financial Analysis</w:t>
      </w:r>
      <w:r w:rsidRPr="009F3662">
        <w:rPr>
          <w:rFonts w:ascii="Times New Roman" w:hAnsi="Times New Roman" w:cs="Times New Roman"/>
        </w:rPr>
        <w:t xml:space="preserve">, 71, 101554. </w:t>
      </w:r>
      <w:hyperlink r:id="rId37" w:tgtFrame="_blank" w:tooltip="Persistent link using digital object identifier" w:history="1">
        <w:r w:rsidRPr="009F3662">
          <w:rPr>
            <w:rStyle w:val="Hyperlink"/>
            <w:rFonts w:ascii="Times New Roman" w:hAnsi="Times New Roman" w:cs="Times New Roman"/>
            <w:color w:val="auto"/>
          </w:rPr>
          <w:t>https://doi.org/10.1016/j.irfa.2020.101554</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Palea, V., Santhià, C., &amp; Miazza, A. (2023). Are circular economy strategies economically successful? Evidence from a longitudinal panel. </w:t>
      </w:r>
      <w:r w:rsidRPr="009F3662">
        <w:rPr>
          <w:rFonts w:ascii="Times New Roman" w:hAnsi="Times New Roman" w:cs="Times New Roman"/>
          <w:i/>
          <w:iCs/>
        </w:rPr>
        <w:t>Journal of Environmental Management</w:t>
      </w:r>
      <w:r w:rsidRPr="009F3662">
        <w:rPr>
          <w:rFonts w:ascii="Times New Roman" w:hAnsi="Times New Roman" w:cs="Times New Roman"/>
        </w:rPr>
        <w:t>, </w:t>
      </w:r>
      <w:r w:rsidRPr="009F3662">
        <w:rPr>
          <w:rFonts w:ascii="Times New Roman" w:hAnsi="Times New Roman" w:cs="Times New Roman"/>
          <w:i/>
          <w:iCs/>
        </w:rPr>
        <w:t>337</w:t>
      </w:r>
      <w:r w:rsidRPr="009F3662">
        <w:rPr>
          <w:rFonts w:ascii="Times New Roman" w:hAnsi="Times New Roman" w:cs="Times New Roman"/>
        </w:rPr>
        <w:t xml:space="preserve">, 117726. </w:t>
      </w:r>
      <w:hyperlink r:id="rId38" w:history="1">
        <w:r w:rsidRPr="009F3662">
          <w:rPr>
            <w:rStyle w:val="Hyperlink"/>
            <w:rFonts w:ascii="Times New Roman" w:hAnsi="Times New Roman" w:cs="Times New Roman"/>
            <w:color w:val="auto"/>
          </w:rPr>
          <w:t>https://doi.org/10.1016/j.jenvman.2023.117726</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Post, C., &amp; Byron, K. (2015). Women on boards and firm financial </w:t>
      </w:r>
      <w:proofErr w:type="gramStart"/>
      <w:r w:rsidRPr="009F3662">
        <w:rPr>
          <w:rFonts w:ascii="Times New Roman" w:hAnsi="Times New Roman" w:cs="Times New Roman"/>
        </w:rPr>
        <w:t>performance</w:t>
      </w:r>
      <w:proofErr w:type="gramEnd"/>
      <w:r w:rsidRPr="009F3662">
        <w:rPr>
          <w:rFonts w:ascii="Times New Roman" w:hAnsi="Times New Roman" w:cs="Times New Roman"/>
        </w:rPr>
        <w:t>: A meta-analysis. </w:t>
      </w:r>
      <w:r w:rsidRPr="009F3662">
        <w:rPr>
          <w:rFonts w:ascii="Times New Roman" w:hAnsi="Times New Roman" w:cs="Times New Roman"/>
          <w:i/>
          <w:iCs/>
        </w:rPr>
        <w:t>Academy of management Journal</w:t>
      </w:r>
      <w:r w:rsidRPr="009F3662">
        <w:rPr>
          <w:rFonts w:ascii="Times New Roman" w:hAnsi="Times New Roman" w:cs="Times New Roman"/>
        </w:rPr>
        <w:t>, </w:t>
      </w:r>
      <w:r w:rsidRPr="009F3662">
        <w:rPr>
          <w:rFonts w:ascii="Times New Roman" w:hAnsi="Times New Roman" w:cs="Times New Roman"/>
          <w:i/>
          <w:iCs/>
        </w:rPr>
        <w:t>58</w:t>
      </w:r>
      <w:r w:rsidRPr="009F3662">
        <w:rPr>
          <w:rFonts w:ascii="Times New Roman" w:hAnsi="Times New Roman" w:cs="Times New Roman"/>
        </w:rPr>
        <w:t xml:space="preserve">(5), 1546-1571. </w:t>
      </w:r>
      <w:hyperlink r:id="rId39" w:history="1">
        <w:r w:rsidRPr="009F3662">
          <w:rPr>
            <w:rStyle w:val="Hyperlink"/>
            <w:rFonts w:ascii="Times New Roman" w:hAnsi="Times New Roman" w:cs="Times New Roman"/>
            <w:color w:val="auto"/>
          </w:rPr>
          <w:t>https://doi.org/10.5465/amj.2013.0319</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Ranta, V., Aarikka-Stenroos, L., &amp; Mäkinen, S. J. (2018). Creating value in the circular economy: A structured multiple-case analysis of business models. </w:t>
      </w:r>
      <w:r w:rsidRPr="009F3662">
        <w:rPr>
          <w:rFonts w:ascii="Times New Roman" w:hAnsi="Times New Roman" w:cs="Times New Roman"/>
          <w:i/>
          <w:iCs/>
        </w:rPr>
        <w:t>Journal of cleaner production</w:t>
      </w:r>
      <w:r w:rsidRPr="009F3662">
        <w:rPr>
          <w:rFonts w:ascii="Times New Roman" w:hAnsi="Times New Roman" w:cs="Times New Roman"/>
        </w:rPr>
        <w:t>, </w:t>
      </w:r>
      <w:r w:rsidRPr="009F3662">
        <w:rPr>
          <w:rFonts w:ascii="Times New Roman" w:hAnsi="Times New Roman" w:cs="Times New Roman"/>
          <w:i/>
          <w:iCs/>
        </w:rPr>
        <w:t>201</w:t>
      </w:r>
      <w:r w:rsidRPr="009F3662">
        <w:rPr>
          <w:rFonts w:ascii="Times New Roman" w:hAnsi="Times New Roman" w:cs="Times New Roman"/>
        </w:rPr>
        <w:t xml:space="preserve">, 988-1000. </w:t>
      </w:r>
      <w:hyperlink r:id="rId40" w:history="1">
        <w:r w:rsidRPr="009F3662">
          <w:rPr>
            <w:rStyle w:val="Hyperlink"/>
            <w:rFonts w:ascii="Times New Roman" w:hAnsi="Times New Roman" w:cs="Times New Roman"/>
            <w:color w:val="auto"/>
          </w:rPr>
          <w:t>https://doi.org/10.1016/j.jclepro.2018.08.072</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Ribeiro, A. </w:t>
      </w:r>
      <w:proofErr w:type="gramStart"/>
      <w:r w:rsidRPr="009F3662">
        <w:rPr>
          <w:rFonts w:ascii="Times New Roman" w:hAnsi="Times New Roman" w:cs="Times New Roman"/>
        </w:rPr>
        <w:t>D.</w:t>
      </w:r>
      <w:proofErr w:type="gramEnd"/>
      <w:r w:rsidRPr="009F3662">
        <w:rPr>
          <w:rFonts w:ascii="Times New Roman" w:hAnsi="Times New Roman" w:cs="Times New Roman"/>
        </w:rPr>
        <w:t>; &amp; Funchal, B. (2018). Fatores determinantes na incorporação das organizações ao ISE. </w:t>
      </w:r>
      <w:r w:rsidRPr="009F3662">
        <w:rPr>
          <w:rFonts w:ascii="Times New Roman" w:hAnsi="Times New Roman" w:cs="Times New Roman"/>
          <w:bCs/>
          <w:i/>
        </w:rPr>
        <w:t>Base Revista de Administração e Contabilidade da UNISINOS</w:t>
      </w:r>
      <w:r w:rsidRPr="009F3662">
        <w:rPr>
          <w:rFonts w:ascii="Times New Roman" w:hAnsi="Times New Roman" w:cs="Times New Roman"/>
          <w:i/>
        </w:rPr>
        <w:t>,</w:t>
      </w:r>
      <w:r w:rsidRPr="009F3662">
        <w:rPr>
          <w:rFonts w:ascii="Times New Roman" w:hAnsi="Times New Roman" w:cs="Times New Roman"/>
        </w:rPr>
        <w:t xml:space="preserve"> v. 15, n. 1, p. 31-41. </w:t>
      </w:r>
      <w:hyperlink r:id="rId41" w:history="1">
        <w:r w:rsidRPr="009F3662">
          <w:rPr>
            <w:rStyle w:val="Hyperlink"/>
            <w:rFonts w:ascii="Times New Roman" w:hAnsi="Times New Roman" w:cs="Times New Roman"/>
            <w:color w:val="auto"/>
          </w:rPr>
          <w:t>https://doi.org/10.4013/base.2018.151.03</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Romano, M., Cirillo, A., Favino, C., &amp; Netti, A. (2020). </w:t>
      </w:r>
      <w:r w:rsidRPr="009F3662">
        <w:rPr>
          <w:rFonts w:ascii="Times New Roman" w:hAnsi="Times New Roman" w:cs="Times New Roman"/>
          <w:lang w:val="en-US"/>
        </w:rPr>
        <w:t>ESG (environmental, social and governance) performance and board gender diversity: the moderating role of CEO duality. </w:t>
      </w:r>
      <w:r w:rsidRPr="009F3662">
        <w:rPr>
          <w:rFonts w:ascii="Times New Roman" w:hAnsi="Times New Roman" w:cs="Times New Roman"/>
          <w:i/>
          <w:iCs/>
        </w:rPr>
        <w:t>Sustainability</w:t>
      </w:r>
      <w:r w:rsidRPr="009F3662">
        <w:rPr>
          <w:rFonts w:ascii="Times New Roman" w:hAnsi="Times New Roman" w:cs="Times New Roman"/>
        </w:rPr>
        <w:t>, </w:t>
      </w:r>
      <w:r w:rsidRPr="009F3662">
        <w:rPr>
          <w:rFonts w:ascii="Times New Roman" w:hAnsi="Times New Roman" w:cs="Times New Roman"/>
          <w:iCs/>
        </w:rPr>
        <w:t>12</w:t>
      </w:r>
      <w:r w:rsidRPr="009F3662">
        <w:rPr>
          <w:rFonts w:ascii="Times New Roman" w:hAnsi="Times New Roman" w:cs="Times New Roman"/>
        </w:rPr>
        <w:t xml:space="preserve">(21), 9298. </w:t>
      </w:r>
      <w:hyperlink r:id="rId42" w:history="1">
        <w:r w:rsidRPr="009F3662">
          <w:rPr>
            <w:rStyle w:val="Hyperlink"/>
            <w:rFonts w:ascii="Times New Roman" w:hAnsi="Times New Roman" w:cs="Times New Roman"/>
            <w:color w:val="auto"/>
          </w:rPr>
          <w:t>https://doi.org/10.3390/su12219298</w:t>
        </w:r>
      </w:hyperlink>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Shakil, M.H., Tasnia, M. and Mostafiz, M.I. (2021), "Board gender diversity and environmental, social and governance </w:t>
      </w:r>
      <w:proofErr w:type="gramStart"/>
      <w:r w:rsidRPr="009F3662">
        <w:rPr>
          <w:rFonts w:ascii="Times New Roman" w:hAnsi="Times New Roman" w:cs="Times New Roman"/>
        </w:rPr>
        <w:t>performance</w:t>
      </w:r>
      <w:proofErr w:type="gramEnd"/>
      <w:r w:rsidRPr="009F3662">
        <w:rPr>
          <w:rFonts w:ascii="Times New Roman" w:hAnsi="Times New Roman" w:cs="Times New Roman"/>
        </w:rPr>
        <w:t xml:space="preserve"> of US banks: moderating role of environmental, social and corporate governance controversies", International </w:t>
      </w:r>
      <w:r w:rsidRPr="009F3662">
        <w:rPr>
          <w:rFonts w:ascii="Times New Roman" w:hAnsi="Times New Roman" w:cs="Times New Roman"/>
          <w:i/>
        </w:rPr>
        <w:t>Journal of Bank Marketing</w:t>
      </w:r>
      <w:r w:rsidRPr="009F3662">
        <w:rPr>
          <w:rFonts w:ascii="Times New Roman" w:hAnsi="Times New Roman" w:cs="Times New Roman"/>
        </w:rPr>
        <w:t xml:space="preserve">, 39(4), 661-677. </w:t>
      </w:r>
      <w:hyperlink r:id="rId43" w:history="1">
        <w:r w:rsidRPr="009F3662">
          <w:rPr>
            <w:rStyle w:val="Hyperlink"/>
            <w:rFonts w:ascii="Times New Roman" w:hAnsi="Times New Roman" w:cs="Times New Roman"/>
            <w:color w:val="auto"/>
          </w:rPr>
          <w:t>https://doi.org/10.1108/IJBM-04-2020-0210</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Wooldridge, J. M. (2010). Econometric Analysis of Cross Section and Panel Data. MIT Press. Acesso em: 27 fev. 2025. Disponível em: </w:t>
      </w:r>
      <w:hyperlink r:id="rId44" w:history="1">
        <w:r w:rsidRPr="009F3662">
          <w:rPr>
            <w:rStyle w:val="Hyperlink"/>
            <w:rFonts w:ascii="Times New Roman" w:hAnsi="Times New Roman" w:cs="Times New Roman"/>
            <w:color w:val="auto"/>
          </w:rPr>
          <w:t>http://mmf.lnu.edu.ua/images/stories/depart/mee/wooldridge_cross_section_and_panel_data.pdf</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 xml:space="preserve">Zhang, </w:t>
      </w:r>
      <w:proofErr w:type="gramStart"/>
      <w:r w:rsidRPr="009F3662">
        <w:rPr>
          <w:rFonts w:ascii="Times New Roman" w:hAnsi="Times New Roman" w:cs="Times New Roman"/>
        </w:rPr>
        <w:t>D.</w:t>
      </w:r>
      <w:proofErr w:type="gramEnd"/>
      <w:r w:rsidRPr="009F3662">
        <w:rPr>
          <w:rFonts w:ascii="Times New Roman" w:hAnsi="Times New Roman" w:cs="Times New Roman"/>
        </w:rPr>
        <w:t xml:space="preserve"> (2023). Does </w:t>
      </w:r>
      <w:proofErr w:type="gramStart"/>
      <w:r w:rsidRPr="009F3662">
        <w:rPr>
          <w:rFonts w:ascii="Times New Roman" w:hAnsi="Times New Roman" w:cs="Times New Roman"/>
        </w:rPr>
        <w:t>green</w:t>
      </w:r>
      <w:proofErr w:type="gramEnd"/>
      <w:r w:rsidRPr="009F3662">
        <w:rPr>
          <w:rFonts w:ascii="Times New Roman" w:hAnsi="Times New Roman" w:cs="Times New Roman"/>
        </w:rPr>
        <w:t xml:space="preserve"> finance really inhibit extreme hypocritical ESG risk? A greenwashing perspective exploration. </w:t>
      </w:r>
      <w:r w:rsidRPr="009F3662">
        <w:rPr>
          <w:rFonts w:ascii="Times New Roman" w:hAnsi="Times New Roman" w:cs="Times New Roman"/>
          <w:i/>
          <w:iCs/>
        </w:rPr>
        <w:t>Energy Economics</w:t>
      </w:r>
      <w:r w:rsidRPr="009F3662">
        <w:rPr>
          <w:rFonts w:ascii="Times New Roman" w:hAnsi="Times New Roman" w:cs="Times New Roman"/>
        </w:rPr>
        <w:t>, </w:t>
      </w:r>
      <w:r w:rsidRPr="009F3662">
        <w:rPr>
          <w:rFonts w:ascii="Times New Roman" w:hAnsi="Times New Roman" w:cs="Times New Roman"/>
          <w:i/>
          <w:iCs/>
        </w:rPr>
        <w:t>121</w:t>
      </w:r>
      <w:r w:rsidRPr="009F3662">
        <w:rPr>
          <w:rFonts w:ascii="Times New Roman" w:hAnsi="Times New Roman" w:cs="Times New Roman"/>
        </w:rPr>
        <w:t xml:space="preserve">, 106688. </w:t>
      </w:r>
      <w:hyperlink r:id="rId45" w:history="1">
        <w:r w:rsidRPr="009F3662">
          <w:rPr>
            <w:rStyle w:val="Hyperlink"/>
            <w:rFonts w:ascii="Times New Roman" w:hAnsi="Times New Roman" w:cs="Times New Roman"/>
            <w:color w:val="auto"/>
          </w:rPr>
          <w:t>https://doi.org/10.1016/j.eneco.2023.106688</w:t>
        </w:r>
      </w:hyperlink>
      <w:r w:rsidRPr="009F3662">
        <w:rPr>
          <w:rFonts w:ascii="Times New Roman" w:hAnsi="Times New Roman" w:cs="Times New Roman"/>
        </w:rPr>
        <w:t xml:space="preserve"> </w:t>
      </w:r>
    </w:p>
    <w:p w:rsidR="00060528" w:rsidRPr="009F3662" w:rsidRDefault="00060528" w:rsidP="002F1E0B">
      <w:pPr>
        <w:pStyle w:val="PargrafodaLista"/>
        <w:numPr>
          <w:ilvl w:val="0"/>
          <w:numId w:val="2"/>
        </w:numPr>
        <w:spacing w:before="200" w:line="240" w:lineRule="auto"/>
        <w:jc w:val="both"/>
        <w:rPr>
          <w:rFonts w:ascii="Times New Roman" w:hAnsi="Times New Roman" w:cs="Times New Roman"/>
        </w:rPr>
      </w:pPr>
      <w:r w:rsidRPr="009F3662">
        <w:rPr>
          <w:rFonts w:ascii="Times New Roman" w:hAnsi="Times New Roman" w:cs="Times New Roman"/>
        </w:rPr>
        <w:t>Zournatzidou, G., Ragazou, K</w:t>
      </w:r>
      <w:proofErr w:type="gramStart"/>
      <w:r w:rsidRPr="009F3662">
        <w:rPr>
          <w:rFonts w:ascii="Times New Roman" w:hAnsi="Times New Roman" w:cs="Times New Roman"/>
        </w:rPr>
        <w:t>.,</w:t>
      </w:r>
      <w:proofErr w:type="gramEnd"/>
      <w:r w:rsidRPr="009F3662">
        <w:rPr>
          <w:rFonts w:ascii="Times New Roman" w:hAnsi="Times New Roman" w:cs="Times New Roman"/>
        </w:rPr>
        <w:t xml:space="preserve"> Sklavos, G., &amp; Sariannidis, N. (2025). Examining the Impact of Environmental, Social, and Corporate Governance Factors on Long-Term Financial Stability of the European Financial Institutions: Dynamic Panel Data Models with Fixed Effects. </w:t>
      </w:r>
      <w:r w:rsidRPr="009F3662">
        <w:rPr>
          <w:rFonts w:ascii="Times New Roman" w:hAnsi="Times New Roman" w:cs="Times New Roman"/>
          <w:i/>
        </w:rPr>
        <w:t>International Journal of Financial Studies</w:t>
      </w:r>
      <w:r w:rsidRPr="009F3662">
        <w:rPr>
          <w:rFonts w:ascii="Times New Roman" w:hAnsi="Times New Roman" w:cs="Times New Roman"/>
        </w:rPr>
        <w:t xml:space="preserve">, 13(1), </w:t>
      </w:r>
      <w:proofErr w:type="gramStart"/>
      <w:r w:rsidRPr="009F3662">
        <w:rPr>
          <w:rFonts w:ascii="Times New Roman" w:hAnsi="Times New Roman" w:cs="Times New Roman"/>
        </w:rPr>
        <w:t>3</w:t>
      </w:r>
      <w:proofErr w:type="gramEnd"/>
      <w:r w:rsidRPr="009F3662">
        <w:rPr>
          <w:rFonts w:ascii="Times New Roman" w:hAnsi="Times New Roman" w:cs="Times New Roman"/>
        </w:rPr>
        <w:t xml:space="preserve">. </w:t>
      </w:r>
      <w:hyperlink r:id="rId46" w:history="1">
        <w:r w:rsidRPr="009F3662">
          <w:rPr>
            <w:rStyle w:val="Hyperlink"/>
            <w:rFonts w:ascii="Times New Roman" w:hAnsi="Times New Roman" w:cs="Times New Roman"/>
            <w:color w:val="auto"/>
          </w:rPr>
          <w:t>https://doi.org/10.3390/ijfs13010003</w:t>
        </w:r>
      </w:hyperlink>
    </w:p>
    <w:p w:rsidR="007A1D5F" w:rsidRPr="009F3662" w:rsidRDefault="007A1D5F" w:rsidP="007A1D5F">
      <w:pPr>
        <w:spacing w:after="0" w:line="480" w:lineRule="auto"/>
        <w:jc w:val="both"/>
        <w:rPr>
          <w:rFonts w:ascii="Times New Roman" w:hAnsi="Times New Roman" w:cs="Times New Roman"/>
          <w:sz w:val="24"/>
        </w:rPr>
      </w:pPr>
    </w:p>
    <w:sectPr w:rsidR="007A1D5F" w:rsidRPr="009F3662" w:rsidSect="009F7493">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1CAF"/>
    <w:multiLevelType w:val="hybridMultilevel"/>
    <w:tmpl w:val="389C12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8A1B44"/>
    <w:multiLevelType w:val="hybridMultilevel"/>
    <w:tmpl w:val="E5DA84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93"/>
    <w:rsid w:val="00005F21"/>
    <w:rsid w:val="00060528"/>
    <w:rsid w:val="001D6495"/>
    <w:rsid w:val="00251446"/>
    <w:rsid w:val="00267B0E"/>
    <w:rsid w:val="002F1E0B"/>
    <w:rsid w:val="003B7103"/>
    <w:rsid w:val="003E67DF"/>
    <w:rsid w:val="00466EE9"/>
    <w:rsid w:val="00572828"/>
    <w:rsid w:val="005A3C92"/>
    <w:rsid w:val="005A6679"/>
    <w:rsid w:val="005E66B3"/>
    <w:rsid w:val="00610E5D"/>
    <w:rsid w:val="00697985"/>
    <w:rsid w:val="006C190B"/>
    <w:rsid w:val="006F04AD"/>
    <w:rsid w:val="00715E49"/>
    <w:rsid w:val="0074534B"/>
    <w:rsid w:val="00770DD1"/>
    <w:rsid w:val="007A1D5F"/>
    <w:rsid w:val="008B4EED"/>
    <w:rsid w:val="008E08A2"/>
    <w:rsid w:val="009F3662"/>
    <w:rsid w:val="009F7493"/>
    <w:rsid w:val="00C139EC"/>
    <w:rsid w:val="00CA64B1"/>
    <w:rsid w:val="00CB05C1"/>
    <w:rsid w:val="00D52243"/>
    <w:rsid w:val="00D527C0"/>
    <w:rsid w:val="00DD354B"/>
    <w:rsid w:val="00DD381B"/>
    <w:rsid w:val="00E011BC"/>
    <w:rsid w:val="00E70ED5"/>
    <w:rsid w:val="00EA7218"/>
    <w:rsid w:val="00F139D5"/>
    <w:rsid w:val="00F44743"/>
  </w:rsids>
  <m:mathPr>
    <m:mathFont m:val="Cambria Math"/>
    <m:brkBin m:val="before"/>
    <m:brkBinSub m:val="--"/>
    <m:smallFrac/>
    <m:dispDef/>
    <m:lMargin m:val="1134"/>
    <m:rMargin m:val="1134"/>
    <m:defJc m:val="right"/>
    <m:wrapIndent m:val="85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F04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F04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453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534B"/>
    <w:rPr>
      <w:rFonts w:ascii="Tahoma" w:hAnsi="Tahoma" w:cs="Tahoma"/>
      <w:sz w:val="16"/>
      <w:szCs w:val="16"/>
    </w:rPr>
  </w:style>
  <w:style w:type="table" w:styleId="SombreamentoClaro">
    <w:name w:val="Light Shading"/>
    <w:basedOn w:val="Tabelanormal"/>
    <w:uiPriority w:val="60"/>
    <w:rsid w:val="00466EE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qFormat/>
    <w:rsid w:val="006F04AD"/>
    <w:rPr>
      <w:color w:val="0000FF" w:themeColor="hyperlink"/>
      <w:u w:val="single"/>
    </w:rPr>
  </w:style>
  <w:style w:type="character" w:styleId="HiperlinkVisitado">
    <w:name w:val="FollowedHyperlink"/>
    <w:basedOn w:val="Fontepargpadro"/>
    <w:uiPriority w:val="99"/>
    <w:semiHidden/>
    <w:unhideWhenUsed/>
    <w:rsid w:val="006F04AD"/>
    <w:rPr>
      <w:color w:val="800080" w:themeColor="followedHyperlink"/>
      <w:u w:val="single"/>
    </w:rPr>
  </w:style>
  <w:style w:type="character" w:customStyle="1" w:styleId="Ttulo1Char">
    <w:name w:val="Título 1 Char"/>
    <w:basedOn w:val="Fontepargpadro"/>
    <w:link w:val="Ttulo1"/>
    <w:uiPriority w:val="9"/>
    <w:rsid w:val="006F04A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6F04AD"/>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2F1E0B"/>
    <w:pPr>
      <w:ind w:left="720"/>
      <w:contextualSpacing/>
    </w:pPr>
  </w:style>
  <w:style w:type="paragraph" w:styleId="NormalWeb">
    <w:name w:val="Normal (Web)"/>
    <w:basedOn w:val="Normal"/>
    <w:uiPriority w:val="99"/>
    <w:semiHidden/>
    <w:unhideWhenUsed/>
    <w:rsid w:val="00CB05C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F04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F04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453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534B"/>
    <w:rPr>
      <w:rFonts w:ascii="Tahoma" w:hAnsi="Tahoma" w:cs="Tahoma"/>
      <w:sz w:val="16"/>
      <w:szCs w:val="16"/>
    </w:rPr>
  </w:style>
  <w:style w:type="table" w:styleId="SombreamentoClaro">
    <w:name w:val="Light Shading"/>
    <w:basedOn w:val="Tabelanormal"/>
    <w:uiPriority w:val="60"/>
    <w:rsid w:val="00466EE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qFormat/>
    <w:rsid w:val="006F04AD"/>
    <w:rPr>
      <w:color w:val="0000FF" w:themeColor="hyperlink"/>
      <w:u w:val="single"/>
    </w:rPr>
  </w:style>
  <w:style w:type="character" w:styleId="HiperlinkVisitado">
    <w:name w:val="FollowedHyperlink"/>
    <w:basedOn w:val="Fontepargpadro"/>
    <w:uiPriority w:val="99"/>
    <w:semiHidden/>
    <w:unhideWhenUsed/>
    <w:rsid w:val="006F04AD"/>
    <w:rPr>
      <w:color w:val="800080" w:themeColor="followedHyperlink"/>
      <w:u w:val="single"/>
    </w:rPr>
  </w:style>
  <w:style w:type="character" w:customStyle="1" w:styleId="Ttulo1Char">
    <w:name w:val="Título 1 Char"/>
    <w:basedOn w:val="Fontepargpadro"/>
    <w:link w:val="Ttulo1"/>
    <w:uiPriority w:val="9"/>
    <w:rsid w:val="006F04A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6F04AD"/>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2F1E0B"/>
    <w:pPr>
      <w:ind w:left="720"/>
      <w:contextualSpacing/>
    </w:pPr>
  </w:style>
  <w:style w:type="paragraph" w:styleId="NormalWeb">
    <w:name w:val="Normal (Web)"/>
    <w:basedOn w:val="Normal"/>
    <w:uiPriority w:val="99"/>
    <w:semiHidden/>
    <w:unhideWhenUsed/>
    <w:rsid w:val="00CB05C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216">
      <w:bodyDiv w:val="1"/>
      <w:marLeft w:val="0"/>
      <w:marRight w:val="0"/>
      <w:marTop w:val="0"/>
      <w:marBottom w:val="0"/>
      <w:divBdr>
        <w:top w:val="none" w:sz="0" w:space="0" w:color="auto"/>
        <w:left w:val="none" w:sz="0" w:space="0" w:color="auto"/>
        <w:bottom w:val="none" w:sz="0" w:space="0" w:color="auto"/>
        <w:right w:val="none" w:sz="0" w:space="0" w:color="auto"/>
      </w:divBdr>
    </w:div>
    <w:div w:id="21323382">
      <w:bodyDiv w:val="1"/>
      <w:marLeft w:val="0"/>
      <w:marRight w:val="0"/>
      <w:marTop w:val="0"/>
      <w:marBottom w:val="0"/>
      <w:divBdr>
        <w:top w:val="none" w:sz="0" w:space="0" w:color="auto"/>
        <w:left w:val="none" w:sz="0" w:space="0" w:color="auto"/>
        <w:bottom w:val="none" w:sz="0" w:space="0" w:color="auto"/>
        <w:right w:val="none" w:sz="0" w:space="0" w:color="auto"/>
      </w:divBdr>
    </w:div>
    <w:div w:id="68117270">
      <w:bodyDiv w:val="1"/>
      <w:marLeft w:val="0"/>
      <w:marRight w:val="0"/>
      <w:marTop w:val="0"/>
      <w:marBottom w:val="0"/>
      <w:divBdr>
        <w:top w:val="none" w:sz="0" w:space="0" w:color="auto"/>
        <w:left w:val="none" w:sz="0" w:space="0" w:color="auto"/>
        <w:bottom w:val="none" w:sz="0" w:space="0" w:color="auto"/>
        <w:right w:val="none" w:sz="0" w:space="0" w:color="auto"/>
      </w:divBdr>
    </w:div>
    <w:div w:id="456221386">
      <w:bodyDiv w:val="1"/>
      <w:marLeft w:val="0"/>
      <w:marRight w:val="0"/>
      <w:marTop w:val="0"/>
      <w:marBottom w:val="0"/>
      <w:divBdr>
        <w:top w:val="none" w:sz="0" w:space="0" w:color="auto"/>
        <w:left w:val="none" w:sz="0" w:space="0" w:color="auto"/>
        <w:bottom w:val="none" w:sz="0" w:space="0" w:color="auto"/>
        <w:right w:val="none" w:sz="0" w:space="0" w:color="auto"/>
      </w:divBdr>
    </w:div>
    <w:div w:id="829366364">
      <w:bodyDiv w:val="1"/>
      <w:marLeft w:val="0"/>
      <w:marRight w:val="0"/>
      <w:marTop w:val="0"/>
      <w:marBottom w:val="0"/>
      <w:divBdr>
        <w:top w:val="none" w:sz="0" w:space="0" w:color="auto"/>
        <w:left w:val="none" w:sz="0" w:space="0" w:color="auto"/>
        <w:bottom w:val="none" w:sz="0" w:space="0" w:color="auto"/>
        <w:right w:val="none" w:sz="0" w:space="0" w:color="auto"/>
      </w:divBdr>
    </w:div>
    <w:div w:id="1030833890">
      <w:bodyDiv w:val="1"/>
      <w:marLeft w:val="0"/>
      <w:marRight w:val="0"/>
      <w:marTop w:val="0"/>
      <w:marBottom w:val="0"/>
      <w:divBdr>
        <w:top w:val="none" w:sz="0" w:space="0" w:color="auto"/>
        <w:left w:val="none" w:sz="0" w:space="0" w:color="auto"/>
        <w:bottom w:val="none" w:sz="0" w:space="0" w:color="auto"/>
        <w:right w:val="none" w:sz="0" w:space="0" w:color="auto"/>
      </w:divBdr>
    </w:div>
    <w:div w:id="1031684923">
      <w:bodyDiv w:val="1"/>
      <w:marLeft w:val="0"/>
      <w:marRight w:val="0"/>
      <w:marTop w:val="0"/>
      <w:marBottom w:val="0"/>
      <w:divBdr>
        <w:top w:val="none" w:sz="0" w:space="0" w:color="auto"/>
        <w:left w:val="none" w:sz="0" w:space="0" w:color="auto"/>
        <w:bottom w:val="none" w:sz="0" w:space="0" w:color="auto"/>
        <w:right w:val="none" w:sz="0" w:space="0" w:color="auto"/>
      </w:divBdr>
    </w:div>
    <w:div w:id="1054548675">
      <w:bodyDiv w:val="1"/>
      <w:marLeft w:val="0"/>
      <w:marRight w:val="0"/>
      <w:marTop w:val="0"/>
      <w:marBottom w:val="0"/>
      <w:divBdr>
        <w:top w:val="none" w:sz="0" w:space="0" w:color="auto"/>
        <w:left w:val="none" w:sz="0" w:space="0" w:color="auto"/>
        <w:bottom w:val="none" w:sz="0" w:space="0" w:color="auto"/>
        <w:right w:val="none" w:sz="0" w:space="0" w:color="auto"/>
      </w:divBdr>
    </w:div>
    <w:div w:id="1386441786">
      <w:bodyDiv w:val="1"/>
      <w:marLeft w:val="0"/>
      <w:marRight w:val="0"/>
      <w:marTop w:val="0"/>
      <w:marBottom w:val="0"/>
      <w:divBdr>
        <w:top w:val="none" w:sz="0" w:space="0" w:color="auto"/>
        <w:left w:val="none" w:sz="0" w:space="0" w:color="auto"/>
        <w:bottom w:val="none" w:sz="0" w:space="0" w:color="auto"/>
        <w:right w:val="none" w:sz="0" w:space="0" w:color="auto"/>
      </w:divBdr>
    </w:div>
    <w:div w:id="1398044463">
      <w:bodyDiv w:val="1"/>
      <w:marLeft w:val="0"/>
      <w:marRight w:val="0"/>
      <w:marTop w:val="0"/>
      <w:marBottom w:val="0"/>
      <w:divBdr>
        <w:top w:val="none" w:sz="0" w:space="0" w:color="auto"/>
        <w:left w:val="none" w:sz="0" w:space="0" w:color="auto"/>
        <w:bottom w:val="none" w:sz="0" w:space="0" w:color="auto"/>
        <w:right w:val="none" w:sz="0" w:space="0" w:color="auto"/>
      </w:divBdr>
    </w:div>
    <w:div w:id="1399134565">
      <w:bodyDiv w:val="1"/>
      <w:marLeft w:val="0"/>
      <w:marRight w:val="0"/>
      <w:marTop w:val="0"/>
      <w:marBottom w:val="0"/>
      <w:divBdr>
        <w:top w:val="none" w:sz="0" w:space="0" w:color="auto"/>
        <w:left w:val="none" w:sz="0" w:space="0" w:color="auto"/>
        <w:bottom w:val="none" w:sz="0" w:space="0" w:color="auto"/>
        <w:right w:val="none" w:sz="0" w:space="0" w:color="auto"/>
      </w:divBdr>
    </w:div>
    <w:div w:id="1451195728">
      <w:bodyDiv w:val="1"/>
      <w:marLeft w:val="0"/>
      <w:marRight w:val="0"/>
      <w:marTop w:val="0"/>
      <w:marBottom w:val="0"/>
      <w:divBdr>
        <w:top w:val="none" w:sz="0" w:space="0" w:color="auto"/>
        <w:left w:val="none" w:sz="0" w:space="0" w:color="auto"/>
        <w:bottom w:val="none" w:sz="0" w:space="0" w:color="auto"/>
        <w:right w:val="none" w:sz="0" w:space="0" w:color="auto"/>
      </w:divBdr>
    </w:div>
    <w:div w:id="1958566547">
      <w:bodyDiv w:val="1"/>
      <w:marLeft w:val="0"/>
      <w:marRight w:val="0"/>
      <w:marTop w:val="0"/>
      <w:marBottom w:val="0"/>
      <w:divBdr>
        <w:top w:val="none" w:sz="0" w:space="0" w:color="auto"/>
        <w:left w:val="none" w:sz="0" w:space="0" w:color="auto"/>
        <w:bottom w:val="none" w:sz="0" w:space="0" w:color="auto"/>
        <w:right w:val="none" w:sz="0" w:space="0" w:color="auto"/>
      </w:divBdr>
    </w:div>
    <w:div w:id="1971547198">
      <w:bodyDiv w:val="1"/>
      <w:marLeft w:val="0"/>
      <w:marRight w:val="0"/>
      <w:marTop w:val="0"/>
      <w:marBottom w:val="0"/>
      <w:divBdr>
        <w:top w:val="none" w:sz="0" w:space="0" w:color="auto"/>
        <w:left w:val="none" w:sz="0" w:space="0" w:color="auto"/>
        <w:bottom w:val="none" w:sz="0" w:space="0" w:color="auto"/>
        <w:right w:val="none" w:sz="0" w:space="0" w:color="auto"/>
      </w:divBdr>
    </w:div>
    <w:div w:id="214554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fineco.2008.10.007" TargetMode="External"/><Relationship Id="rId13" Type="http://schemas.openxmlformats.org/officeDocument/2006/relationships/hyperlink" Target="https://doi.org/10.1016/j.jeconom.2021.03.005" TargetMode="External"/><Relationship Id="rId18" Type="http://schemas.openxmlformats.org/officeDocument/2006/relationships/hyperlink" Target="https://doi.org/10.1108/CAFR-03-2022-0027" TargetMode="External"/><Relationship Id="rId26" Type="http://schemas.openxmlformats.org/officeDocument/2006/relationships/hyperlink" Target="https://doi.org/10.1177/21582440231226019" TargetMode="External"/><Relationship Id="rId39" Type="http://schemas.openxmlformats.org/officeDocument/2006/relationships/hyperlink" Target="https://doi.org/10.5465/amj.2013.0319" TargetMode="External"/><Relationship Id="rId3" Type="http://schemas.microsoft.com/office/2007/relationships/stylesWithEffects" Target="stylesWithEffects.xml"/><Relationship Id="rId21" Type="http://schemas.openxmlformats.org/officeDocument/2006/relationships/hyperlink" Target="https://doi.org/10.1080/20430795.2015.1118917" TargetMode="External"/><Relationship Id="rId34" Type="http://schemas.openxmlformats.org/officeDocument/2006/relationships/hyperlink" Target="https://doi.org/10.1016/j.iref.2024.103461" TargetMode="External"/><Relationship Id="rId42" Type="http://schemas.openxmlformats.org/officeDocument/2006/relationships/hyperlink" Target="https://doi.org/10.3390/su12219298" TargetMode="External"/><Relationship Id="rId47" Type="http://schemas.openxmlformats.org/officeDocument/2006/relationships/fontTable" Target="fontTable.xml"/><Relationship Id="rId7" Type="http://schemas.openxmlformats.org/officeDocument/2006/relationships/hyperlink" Target="https://doi.org/10.1016/j.jclepro.2022.133223" TargetMode="External"/><Relationship Id="rId12" Type="http://schemas.openxmlformats.org/officeDocument/2006/relationships/hyperlink" Target="https://doi.org/10.1016/j.jbusres.2024.115029" TargetMode="External"/><Relationship Id="rId17" Type="http://schemas.openxmlformats.org/officeDocument/2006/relationships/hyperlink" Target="https://doi.org/10.1016/j.jclepro.2020.124034" TargetMode="External"/><Relationship Id="rId25" Type="http://schemas.openxmlformats.org/officeDocument/2006/relationships/hyperlink" Target="https://doi.org/10.1080/10438599.2012.708134" TargetMode="External"/><Relationship Id="rId33" Type="http://schemas.openxmlformats.org/officeDocument/2006/relationships/hyperlink" Target="https://doi.org/10.1108/SRJ-01-2021-0045" TargetMode="External"/><Relationship Id="rId38" Type="http://schemas.openxmlformats.org/officeDocument/2006/relationships/hyperlink" Target="https://doi.org/10.1016/j.jenvman.2023.117726" TargetMode="External"/><Relationship Id="rId46" Type="http://schemas.openxmlformats.org/officeDocument/2006/relationships/hyperlink" Target="https://doi.org/10.3390/ijfs13010003" TargetMode="External"/><Relationship Id="rId2" Type="http://schemas.openxmlformats.org/officeDocument/2006/relationships/styles" Target="styles.xml"/><Relationship Id="rId16" Type="http://schemas.openxmlformats.org/officeDocument/2006/relationships/hyperlink" Target="https://doi.org/10.1016/j.gfj.2022.100711" TargetMode="External"/><Relationship Id="rId20" Type="http://schemas.openxmlformats.org/officeDocument/2006/relationships/hyperlink" Target="https://doi.org/10.2139/ssrn.94034" TargetMode="External"/><Relationship Id="rId29" Type="http://schemas.openxmlformats.org/officeDocument/2006/relationships/hyperlink" Target="https://doi.org/10.1016/j.techfore.2021.121279" TargetMode="External"/><Relationship Id="rId41" Type="http://schemas.openxmlformats.org/officeDocument/2006/relationships/hyperlink" Target="https://doi.org/10.4013/base.2018.151.03"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16/j.jclepro.2020.124284" TargetMode="External"/><Relationship Id="rId24" Type="http://schemas.openxmlformats.org/officeDocument/2006/relationships/hyperlink" Target="https://doi.org/10.1017/S002210901900098X" TargetMode="External"/><Relationship Id="rId32" Type="http://schemas.openxmlformats.org/officeDocument/2006/relationships/hyperlink" Target="https://doi.org/10.1002/smj.2500" TargetMode="External"/><Relationship Id="rId37" Type="http://schemas.openxmlformats.org/officeDocument/2006/relationships/hyperlink" Target="https://doi.org/10.1016/j.irfa.2020.101554" TargetMode="External"/><Relationship Id="rId40" Type="http://schemas.openxmlformats.org/officeDocument/2006/relationships/hyperlink" Target="https://doi.org/10.1016/j.jclepro.2018.08.072" TargetMode="External"/><Relationship Id="rId45" Type="http://schemas.openxmlformats.org/officeDocument/2006/relationships/hyperlink" Target="https://doi.org/10.1016/j.eneco.2023.106688" TargetMode="External"/><Relationship Id="rId5" Type="http://schemas.openxmlformats.org/officeDocument/2006/relationships/webSettings" Target="webSettings.xml"/><Relationship Id="rId15" Type="http://schemas.openxmlformats.org/officeDocument/2006/relationships/hyperlink" Target="https://doi.org/10.1016/j.jclepro.2022.132284" TargetMode="External"/><Relationship Id="rId23" Type="http://schemas.openxmlformats.org/officeDocument/2006/relationships/hyperlink" Target="https://doi.org/10.1016/j.jclepro.2016.12.048" TargetMode="External"/><Relationship Id="rId28" Type="http://schemas.openxmlformats.org/officeDocument/2006/relationships/hyperlink" Target="https://doi.org/10.1007/s11356-020-08468-y" TargetMode="External"/><Relationship Id="rId36" Type="http://schemas.openxmlformats.org/officeDocument/2006/relationships/hyperlink" Target="https://doi.org/10.1080/20430795.2021.1974241" TargetMode="External"/><Relationship Id="rId10" Type="http://schemas.openxmlformats.org/officeDocument/2006/relationships/hyperlink" Target="https://doi.org/10.1177/0149206321991212" TargetMode="External"/><Relationship Id="rId19" Type="http://schemas.openxmlformats.org/officeDocument/2006/relationships/hyperlink" Target="https://doi.org/10.1002/bse.3700" TargetMode="External"/><Relationship Id="rId31" Type="http://schemas.openxmlformats.org/officeDocument/2006/relationships/hyperlink" Target="https://doi.org/10.1002/bse.3560" TargetMode="External"/><Relationship Id="rId44" Type="http://schemas.openxmlformats.org/officeDocument/2006/relationships/hyperlink" Target="http://mmf.lnu.edu.ua/images/stories/depart/mee/wooldridge_cross_section_and_panel_data.pdf" TargetMode="External"/><Relationship Id="rId4" Type="http://schemas.openxmlformats.org/officeDocument/2006/relationships/settings" Target="settings.xml"/><Relationship Id="rId9" Type="http://schemas.openxmlformats.org/officeDocument/2006/relationships/hyperlink" Target="https://doi.org/10.1016/j.jimonfin.2023.102994" TargetMode="External"/><Relationship Id="rId14" Type="http://schemas.openxmlformats.org/officeDocument/2006/relationships/hyperlink" Target="https://doi.org/10.1017/S0022109019001005" TargetMode="External"/><Relationship Id="rId22" Type="http://schemas.openxmlformats.org/officeDocument/2006/relationships/hyperlink" Target="https://doi.org/10.1007/s11846-023-00685-2" TargetMode="External"/><Relationship Id="rId27" Type="http://schemas.openxmlformats.org/officeDocument/2006/relationships/hyperlink" Target="https://doi.org/10.1016/j.emj.2021.09.009" TargetMode="External"/><Relationship Id="rId30" Type="http://schemas.openxmlformats.org/officeDocument/2006/relationships/hyperlink" Target="https://doi.org/10.1016/j.techfore.2021.121279" TargetMode="External"/><Relationship Id="rId35" Type="http://schemas.openxmlformats.org/officeDocument/2006/relationships/hyperlink" Target="https://doi.org/10.3390/su14116403" TargetMode="External"/><Relationship Id="rId43" Type="http://schemas.openxmlformats.org/officeDocument/2006/relationships/hyperlink" Target="https://doi.org/10.1108/IJBM-04-2020-0210" TargetMode="External"/><Relationship Id="rId48"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21</Pages>
  <Words>8528</Words>
  <Characters>46054</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Adevair de Deus</dc:creator>
  <cp:lastModifiedBy>Adevair de Deus Ribeiro</cp:lastModifiedBy>
  <cp:revision>4</cp:revision>
  <dcterms:created xsi:type="dcterms:W3CDTF">2026-06-25T02:12:00Z</dcterms:created>
  <dcterms:modified xsi:type="dcterms:W3CDTF">2026-06-25T02:49:00Z</dcterms:modified>
</cp:coreProperties>
</file>