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8D15" w14:textId="21C1DC85" w:rsidR="00AF1894" w:rsidRPr="00A2089E" w:rsidRDefault="00F37FC6" w:rsidP="00510E80">
      <w:pPr>
        <w:spacing w:beforeLines="240" w:before="576" w:afterLines="240" w:after="576" w:line="240" w:lineRule="auto"/>
        <w:jc w:val="center"/>
        <w:rPr>
          <w:rFonts w:ascii="Times New Roman" w:hAnsi="Times New Roman" w:cs="Times New Roman"/>
          <w:b/>
          <w:bCs/>
          <w:sz w:val="36"/>
          <w:szCs w:val="36"/>
        </w:rPr>
      </w:pPr>
      <w:r w:rsidRPr="00A2089E">
        <w:rPr>
          <w:rFonts w:ascii="Times New Roman" w:hAnsi="Times New Roman" w:cs="Times New Roman"/>
          <w:b/>
          <w:bCs/>
          <w:sz w:val="36"/>
          <w:szCs w:val="36"/>
        </w:rPr>
        <w:t>DEVELOPMENT AND VALIDATION OF A CONTEXTUALIZED NUMERACY TEST FOR GRADE 7 LEARNERS</w:t>
      </w:r>
    </w:p>
    <w:p w14:paraId="349E2658" w14:textId="77777777" w:rsidR="003A79D8" w:rsidRPr="00A2089E" w:rsidRDefault="003A79D8" w:rsidP="00510E80">
      <w:pPr>
        <w:spacing w:beforeLines="240" w:before="576" w:afterLines="240" w:after="576" w:line="240" w:lineRule="auto"/>
        <w:jc w:val="center"/>
        <w:rPr>
          <w:rFonts w:ascii="Times New Roman" w:hAnsi="Times New Roman" w:cs="Times New Roman"/>
          <w:b/>
          <w:bCs/>
        </w:rPr>
      </w:pPr>
    </w:p>
    <w:p w14:paraId="3900C21C" w14:textId="6827EECB" w:rsidR="003A79D8" w:rsidRDefault="00A2089E" w:rsidP="00510E80">
      <w:pPr>
        <w:spacing w:beforeLines="240" w:before="576" w:after="240" w:line="240" w:lineRule="auto"/>
        <w:jc w:val="center"/>
        <w:rPr>
          <w:rFonts w:ascii="Times New Roman" w:hAnsi="Times New Roman" w:cs="Times New Roman"/>
          <w:b/>
          <w:bCs/>
        </w:rPr>
      </w:pPr>
      <w:r>
        <w:rPr>
          <w:rFonts w:ascii="Times New Roman" w:hAnsi="Times New Roman" w:cs="Times New Roman"/>
          <w:b/>
          <w:bCs/>
        </w:rPr>
        <w:t>*</w:t>
      </w:r>
      <w:r w:rsidR="003A79D8" w:rsidRPr="00A2089E">
        <w:rPr>
          <w:rFonts w:ascii="Times New Roman" w:hAnsi="Times New Roman" w:cs="Times New Roman"/>
          <w:b/>
          <w:bCs/>
        </w:rPr>
        <w:t>JOYCE F. LARGO</w:t>
      </w:r>
    </w:p>
    <w:p w14:paraId="7AF19018" w14:textId="645B0F63" w:rsidR="003A79D8" w:rsidRDefault="00A2089E" w:rsidP="00510E80">
      <w:pPr>
        <w:spacing w:beforeLines="240" w:before="576" w:after="240" w:line="240" w:lineRule="auto"/>
        <w:jc w:val="center"/>
        <w:rPr>
          <w:rFonts w:ascii="Times New Roman" w:hAnsi="Times New Roman" w:cs="Times New Roman"/>
          <w:b/>
          <w:bCs/>
        </w:rPr>
      </w:pPr>
      <w:r>
        <w:rPr>
          <w:rFonts w:ascii="Times New Roman" w:hAnsi="Times New Roman" w:cs="Times New Roman"/>
          <w:b/>
          <w:bCs/>
        </w:rPr>
        <w:t>09776291216</w:t>
      </w:r>
    </w:p>
    <w:p w14:paraId="4A77BFF6" w14:textId="77777777" w:rsidR="00A2089E" w:rsidRPr="00A2089E" w:rsidRDefault="00A2089E" w:rsidP="00510E80">
      <w:pPr>
        <w:spacing w:beforeLines="240" w:before="576" w:afterLines="240" w:after="576" w:line="240" w:lineRule="auto"/>
        <w:jc w:val="center"/>
        <w:rPr>
          <w:rFonts w:ascii="Times New Roman" w:hAnsi="Times New Roman" w:cs="Times New Roman"/>
          <w:b/>
          <w:bCs/>
        </w:rPr>
      </w:pPr>
    </w:p>
    <w:p w14:paraId="571460F1" w14:textId="4997349C" w:rsidR="003A79D8" w:rsidRPr="00B4039F" w:rsidRDefault="006348BE" w:rsidP="00510E80">
      <w:pPr>
        <w:spacing w:beforeLines="240" w:before="576" w:afterLines="240" w:after="576" w:line="240" w:lineRule="auto"/>
        <w:jc w:val="center"/>
        <w:rPr>
          <w:rFonts w:ascii="Times New Roman" w:hAnsi="Times New Roman" w:cs="Times New Roman"/>
          <w:b/>
          <w:bCs/>
          <w:i/>
          <w:iCs/>
          <w:sz w:val="28"/>
          <w:szCs w:val="28"/>
        </w:rPr>
      </w:pPr>
      <w:r w:rsidRPr="00B4039F">
        <w:rPr>
          <w:rFonts w:ascii="Times New Roman" w:hAnsi="Times New Roman" w:cs="Times New Roman"/>
          <w:b/>
          <w:bCs/>
          <w:i/>
          <w:iCs/>
          <w:sz w:val="28"/>
          <w:szCs w:val="28"/>
        </w:rPr>
        <w:t>ABSTRACT</w:t>
      </w:r>
    </w:p>
    <w:p w14:paraId="6206A38C" w14:textId="7CF8D9E9" w:rsidR="003A79D8" w:rsidRPr="00A2089E" w:rsidRDefault="00D723ED" w:rsidP="00510E80">
      <w:pPr>
        <w:spacing w:beforeLines="240" w:before="576" w:afterLines="240" w:after="576" w:line="240" w:lineRule="auto"/>
        <w:ind w:firstLine="720"/>
        <w:jc w:val="both"/>
        <w:rPr>
          <w:rFonts w:ascii="Times New Roman" w:hAnsi="Times New Roman" w:cs="Times New Roman"/>
          <w:i/>
          <w:iCs/>
        </w:rPr>
      </w:pPr>
      <w:r w:rsidRPr="00A2089E">
        <w:rPr>
          <w:rFonts w:ascii="Times New Roman" w:hAnsi="Times New Roman" w:cs="Times New Roman"/>
          <w:i/>
          <w:iCs/>
        </w:rPr>
        <w:t>This study focused on the development and validation of a Contextualized Numeracy Test (CNT) for Grade 7 learners, anchored on the MATATAG Mathematics Curriculum, specifically designed as a diagnostic tool to assess foundational readiness. Utilizing the ADDIE (Analysis, Design, Development, Implementation, Evaluation) model, the study followed a systematic procedure to ensure content validity, reliability, and usability. In the analysis and design phases, a document analysis of the curriculum guide identified essential prerequisite competencies, which formed the basis for a 50-item initial pool mapped according to the SOLO Taxonomy. Expert validation using Lawshe’s Content Validity Ratio (CVR) and the DepEd Evaluation Rating Sheet resulted in a refined 35-item version, achieving a perfect Content Validity Index (CVI) of 1.00. Pilot testing was conducted with 307 Grade 7 respondents from four secondary schools in Ocampo District, Camarines Sur. Item analysis revealed an average difficulty index of 0.51 and an average discrimination index of 0.34, indicating that the items are generally functional for distinguishing between different student ability levels. The instrument demonstrated high internal consistency, with a Cronbach’s Alpha and Kuder-Richardson Formula 20 (KR-20) of 0.71. The results suggest that the tool can provide teachers with a “cognitive map” of student thinking, allowing for more targeted instructional interventions rather than broad remediation. Ultimately, the final 30-item instrument was found to be acceptable for diagnostic classroom use in identifying learning gaps and mapping foundational numeracy skills essential for secondary mathematics readiness.</w:t>
      </w:r>
      <w:r w:rsidR="001C53FE" w:rsidRPr="00A2089E">
        <w:rPr>
          <w:rFonts w:ascii="Times New Roman" w:hAnsi="Times New Roman" w:cs="Times New Roman"/>
          <w:i/>
          <w:iCs/>
        </w:rPr>
        <w:t xml:space="preserve"> It is recommended that mathematics teachers utilize the CNT at the beginning of the school year to design targeted intervention programs. Furthermore, school administrators should encourage the localized development of similar diagnostic tools across other grade levels to support the long-term goals of the MATATAG curriculum.</w:t>
      </w:r>
    </w:p>
    <w:p w14:paraId="367C4F00" w14:textId="77777777" w:rsidR="003A79D8" w:rsidRPr="00A2089E" w:rsidRDefault="003A79D8" w:rsidP="00510E80">
      <w:pPr>
        <w:spacing w:beforeLines="240" w:before="576" w:afterLines="240" w:after="576" w:line="240" w:lineRule="auto"/>
        <w:jc w:val="center"/>
        <w:rPr>
          <w:rFonts w:ascii="Times New Roman" w:hAnsi="Times New Roman" w:cs="Times New Roman"/>
          <w:b/>
          <w:bCs/>
        </w:rPr>
      </w:pPr>
    </w:p>
    <w:p w14:paraId="56038563" w14:textId="00D65464" w:rsidR="003A79D8" w:rsidRPr="00A2089E" w:rsidRDefault="00D723ED" w:rsidP="00510E80">
      <w:pPr>
        <w:spacing w:beforeLines="240" w:before="576" w:afterLines="240" w:after="576" w:line="240" w:lineRule="auto"/>
        <w:rPr>
          <w:rFonts w:ascii="Times New Roman" w:hAnsi="Times New Roman" w:cs="Times New Roman"/>
          <w:i/>
          <w:iCs/>
        </w:rPr>
      </w:pPr>
      <w:r w:rsidRPr="00A2089E">
        <w:rPr>
          <w:rFonts w:ascii="Times New Roman" w:hAnsi="Times New Roman" w:cs="Times New Roman"/>
          <w:b/>
          <w:bCs/>
        </w:rPr>
        <w:t xml:space="preserve">Keywords: </w:t>
      </w:r>
      <w:r w:rsidRPr="00A2089E">
        <w:rPr>
          <w:rFonts w:ascii="Times New Roman" w:hAnsi="Times New Roman" w:cs="Times New Roman"/>
          <w:i/>
          <w:iCs/>
        </w:rPr>
        <w:t>Contextualized Numeracy Test (CNT), MATATAG Mathematics Curriculum, Diagnostic Readiness, Instrument Validation, Foundational Numeracy</w:t>
      </w:r>
    </w:p>
    <w:p w14:paraId="77ACE28A" w14:textId="77777777" w:rsidR="00B4039F" w:rsidRPr="00A2089E" w:rsidRDefault="00B4039F" w:rsidP="00510E80">
      <w:pPr>
        <w:spacing w:beforeLines="240" w:before="576" w:afterLines="240" w:after="576" w:line="240" w:lineRule="auto"/>
        <w:rPr>
          <w:rFonts w:ascii="Times New Roman" w:hAnsi="Times New Roman" w:cs="Times New Roman"/>
          <w:b/>
          <w:bCs/>
        </w:rPr>
      </w:pPr>
    </w:p>
    <w:p w14:paraId="4A65CFB8" w14:textId="2BEC0DE1" w:rsidR="00F37FC6" w:rsidRPr="00B4039F" w:rsidRDefault="00F37FC6" w:rsidP="00510E80">
      <w:pPr>
        <w:pStyle w:val="ListParagraph"/>
        <w:numPr>
          <w:ilvl w:val="0"/>
          <w:numId w:val="1"/>
        </w:numPr>
        <w:spacing w:beforeLines="240" w:before="576" w:afterLines="240" w:after="576" w:line="240" w:lineRule="auto"/>
        <w:rPr>
          <w:rFonts w:ascii="Times New Roman" w:hAnsi="Times New Roman" w:cs="Times New Roman"/>
          <w:b/>
          <w:bCs/>
          <w:sz w:val="28"/>
          <w:szCs w:val="28"/>
        </w:rPr>
      </w:pPr>
      <w:r w:rsidRPr="00B4039F">
        <w:rPr>
          <w:rFonts w:ascii="Times New Roman" w:hAnsi="Times New Roman" w:cs="Times New Roman"/>
          <w:b/>
          <w:bCs/>
          <w:sz w:val="28"/>
          <w:szCs w:val="28"/>
        </w:rPr>
        <w:lastRenderedPageBreak/>
        <w:t>INTRODUCTION</w:t>
      </w:r>
    </w:p>
    <w:p w14:paraId="20675134" w14:textId="77777777" w:rsidR="00816C88" w:rsidRPr="00A2089E" w:rsidRDefault="00816C88" w:rsidP="00510E80">
      <w:pPr>
        <w:spacing w:beforeLines="240" w:before="576" w:afterLines="240" w:after="576" w:line="240" w:lineRule="auto"/>
        <w:ind w:firstLine="720"/>
        <w:jc w:val="both"/>
        <w:rPr>
          <w:rFonts w:ascii="Times New Roman" w:hAnsi="Times New Roman" w:cs="Times New Roman"/>
        </w:rPr>
      </w:pPr>
      <w:r w:rsidRPr="00A2089E">
        <w:rPr>
          <w:rFonts w:ascii="Times New Roman" w:hAnsi="Times New Roman" w:cs="Times New Roman"/>
        </w:rPr>
        <w:t xml:space="preserve">The state of mathematics education in the Philippines is marked by a persistent proficiency gap, as evidenced by converging results from international large-scale assessments. The 2022 </w:t>
      </w:r>
      <w:proofErr w:type="spellStart"/>
      <w:r w:rsidRPr="00A2089E">
        <w:rPr>
          <w:rFonts w:ascii="Times New Roman" w:hAnsi="Times New Roman" w:cs="Times New Roman"/>
        </w:rPr>
        <w:t>Programme</w:t>
      </w:r>
      <w:proofErr w:type="spellEnd"/>
      <w:r w:rsidRPr="00A2089E">
        <w:rPr>
          <w:rFonts w:ascii="Times New Roman" w:hAnsi="Times New Roman" w:cs="Times New Roman"/>
        </w:rPr>
        <w:t xml:space="preserve"> for International Student Assessment (PISA) reported that Filipino learners obtained a mean score of 355, significantly below the Organization for Economic Co-operation and Development (OECD) average of 472 (OECD, 2023). This trend is consistent with the 2019 Trends in International Mathematics and Science Study (TIMSS) and the Southeast Asia Primary Learning Metrics (SEA-PLM 2019), where only a small fraction of Filipino learners reached minimum proficiency standards (Mullis et al., 2020; UNICEF &amp; SEAMEO, 2020). Collectively, these assessments suggest that a substantial proportion of </w:t>
      </w:r>
      <w:proofErr w:type="spellStart"/>
      <w:r w:rsidRPr="00A2089E">
        <w:rPr>
          <w:rFonts w:ascii="Times New Roman" w:hAnsi="Times New Roman" w:cs="Times New Roman"/>
        </w:rPr>
        <w:t>students</w:t>
      </w:r>
      <w:proofErr w:type="spellEnd"/>
      <w:r w:rsidRPr="00A2089E">
        <w:rPr>
          <w:rFonts w:ascii="Times New Roman" w:hAnsi="Times New Roman" w:cs="Times New Roman"/>
        </w:rPr>
        <w:t xml:space="preserve"> progress through the elementary level without consolidating the prerequisite numeracy competencies necessary for secondary mathematics (World Bank, 2022). These international benchmarks emphasize the application of mathematical concepts in real-world contexts—a competency where Filipino learners consistently struggle. Consequently, there is an urgent national mandate to align local assessment practices with the rigorous standards of PISA and TIMSS by focusing on higher-order thinking skills and contextualized problem-solving (DepEd, 2023).</w:t>
      </w:r>
    </w:p>
    <w:p w14:paraId="36A2EB4B" w14:textId="77777777" w:rsidR="00816C88" w:rsidRPr="00A2089E" w:rsidRDefault="00816C88" w:rsidP="00510E80">
      <w:pPr>
        <w:spacing w:beforeLines="240" w:before="576" w:afterLines="240" w:after="576" w:line="240" w:lineRule="auto"/>
        <w:ind w:firstLine="720"/>
        <w:jc w:val="both"/>
        <w:rPr>
          <w:rFonts w:ascii="Times New Roman" w:hAnsi="Times New Roman" w:cs="Times New Roman"/>
        </w:rPr>
      </w:pPr>
      <w:r w:rsidRPr="00A2089E">
        <w:rPr>
          <w:rFonts w:ascii="Times New Roman" w:hAnsi="Times New Roman" w:cs="Times New Roman"/>
        </w:rPr>
        <w:t xml:space="preserve">The transition from Elementary Mathematics to Grade 7 in Junior High School represents a critical curricular shift, where instruction advances from concrete arithmetic toward abstract algebraic reasoning. This progression presupposes mastery of primary-level skills; however, national policy reviews, including the EDCOM II Year 1 Report (2024), highlighted structural challenges in the primary grades that affect instructional quality. Local studies indicated that mathematics anxiety and shifting instructional calendars may inadvertently constrain opportunities for sustained numeracy development (EDCOM II, 2024; </w:t>
      </w:r>
      <w:proofErr w:type="spellStart"/>
      <w:r w:rsidRPr="00A2089E">
        <w:rPr>
          <w:rFonts w:ascii="Times New Roman" w:hAnsi="Times New Roman" w:cs="Times New Roman"/>
        </w:rPr>
        <w:t>Ubuan</w:t>
      </w:r>
      <w:proofErr w:type="spellEnd"/>
      <w:r w:rsidRPr="00A2089E">
        <w:rPr>
          <w:rFonts w:ascii="Times New Roman" w:hAnsi="Times New Roman" w:cs="Times New Roman"/>
        </w:rPr>
        <w:t xml:space="preserve"> &amp; </w:t>
      </w:r>
      <w:proofErr w:type="spellStart"/>
      <w:r w:rsidRPr="00A2089E">
        <w:rPr>
          <w:rFonts w:ascii="Times New Roman" w:hAnsi="Times New Roman" w:cs="Times New Roman"/>
        </w:rPr>
        <w:t>Taganap</w:t>
      </w:r>
      <w:proofErr w:type="spellEnd"/>
      <w:r w:rsidRPr="00A2089E">
        <w:rPr>
          <w:rFonts w:ascii="Times New Roman" w:hAnsi="Times New Roman" w:cs="Times New Roman"/>
        </w:rPr>
        <w:t xml:space="preserve">, 2025). Despite these challenges, the extent of foundational gaps remains insufficiently diagnosed due to the structure of existing assessments. Instruments such as the Rapid Mathematics Assessment (RMA) primarily function as curriculum-monitoring tools that emphasize grade-level standards assuming prior mastery. In contrast, a true readiness diagnostic must isolate specific arithmetic deficits from previous years to inform remediation. As Igarashi and </w:t>
      </w:r>
      <w:proofErr w:type="spellStart"/>
      <w:r w:rsidRPr="00A2089E">
        <w:rPr>
          <w:rFonts w:ascii="Times New Roman" w:hAnsi="Times New Roman" w:cs="Times New Roman"/>
        </w:rPr>
        <w:t>Suryadarma</w:t>
      </w:r>
      <w:proofErr w:type="spellEnd"/>
      <w:r w:rsidRPr="00A2089E">
        <w:rPr>
          <w:rFonts w:ascii="Times New Roman" w:hAnsi="Times New Roman" w:cs="Times New Roman"/>
        </w:rPr>
        <w:t xml:space="preserve"> (2023) noted, an assessment-design mismatch occurs when tests capture only exposure to new content, thereby failing to illuminate the actual readiness profile of learners transitioning into Junior High School mathematics.</w:t>
      </w:r>
    </w:p>
    <w:p w14:paraId="232966F4" w14:textId="77777777" w:rsidR="00816C88" w:rsidRPr="00A2089E" w:rsidRDefault="00816C88" w:rsidP="00510E80">
      <w:pPr>
        <w:spacing w:beforeLines="240" w:before="576" w:afterLines="240" w:after="576" w:line="240" w:lineRule="auto"/>
        <w:ind w:firstLine="720"/>
        <w:jc w:val="both"/>
        <w:rPr>
          <w:rFonts w:ascii="Times New Roman" w:hAnsi="Times New Roman" w:cs="Times New Roman"/>
        </w:rPr>
      </w:pPr>
      <w:r w:rsidRPr="00A2089E">
        <w:rPr>
          <w:rFonts w:ascii="Times New Roman" w:hAnsi="Times New Roman" w:cs="Times New Roman"/>
        </w:rPr>
        <w:t>Compounding this diagnostic limitation is the linguistic dimension of mathematical testing. While the Philippine context predominantly utilizes English, the additional cognitive demand of processing problems in a second language may influence measured achievement, often conflating reading comprehension difficulty with mathematical reasoning ability (OECD, 2023; Broadway &amp; Zamora, 2018). To address this, the current study utilized Filipino-dominant code-switching in the test construction. This approach serves as a vital scaffolding tool, ensuring that the instrument measures mathematical proficiency rather than English language fluency (DepEd, 2018). Furthermore, the effectiveness of these diagnostics is enhanced through contextualization. Situating mathematical concepts within familiar real-world applications improves learner engagement and allows students to visualize the relevance of numerical patterns (</w:t>
      </w:r>
      <w:proofErr w:type="spellStart"/>
      <w:r w:rsidRPr="00A2089E">
        <w:rPr>
          <w:rFonts w:ascii="Times New Roman" w:hAnsi="Times New Roman" w:cs="Times New Roman"/>
        </w:rPr>
        <w:t>Ecedillo</w:t>
      </w:r>
      <w:proofErr w:type="spellEnd"/>
      <w:r w:rsidRPr="00A2089E">
        <w:rPr>
          <w:rFonts w:ascii="Times New Roman" w:hAnsi="Times New Roman" w:cs="Times New Roman"/>
        </w:rPr>
        <w:t>, 2023; Reyes et al., 2019). When mathematical problems are anchored in authentic local situations and expressed in a language natural to the learner, students demonstrate higher persistence and better conceptual understanding, effectively reducing academic alienation.</w:t>
      </w:r>
    </w:p>
    <w:p w14:paraId="065F55CB" w14:textId="77777777" w:rsidR="00816C88" w:rsidRPr="00A2089E" w:rsidRDefault="00816C88" w:rsidP="00510E80">
      <w:pPr>
        <w:spacing w:beforeLines="240" w:before="576" w:afterLines="240" w:after="576" w:line="240" w:lineRule="auto"/>
        <w:ind w:firstLine="720"/>
        <w:jc w:val="both"/>
        <w:rPr>
          <w:rFonts w:ascii="Times New Roman" w:hAnsi="Times New Roman" w:cs="Times New Roman"/>
        </w:rPr>
      </w:pPr>
      <w:r w:rsidRPr="00A2089E">
        <w:rPr>
          <w:rFonts w:ascii="Times New Roman" w:hAnsi="Times New Roman" w:cs="Times New Roman"/>
        </w:rPr>
        <w:t xml:space="preserve">In response to these identified gaps, this study developed and validated the Contextualized Numeracy Test (CNT) for incoming Grade 7 learners. The development of this instrument directly contributes to the Department of Education’s alignment initiative, transitioning away from traditional rote-memory testing toward the application-based models used in international evaluations. The primary objective of the research is to produce a specialized diagnostic instrument capable of isolating prerequisite arithmetic deficiencies prior to their interference with secondary-level learning. Unlike conventional achievement tests that measure mastery of </w:t>
      </w:r>
      <w:r w:rsidRPr="00A2089E">
        <w:rPr>
          <w:rFonts w:ascii="Times New Roman" w:hAnsi="Times New Roman" w:cs="Times New Roman"/>
        </w:rPr>
        <w:lastRenderedPageBreak/>
        <w:t>current grade-level competencies, the CNT is specifically designed to assess learner readiness by revisiting foundational competencies in Number and Algebra, Measurement and Geometry, and Data and Probability.</w:t>
      </w:r>
    </w:p>
    <w:p w14:paraId="02F74CF2" w14:textId="6C99F7A8" w:rsidR="006348BE" w:rsidRPr="00B4039F" w:rsidRDefault="001C53FE" w:rsidP="00510E80">
      <w:pPr>
        <w:spacing w:beforeLines="240" w:before="576" w:afterLines="240" w:after="576" w:line="240" w:lineRule="auto"/>
        <w:ind w:firstLine="720"/>
        <w:jc w:val="both"/>
        <w:rPr>
          <w:rFonts w:ascii="Times New Roman" w:hAnsi="Times New Roman" w:cs="Times New Roman"/>
        </w:rPr>
      </w:pPr>
      <w:r w:rsidRPr="00A2089E">
        <w:rPr>
          <w:rFonts w:ascii="Times New Roman" w:hAnsi="Times New Roman" w:cs="Times New Roman"/>
        </w:rPr>
        <w:t>To ensure the CNT satisfies rigorous psychometric and pedagogical standards, its development was systematically aligned with the MATATAG Curriculum (Revised K–10 Curriculum). The construction of the test was structured through the Structure of Observed Learning Outcome (SOLO) Taxonomy, enabling the classification of student responses according to increasing levels of cognitive complexity—from unistructural understanding to relational thinking. This provides educators with a "cognitive map" of a learner’s reasoning rather than a simple summative score. The research process followed the ADDIE Model (Analysis, Design, Development, Implementation, and Evaluation) to ensure a systematic development cycle, while the validation and reliability measures were anchored in Classical Test Theory (CTT). Through the provision of diagnostic data, this study suggests that the CNT is a functional instrument that may be acceptable for diagnostic classroom use in identifying specific learning gaps and supporting the transition to Junior High School mathematics.</w:t>
      </w:r>
    </w:p>
    <w:p w14:paraId="5C299140" w14:textId="77777777" w:rsidR="006348BE" w:rsidRPr="00A2089E" w:rsidRDefault="006348BE" w:rsidP="00510E80">
      <w:pPr>
        <w:pStyle w:val="ListParagraph"/>
        <w:spacing w:beforeLines="240" w:before="576" w:afterLines="240" w:after="576" w:line="240" w:lineRule="auto"/>
        <w:ind w:left="1080"/>
        <w:rPr>
          <w:rFonts w:ascii="Times New Roman" w:hAnsi="Times New Roman" w:cs="Times New Roman"/>
          <w:b/>
          <w:bCs/>
        </w:rPr>
      </w:pPr>
    </w:p>
    <w:p w14:paraId="0564CABC" w14:textId="77777777" w:rsidR="006348BE" w:rsidRPr="00A2089E" w:rsidRDefault="006348BE" w:rsidP="00510E80">
      <w:pPr>
        <w:pStyle w:val="ListParagraph"/>
        <w:spacing w:beforeLines="240" w:before="576" w:afterLines="240" w:after="576" w:line="240" w:lineRule="auto"/>
        <w:ind w:left="1080"/>
        <w:rPr>
          <w:rFonts w:ascii="Times New Roman" w:hAnsi="Times New Roman" w:cs="Times New Roman"/>
          <w:b/>
          <w:bCs/>
        </w:rPr>
      </w:pPr>
    </w:p>
    <w:p w14:paraId="572A1C77" w14:textId="178E5543" w:rsidR="00F37FC6" w:rsidRPr="00510E80" w:rsidRDefault="00F37FC6" w:rsidP="00510E80">
      <w:pPr>
        <w:pStyle w:val="ListParagraph"/>
        <w:numPr>
          <w:ilvl w:val="0"/>
          <w:numId w:val="1"/>
        </w:numPr>
        <w:spacing w:beforeLines="240" w:before="576" w:afterLines="240" w:after="576" w:line="240" w:lineRule="auto"/>
        <w:rPr>
          <w:rFonts w:ascii="Times New Roman" w:hAnsi="Times New Roman" w:cs="Times New Roman"/>
          <w:b/>
          <w:bCs/>
          <w:sz w:val="28"/>
          <w:szCs w:val="28"/>
        </w:rPr>
      </w:pPr>
      <w:r w:rsidRPr="00510E80">
        <w:rPr>
          <w:rFonts w:ascii="Times New Roman" w:hAnsi="Times New Roman" w:cs="Times New Roman"/>
          <w:b/>
          <w:bCs/>
          <w:sz w:val="28"/>
          <w:szCs w:val="28"/>
        </w:rPr>
        <w:t>METHODOLOGY</w:t>
      </w:r>
    </w:p>
    <w:p w14:paraId="31905A35" w14:textId="77777777" w:rsidR="00B4039F" w:rsidRPr="00B4039F" w:rsidRDefault="00B4039F" w:rsidP="00510E80">
      <w:pPr>
        <w:spacing w:beforeLines="240" w:before="576" w:afterLines="240" w:after="576" w:line="240" w:lineRule="auto"/>
        <w:ind w:left="360"/>
        <w:rPr>
          <w:rFonts w:ascii="Times New Roman" w:hAnsi="Times New Roman" w:cs="Times New Roman"/>
          <w:b/>
          <w:bCs/>
        </w:rPr>
      </w:pPr>
      <w:r w:rsidRPr="00B4039F">
        <w:rPr>
          <w:rFonts w:ascii="Times New Roman" w:hAnsi="Times New Roman" w:cs="Times New Roman"/>
          <w:b/>
          <w:bCs/>
        </w:rPr>
        <w:t>RESEARCH DESIGN</w:t>
      </w:r>
    </w:p>
    <w:p w14:paraId="09E16246" w14:textId="77777777"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used the Developmental Research Design (DRD) as the main framework for this study which centers on the systematics design, development, and evaluation of instructional product or assessment instrument (Richey &amp; Klein, 2007). This design serves as the "umbrella" that covers the entire process of creating, building, and testing a new tool. This design was chosen because the goal of the study is to develop a practical solution to help improve the 91.94% non-proficiency rate identifies in the district’s Rapid Mathematics Assessment (RMA) last August, 2025.</w:t>
      </w:r>
    </w:p>
    <w:p w14:paraId="2683C1B1" w14:textId="77777777"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Under this umbrella, the ADDIE Model was used as the step-by-step guide. The DDIE Model is the actual procedure that was followed. While alternative frameworks such as Dick and Carey or ASSURE model exist, the researcher prioritized ADDIE Model for its structural integrity and robust evaluation mechanisms. This model consists of five stages: Analysis, Design, Development, Implementation, and Evaluation. The ADDIE Model is helpful because it allowed the researcher to fix and improve the test based on the suggestions of experts and the results of the pilot test.</w:t>
      </w:r>
    </w:p>
    <w:p w14:paraId="4F5F447A" w14:textId="6DEB1AB5" w:rsid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By using the Developmental Research Design and the ADDIE Model together, the researcher ensured that the final test is well-made, fits the MATATAG Curriculum, and is easy for Grade 7 students to understand.</w:t>
      </w:r>
    </w:p>
    <w:p w14:paraId="31174D8C" w14:textId="77777777" w:rsidR="00B4039F" w:rsidRDefault="00B4039F" w:rsidP="00510E80">
      <w:pPr>
        <w:spacing w:beforeLines="240" w:before="576" w:afterLines="240" w:after="576" w:line="240" w:lineRule="auto"/>
        <w:ind w:left="360" w:firstLine="360"/>
        <w:jc w:val="both"/>
        <w:rPr>
          <w:rFonts w:ascii="Times New Roman" w:hAnsi="Times New Roman" w:cs="Times New Roman"/>
        </w:rPr>
      </w:pPr>
    </w:p>
    <w:p w14:paraId="2DB221D7" w14:textId="77777777" w:rsidR="00B4039F" w:rsidRDefault="00B4039F" w:rsidP="00510E80">
      <w:pPr>
        <w:spacing w:beforeLines="240" w:before="576" w:afterLines="240" w:after="576" w:line="240" w:lineRule="auto"/>
        <w:ind w:left="360" w:firstLine="360"/>
        <w:jc w:val="both"/>
        <w:rPr>
          <w:rFonts w:ascii="Times New Roman" w:hAnsi="Times New Roman" w:cs="Times New Roman"/>
        </w:rPr>
      </w:pPr>
    </w:p>
    <w:p w14:paraId="2A02119C" w14:textId="77777777"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p>
    <w:p w14:paraId="14D2E932"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b/>
          <w:bCs/>
        </w:rPr>
      </w:pPr>
      <w:r w:rsidRPr="00B4039F">
        <w:rPr>
          <w:rFonts w:ascii="Times New Roman" w:hAnsi="Times New Roman" w:cs="Times New Roman"/>
          <w:b/>
          <w:bCs/>
        </w:rPr>
        <w:lastRenderedPageBreak/>
        <w:t>SAMPLING METHODOLOGY</w:t>
      </w:r>
    </w:p>
    <w:p w14:paraId="7A48D3B7" w14:textId="2FD6364B" w:rsidR="00B4039F" w:rsidRPr="00B4039F" w:rsidRDefault="00B4039F" w:rsidP="00510E80">
      <w:pPr>
        <w:spacing w:beforeLines="240" w:before="576" w:afterLines="240" w:after="576" w:line="240" w:lineRule="auto"/>
        <w:ind w:left="360"/>
        <w:jc w:val="both"/>
        <w:rPr>
          <w:rFonts w:ascii="Times New Roman" w:hAnsi="Times New Roman" w:cs="Times New Roman"/>
          <w:b/>
          <w:bCs/>
        </w:rPr>
      </w:pPr>
      <w:r w:rsidRPr="00B4039F">
        <w:rPr>
          <w:rFonts w:ascii="Times New Roman" w:hAnsi="Times New Roman" w:cs="Times New Roman"/>
          <w:b/>
          <w:bCs/>
        </w:rPr>
        <w:t>Learner Participants</w:t>
      </w:r>
    </w:p>
    <w:p w14:paraId="56EF084B" w14:textId="3D95B4A8"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employed Proportional Stratified Cluster Random Sampling to select the participants for the pilot testing of the developed Contextualized Numeracy Test (CNT). This method was chosen to ensure that the sample was a fair and accurate reflection of the entire Ocampo district. In this approach, stratified means that the learners were first grouped according to their specific schools so that each institution was represented proportionally. The term cluster refers to the selection of whole section/s rather than individual students, which allowed the learners to remain in their natural classroom settings during the test and avoid unnecessary disruptions during class hours as mandated in the Endorsement given by the SDS of the Division of Camarines Sur. For the randomization process, the researcher used the fishbowl technique, where the names of all available sections from each school were written on pieces of paper, placed in a container, and drawn randomly. This ensured that every section had an equal chance of being chosen and prevent any bias.</w:t>
      </w:r>
    </w:p>
    <w:p w14:paraId="2B1E05FB" w14:textId="110DC0F7"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applied Yamane’s Formula with a 0.05 margin of error in determining the necessary sample size. Given the total enrollment of 955 Grade 7 learners in the Ocampo District, the formula required a minimum of 282 participants. However, to keep the selected sections complete and avoid the logistical problem of pulling individual students out of their classes, the researcher included everyone in the nine selected sections. This resulted in a final sample of 307 Grade 7 learners, as shown in Table 1. This slightly larger sample size was intentional, as it helps make the statistical analysis and the testing of the items more stable and reliable.</w:t>
      </w:r>
    </w:p>
    <w:p w14:paraId="39D834C4" w14:textId="5906E868"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Table 1</w:t>
      </w:r>
    </w:p>
    <w:p w14:paraId="366D2117" w14:textId="57B08E35"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drawing>
          <wp:anchor distT="0" distB="0" distL="114300" distR="114300" simplePos="0" relativeHeight="251658240" behindDoc="0" locked="0" layoutInCell="1" allowOverlap="1" wp14:anchorId="14369C91" wp14:editId="625699E5">
            <wp:simplePos x="0" y="0"/>
            <wp:positionH relativeFrom="column">
              <wp:posOffset>492125</wp:posOffset>
            </wp:positionH>
            <wp:positionV relativeFrom="paragraph">
              <wp:posOffset>286385</wp:posOffset>
            </wp:positionV>
            <wp:extent cx="5972175" cy="4210050"/>
            <wp:effectExtent l="0" t="0" r="0" b="0"/>
            <wp:wrapNone/>
            <wp:docPr id="2022551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421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039F">
        <w:rPr>
          <w:rFonts w:ascii="Times New Roman" w:hAnsi="Times New Roman" w:cs="Times New Roman"/>
          <w:i/>
          <w:iCs/>
        </w:rPr>
        <w:t>Distribution of Population and Samples across Participating Schools</w:t>
      </w:r>
    </w:p>
    <w:p w14:paraId="4E43B69A" w14:textId="63B4D2F5" w:rsidR="00B4039F" w:rsidRDefault="00B4039F" w:rsidP="00510E80">
      <w:pPr>
        <w:spacing w:beforeLines="240" w:before="576" w:afterLines="240" w:after="576" w:line="240" w:lineRule="auto"/>
        <w:ind w:left="360"/>
        <w:jc w:val="both"/>
        <w:rPr>
          <w:rFonts w:ascii="Times New Roman" w:hAnsi="Times New Roman" w:cs="Times New Roman"/>
          <w:i/>
          <w:iCs/>
        </w:rPr>
      </w:pPr>
    </w:p>
    <w:p w14:paraId="06997AB8" w14:textId="77777777" w:rsidR="00B4039F" w:rsidRDefault="00B4039F" w:rsidP="00510E80">
      <w:pPr>
        <w:spacing w:beforeLines="240" w:before="576" w:afterLines="240" w:after="576" w:line="240" w:lineRule="auto"/>
        <w:ind w:left="360"/>
        <w:jc w:val="both"/>
        <w:rPr>
          <w:rFonts w:ascii="Times New Roman" w:hAnsi="Times New Roman" w:cs="Times New Roman"/>
          <w:i/>
          <w:iCs/>
        </w:rPr>
      </w:pPr>
    </w:p>
    <w:p w14:paraId="7483AC8C" w14:textId="77777777" w:rsidR="00B4039F" w:rsidRDefault="00B4039F" w:rsidP="00510E80">
      <w:pPr>
        <w:spacing w:beforeLines="240" w:before="576" w:afterLines="240" w:after="576" w:line="240" w:lineRule="auto"/>
        <w:ind w:left="360"/>
        <w:jc w:val="both"/>
        <w:rPr>
          <w:rFonts w:ascii="Times New Roman" w:hAnsi="Times New Roman" w:cs="Times New Roman"/>
          <w:i/>
          <w:iCs/>
        </w:rPr>
      </w:pPr>
    </w:p>
    <w:p w14:paraId="060A7DF2" w14:textId="77777777" w:rsidR="00B4039F" w:rsidRDefault="00B4039F" w:rsidP="00510E80">
      <w:pPr>
        <w:spacing w:beforeLines="240" w:before="576" w:afterLines="240" w:after="576" w:line="240" w:lineRule="auto"/>
        <w:ind w:left="360"/>
        <w:jc w:val="both"/>
        <w:rPr>
          <w:rFonts w:ascii="Times New Roman" w:hAnsi="Times New Roman" w:cs="Times New Roman"/>
          <w:i/>
          <w:iCs/>
        </w:rPr>
      </w:pPr>
    </w:p>
    <w:p w14:paraId="7DECC6D4"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i/>
          <w:iCs/>
        </w:rPr>
      </w:pPr>
    </w:p>
    <w:p w14:paraId="16C10AD0" w14:textId="77777777" w:rsidR="00B4039F" w:rsidRDefault="00B4039F" w:rsidP="00510E80">
      <w:pPr>
        <w:spacing w:beforeLines="240" w:before="576" w:afterLines="240" w:after="576" w:line="240" w:lineRule="auto"/>
        <w:ind w:left="360"/>
        <w:jc w:val="both"/>
        <w:rPr>
          <w:rFonts w:ascii="Times New Roman" w:hAnsi="Times New Roman" w:cs="Times New Roman"/>
        </w:rPr>
      </w:pPr>
    </w:p>
    <w:p w14:paraId="35E250D6"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p>
    <w:p w14:paraId="06C89160" w14:textId="69C918F0" w:rsidR="00B4039F" w:rsidRPr="00B4039F" w:rsidRDefault="00B4039F" w:rsidP="00510E80">
      <w:pPr>
        <w:spacing w:beforeLines="240" w:before="576" w:afterLines="240" w:after="576" w:line="240" w:lineRule="auto"/>
        <w:ind w:left="360"/>
        <w:jc w:val="both"/>
        <w:rPr>
          <w:rFonts w:ascii="Times New Roman" w:hAnsi="Times New Roman" w:cs="Times New Roman"/>
          <w:b/>
          <w:bCs/>
        </w:rPr>
      </w:pPr>
      <w:r w:rsidRPr="00B4039F">
        <w:rPr>
          <w:rFonts w:ascii="Times New Roman" w:hAnsi="Times New Roman" w:cs="Times New Roman"/>
          <w:b/>
          <w:bCs/>
        </w:rPr>
        <w:lastRenderedPageBreak/>
        <w:t xml:space="preserve">Expert Validators </w:t>
      </w:r>
    </w:p>
    <w:p w14:paraId="577DD21C" w14:textId="46FDC1D9"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employed purposive sampling to select a panel of experts who established the content and linguistic validity of the instrument. This method ensured that the validators possessed the specialized professional qualifications necessary for a rigorous evaluation of the contextualized assessment tool.</w:t>
      </w:r>
    </w:p>
    <w:p w14:paraId="3F21DD00" w14:textId="31D82308"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selected a validation panel composed of specialists categorized into two functional roles. For the Content Validators, the researcher tapped five (5) specialists based on the following criteria: (a) at least five years of extensive experience in Mathematics instruction; (b) current status as a Master Teacher, Mathematics Coordinator, or Mathematics Professor from a Higher Education Institution (HEI); and (c) documented training or expertise in the implementation of the MATATAG Curriculum. These experts evaluated the instrument's alignment with curriculum standards and the structural complexity of items based on the SOLO Taxonomy.</w:t>
      </w:r>
      <w:r w:rsidR="00510E80">
        <w:rPr>
          <w:rFonts w:ascii="Times New Roman" w:hAnsi="Times New Roman" w:cs="Times New Roman"/>
        </w:rPr>
        <w:t xml:space="preserve"> </w:t>
      </w:r>
      <w:r w:rsidRPr="00B4039F">
        <w:rPr>
          <w:rFonts w:ascii="Times New Roman" w:hAnsi="Times New Roman" w:cs="Times New Roman"/>
        </w:rPr>
        <w:t>For the Language Validators, the researcher selected an Associate Professor V in Filipino from the Central Bicol State University of Agriculture (CBSUA) and a Doctor of Philosophy (PhD) in English who serves as a Teacher III in Ocampo. These experts collaborated to ensure the linguistic appropriateness and grammatical precision of the code-switched instrument. They specifically verified that the Filipino translations, which comprised the majority of the test items, were suitable for the Grade 7 level, and ensured that the English terminologies were used accurately. This dual-language scrutiny guaranteed that the contextualized scenarios were clear, free from ambiguity, and culturally relevant to the learners.</w:t>
      </w:r>
    </w:p>
    <w:p w14:paraId="499FBCDE" w14:textId="4721434B"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Through the involvement of these specialists, the researcher computed the Content Validity Index (CVI). This process guaranteed that the Contextualized Numeracy Test (CNT) underwent scrutiny for mathematical rigor, linguistic quality, and theoretical soundness before the researcher administered it to the larger learner sample.</w:t>
      </w:r>
    </w:p>
    <w:p w14:paraId="101D63E6" w14:textId="43B04D51"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Table 2</w:t>
      </w:r>
    </w:p>
    <w:p w14:paraId="528E1A76" w14:textId="621F6551" w:rsidR="00B4039F" w:rsidRPr="00B4039F" w:rsidRDefault="00510E80" w:rsidP="00510E80">
      <w:pPr>
        <w:spacing w:beforeLines="240" w:before="576" w:afterLines="240" w:after="576" w:line="240" w:lineRule="auto"/>
        <w:ind w:left="360"/>
        <w:jc w:val="both"/>
        <w:rPr>
          <w:rFonts w:ascii="Times New Roman" w:hAnsi="Times New Roman" w:cs="Times New Roman"/>
        </w:rPr>
      </w:pPr>
      <w:r w:rsidRPr="00510E80">
        <w:drawing>
          <wp:anchor distT="0" distB="0" distL="114300" distR="114300" simplePos="0" relativeHeight="251659264" behindDoc="0" locked="0" layoutInCell="1" allowOverlap="1" wp14:anchorId="5FB69B7B" wp14:editId="1E85C7A4">
            <wp:simplePos x="0" y="0"/>
            <wp:positionH relativeFrom="column">
              <wp:posOffset>777875</wp:posOffset>
            </wp:positionH>
            <wp:positionV relativeFrom="paragraph">
              <wp:posOffset>336550</wp:posOffset>
            </wp:positionV>
            <wp:extent cx="5867400" cy="3952875"/>
            <wp:effectExtent l="0" t="0" r="0" b="0"/>
            <wp:wrapNone/>
            <wp:docPr id="1538170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 r="-11191"/>
                    <a:stretch>
                      <a:fillRect/>
                    </a:stretch>
                  </pic:blipFill>
                  <pic:spPr bwMode="auto">
                    <a:xfrm>
                      <a:off x="0" y="0"/>
                      <a:ext cx="5867400" cy="3952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039F" w:rsidRPr="00B4039F">
        <w:rPr>
          <w:rFonts w:ascii="Times New Roman" w:hAnsi="Times New Roman" w:cs="Times New Roman"/>
          <w:i/>
          <w:iCs/>
        </w:rPr>
        <w:t>Profile of the Expert Validators</w:t>
      </w:r>
    </w:p>
    <w:p w14:paraId="23916B31" w14:textId="5E0A4D84" w:rsidR="00B4039F" w:rsidRDefault="00B4039F" w:rsidP="00510E80">
      <w:pPr>
        <w:spacing w:beforeLines="240" w:before="576" w:afterLines="240" w:after="576" w:line="240" w:lineRule="auto"/>
        <w:ind w:left="360"/>
        <w:jc w:val="both"/>
        <w:rPr>
          <w:rFonts w:ascii="Times New Roman" w:hAnsi="Times New Roman" w:cs="Times New Roman"/>
        </w:rPr>
      </w:pPr>
    </w:p>
    <w:p w14:paraId="634BDBA3" w14:textId="192AC6C0" w:rsidR="00B4039F" w:rsidRDefault="00B4039F" w:rsidP="00510E80">
      <w:pPr>
        <w:spacing w:beforeLines="240" w:before="576" w:afterLines="240" w:after="576" w:line="240" w:lineRule="auto"/>
        <w:ind w:left="360"/>
        <w:jc w:val="both"/>
        <w:rPr>
          <w:rFonts w:ascii="Times New Roman" w:hAnsi="Times New Roman" w:cs="Times New Roman"/>
        </w:rPr>
      </w:pPr>
    </w:p>
    <w:p w14:paraId="5FBD2216" w14:textId="77777777" w:rsidR="00B4039F" w:rsidRDefault="00B4039F" w:rsidP="00510E80">
      <w:pPr>
        <w:spacing w:beforeLines="240" w:before="576" w:afterLines="240" w:after="576" w:line="240" w:lineRule="auto"/>
        <w:ind w:left="360"/>
        <w:jc w:val="both"/>
        <w:rPr>
          <w:rFonts w:ascii="Times New Roman" w:hAnsi="Times New Roman" w:cs="Times New Roman"/>
        </w:rPr>
      </w:pPr>
    </w:p>
    <w:p w14:paraId="0623E660" w14:textId="77777777" w:rsidR="00B4039F" w:rsidRDefault="00B4039F" w:rsidP="00510E80">
      <w:pPr>
        <w:spacing w:beforeLines="240" w:before="576" w:afterLines="240" w:after="576" w:line="240" w:lineRule="auto"/>
        <w:ind w:left="360"/>
        <w:jc w:val="both"/>
        <w:rPr>
          <w:rFonts w:ascii="Times New Roman" w:hAnsi="Times New Roman" w:cs="Times New Roman"/>
        </w:rPr>
      </w:pPr>
    </w:p>
    <w:p w14:paraId="1972DACE" w14:textId="77777777" w:rsidR="00510E80" w:rsidRDefault="00510E80" w:rsidP="00510E80">
      <w:pPr>
        <w:spacing w:beforeLines="240" w:before="576" w:afterLines="240" w:after="576" w:line="240" w:lineRule="auto"/>
        <w:ind w:left="360"/>
        <w:jc w:val="both"/>
        <w:rPr>
          <w:rFonts w:ascii="Times New Roman" w:hAnsi="Times New Roman" w:cs="Times New Roman"/>
        </w:rPr>
      </w:pPr>
    </w:p>
    <w:p w14:paraId="66A5DD31"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p>
    <w:p w14:paraId="1CC9F67E" w14:textId="77777777" w:rsidR="00B4039F" w:rsidRPr="00510E80" w:rsidRDefault="00B4039F" w:rsidP="00510E80">
      <w:pPr>
        <w:spacing w:beforeLines="240" w:before="576" w:afterLines="240" w:after="576" w:line="240" w:lineRule="auto"/>
        <w:ind w:left="360"/>
        <w:jc w:val="both"/>
        <w:rPr>
          <w:rFonts w:ascii="Times New Roman" w:hAnsi="Times New Roman" w:cs="Times New Roman"/>
          <w:b/>
          <w:bCs/>
        </w:rPr>
      </w:pPr>
      <w:r w:rsidRPr="00510E80">
        <w:rPr>
          <w:rFonts w:ascii="Times New Roman" w:hAnsi="Times New Roman" w:cs="Times New Roman"/>
          <w:b/>
          <w:bCs/>
        </w:rPr>
        <w:lastRenderedPageBreak/>
        <w:t>DATA GATHERING PROCEDURE</w:t>
      </w:r>
    </w:p>
    <w:p w14:paraId="0B020263" w14:textId="77777777" w:rsidR="00B4039F" w:rsidRPr="00B4039F"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executed the data gathering process through the systematic phases of the ADDIE Model, ensuring that each stage of the instrument’s development was grounded in curricular standards and psychometric rigor.</w:t>
      </w:r>
    </w:p>
    <w:p w14:paraId="672255CC"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1. Analysis Phase: In this initial stage, the researcher performed a comprehensive document analysis of the MATATAG Curriculum Guide for Grade 7 Mathematics. The researcher utilized the 91.94% RMA result as the primary baseline to identify specific learning gaps and "prerequisite competencies." By auditing the curriculum, the researcher established the primary domains—Number and Algebra, Measurement and Geometry, and Data and Probability that formed the conceptual backbone of the assessment.</w:t>
      </w:r>
    </w:p>
    <w:p w14:paraId="2B42580A"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2. Design Phase: During the design phase, the researcher developed the Table of Specifications (TOS). The researcher strategically mapped each potential test item against the identified competencies and categorized them according to the levels of the SOLO Taxonomy. To ensure content validity, the researcher determined the distribution of items by calculating the curricular weight of each topic within the official MATATAG framework.</w:t>
      </w:r>
    </w:p>
    <w:p w14:paraId="2B3844D0"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3. Development Phase: This phase involved the construction and the multi-stage refinement of the instrument through a data-driven approach:</w:t>
      </w:r>
    </w:p>
    <w:p w14:paraId="28B4967D" w14:textId="77777777" w:rsidR="00B4039F" w:rsidRPr="00B4039F" w:rsidRDefault="00B4039F" w:rsidP="00510E80">
      <w:pPr>
        <w:numPr>
          <w:ilvl w:val="0"/>
          <w:numId w:val="3"/>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 xml:space="preserve">Initial Item Generation: The researcher constructed an initial pool of 50 items anchored on contextualization and a specific code-switching protocol. To make the math problems relatable, the situations were based on the local culture, landmarks, and daily experiences of learners in the Ocampo District. These scenarios were written predominantly in Filipino to ensure that the "context" or story of the problem is easily understood by the students. However, English was strictly maintained for mathematical technical terms (e.g., </w:t>
      </w:r>
      <w:r w:rsidRPr="00B4039F">
        <w:rPr>
          <w:rFonts w:ascii="Times New Roman" w:hAnsi="Times New Roman" w:cs="Times New Roman"/>
          <w:i/>
          <w:iCs/>
        </w:rPr>
        <w:t>angles, value, circle</w:t>
      </w:r>
      <w:r w:rsidRPr="00B4039F">
        <w:rPr>
          <w:rFonts w:ascii="Times New Roman" w:hAnsi="Times New Roman" w:cs="Times New Roman"/>
        </w:rPr>
        <w:t>) to align with the MATATAG Curriculum standards. This approach ensured that the learners could focus on solving the mathematical tasks within a familiar local setting without being hindered by a language barrier. This intentional over-sampling of 50 items provided a sufficient buffer for selection after the validation and pruning process.</w:t>
      </w:r>
    </w:p>
    <w:p w14:paraId="32FDF25B" w14:textId="77777777" w:rsidR="00B4039F" w:rsidRPr="00B4039F" w:rsidRDefault="00B4039F" w:rsidP="00510E80">
      <w:pPr>
        <w:numPr>
          <w:ilvl w:val="0"/>
          <w:numId w:val="3"/>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Pre-Pilot Testing and Distractor Rehabilitation: The researcher administered the initial item pool to non-sampled Grade 7 learners to identify non-functioning distractors. Through Distractor Rehabilitation, the researcher analyzed the learners' error patterns and modified options that were never selected. The researcher replaced these "dead" distractors with plausible alternatives based on common mathematical misconceptions and computational errors observed in the learners' responses. This ensured that every choice in the multiple-choice format served a diagnostic purpose.</w:t>
      </w:r>
    </w:p>
    <w:p w14:paraId="534768B2" w14:textId="77777777" w:rsidR="00B4039F" w:rsidRPr="00B4039F" w:rsidRDefault="00B4039F" w:rsidP="00510E80">
      <w:pPr>
        <w:numPr>
          <w:ilvl w:val="0"/>
          <w:numId w:val="3"/>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Expert and Linguistic Validation: The researcher subjected the refined draft to a dual-validation process. Five content experts evaluated the items for mathematical accuracy and SOLO alignment using Lawshe’s Method to determine the Content Validity Ratio (CVR). Simultaneously, an Associate Professor in Filipino and a PhD in English scrutinized the linguistic precision of the code-switched items. The researcher used the consolidated feedback and the Content Validity Index (CVI) as the basis for revising or discarding items that did not meet the required threshold for validity.</w:t>
      </w:r>
    </w:p>
    <w:p w14:paraId="7588541F"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lastRenderedPageBreak/>
        <w:t>4. Implementation Phase: After securing the necessary permits from the Schools Division Office and respective school heads, the researcher administered the refined version of the Contextualized Numeracy Test (CNT). The researcher conducted the administration among the 307 learner participants across the randomly selected clusters (intact groups). To maintain the reliability of the results, the researcher ensured standardized testing conditions by providing uniform instructions and strictly monitoring time limits across all participating schools.</w:t>
      </w:r>
    </w:p>
    <w:p w14:paraId="25AF7309" w14:textId="0D48A6BD"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5. Evaluation Phase: In the final stage, the researcher processed the gathered data by encoding the learner responses and applying Classical Test Theory (CTT). The researcher utilized the Kuder-Richardson 20 (KR-20) formula to test for internal consistency and the Point-Biserial Correlation to measure the discrimination power of each item. Based on these statistical indices, the researcher selected the best-performing items to constitute the final version of the diagnostic tool, ensuring it remained efficient for classroom use while maintaining proportional representation of the curriculum domains.</w:t>
      </w:r>
    </w:p>
    <w:p w14:paraId="56DCEB32" w14:textId="77777777" w:rsidR="00B4039F" w:rsidRPr="00510E80" w:rsidRDefault="00B4039F" w:rsidP="00510E80">
      <w:pPr>
        <w:spacing w:beforeLines="240" w:before="576" w:afterLines="240" w:after="576" w:line="240" w:lineRule="auto"/>
        <w:ind w:left="360"/>
        <w:jc w:val="both"/>
        <w:rPr>
          <w:rFonts w:ascii="Times New Roman" w:hAnsi="Times New Roman" w:cs="Times New Roman"/>
          <w:b/>
          <w:bCs/>
        </w:rPr>
      </w:pPr>
      <w:r w:rsidRPr="00510E80">
        <w:rPr>
          <w:rFonts w:ascii="Times New Roman" w:hAnsi="Times New Roman" w:cs="Times New Roman"/>
          <w:b/>
          <w:bCs/>
        </w:rPr>
        <w:t>RESEARCH INSTRUMENTS</w:t>
      </w:r>
    </w:p>
    <w:p w14:paraId="7437CF94"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The researcher utilized two primary sets of instruments to ensure the technical, instructional, and linguistic quality of the study. These tools allowed the researcher to gather empirical data from the experts and performance data from the learner participants.</w:t>
      </w:r>
    </w:p>
    <w:p w14:paraId="1C23489E"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1. Validation and Acceptability Instruments</w:t>
      </w:r>
    </w:p>
    <w:p w14:paraId="10A5A5F3"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The researcher utilized standardized and official evaluation forms to establish the validity and usability of the Contextualized Numeracy Test (CNT). These were administered to the panel of five (5) content experts and two (2) language validators:</w:t>
      </w:r>
    </w:p>
    <w:p w14:paraId="3DDC18DE" w14:textId="77777777" w:rsidR="00B4039F" w:rsidRPr="00B4039F" w:rsidRDefault="00B4039F" w:rsidP="00510E80">
      <w:pPr>
        <w:numPr>
          <w:ilvl w:val="0"/>
          <w:numId w:val="4"/>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Content Validity Evaluation Form (Lawshe’s Method): The researcher employed this standardized and globally validated tool to quantify the "essentiality" of each test item through expert judgment. By using this established statistical procedure, the researcher computed the Content Validity Ratio (CVR) for each item and the overall Content Validity Index (CVI) of the instrument. This provided an objective, data-driven assurance that the test items possessed high content validity and strictly aligned with the competencies of the MATATAG Curriculum and the structural levels of the SOLO Taxonomy.</w:t>
      </w:r>
    </w:p>
    <w:p w14:paraId="3FB2E254" w14:textId="77777777" w:rsidR="00B4039F" w:rsidRPr="00B4039F" w:rsidRDefault="00B4039F" w:rsidP="00510E80">
      <w:pPr>
        <w:numPr>
          <w:ilvl w:val="0"/>
          <w:numId w:val="4"/>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DepEd Evaluation Rating Sheet for Print Resources: The researcher used this official tool to establish face and linguistic validity, as well as the acceptability and usability of the instrument. Through this form, the validators rated the CNT based on four critical factors: (1) Content Quality, (2) Format Quality, (3) Presentation and Organization, and (4) Accuracy and Up-to-datedness. By utilizing this standardized DepEd tool, the researcher ensured that the developed CNT met the national requirements for educational resources.</w:t>
      </w:r>
    </w:p>
    <w:p w14:paraId="4CA176A6"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2. The Contextualized Numeracy Test (CNT)</w:t>
      </w:r>
    </w:p>
    <w:p w14:paraId="695198BE"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The researcher developed the Contextualized Numeracy Test (CNT) as the primary performance-based instrument of the study. This code-switched (English and Filipino) diagnostic tool underwent a rigorous development process:</w:t>
      </w:r>
    </w:p>
    <w:p w14:paraId="7A5D9413" w14:textId="77777777" w:rsidR="00B4039F" w:rsidRPr="00B4039F" w:rsidRDefault="00B4039F" w:rsidP="00510E80">
      <w:pPr>
        <w:numPr>
          <w:ilvl w:val="0"/>
          <w:numId w:val="5"/>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lastRenderedPageBreak/>
        <w:t>Table of Specifications (TOS): The researcher designed a TOS that mapped the test items against the MATATAG Curriculum domains (Number and Algebra, Measurement and Geometry, and Data and Probability) and the SOLO Taxonomy levels.</w:t>
      </w:r>
    </w:p>
    <w:p w14:paraId="7306A20C" w14:textId="77777777" w:rsidR="00B4039F" w:rsidRPr="00B4039F" w:rsidRDefault="00B4039F" w:rsidP="00510E80">
      <w:pPr>
        <w:numPr>
          <w:ilvl w:val="0"/>
          <w:numId w:val="5"/>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Item Construction: The researcher constructed items using local contexts to make the mathematical problems more relatable to the Grade 7 learners. The instrument utilized a multiple-choice format, which the researcher optimized through the Distractor Rehabilitation process to ensure that each option served a diagnostic purpose in identifying learner misconceptions.</w:t>
      </w:r>
    </w:p>
    <w:p w14:paraId="60839E05" w14:textId="77777777" w:rsidR="00B4039F" w:rsidRPr="00510E80" w:rsidRDefault="00B4039F" w:rsidP="00510E80">
      <w:pPr>
        <w:spacing w:beforeLines="240" w:before="576" w:afterLines="240" w:after="576" w:line="240" w:lineRule="auto"/>
        <w:ind w:left="360"/>
        <w:jc w:val="both"/>
        <w:rPr>
          <w:rFonts w:ascii="Times New Roman" w:hAnsi="Times New Roman" w:cs="Times New Roman"/>
          <w:b/>
          <w:bCs/>
        </w:rPr>
      </w:pPr>
      <w:r w:rsidRPr="00510E80">
        <w:rPr>
          <w:rFonts w:ascii="Times New Roman" w:hAnsi="Times New Roman" w:cs="Times New Roman"/>
          <w:b/>
          <w:bCs/>
        </w:rPr>
        <w:t>STATISTICAL TREATMENT</w:t>
      </w:r>
    </w:p>
    <w:p w14:paraId="345202CE"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To ensure the technical quality and psychometric rigor of the Contextualized Numeracy Test (CNT), the researcher processed and analyzed the gathered data using Microsoft Excel with an automated item analysis template. The researcher employed the following statistical methods:</w:t>
      </w:r>
    </w:p>
    <w:p w14:paraId="49425C45"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1. Lawshe’s Content Validity Ratio (CVR) and Content Validity Index (CVI): The researcher used these tools to quantify the degree of consensus among the subject matter experts regarding the "essentiality" of each test item. The CVR identified critical items based on the threshold for five validators, while the CVI represented the overall content validity of the entire instrument.</w:t>
      </w:r>
    </w:p>
    <w:p w14:paraId="11DAAF31"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2. Weighted Mean: The researcher employed the weighted mean to interpret the qualitative ratings provided by the experts in the DepEd Evaluation Rating Sheet for Print Resources. This determined the overall level of acceptability of the CNT across four factors: Content, Format, Presentation, and Accuracy.</w:t>
      </w:r>
    </w:p>
    <w:p w14:paraId="0D7FA267"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3. Item Analysis (Classical Test Theory): This served as the primary method for evaluating item performance during the pilot testing phase with the 307 participants.</w:t>
      </w:r>
    </w:p>
    <w:p w14:paraId="7485F459" w14:textId="77777777" w:rsidR="00B4039F" w:rsidRPr="00B4039F" w:rsidRDefault="00B4039F" w:rsidP="00510E80">
      <w:pPr>
        <w:numPr>
          <w:ilvl w:val="0"/>
          <w:numId w:val="6"/>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Difficulty Index (p): The researcher measured the proportion of learners who answered an item correctly. The researcher utilized the range of 0.20 to 0.80 to identify items that were within the acceptable difficulty level.</w:t>
      </w:r>
    </w:p>
    <w:p w14:paraId="51FBFD9B" w14:textId="77777777" w:rsidR="00B4039F" w:rsidRPr="00B4039F" w:rsidRDefault="00B4039F" w:rsidP="00510E80">
      <w:pPr>
        <w:numPr>
          <w:ilvl w:val="0"/>
          <w:numId w:val="6"/>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Discrimination Index (D): The researcher measured the power of an item to distinguish between high-performing and low-performing learners using the upper and lower 27% of the group.</w:t>
      </w:r>
    </w:p>
    <w:p w14:paraId="4B3D0623" w14:textId="77777777" w:rsidR="00B4039F" w:rsidRPr="00B4039F" w:rsidRDefault="00B4039F" w:rsidP="00510E80">
      <w:pPr>
        <w:numPr>
          <w:ilvl w:val="0"/>
          <w:numId w:val="6"/>
        </w:numPr>
        <w:spacing w:beforeLines="240" w:before="576" w:afterLines="240" w:after="576" w:line="240" w:lineRule="auto"/>
        <w:jc w:val="both"/>
        <w:rPr>
          <w:rFonts w:ascii="Times New Roman" w:hAnsi="Times New Roman" w:cs="Times New Roman"/>
        </w:rPr>
      </w:pPr>
      <w:r w:rsidRPr="00B4039F">
        <w:rPr>
          <w:rFonts w:ascii="Times New Roman" w:hAnsi="Times New Roman" w:cs="Times New Roman"/>
        </w:rPr>
        <w:t>Point-Biserial Correlation: To further strengthen the item analysis, the researcher utilized the Point-Biserial Correlation to determine the relationship between a learner's performance on a specific item and their overall test score. The researcher set a threshold of ≥0.20 to ensure that each retained item possessed strong discriminating power.</w:t>
      </w:r>
    </w:p>
    <w:p w14:paraId="7F215CF4"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 xml:space="preserve">4. Kuder-Richardson Formula 20 (KR-20) and Cronbach’s Alpha: Since the CNT is a dichotomously scored instrument (right or wrong), the researcher utilized the KR-20 to measure internal consistency reliability. This determined if the items consistently measured the same underlying construct of foundational numeracy. </w:t>
      </w:r>
      <w:r w:rsidRPr="00B4039F">
        <w:rPr>
          <w:rFonts w:ascii="Times New Roman" w:hAnsi="Times New Roman" w:cs="Times New Roman"/>
        </w:rPr>
        <w:lastRenderedPageBreak/>
        <w:t>The researcher used the Lumen Ex Machina automated spreadsheet system to ensure the accuracy of the reliability coefficient.</w:t>
      </w:r>
    </w:p>
    <w:p w14:paraId="3DF80097" w14:textId="77777777" w:rsidR="00B4039F" w:rsidRPr="00B4039F" w:rsidRDefault="00B4039F" w:rsidP="00510E80">
      <w:pPr>
        <w:spacing w:beforeLines="240" w:before="576" w:afterLines="240" w:after="576" w:line="240" w:lineRule="auto"/>
        <w:ind w:left="360"/>
        <w:jc w:val="both"/>
        <w:rPr>
          <w:rFonts w:ascii="Times New Roman" w:hAnsi="Times New Roman" w:cs="Times New Roman"/>
        </w:rPr>
      </w:pPr>
      <w:r w:rsidRPr="00B4039F">
        <w:rPr>
          <w:rFonts w:ascii="Times New Roman" w:hAnsi="Times New Roman" w:cs="Times New Roman"/>
        </w:rPr>
        <w:t>5. Descriptive Statistics: The researcher used the Mean and Standard Deviation to summarize the performance of the 307 respondents. The Mean provided the average performance (central tendency), while the Standard Deviation measured the dispersion of scores, indicating the diversity of the learners' numeracy levels.</w:t>
      </w:r>
    </w:p>
    <w:p w14:paraId="6E3B75BF" w14:textId="77777777" w:rsidR="00B4039F" w:rsidRPr="00B4039F" w:rsidRDefault="00B4039F" w:rsidP="00510E80">
      <w:pPr>
        <w:spacing w:beforeLines="240" w:before="576" w:afterLines="240" w:after="576" w:line="240" w:lineRule="auto"/>
        <w:ind w:left="360" w:firstLine="360"/>
        <w:jc w:val="both"/>
        <w:rPr>
          <w:rFonts w:ascii="Times New Roman" w:hAnsi="Times New Roman" w:cs="Times New Roman"/>
          <w:lang w:val="en-PH"/>
        </w:rPr>
      </w:pPr>
      <w:r w:rsidRPr="00B4039F">
        <w:rPr>
          <w:rFonts w:ascii="Times New Roman" w:hAnsi="Times New Roman" w:cs="Times New Roman"/>
        </w:rPr>
        <w:t>The researcher utilized these descriptive and psychometric statistical methods to ensure a comprehensive evaluation of the CNT’s validity and reliability. By applying these rigorous technical treatments, the researcher transformed the gathered raw data into empirical evidence, confirming that the final 30-item instrument is a statistically sound and instructionally efficient diagnostic tool for assessing the foundational numeracy skills of Grade 7 learners.</w:t>
      </w:r>
    </w:p>
    <w:p w14:paraId="7A2118DE" w14:textId="77777777" w:rsidR="00B4039F" w:rsidRPr="00510E80" w:rsidRDefault="00B4039F" w:rsidP="00510E80">
      <w:pPr>
        <w:spacing w:beforeLines="240" w:before="576" w:afterLines="240" w:after="576" w:line="240" w:lineRule="auto"/>
        <w:ind w:left="360"/>
        <w:jc w:val="both"/>
        <w:rPr>
          <w:rFonts w:ascii="Times New Roman" w:hAnsi="Times New Roman" w:cs="Times New Roman"/>
          <w:b/>
          <w:bCs/>
        </w:rPr>
      </w:pPr>
      <w:r w:rsidRPr="00510E80">
        <w:rPr>
          <w:rFonts w:ascii="Times New Roman" w:hAnsi="Times New Roman" w:cs="Times New Roman"/>
          <w:b/>
          <w:bCs/>
        </w:rPr>
        <w:t>ETHICAL CONSIDERATIONS</w:t>
      </w:r>
    </w:p>
    <w:p w14:paraId="4486EC5F" w14:textId="313B1F9D" w:rsidR="00B4039F" w:rsidRPr="00510E80" w:rsidRDefault="00B4039F" w:rsidP="00510E80">
      <w:pPr>
        <w:spacing w:beforeLines="240" w:before="576" w:afterLines="240" w:after="576" w:line="240" w:lineRule="auto"/>
        <w:ind w:left="360" w:firstLine="360"/>
        <w:jc w:val="both"/>
        <w:rPr>
          <w:rFonts w:ascii="Times New Roman" w:hAnsi="Times New Roman" w:cs="Times New Roman"/>
        </w:rPr>
      </w:pPr>
      <w:r w:rsidRPr="00B4039F">
        <w:rPr>
          <w:rFonts w:ascii="Times New Roman" w:hAnsi="Times New Roman" w:cs="Times New Roman"/>
        </w:rPr>
        <w:t>The researcher strictly adhered to the Data Privacy Act of 2012. Informed Consent was obtained from parents/guardians, and Assent was secured from the learners. The study ensured the anonymity of participants and the confidentiality of all scores. Participation was entirely voluntary, and schools were informed of their right to withdraw from the process at any time.</w:t>
      </w:r>
    </w:p>
    <w:p w14:paraId="77DC32CE" w14:textId="77777777" w:rsidR="00B4039F" w:rsidRDefault="00B4039F" w:rsidP="00B4039F">
      <w:pPr>
        <w:pStyle w:val="ListParagraph"/>
        <w:spacing w:before="240" w:afterLines="240" w:after="576" w:line="240" w:lineRule="auto"/>
        <w:ind w:left="1080"/>
        <w:rPr>
          <w:rFonts w:ascii="Times New Roman" w:hAnsi="Times New Roman" w:cs="Times New Roman"/>
          <w:b/>
          <w:bCs/>
        </w:rPr>
      </w:pPr>
    </w:p>
    <w:p w14:paraId="74452013" w14:textId="77777777" w:rsidR="00B4039F" w:rsidRPr="00A2089E" w:rsidRDefault="00B4039F" w:rsidP="00B4039F">
      <w:pPr>
        <w:pStyle w:val="ListParagraph"/>
        <w:spacing w:before="240" w:afterLines="240" w:after="576" w:line="240" w:lineRule="auto"/>
        <w:ind w:left="1080"/>
        <w:rPr>
          <w:rFonts w:ascii="Times New Roman" w:hAnsi="Times New Roman" w:cs="Times New Roman"/>
          <w:b/>
          <w:bCs/>
        </w:rPr>
      </w:pPr>
    </w:p>
    <w:p w14:paraId="54A79F70" w14:textId="646D9FF5" w:rsidR="00F37FC6" w:rsidRDefault="00F37FC6" w:rsidP="00A2089E">
      <w:pPr>
        <w:pStyle w:val="ListParagraph"/>
        <w:numPr>
          <w:ilvl w:val="0"/>
          <w:numId w:val="1"/>
        </w:numPr>
        <w:spacing w:before="240" w:afterLines="240" w:after="576" w:line="240" w:lineRule="auto"/>
        <w:rPr>
          <w:rFonts w:ascii="Times New Roman" w:hAnsi="Times New Roman" w:cs="Times New Roman"/>
          <w:b/>
          <w:bCs/>
          <w:sz w:val="28"/>
          <w:szCs w:val="28"/>
        </w:rPr>
      </w:pPr>
      <w:r w:rsidRPr="00510E80">
        <w:rPr>
          <w:rFonts w:ascii="Times New Roman" w:hAnsi="Times New Roman" w:cs="Times New Roman"/>
          <w:b/>
          <w:bCs/>
          <w:sz w:val="28"/>
          <w:szCs w:val="28"/>
        </w:rPr>
        <w:t>RESULTS</w:t>
      </w:r>
    </w:p>
    <w:p w14:paraId="0A3FDFED" w14:textId="77777777" w:rsidR="00510E80" w:rsidRPr="00510E80" w:rsidRDefault="00510E80" w:rsidP="00510E80">
      <w:pPr>
        <w:pStyle w:val="NormalWeb"/>
        <w:spacing w:before="240" w:beforeAutospacing="0" w:after="240" w:afterAutospacing="0"/>
        <w:jc w:val="both"/>
        <w:rPr>
          <w:b/>
          <w:bCs/>
        </w:rPr>
      </w:pPr>
      <w:r w:rsidRPr="00510E80">
        <w:rPr>
          <w:b/>
          <w:bCs/>
        </w:rPr>
        <w:t>Phase 1: Analysis Results</w:t>
      </w:r>
    </w:p>
    <w:p w14:paraId="4F7E4CEE" w14:textId="77777777" w:rsidR="00510E80" w:rsidRPr="00510E80" w:rsidRDefault="00510E80" w:rsidP="00510E80">
      <w:pPr>
        <w:pStyle w:val="NormalWeb"/>
        <w:spacing w:before="240" w:beforeAutospacing="0" w:after="240" w:afterAutospacing="0"/>
        <w:jc w:val="both"/>
        <w:rPr>
          <w:b/>
          <w:bCs/>
        </w:rPr>
      </w:pPr>
      <w:r w:rsidRPr="00510E80">
        <w:rPr>
          <w:b/>
          <w:bCs/>
        </w:rPr>
        <w:t>Foundational Numeracy Competencies in the MATATAG Grade 7 Mathematics Curriculum</w:t>
      </w:r>
    </w:p>
    <w:p w14:paraId="3B5A2B64" w14:textId="77777777" w:rsidR="00510E80" w:rsidRPr="00510E80" w:rsidRDefault="00510E80" w:rsidP="00510E80">
      <w:pPr>
        <w:pStyle w:val="NormalWeb"/>
        <w:spacing w:before="240" w:beforeAutospacing="0" w:after="240" w:afterAutospacing="0"/>
        <w:ind w:firstLine="720"/>
        <w:jc w:val="both"/>
      </w:pPr>
      <w:r w:rsidRPr="00510E80">
        <w:t>The researcher anchored the identification of foundational numeracy competencies on the MATATAG Grade 7 Mathematics Curriculum, specifically targeting the prerequisite skills developed during Key Stage 2. These competencies represent the essential mathematical building blocks required for learners to transition successfully from elementary-level numeracy to complex secondary mathematics concepts.</w:t>
      </w:r>
    </w:p>
    <w:p w14:paraId="0D3F6882" w14:textId="77777777" w:rsidR="00510E80" w:rsidRPr="00510E80" w:rsidRDefault="00510E80" w:rsidP="00510E80">
      <w:pPr>
        <w:pStyle w:val="NormalWeb"/>
        <w:spacing w:before="240" w:beforeAutospacing="0" w:after="240" w:afterAutospacing="0"/>
        <w:ind w:firstLine="720"/>
        <w:jc w:val="both"/>
      </w:pPr>
      <w:r w:rsidRPr="00510E80">
        <w:t>To ensure the instrument's alignment with the national standards, the researcher audited the frequency of Learning Competencies (LCs) across the Grade 7 curriculum. The percentage distribution of the test items was directly derived from the curricular weight of each domain, ensuring that the diagnostic tool reflects the emphasis placed on specific mathematical strands.</w:t>
      </w:r>
    </w:p>
    <w:p w14:paraId="5498FA26" w14:textId="77777777" w:rsidR="00510E80" w:rsidRDefault="00510E80" w:rsidP="00510E80">
      <w:pPr>
        <w:pStyle w:val="NormalWeb"/>
        <w:spacing w:before="240" w:beforeAutospacing="0" w:after="240" w:afterAutospacing="0"/>
        <w:jc w:val="both"/>
        <w:rPr>
          <w:b/>
          <w:bCs/>
        </w:rPr>
      </w:pPr>
    </w:p>
    <w:p w14:paraId="3355CCA8" w14:textId="77777777" w:rsidR="00510E80" w:rsidRDefault="00510E80" w:rsidP="00510E80">
      <w:pPr>
        <w:pStyle w:val="NormalWeb"/>
        <w:spacing w:before="240" w:beforeAutospacing="0" w:after="240" w:afterAutospacing="0"/>
        <w:jc w:val="both"/>
        <w:rPr>
          <w:b/>
          <w:bCs/>
        </w:rPr>
      </w:pPr>
    </w:p>
    <w:p w14:paraId="7537E990" w14:textId="77777777" w:rsidR="00510E80" w:rsidRDefault="00510E80" w:rsidP="00510E80">
      <w:pPr>
        <w:pStyle w:val="NormalWeb"/>
        <w:spacing w:before="240" w:beforeAutospacing="0" w:after="240" w:afterAutospacing="0"/>
        <w:jc w:val="both"/>
        <w:rPr>
          <w:b/>
          <w:bCs/>
        </w:rPr>
      </w:pPr>
    </w:p>
    <w:p w14:paraId="3DB0646D" w14:textId="77777777" w:rsidR="00510E80" w:rsidRDefault="00510E80" w:rsidP="00510E80">
      <w:pPr>
        <w:pStyle w:val="NormalWeb"/>
        <w:spacing w:before="240" w:beforeAutospacing="0" w:after="240" w:afterAutospacing="0"/>
        <w:jc w:val="both"/>
        <w:rPr>
          <w:b/>
          <w:bCs/>
        </w:rPr>
      </w:pPr>
    </w:p>
    <w:p w14:paraId="104622E1" w14:textId="77777777" w:rsidR="00510E80" w:rsidRPr="00510E80" w:rsidRDefault="00510E80" w:rsidP="00510E80">
      <w:pPr>
        <w:pStyle w:val="NormalWeb"/>
        <w:spacing w:before="240" w:beforeAutospacing="0" w:after="240" w:afterAutospacing="0"/>
        <w:jc w:val="both"/>
        <w:rPr>
          <w:b/>
          <w:bCs/>
        </w:rPr>
      </w:pPr>
    </w:p>
    <w:p w14:paraId="0BC1631E" w14:textId="77777777" w:rsidR="00510E80" w:rsidRPr="00510E80" w:rsidRDefault="00510E80" w:rsidP="00510E80">
      <w:pPr>
        <w:pStyle w:val="NormalWeb"/>
        <w:spacing w:before="240" w:beforeAutospacing="0" w:after="240" w:afterAutospacing="0"/>
        <w:jc w:val="both"/>
        <w:rPr>
          <w:b/>
          <w:bCs/>
        </w:rPr>
      </w:pPr>
      <w:r w:rsidRPr="00510E80">
        <w:rPr>
          <w:b/>
          <w:bCs/>
        </w:rPr>
        <w:lastRenderedPageBreak/>
        <w:t>Table 3</w:t>
      </w:r>
    </w:p>
    <w:p w14:paraId="15042B2D" w14:textId="77777777" w:rsidR="00510E80" w:rsidRPr="00510E80" w:rsidRDefault="00510E80" w:rsidP="00510E80">
      <w:pPr>
        <w:pStyle w:val="NormalWeb"/>
        <w:spacing w:before="240" w:beforeAutospacing="0" w:after="240" w:afterAutospacing="0"/>
        <w:jc w:val="both"/>
        <w:rPr>
          <w:i/>
          <w:iCs/>
        </w:rPr>
      </w:pPr>
      <w:r w:rsidRPr="00510E80">
        <w:rPr>
          <w:i/>
          <w:iCs/>
        </w:rPr>
        <w:t>Foundational Numeracy Competencies and Prerequisite Skills Identified for the Diagnostic Instrument</w:t>
      </w:r>
    </w:p>
    <w:tbl>
      <w:tblPr>
        <w:tblStyle w:val="TableGrid"/>
        <w:tblW w:w="8365" w:type="dxa"/>
        <w:tblBorders>
          <w:left w:val="none" w:sz="0" w:space="0" w:color="auto"/>
          <w:right w:val="none" w:sz="0" w:space="0" w:color="auto"/>
        </w:tblBorders>
        <w:shd w:val="clear" w:color="auto" w:fill="FFFFFF" w:themeFill="background1"/>
        <w:tblLayout w:type="fixed"/>
        <w:tblLook w:val="04A0" w:firstRow="1" w:lastRow="0" w:firstColumn="1" w:lastColumn="0" w:noHBand="0" w:noVBand="1"/>
      </w:tblPr>
      <w:tblGrid>
        <w:gridCol w:w="1525"/>
        <w:gridCol w:w="4950"/>
        <w:gridCol w:w="1890"/>
      </w:tblGrid>
      <w:tr w:rsidR="00510E80" w:rsidRPr="00510E80" w14:paraId="7073E6ED" w14:textId="77777777" w:rsidTr="00C010D0">
        <w:tc>
          <w:tcPr>
            <w:tcW w:w="1525" w:type="dxa"/>
            <w:tcBorders>
              <w:bottom w:val="single" w:sz="4" w:space="0" w:color="auto"/>
              <w:right w:val="nil"/>
            </w:tcBorders>
            <w:shd w:val="clear" w:color="auto" w:fill="FFFFFF" w:themeFill="background1"/>
          </w:tcPr>
          <w:p w14:paraId="5BF91671" w14:textId="77777777" w:rsidR="00510E80" w:rsidRPr="00510E80" w:rsidRDefault="00510E80" w:rsidP="00C010D0">
            <w:pPr>
              <w:pStyle w:val="NormalWeb"/>
              <w:spacing w:before="0" w:beforeAutospacing="0" w:after="0" w:afterAutospacing="0" w:line="276" w:lineRule="auto"/>
              <w:jc w:val="center"/>
              <w:rPr>
                <w:b/>
                <w:bCs/>
              </w:rPr>
            </w:pPr>
            <w:r w:rsidRPr="00510E80">
              <w:rPr>
                <w:b/>
                <w:bCs/>
              </w:rPr>
              <w:t>Content Domain</w:t>
            </w:r>
          </w:p>
        </w:tc>
        <w:tc>
          <w:tcPr>
            <w:tcW w:w="4950" w:type="dxa"/>
            <w:tcBorders>
              <w:left w:val="nil"/>
              <w:bottom w:val="single" w:sz="4" w:space="0" w:color="auto"/>
              <w:right w:val="nil"/>
            </w:tcBorders>
            <w:shd w:val="clear" w:color="auto" w:fill="FFFFFF" w:themeFill="background1"/>
          </w:tcPr>
          <w:p w14:paraId="7DDED69F" w14:textId="77777777" w:rsidR="00510E80" w:rsidRPr="00510E80" w:rsidRDefault="00510E80" w:rsidP="00C010D0">
            <w:pPr>
              <w:pStyle w:val="NormalWeb"/>
              <w:spacing w:before="0" w:beforeAutospacing="0" w:after="0" w:afterAutospacing="0" w:line="276" w:lineRule="auto"/>
              <w:jc w:val="center"/>
              <w:rPr>
                <w:b/>
                <w:bCs/>
              </w:rPr>
            </w:pPr>
            <w:r w:rsidRPr="00510E80">
              <w:rPr>
                <w:b/>
                <w:bCs/>
              </w:rPr>
              <w:t>Pre-requisite Elementary Competencies (MELCs/CG Codes)</w:t>
            </w:r>
          </w:p>
        </w:tc>
        <w:tc>
          <w:tcPr>
            <w:tcW w:w="1890" w:type="dxa"/>
            <w:tcBorders>
              <w:left w:val="nil"/>
              <w:bottom w:val="single" w:sz="4" w:space="0" w:color="auto"/>
            </w:tcBorders>
            <w:shd w:val="clear" w:color="auto" w:fill="FFFFFF" w:themeFill="background1"/>
          </w:tcPr>
          <w:p w14:paraId="68DC8F57" w14:textId="77777777" w:rsidR="00510E80" w:rsidRPr="00510E80" w:rsidRDefault="00510E80" w:rsidP="00C010D0">
            <w:pPr>
              <w:pStyle w:val="NormalWeb"/>
              <w:spacing w:before="0" w:beforeAutospacing="0" w:after="0" w:afterAutospacing="0" w:line="276" w:lineRule="auto"/>
              <w:jc w:val="center"/>
              <w:rPr>
                <w:b/>
                <w:bCs/>
              </w:rPr>
            </w:pPr>
            <w:r w:rsidRPr="00510E80">
              <w:rPr>
                <w:b/>
                <w:bCs/>
              </w:rPr>
              <w:t>Weight in Grade 7 Competencies</w:t>
            </w:r>
          </w:p>
        </w:tc>
      </w:tr>
      <w:tr w:rsidR="00510E80" w:rsidRPr="00510E80" w14:paraId="7F19848F" w14:textId="77777777" w:rsidTr="00C010D0">
        <w:tc>
          <w:tcPr>
            <w:tcW w:w="1525" w:type="dxa"/>
            <w:tcBorders>
              <w:bottom w:val="nil"/>
              <w:right w:val="nil"/>
            </w:tcBorders>
            <w:shd w:val="clear" w:color="auto" w:fill="FFFFFF" w:themeFill="background1"/>
          </w:tcPr>
          <w:p w14:paraId="296F08A3" w14:textId="77777777" w:rsidR="00510E80" w:rsidRPr="00510E80" w:rsidRDefault="00510E80" w:rsidP="00C010D0">
            <w:pPr>
              <w:pStyle w:val="NormalWeb"/>
              <w:spacing w:after="0" w:afterAutospacing="0" w:line="480" w:lineRule="auto"/>
            </w:pPr>
            <w:r w:rsidRPr="00510E80">
              <w:t>Numbers &amp; Algebra</w:t>
            </w:r>
          </w:p>
        </w:tc>
        <w:tc>
          <w:tcPr>
            <w:tcW w:w="4950" w:type="dxa"/>
            <w:tcBorders>
              <w:left w:val="nil"/>
              <w:bottom w:val="nil"/>
              <w:right w:val="nil"/>
            </w:tcBorders>
            <w:shd w:val="clear" w:color="auto" w:fill="FFFFFF" w:themeFill="background1"/>
          </w:tcPr>
          <w:p w14:paraId="23AB167B" w14:textId="6DB4C390" w:rsidR="00510E80" w:rsidRPr="00510E80" w:rsidRDefault="00510E80" w:rsidP="00C010D0">
            <w:pPr>
              <w:rPr>
                <w:rFonts w:ascii="Times New Roman" w:hAnsi="Times New Roman" w:cs="Times New Roman"/>
              </w:rPr>
            </w:pPr>
            <w:r w:rsidRPr="00510E80">
              <w:rPr>
                <w:rFonts w:ascii="Times New Roman" w:hAnsi="Times New Roman" w:cs="Times New Roman"/>
              </w:rPr>
              <w:t>Adds, subtracts, multiply and divides whole numbers.</w:t>
            </w:r>
          </w:p>
          <w:p w14:paraId="758A282C" w14:textId="4ABF637F" w:rsidR="00510E80" w:rsidRPr="00510E80" w:rsidRDefault="00510E80" w:rsidP="00C010D0">
            <w:pPr>
              <w:rPr>
                <w:rFonts w:ascii="Times New Roman" w:hAnsi="Times New Roman" w:cs="Times New Roman"/>
              </w:rPr>
            </w:pPr>
            <w:r w:rsidRPr="00510E80">
              <w:rPr>
                <w:rFonts w:ascii="Times New Roman" w:hAnsi="Times New Roman" w:cs="Times New Roman"/>
              </w:rPr>
              <w:t>Expresses fractions to decimals and vice versa.</w:t>
            </w:r>
          </w:p>
          <w:p w14:paraId="503428BA" w14:textId="2B58E677" w:rsidR="00510E80" w:rsidRPr="00510E80" w:rsidRDefault="00510E80" w:rsidP="00C010D0">
            <w:pPr>
              <w:rPr>
                <w:rFonts w:ascii="Times New Roman" w:hAnsi="Times New Roman" w:cs="Times New Roman"/>
              </w:rPr>
            </w:pPr>
            <w:r w:rsidRPr="00510E80">
              <w:rPr>
                <w:rFonts w:ascii="Times New Roman" w:hAnsi="Times New Roman" w:cs="Times New Roman"/>
              </w:rPr>
              <w:t>Arranges fractions, decimals, and percent in ascending/descending order.</w:t>
            </w:r>
          </w:p>
          <w:p w14:paraId="7C0B5470" w14:textId="0C8E2938" w:rsidR="00510E80" w:rsidRPr="00510E80" w:rsidRDefault="00510E80" w:rsidP="00C010D0">
            <w:pPr>
              <w:rPr>
                <w:rFonts w:ascii="Times New Roman" w:hAnsi="Times New Roman" w:cs="Times New Roman"/>
              </w:rPr>
            </w:pPr>
            <w:r w:rsidRPr="00510E80">
              <w:rPr>
                <w:rFonts w:ascii="Times New Roman" w:hAnsi="Times New Roman" w:cs="Times New Roman"/>
              </w:rPr>
              <w:t>Performs a series of two or more operations on whole numbers following the PEMDAS or GMDAS rule.</w:t>
            </w:r>
          </w:p>
          <w:p w14:paraId="59B349F7" w14:textId="44CFEF7B" w:rsidR="00510E80" w:rsidRPr="00510E80" w:rsidRDefault="00510E80" w:rsidP="00C010D0">
            <w:pPr>
              <w:rPr>
                <w:rFonts w:ascii="Times New Roman" w:hAnsi="Times New Roman" w:cs="Times New Roman"/>
              </w:rPr>
            </w:pPr>
            <w:r w:rsidRPr="00510E80">
              <w:rPr>
                <w:rFonts w:ascii="Times New Roman" w:hAnsi="Times New Roman" w:cs="Times New Roman"/>
              </w:rPr>
              <w:t>Adds and subtracts fractions and mixed fractions.</w:t>
            </w:r>
          </w:p>
          <w:p w14:paraId="70C1A3D8" w14:textId="77777777" w:rsidR="00510E80" w:rsidRDefault="00510E80" w:rsidP="00C010D0">
            <w:pPr>
              <w:rPr>
                <w:rFonts w:ascii="Times New Roman" w:hAnsi="Times New Roman" w:cs="Times New Roman"/>
              </w:rPr>
            </w:pPr>
            <w:r w:rsidRPr="00510E80">
              <w:rPr>
                <w:rFonts w:ascii="Times New Roman" w:hAnsi="Times New Roman" w:cs="Times New Roman"/>
              </w:rPr>
              <w:t>Multiplies simple fractions and mixed fractions.</w:t>
            </w:r>
          </w:p>
          <w:p w14:paraId="28C21E28" w14:textId="3D6BEF21" w:rsidR="00510E80" w:rsidRPr="00510E80" w:rsidRDefault="00510E80" w:rsidP="00C010D0">
            <w:pPr>
              <w:rPr>
                <w:rFonts w:ascii="Times New Roman" w:hAnsi="Times New Roman" w:cs="Times New Roman"/>
                <w:b/>
                <w:bCs/>
              </w:rPr>
            </w:pPr>
            <w:r w:rsidRPr="00510E80">
              <w:rPr>
                <w:rFonts w:ascii="Times New Roman" w:hAnsi="Times New Roman" w:cs="Times New Roman"/>
              </w:rPr>
              <w:t>Performs operations on decimals</w:t>
            </w:r>
          </w:p>
          <w:p w14:paraId="3A0BA425" w14:textId="3C82452A" w:rsidR="00510E80" w:rsidRPr="00510E80" w:rsidRDefault="00510E80" w:rsidP="00C010D0">
            <w:pPr>
              <w:rPr>
                <w:rFonts w:ascii="Times New Roman" w:hAnsi="Times New Roman" w:cs="Times New Roman"/>
              </w:rPr>
            </w:pPr>
            <w:r w:rsidRPr="00510E80">
              <w:rPr>
                <w:rFonts w:ascii="Times New Roman" w:hAnsi="Times New Roman" w:cs="Times New Roman"/>
              </w:rPr>
              <w:t>Performs laws of exponents</w:t>
            </w:r>
          </w:p>
          <w:p w14:paraId="6BA50172" w14:textId="77777777" w:rsidR="00510E80" w:rsidRPr="00510E80" w:rsidRDefault="00510E80" w:rsidP="00C010D0">
            <w:pPr>
              <w:rPr>
                <w:rFonts w:ascii="Times New Roman" w:hAnsi="Times New Roman" w:cs="Times New Roman"/>
              </w:rPr>
            </w:pPr>
          </w:p>
        </w:tc>
        <w:tc>
          <w:tcPr>
            <w:tcW w:w="1890" w:type="dxa"/>
            <w:tcBorders>
              <w:left w:val="nil"/>
              <w:bottom w:val="nil"/>
            </w:tcBorders>
            <w:shd w:val="clear" w:color="auto" w:fill="FFFFFF" w:themeFill="background1"/>
          </w:tcPr>
          <w:p w14:paraId="343562BC" w14:textId="77777777" w:rsidR="00510E80" w:rsidRPr="00510E80" w:rsidRDefault="00510E80" w:rsidP="00C010D0">
            <w:pPr>
              <w:pStyle w:val="NormalWeb"/>
              <w:spacing w:after="0" w:afterAutospacing="0" w:line="480" w:lineRule="auto"/>
            </w:pPr>
            <w:r w:rsidRPr="00510E80">
              <w:t>62%</w:t>
            </w:r>
          </w:p>
        </w:tc>
      </w:tr>
      <w:tr w:rsidR="00510E80" w:rsidRPr="00510E80" w14:paraId="08115C3F" w14:textId="77777777" w:rsidTr="00C010D0">
        <w:tc>
          <w:tcPr>
            <w:tcW w:w="1525" w:type="dxa"/>
            <w:tcBorders>
              <w:top w:val="nil"/>
              <w:bottom w:val="nil"/>
              <w:right w:val="nil"/>
            </w:tcBorders>
            <w:shd w:val="clear" w:color="auto" w:fill="FFFFFF" w:themeFill="background1"/>
          </w:tcPr>
          <w:p w14:paraId="10FF5FFB" w14:textId="77777777" w:rsidR="00510E80" w:rsidRPr="00510E80" w:rsidRDefault="00510E80" w:rsidP="00C010D0">
            <w:pPr>
              <w:pStyle w:val="NormalWeb"/>
              <w:spacing w:after="0" w:afterAutospacing="0" w:line="480" w:lineRule="auto"/>
              <w:rPr>
                <w:b/>
                <w:bCs/>
              </w:rPr>
            </w:pPr>
            <w:r w:rsidRPr="00510E80">
              <w:rPr>
                <w:b/>
                <w:bCs/>
              </w:rPr>
              <w:t>Measures &amp; Geometry</w:t>
            </w:r>
          </w:p>
        </w:tc>
        <w:tc>
          <w:tcPr>
            <w:tcW w:w="4950" w:type="dxa"/>
            <w:tcBorders>
              <w:top w:val="nil"/>
              <w:left w:val="nil"/>
              <w:bottom w:val="nil"/>
              <w:right w:val="nil"/>
            </w:tcBorders>
            <w:shd w:val="clear" w:color="auto" w:fill="FFFFFF" w:themeFill="background1"/>
          </w:tcPr>
          <w:p w14:paraId="3011E7BE" w14:textId="727451FC" w:rsidR="00510E80" w:rsidRPr="00510E80" w:rsidRDefault="00510E80" w:rsidP="00C010D0">
            <w:pPr>
              <w:rPr>
                <w:rFonts w:ascii="Times New Roman" w:hAnsi="Times New Roman" w:cs="Times New Roman"/>
              </w:rPr>
            </w:pPr>
            <w:r w:rsidRPr="00510E80">
              <w:rPr>
                <w:rFonts w:ascii="Times New Roman" w:hAnsi="Times New Roman" w:cs="Times New Roman"/>
              </w:rPr>
              <w:t>Visualizes and describes shapes.</w:t>
            </w:r>
            <w:r w:rsidRPr="00510E80">
              <w:rPr>
                <w:rFonts w:ascii="Times New Roman" w:hAnsi="Times New Roman" w:cs="Times New Roman"/>
              </w:rPr>
              <w:br/>
              <w:t>Calculates the area &amp; perimeter of plane figures (triangles, quadrilaterals).</w:t>
            </w:r>
          </w:p>
          <w:p w14:paraId="39F42968" w14:textId="737A244F" w:rsidR="00510E80" w:rsidRPr="00510E80" w:rsidRDefault="00510E80" w:rsidP="00C010D0">
            <w:pPr>
              <w:rPr>
                <w:rFonts w:ascii="Times New Roman" w:hAnsi="Times New Roman" w:cs="Times New Roman"/>
              </w:rPr>
            </w:pPr>
            <w:r w:rsidRPr="00510E80">
              <w:rPr>
                <w:rFonts w:ascii="Times New Roman" w:hAnsi="Times New Roman" w:cs="Times New Roman"/>
              </w:rPr>
              <w:t>Describes and illustrates different kinds of angles.</w:t>
            </w:r>
          </w:p>
        </w:tc>
        <w:tc>
          <w:tcPr>
            <w:tcW w:w="1890" w:type="dxa"/>
            <w:tcBorders>
              <w:top w:val="nil"/>
              <w:left w:val="nil"/>
              <w:bottom w:val="nil"/>
            </w:tcBorders>
            <w:shd w:val="clear" w:color="auto" w:fill="FFFFFF" w:themeFill="background1"/>
          </w:tcPr>
          <w:p w14:paraId="66E55C43" w14:textId="77777777" w:rsidR="00510E80" w:rsidRPr="00510E80" w:rsidRDefault="00510E80" w:rsidP="00C010D0">
            <w:pPr>
              <w:pStyle w:val="NormalWeb"/>
              <w:spacing w:after="0" w:afterAutospacing="0" w:line="480" w:lineRule="auto"/>
            </w:pPr>
            <w:r w:rsidRPr="00510E80">
              <w:t>24%</w:t>
            </w:r>
          </w:p>
        </w:tc>
      </w:tr>
      <w:tr w:rsidR="00510E80" w:rsidRPr="00510E80" w14:paraId="3E9C159B" w14:textId="77777777" w:rsidTr="00C010D0">
        <w:tc>
          <w:tcPr>
            <w:tcW w:w="1525" w:type="dxa"/>
            <w:tcBorders>
              <w:top w:val="nil"/>
              <w:right w:val="nil"/>
            </w:tcBorders>
            <w:shd w:val="clear" w:color="auto" w:fill="FFFFFF" w:themeFill="background1"/>
          </w:tcPr>
          <w:p w14:paraId="1D0C9190" w14:textId="77777777" w:rsidR="00510E80" w:rsidRPr="00510E80" w:rsidRDefault="00510E80" w:rsidP="00C010D0">
            <w:pPr>
              <w:pStyle w:val="NormalWeb"/>
              <w:spacing w:after="0" w:afterAutospacing="0" w:line="480" w:lineRule="auto"/>
              <w:rPr>
                <w:b/>
                <w:bCs/>
              </w:rPr>
            </w:pPr>
            <w:r w:rsidRPr="00510E80">
              <w:rPr>
                <w:b/>
                <w:bCs/>
              </w:rPr>
              <w:t>Data &amp; Probability</w:t>
            </w:r>
          </w:p>
        </w:tc>
        <w:tc>
          <w:tcPr>
            <w:tcW w:w="4950" w:type="dxa"/>
            <w:tcBorders>
              <w:top w:val="nil"/>
              <w:left w:val="nil"/>
              <w:right w:val="nil"/>
            </w:tcBorders>
            <w:shd w:val="clear" w:color="auto" w:fill="FFFFFF" w:themeFill="background1"/>
          </w:tcPr>
          <w:p w14:paraId="06390F64" w14:textId="2FCFDCF7" w:rsidR="00510E80" w:rsidRPr="00510E80" w:rsidRDefault="00510E80" w:rsidP="00C010D0">
            <w:pPr>
              <w:rPr>
                <w:rFonts w:ascii="Times New Roman" w:hAnsi="Times New Roman" w:cs="Times New Roman"/>
              </w:rPr>
            </w:pPr>
            <w:r w:rsidRPr="00510E80">
              <w:rPr>
                <w:rFonts w:ascii="Times New Roman" w:hAnsi="Times New Roman" w:cs="Times New Roman"/>
              </w:rPr>
              <w:t>Interprets data presented in a bar and pie graph.</w:t>
            </w:r>
          </w:p>
          <w:p w14:paraId="56102D25" w14:textId="545CC9B8" w:rsidR="00510E80" w:rsidRPr="00510E80" w:rsidRDefault="00510E80" w:rsidP="00C010D0">
            <w:pPr>
              <w:rPr>
                <w:rFonts w:ascii="Times New Roman" w:hAnsi="Times New Roman" w:cs="Times New Roman"/>
              </w:rPr>
            </w:pPr>
            <w:r w:rsidRPr="00510E80">
              <w:rPr>
                <w:rFonts w:ascii="Times New Roman" w:hAnsi="Times New Roman" w:cs="Times New Roman"/>
              </w:rPr>
              <w:t>Interprets data presented in different kinds of line graphs.</w:t>
            </w:r>
          </w:p>
          <w:p w14:paraId="45A0B8A9" w14:textId="77777777" w:rsidR="00510E80" w:rsidRPr="00510E80" w:rsidRDefault="00510E80" w:rsidP="00C010D0">
            <w:pPr>
              <w:rPr>
                <w:rFonts w:ascii="Times New Roman" w:hAnsi="Times New Roman" w:cs="Times New Roman"/>
              </w:rPr>
            </w:pPr>
          </w:p>
        </w:tc>
        <w:tc>
          <w:tcPr>
            <w:tcW w:w="1890" w:type="dxa"/>
            <w:tcBorders>
              <w:top w:val="nil"/>
              <w:left w:val="nil"/>
            </w:tcBorders>
            <w:shd w:val="clear" w:color="auto" w:fill="FFFFFF" w:themeFill="background1"/>
          </w:tcPr>
          <w:p w14:paraId="41D90B87" w14:textId="77777777" w:rsidR="00510E80" w:rsidRPr="00510E80" w:rsidRDefault="00510E80" w:rsidP="00C010D0">
            <w:pPr>
              <w:pStyle w:val="NormalWeb"/>
              <w:spacing w:after="0" w:afterAutospacing="0" w:line="480" w:lineRule="auto"/>
            </w:pPr>
            <w:r w:rsidRPr="00510E80">
              <w:t>14%</w:t>
            </w:r>
          </w:p>
        </w:tc>
      </w:tr>
    </w:tbl>
    <w:p w14:paraId="45E363AE" w14:textId="06B37775" w:rsidR="00510E80" w:rsidRPr="00510E80" w:rsidRDefault="00510E80" w:rsidP="00510E80">
      <w:pPr>
        <w:pStyle w:val="NormalWeb"/>
        <w:spacing w:before="240" w:beforeAutospacing="0" w:after="240" w:afterAutospacing="0"/>
        <w:jc w:val="both"/>
        <w:rPr>
          <w:i/>
          <w:iCs/>
        </w:rPr>
      </w:pPr>
      <w:r w:rsidRPr="00510E80">
        <w:rPr>
          <w:i/>
          <w:iCs/>
        </w:rPr>
        <w:t>Note: Domain distribution reflects MATATAG Grade 7 standards: Numbers and Algebra (62%) to assess foundational computational logic (e.g., PEMDAS, fractions, exponents); Measurement and Geometry (24%) for spatial reasoning; and Data and Probability (14%) for statistical readiness.</w:t>
      </w:r>
    </w:p>
    <w:p w14:paraId="3F73D1B1" w14:textId="77777777" w:rsidR="00510E80" w:rsidRPr="00510E80" w:rsidRDefault="00510E80" w:rsidP="00510E80">
      <w:pPr>
        <w:pStyle w:val="NormalWeb"/>
        <w:spacing w:before="240" w:beforeAutospacing="0" w:after="240" w:afterAutospacing="0"/>
        <w:jc w:val="both"/>
        <w:rPr>
          <w:b/>
          <w:bCs/>
        </w:rPr>
      </w:pPr>
      <w:r w:rsidRPr="00510E80">
        <w:rPr>
          <w:b/>
          <w:bCs/>
        </w:rPr>
        <w:t>Phase 2: Design Results</w:t>
      </w:r>
    </w:p>
    <w:p w14:paraId="59405814" w14:textId="77777777" w:rsidR="00510E80" w:rsidRPr="00510E80" w:rsidRDefault="00510E80" w:rsidP="00510E80">
      <w:pPr>
        <w:pStyle w:val="NormalWeb"/>
        <w:spacing w:before="240" w:beforeAutospacing="0" w:after="240" w:afterAutospacing="0"/>
        <w:jc w:val="both"/>
        <w:rPr>
          <w:b/>
          <w:bCs/>
        </w:rPr>
      </w:pPr>
      <w:r w:rsidRPr="00510E80">
        <w:rPr>
          <w:b/>
          <w:bCs/>
        </w:rPr>
        <w:t>The Blueprint of the Contextualized Numeracy Test</w:t>
      </w:r>
    </w:p>
    <w:p w14:paraId="147FDCDF" w14:textId="77777777" w:rsidR="00510E80" w:rsidRPr="00510E80" w:rsidRDefault="00510E80" w:rsidP="00510E80">
      <w:pPr>
        <w:pStyle w:val="NormalWeb"/>
        <w:spacing w:before="240" w:beforeAutospacing="0" w:after="240" w:afterAutospacing="0"/>
        <w:ind w:firstLine="720"/>
        <w:jc w:val="both"/>
      </w:pPr>
      <w:r w:rsidRPr="00510E80">
        <w:t>The researcher guided the development of the Contextualized Numeracy Test (CNT) through a Table of Specifications (TOS) anchored on the SOLO (Structure of Observed Learning Outcome) Taxonomy. This framework was selected as it allows for the measurement of both surface-level knowledge and deep structural understanding, which is critical for contextualized mathematics. Table 4 illustrates the strategic alignment of the 50 test items with the SOLO Taxonomy, categorizing them according to the structural complexity of the required learner responses.</w:t>
      </w:r>
    </w:p>
    <w:p w14:paraId="0849162E" w14:textId="77777777" w:rsidR="00510E80" w:rsidRPr="00510E80" w:rsidRDefault="00510E80" w:rsidP="00510E80">
      <w:pPr>
        <w:pStyle w:val="NormalWeb"/>
        <w:spacing w:before="240" w:beforeAutospacing="0" w:after="240" w:afterAutospacing="0"/>
        <w:jc w:val="both"/>
      </w:pPr>
      <w:r w:rsidRPr="00510E80">
        <w:t>The researcher utilized the SOLO levels to differentiate learner proficiency:</w:t>
      </w:r>
    </w:p>
    <w:p w14:paraId="76E49AE7" w14:textId="77777777" w:rsidR="00510E80" w:rsidRPr="00510E80" w:rsidRDefault="00510E80" w:rsidP="00510E80">
      <w:pPr>
        <w:pStyle w:val="NormalWeb"/>
        <w:numPr>
          <w:ilvl w:val="0"/>
          <w:numId w:val="12"/>
        </w:numPr>
        <w:spacing w:before="240" w:beforeAutospacing="0" w:after="240" w:afterAutospacing="0"/>
        <w:jc w:val="both"/>
      </w:pPr>
      <w:r w:rsidRPr="00510E80">
        <w:t xml:space="preserve">Unistructural (24%) and </w:t>
      </w:r>
      <w:proofErr w:type="spellStart"/>
      <w:r w:rsidRPr="00510E80">
        <w:t>Multistructural</w:t>
      </w:r>
      <w:proofErr w:type="spellEnd"/>
      <w:r w:rsidRPr="00510E80">
        <w:t xml:space="preserve"> (34%) items focus on foundational skills, such as recall and basic computation involving one or more independent tasks.</w:t>
      </w:r>
    </w:p>
    <w:p w14:paraId="3B1798F6" w14:textId="77777777" w:rsidR="00510E80" w:rsidRPr="00510E80" w:rsidRDefault="00510E80" w:rsidP="00510E80">
      <w:pPr>
        <w:pStyle w:val="NormalWeb"/>
        <w:numPr>
          <w:ilvl w:val="0"/>
          <w:numId w:val="12"/>
        </w:numPr>
        <w:spacing w:before="240" w:beforeAutospacing="0" w:after="240" w:afterAutospacing="0"/>
        <w:jc w:val="both"/>
      </w:pPr>
      <w:r w:rsidRPr="00510E80">
        <w:t>Relational (28%) and Extended Abstract (14%) items challenge learners to integrate these tasks into coherent structures and generalize their understanding to new, complex, and contextualized scenarios.</w:t>
      </w:r>
    </w:p>
    <w:p w14:paraId="1353F7C0" w14:textId="77777777" w:rsidR="00510E80" w:rsidRPr="00510E80" w:rsidRDefault="00510E80" w:rsidP="00510E80">
      <w:pPr>
        <w:pStyle w:val="NormalWeb"/>
        <w:spacing w:before="240" w:beforeAutospacing="0" w:after="240" w:afterAutospacing="0"/>
        <w:ind w:firstLine="360"/>
        <w:jc w:val="both"/>
      </w:pPr>
      <w:r w:rsidRPr="00510E80">
        <w:lastRenderedPageBreak/>
        <w:t>By prioritizing this distribution, the researcher ensured that the CNT effectively distinguishes between learners who can merely perform operations and those who can apply mathematical logic to solve real-world problems. This structural categorization serves as the basis for the diagnostic capacity of the instrument.</w:t>
      </w:r>
    </w:p>
    <w:p w14:paraId="1754472F" w14:textId="77777777" w:rsidR="00510E80" w:rsidRPr="00510E80" w:rsidRDefault="00510E80" w:rsidP="00510E80">
      <w:pPr>
        <w:pStyle w:val="NormalWeb"/>
        <w:spacing w:before="240" w:beforeAutospacing="0" w:after="240" w:afterAutospacing="0"/>
        <w:jc w:val="both"/>
        <w:rPr>
          <w:b/>
          <w:bCs/>
        </w:rPr>
      </w:pPr>
      <w:r w:rsidRPr="00510E80">
        <w:rPr>
          <w:b/>
          <w:bCs/>
        </w:rPr>
        <w:t>Table 4</w:t>
      </w:r>
    </w:p>
    <w:p w14:paraId="173BA607" w14:textId="77777777" w:rsidR="00510E80" w:rsidRPr="00510E80" w:rsidRDefault="00510E80" w:rsidP="00510E80">
      <w:pPr>
        <w:pStyle w:val="NormalWeb"/>
        <w:spacing w:before="240" w:beforeAutospacing="0" w:after="240" w:afterAutospacing="0"/>
        <w:jc w:val="both"/>
        <w:rPr>
          <w:i/>
          <w:iCs/>
        </w:rPr>
      </w:pPr>
      <w:r w:rsidRPr="00510E80">
        <w:rPr>
          <w:i/>
          <w:iCs/>
        </w:rPr>
        <w:t>Table of Specifications for the Initial 50-Item CNT based on SOLO Taxonomy</w:t>
      </w:r>
    </w:p>
    <w:tbl>
      <w:tblPr>
        <w:tblStyle w:val="TableGrid"/>
        <w:tblW w:w="9922" w:type="dxa"/>
        <w:jc w:val="center"/>
        <w:tblBorders>
          <w:left w:val="none" w:sz="0" w:space="0" w:color="auto"/>
          <w:right w:val="none" w:sz="0" w:space="0" w:color="auto"/>
        </w:tblBorders>
        <w:shd w:val="clear" w:color="auto" w:fill="FFFFFF" w:themeFill="background1"/>
        <w:tblLayout w:type="fixed"/>
        <w:tblLook w:val="04A0" w:firstRow="1" w:lastRow="0" w:firstColumn="1" w:lastColumn="0" w:noHBand="0" w:noVBand="1"/>
      </w:tblPr>
      <w:tblGrid>
        <w:gridCol w:w="1260"/>
        <w:gridCol w:w="1864"/>
        <w:gridCol w:w="1170"/>
        <w:gridCol w:w="1235"/>
        <w:gridCol w:w="1170"/>
        <w:gridCol w:w="1243"/>
        <w:gridCol w:w="990"/>
        <w:gridCol w:w="990"/>
      </w:tblGrid>
      <w:tr w:rsidR="00510E80" w:rsidRPr="0026697F" w14:paraId="11EEBB2F" w14:textId="77777777" w:rsidTr="00C010D0">
        <w:trPr>
          <w:jc w:val="center"/>
        </w:trPr>
        <w:tc>
          <w:tcPr>
            <w:tcW w:w="1260" w:type="dxa"/>
            <w:tcBorders>
              <w:bottom w:val="single" w:sz="4" w:space="0" w:color="auto"/>
              <w:right w:val="nil"/>
            </w:tcBorders>
            <w:shd w:val="clear" w:color="auto" w:fill="FFFFFF" w:themeFill="background1"/>
          </w:tcPr>
          <w:p w14:paraId="665D06C0"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C</w:t>
            </w:r>
            <w:r>
              <w:rPr>
                <w:rFonts w:ascii="Arial" w:hAnsi="Arial" w:cs="Arial"/>
                <w:b/>
                <w:bCs/>
                <w:color w:val="000000" w:themeColor="text1"/>
                <w:sz w:val="20"/>
                <w:szCs w:val="20"/>
              </w:rPr>
              <w:t>ontent</w:t>
            </w:r>
            <w:r w:rsidRPr="00B20BC4">
              <w:rPr>
                <w:rFonts w:ascii="Arial" w:hAnsi="Arial" w:cs="Arial"/>
                <w:b/>
                <w:bCs/>
                <w:color w:val="000000" w:themeColor="text1"/>
                <w:sz w:val="20"/>
                <w:szCs w:val="20"/>
              </w:rPr>
              <w:t xml:space="preserve"> D</w:t>
            </w:r>
            <w:r>
              <w:rPr>
                <w:rFonts w:ascii="Arial" w:hAnsi="Arial" w:cs="Arial"/>
                <w:b/>
                <w:bCs/>
                <w:color w:val="000000" w:themeColor="text1"/>
                <w:sz w:val="20"/>
                <w:szCs w:val="20"/>
              </w:rPr>
              <w:t>omain</w:t>
            </w:r>
          </w:p>
        </w:tc>
        <w:tc>
          <w:tcPr>
            <w:tcW w:w="1864" w:type="dxa"/>
            <w:tcBorders>
              <w:left w:val="nil"/>
              <w:bottom w:val="single" w:sz="4" w:space="0" w:color="auto"/>
              <w:right w:val="nil"/>
            </w:tcBorders>
            <w:shd w:val="clear" w:color="auto" w:fill="FFFFFF" w:themeFill="background1"/>
          </w:tcPr>
          <w:p w14:paraId="19D8D409"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Weight in Grade 7 Competencies</w:t>
            </w:r>
          </w:p>
        </w:tc>
        <w:tc>
          <w:tcPr>
            <w:tcW w:w="1170" w:type="dxa"/>
            <w:tcBorders>
              <w:left w:val="nil"/>
              <w:bottom w:val="single" w:sz="4" w:space="0" w:color="auto"/>
              <w:right w:val="nil"/>
            </w:tcBorders>
            <w:shd w:val="clear" w:color="auto" w:fill="FFFFFF" w:themeFill="background1"/>
          </w:tcPr>
          <w:p w14:paraId="2E4B2068"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Uni-structural</w:t>
            </w:r>
          </w:p>
        </w:tc>
        <w:tc>
          <w:tcPr>
            <w:tcW w:w="1235" w:type="dxa"/>
            <w:tcBorders>
              <w:left w:val="nil"/>
              <w:bottom w:val="single" w:sz="4" w:space="0" w:color="auto"/>
              <w:right w:val="nil"/>
            </w:tcBorders>
            <w:shd w:val="clear" w:color="auto" w:fill="FFFFFF" w:themeFill="background1"/>
          </w:tcPr>
          <w:p w14:paraId="13270608"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Multi-structural</w:t>
            </w:r>
          </w:p>
        </w:tc>
        <w:tc>
          <w:tcPr>
            <w:tcW w:w="1170" w:type="dxa"/>
            <w:tcBorders>
              <w:left w:val="nil"/>
              <w:bottom w:val="single" w:sz="4" w:space="0" w:color="auto"/>
              <w:right w:val="nil"/>
            </w:tcBorders>
            <w:shd w:val="clear" w:color="auto" w:fill="FFFFFF" w:themeFill="background1"/>
          </w:tcPr>
          <w:p w14:paraId="5B1F28FC" w14:textId="77777777" w:rsidR="00510E80" w:rsidRPr="00534E4B" w:rsidRDefault="00510E80" w:rsidP="00C010D0">
            <w:pPr>
              <w:jc w:val="center"/>
              <w:rPr>
                <w:rFonts w:ascii="Arial" w:hAnsi="Arial" w:cs="Arial"/>
                <w:b/>
                <w:bCs/>
                <w:color w:val="000000" w:themeColor="text1"/>
                <w:sz w:val="18"/>
                <w:szCs w:val="18"/>
              </w:rPr>
            </w:pPr>
            <w:r w:rsidRPr="00534E4B">
              <w:rPr>
                <w:rFonts w:ascii="Arial" w:hAnsi="Arial" w:cs="Arial"/>
                <w:b/>
                <w:bCs/>
                <w:color w:val="000000" w:themeColor="text1"/>
                <w:sz w:val="18"/>
                <w:szCs w:val="18"/>
              </w:rPr>
              <w:t>Relational</w:t>
            </w:r>
          </w:p>
        </w:tc>
        <w:tc>
          <w:tcPr>
            <w:tcW w:w="1243" w:type="dxa"/>
            <w:tcBorders>
              <w:left w:val="nil"/>
              <w:bottom w:val="single" w:sz="4" w:space="0" w:color="auto"/>
              <w:right w:val="nil"/>
            </w:tcBorders>
            <w:shd w:val="clear" w:color="auto" w:fill="FFFFFF" w:themeFill="background1"/>
          </w:tcPr>
          <w:p w14:paraId="557441B5"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Extended Abstract</w:t>
            </w:r>
          </w:p>
        </w:tc>
        <w:tc>
          <w:tcPr>
            <w:tcW w:w="990" w:type="dxa"/>
            <w:tcBorders>
              <w:left w:val="nil"/>
              <w:bottom w:val="single" w:sz="4" w:space="0" w:color="auto"/>
              <w:right w:val="nil"/>
            </w:tcBorders>
            <w:shd w:val="clear" w:color="auto" w:fill="FFFFFF" w:themeFill="background1"/>
          </w:tcPr>
          <w:p w14:paraId="6809A7C0"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Total Points</w:t>
            </w:r>
          </w:p>
        </w:tc>
        <w:tc>
          <w:tcPr>
            <w:tcW w:w="990" w:type="dxa"/>
            <w:tcBorders>
              <w:left w:val="nil"/>
              <w:bottom w:val="single" w:sz="4" w:space="0" w:color="auto"/>
            </w:tcBorders>
            <w:shd w:val="clear" w:color="auto" w:fill="FFFFFF" w:themeFill="background1"/>
          </w:tcPr>
          <w:p w14:paraId="55755946" w14:textId="77777777" w:rsidR="00510E80" w:rsidRPr="00B20BC4" w:rsidRDefault="00510E80" w:rsidP="00C010D0">
            <w:pPr>
              <w:jc w:val="center"/>
              <w:rPr>
                <w:rFonts w:ascii="Arial" w:hAnsi="Arial" w:cs="Arial"/>
                <w:b/>
                <w:bCs/>
                <w:color w:val="000000" w:themeColor="text1"/>
                <w:sz w:val="20"/>
                <w:szCs w:val="20"/>
              </w:rPr>
            </w:pPr>
            <w:r w:rsidRPr="00B20BC4">
              <w:rPr>
                <w:rFonts w:ascii="Arial" w:hAnsi="Arial" w:cs="Arial"/>
                <w:b/>
                <w:bCs/>
                <w:color w:val="000000" w:themeColor="text1"/>
                <w:sz w:val="20"/>
                <w:szCs w:val="20"/>
              </w:rPr>
              <w:t>% Weight</w:t>
            </w:r>
          </w:p>
        </w:tc>
      </w:tr>
      <w:tr w:rsidR="00510E80" w:rsidRPr="0026697F" w14:paraId="16707293" w14:textId="77777777" w:rsidTr="00C010D0">
        <w:trPr>
          <w:jc w:val="center"/>
        </w:trPr>
        <w:tc>
          <w:tcPr>
            <w:tcW w:w="1260" w:type="dxa"/>
            <w:tcBorders>
              <w:bottom w:val="nil"/>
              <w:right w:val="nil"/>
            </w:tcBorders>
            <w:shd w:val="clear" w:color="auto" w:fill="FFFFFF" w:themeFill="background1"/>
          </w:tcPr>
          <w:p w14:paraId="0E8FAB01" w14:textId="77777777" w:rsidR="00510E80" w:rsidRPr="00B20BC4" w:rsidRDefault="00510E80" w:rsidP="00C010D0">
            <w:pPr>
              <w:spacing w:line="276" w:lineRule="auto"/>
              <w:jc w:val="center"/>
              <w:rPr>
                <w:rFonts w:ascii="Arial" w:hAnsi="Arial" w:cs="Arial"/>
                <w:color w:val="000000" w:themeColor="text1"/>
                <w:sz w:val="20"/>
                <w:szCs w:val="20"/>
              </w:rPr>
            </w:pPr>
            <w:r w:rsidRPr="00B20BC4">
              <w:rPr>
                <w:rFonts w:ascii="Arial" w:hAnsi="Arial" w:cs="Arial"/>
                <w:color w:val="000000" w:themeColor="text1"/>
                <w:sz w:val="20"/>
                <w:szCs w:val="20"/>
              </w:rPr>
              <w:t>Numbers and Algebra</w:t>
            </w:r>
          </w:p>
        </w:tc>
        <w:tc>
          <w:tcPr>
            <w:tcW w:w="1864" w:type="dxa"/>
            <w:tcBorders>
              <w:left w:val="nil"/>
              <w:bottom w:val="nil"/>
              <w:right w:val="nil"/>
            </w:tcBorders>
            <w:shd w:val="clear" w:color="auto" w:fill="FFFFFF" w:themeFill="background1"/>
          </w:tcPr>
          <w:p w14:paraId="38A0104B"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62%</w:t>
            </w:r>
          </w:p>
        </w:tc>
        <w:tc>
          <w:tcPr>
            <w:tcW w:w="1170" w:type="dxa"/>
            <w:tcBorders>
              <w:left w:val="nil"/>
              <w:bottom w:val="nil"/>
              <w:right w:val="nil"/>
            </w:tcBorders>
            <w:shd w:val="clear" w:color="auto" w:fill="FFFFFF" w:themeFill="background1"/>
          </w:tcPr>
          <w:p w14:paraId="6F9DD94C"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1, 2, 3, 4, 5, 6, 7, 8, 9, 10, 11, 12, 13, 14, 16, 17, 18, 19, 20, 28</w:t>
            </w:r>
          </w:p>
        </w:tc>
        <w:tc>
          <w:tcPr>
            <w:tcW w:w="1235" w:type="dxa"/>
            <w:tcBorders>
              <w:left w:val="nil"/>
              <w:bottom w:val="nil"/>
              <w:right w:val="nil"/>
            </w:tcBorders>
            <w:shd w:val="clear" w:color="auto" w:fill="FFFFFF" w:themeFill="background1"/>
          </w:tcPr>
          <w:p w14:paraId="15A62077"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15, 30</w:t>
            </w:r>
          </w:p>
        </w:tc>
        <w:tc>
          <w:tcPr>
            <w:tcW w:w="1170" w:type="dxa"/>
            <w:tcBorders>
              <w:left w:val="nil"/>
              <w:bottom w:val="nil"/>
              <w:right w:val="nil"/>
            </w:tcBorders>
            <w:shd w:val="clear" w:color="auto" w:fill="FFFFFF" w:themeFill="background1"/>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10E80" w:rsidRPr="00B20BC4" w14:paraId="011A0977" w14:textId="77777777" w:rsidTr="00C010D0">
              <w:trPr>
                <w:tblCellSpacing w:w="15" w:type="dxa"/>
              </w:trPr>
              <w:tc>
                <w:tcPr>
                  <w:tcW w:w="36" w:type="dxa"/>
                  <w:vAlign w:val="center"/>
                  <w:hideMark/>
                </w:tcPr>
                <w:p w14:paraId="21381F6B" w14:textId="77777777" w:rsidR="00510E80" w:rsidRPr="00B20BC4" w:rsidRDefault="00510E80" w:rsidP="00C010D0">
                  <w:pPr>
                    <w:spacing w:after="0" w:line="240" w:lineRule="auto"/>
                    <w:jc w:val="center"/>
                    <w:rPr>
                      <w:rFonts w:ascii="Arial" w:hAnsi="Arial" w:cs="Arial"/>
                      <w:color w:val="000000" w:themeColor="text1"/>
                      <w:sz w:val="20"/>
                      <w:szCs w:val="20"/>
                    </w:rPr>
                  </w:pPr>
                </w:p>
              </w:tc>
            </w:tr>
          </w:tbl>
          <w:p w14:paraId="5EE9D98B" w14:textId="77777777" w:rsidR="00510E80" w:rsidRPr="00B20BC4" w:rsidRDefault="00510E80" w:rsidP="00C010D0">
            <w:pPr>
              <w:jc w:val="center"/>
              <w:rPr>
                <w:rFonts w:ascii="Arial" w:hAnsi="Arial" w:cs="Arial"/>
                <w:vanish/>
                <w:color w:val="000000" w:themeColor="text1"/>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71"/>
            </w:tblGrid>
            <w:tr w:rsidR="00510E80" w:rsidRPr="00B20BC4" w14:paraId="0AC6172E" w14:textId="77777777" w:rsidTr="00C010D0">
              <w:trPr>
                <w:tblCellSpacing w:w="15" w:type="dxa"/>
              </w:trPr>
              <w:tc>
                <w:tcPr>
                  <w:tcW w:w="811" w:type="dxa"/>
                  <w:vAlign w:val="center"/>
                  <w:hideMark/>
                </w:tcPr>
                <w:p w14:paraId="4C4B95FE" w14:textId="77777777" w:rsidR="00510E80" w:rsidRPr="00B20BC4" w:rsidRDefault="00510E80" w:rsidP="00C010D0">
                  <w:pPr>
                    <w:spacing w:after="0" w:line="240" w:lineRule="auto"/>
                    <w:rPr>
                      <w:rFonts w:ascii="Arial" w:hAnsi="Arial" w:cs="Arial"/>
                      <w:color w:val="000000" w:themeColor="text1"/>
                      <w:sz w:val="20"/>
                      <w:szCs w:val="20"/>
                    </w:rPr>
                  </w:pPr>
                  <w:r w:rsidRPr="00B20BC4">
                    <w:rPr>
                      <w:rFonts w:ascii="Arial" w:hAnsi="Arial" w:cs="Arial"/>
                      <w:color w:val="000000" w:themeColor="text1"/>
                      <w:sz w:val="20"/>
                      <w:szCs w:val="20"/>
                    </w:rPr>
                    <w:t>21, 22, 23, 24, 25, 26 27, 29</w:t>
                  </w:r>
                </w:p>
              </w:tc>
            </w:tr>
          </w:tbl>
          <w:p w14:paraId="6C73F462" w14:textId="77777777" w:rsidR="00510E80" w:rsidRPr="00B20BC4" w:rsidRDefault="00510E80" w:rsidP="00C010D0">
            <w:pPr>
              <w:jc w:val="center"/>
              <w:rPr>
                <w:rFonts w:ascii="Arial" w:hAnsi="Arial" w:cs="Arial"/>
                <w:color w:val="000000" w:themeColor="text1"/>
                <w:sz w:val="20"/>
                <w:szCs w:val="20"/>
              </w:rPr>
            </w:pPr>
          </w:p>
        </w:tc>
        <w:tc>
          <w:tcPr>
            <w:tcW w:w="1243" w:type="dxa"/>
            <w:tcBorders>
              <w:left w:val="nil"/>
              <w:bottom w:val="nil"/>
              <w:right w:val="nil"/>
            </w:tcBorders>
            <w:shd w:val="clear" w:color="auto" w:fill="FFFFFF" w:themeFill="background1"/>
          </w:tcPr>
          <w:p w14:paraId="3773480A"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31</w:t>
            </w:r>
          </w:p>
        </w:tc>
        <w:tc>
          <w:tcPr>
            <w:tcW w:w="990" w:type="dxa"/>
            <w:tcBorders>
              <w:left w:val="nil"/>
              <w:bottom w:val="nil"/>
              <w:right w:val="nil"/>
            </w:tcBorders>
            <w:shd w:val="clear" w:color="auto" w:fill="FFFFFF" w:themeFill="background1"/>
          </w:tcPr>
          <w:p w14:paraId="5C9F8BF6"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31</w:t>
            </w:r>
          </w:p>
        </w:tc>
        <w:tc>
          <w:tcPr>
            <w:tcW w:w="990" w:type="dxa"/>
            <w:tcBorders>
              <w:left w:val="nil"/>
              <w:bottom w:val="nil"/>
            </w:tcBorders>
            <w:shd w:val="clear" w:color="auto" w:fill="FFFFFF" w:themeFill="background1"/>
          </w:tcPr>
          <w:p w14:paraId="6FC93E85"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62%</w:t>
            </w:r>
          </w:p>
        </w:tc>
      </w:tr>
      <w:tr w:rsidR="00510E80" w:rsidRPr="0026697F" w14:paraId="7C7C8231" w14:textId="77777777" w:rsidTr="00C010D0">
        <w:trPr>
          <w:jc w:val="center"/>
        </w:trPr>
        <w:tc>
          <w:tcPr>
            <w:tcW w:w="1260" w:type="dxa"/>
            <w:tcBorders>
              <w:top w:val="nil"/>
              <w:bottom w:val="nil"/>
              <w:right w:val="nil"/>
            </w:tcBorders>
            <w:shd w:val="clear" w:color="auto" w:fill="FFFFFF" w:themeFill="background1"/>
          </w:tcPr>
          <w:p w14:paraId="72E8276C" w14:textId="77777777" w:rsidR="00510E80" w:rsidRPr="00B20BC4" w:rsidRDefault="00510E80" w:rsidP="00C010D0">
            <w:pPr>
              <w:spacing w:line="276" w:lineRule="auto"/>
              <w:jc w:val="center"/>
              <w:rPr>
                <w:rFonts w:ascii="Arial" w:hAnsi="Arial" w:cs="Arial"/>
                <w:color w:val="000000" w:themeColor="text1"/>
                <w:sz w:val="20"/>
                <w:szCs w:val="20"/>
              </w:rPr>
            </w:pPr>
            <w:r w:rsidRPr="00B20BC4">
              <w:rPr>
                <w:rFonts w:ascii="Arial" w:hAnsi="Arial" w:cs="Arial"/>
                <w:color w:val="000000" w:themeColor="text1"/>
                <w:sz w:val="20"/>
                <w:szCs w:val="20"/>
              </w:rPr>
              <w:t>Measure and Geometry</w:t>
            </w:r>
          </w:p>
        </w:tc>
        <w:tc>
          <w:tcPr>
            <w:tcW w:w="1864" w:type="dxa"/>
            <w:tcBorders>
              <w:top w:val="nil"/>
              <w:left w:val="nil"/>
              <w:bottom w:val="nil"/>
              <w:right w:val="nil"/>
            </w:tcBorders>
            <w:shd w:val="clear" w:color="auto" w:fill="FFFFFF" w:themeFill="background1"/>
          </w:tcPr>
          <w:p w14:paraId="4F3D5903"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24%</w:t>
            </w:r>
          </w:p>
        </w:tc>
        <w:tc>
          <w:tcPr>
            <w:tcW w:w="1170" w:type="dxa"/>
            <w:tcBorders>
              <w:top w:val="nil"/>
              <w:left w:val="nil"/>
              <w:bottom w:val="nil"/>
              <w:right w:val="nil"/>
            </w:tcBorders>
            <w:shd w:val="clear" w:color="auto" w:fill="FFFFFF" w:themeFill="background1"/>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10E80" w:rsidRPr="00B20BC4" w14:paraId="531B62E3" w14:textId="77777777" w:rsidTr="00C010D0">
              <w:trPr>
                <w:tblCellSpacing w:w="15" w:type="dxa"/>
              </w:trPr>
              <w:tc>
                <w:tcPr>
                  <w:tcW w:w="36" w:type="dxa"/>
                  <w:vAlign w:val="center"/>
                  <w:hideMark/>
                </w:tcPr>
                <w:p w14:paraId="7F8CAED0" w14:textId="77777777" w:rsidR="00510E80" w:rsidRPr="00B20BC4" w:rsidRDefault="00510E80" w:rsidP="00C010D0">
                  <w:pPr>
                    <w:spacing w:after="0" w:line="240" w:lineRule="auto"/>
                    <w:jc w:val="center"/>
                    <w:rPr>
                      <w:rFonts w:ascii="Arial" w:hAnsi="Arial" w:cs="Arial"/>
                      <w:color w:val="000000" w:themeColor="text1"/>
                      <w:sz w:val="20"/>
                      <w:szCs w:val="20"/>
                    </w:rPr>
                  </w:pPr>
                </w:p>
              </w:tc>
            </w:tr>
          </w:tbl>
          <w:p w14:paraId="5CAD8C15" w14:textId="77777777" w:rsidR="00510E80" w:rsidRPr="00B20BC4" w:rsidRDefault="00510E80" w:rsidP="00C010D0">
            <w:pPr>
              <w:jc w:val="center"/>
              <w:rPr>
                <w:rFonts w:ascii="Arial" w:hAnsi="Arial" w:cs="Arial"/>
                <w:vanish/>
                <w:color w:val="000000" w:themeColor="text1"/>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6"/>
            </w:tblGrid>
            <w:tr w:rsidR="00510E80" w:rsidRPr="00B20BC4" w14:paraId="2CA8CB41" w14:textId="77777777" w:rsidTr="00C010D0">
              <w:trPr>
                <w:tblCellSpacing w:w="15" w:type="dxa"/>
              </w:trPr>
              <w:tc>
                <w:tcPr>
                  <w:tcW w:w="786" w:type="dxa"/>
                  <w:vAlign w:val="center"/>
                  <w:hideMark/>
                </w:tcPr>
                <w:p w14:paraId="08E3F7DF" w14:textId="77777777" w:rsidR="00510E80" w:rsidRPr="00B20BC4" w:rsidRDefault="00510E80" w:rsidP="00C010D0">
                  <w:pPr>
                    <w:spacing w:after="0" w:line="240" w:lineRule="auto"/>
                    <w:rPr>
                      <w:rFonts w:ascii="Arial" w:hAnsi="Arial" w:cs="Arial"/>
                      <w:color w:val="000000" w:themeColor="text1"/>
                      <w:sz w:val="20"/>
                      <w:szCs w:val="20"/>
                    </w:rPr>
                  </w:pPr>
                  <w:r w:rsidRPr="00B20BC4">
                    <w:rPr>
                      <w:rFonts w:ascii="Arial" w:hAnsi="Arial" w:cs="Arial"/>
                      <w:color w:val="000000" w:themeColor="text1"/>
                      <w:sz w:val="20"/>
                      <w:szCs w:val="20"/>
                    </w:rPr>
                    <w:t>32, 33, 34, 35, 36, 37, 42</w:t>
                  </w:r>
                </w:p>
              </w:tc>
            </w:tr>
          </w:tbl>
          <w:p w14:paraId="628A3AA7" w14:textId="77777777" w:rsidR="00510E80" w:rsidRPr="00B20BC4" w:rsidRDefault="00510E80" w:rsidP="00C010D0">
            <w:pPr>
              <w:jc w:val="center"/>
              <w:rPr>
                <w:rFonts w:ascii="Arial" w:hAnsi="Arial" w:cs="Arial"/>
                <w:color w:val="000000" w:themeColor="text1"/>
                <w:sz w:val="20"/>
                <w:szCs w:val="20"/>
              </w:rPr>
            </w:pPr>
          </w:p>
        </w:tc>
        <w:tc>
          <w:tcPr>
            <w:tcW w:w="1235" w:type="dxa"/>
            <w:tcBorders>
              <w:top w:val="nil"/>
              <w:left w:val="nil"/>
              <w:bottom w:val="nil"/>
              <w:right w:val="nil"/>
            </w:tcBorders>
            <w:shd w:val="clear" w:color="auto" w:fill="FFFFFF" w:themeFill="background1"/>
          </w:tcPr>
          <w:p w14:paraId="6BF901CA" w14:textId="77777777" w:rsidR="00510E80" w:rsidRPr="00B20BC4" w:rsidRDefault="00510E80" w:rsidP="00C010D0">
            <w:pPr>
              <w:jc w:val="center"/>
              <w:rPr>
                <w:rFonts w:ascii="Arial" w:hAnsi="Arial" w:cs="Arial"/>
                <w:color w:val="000000" w:themeColor="text1"/>
                <w:sz w:val="20"/>
                <w:szCs w:val="20"/>
              </w:rPr>
            </w:pPr>
          </w:p>
          <w:p w14:paraId="4AC69C84"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38, 39, 40, 41</w:t>
            </w:r>
          </w:p>
        </w:tc>
        <w:tc>
          <w:tcPr>
            <w:tcW w:w="1170" w:type="dxa"/>
            <w:tcBorders>
              <w:top w:val="nil"/>
              <w:left w:val="nil"/>
              <w:bottom w:val="nil"/>
              <w:right w:val="nil"/>
            </w:tcBorders>
            <w:shd w:val="clear" w:color="auto" w:fill="FFFFFF" w:themeFill="background1"/>
          </w:tcPr>
          <w:p w14:paraId="406F50CA" w14:textId="77777777" w:rsidR="00510E80" w:rsidRPr="00B20BC4" w:rsidRDefault="00510E80" w:rsidP="00C010D0">
            <w:pPr>
              <w:jc w:val="center"/>
              <w:rPr>
                <w:rFonts w:ascii="Arial" w:hAnsi="Arial" w:cs="Arial"/>
                <w:color w:val="000000" w:themeColor="text1"/>
                <w:sz w:val="20"/>
                <w:szCs w:val="20"/>
              </w:rPr>
            </w:pPr>
          </w:p>
          <w:p w14:paraId="097B3140"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43</w:t>
            </w:r>
          </w:p>
        </w:tc>
        <w:tc>
          <w:tcPr>
            <w:tcW w:w="1243" w:type="dxa"/>
            <w:tcBorders>
              <w:top w:val="nil"/>
              <w:left w:val="nil"/>
              <w:bottom w:val="nil"/>
              <w:right w:val="nil"/>
            </w:tcBorders>
            <w:shd w:val="clear" w:color="auto" w:fill="FFFFFF" w:themeFill="background1"/>
          </w:tcPr>
          <w:p w14:paraId="561D0BE3"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w:t>
            </w:r>
          </w:p>
        </w:tc>
        <w:tc>
          <w:tcPr>
            <w:tcW w:w="990" w:type="dxa"/>
            <w:tcBorders>
              <w:top w:val="nil"/>
              <w:left w:val="nil"/>
              <w:bottom w:val="nil"/>
              <w:right w:val="nil"/>
            </w:tcBorders>
            <w:shd w:val="clear" w:color="auto" w:fill="FFFFFF" w:themeFill="background1"/>
          </w:tcPr>
          <w:p w14:paraId="335DE0AD"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12</w:t>
            </w:r>
          </w:p>
        </w:tc>
        <w:tc>
          <w:tcPr>
            <w:tcW w:w="990" w:type="dxa"/>
            <w:tcBorders>
              <w:top w:val="nil"/>
              <w:left w:val="nil"/>
              <w:bottom w:val="nil"/>
            </w:tcBorders>
            <w:shd w:val="clear" w:color="auto" w:fill="FFFFFF" w:themeFill="background1"/>
          </w:tcPr>
          <w:p w14:paraId="33812530"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24%</w:t>
            </w:r>
          </w:p>
        </w:tc>
      </w:tr>
      <w:tr w:rsidR="00510E80" w:rsidRPr="0026697F" w14:paraId="17E1F1E7" w14:textId="77777777" w:rsidTr="00C010D0">
        <w:trPr>
          <w:jc w:val="center"/>
        </w:trPr>
        <w:tc>
          <w:tcPr>
            <w:tcW w:w="1260" w:type="dxa"/>
            <w:tcBorders>
              <w:top w:val="nil"/>
              <w:bottom w:val="nil"/>
              <w:right w:val="nil"/>
            </w:tcBorders>
            <w:shd w:val="clear" w:color="auto" w:fill="FFFFFF" w:themeFill="background1"/>
          </w:tcPr>
          <w:p w14:paraId="4F9B973F" w14:textId="77777777" w:rsidR="00510E80" w:rsidRPr="00B20BC4" w:rsidRDefault="00510E80" w:rsidP="00C010D0">
            <w:pPr>
              <w:spacing w:line="276" w:lineRule="auto"/>
              <w:jc w:val="center"/>
              <w:rPr>
                <w:rFonts w:ascii="Arial" w:hAnsi="Arial" w:cs="Arial"/>
                <w:color w:val="000000" w:themeColor="text1"/>
                <w:sz w:val="20"/>
                <w:szCs w:val="20"/>
              </w:rPr>
            </w:pPr>
            <w:r w:rsidRPr="00B20BC4">
              <w:rPr>
                <w:rFonts w:ascii="Arial" w:hAnsi="Arial" w:cs="Arial"/>
                <w:color w:val="000000" w:themeColor="text1"/>
                <w:sz w:val="20"/>
                <w:szCs w:val="20"/>
              </w:rPr>
              <w:t>Data and Probability</w:t>
            </w:r>
          </w:p>
        </w:tc>
        <w:tc>
          <w:tcPr>
            <w:tcW w:w="1864" w:type="dxa"/>
            <w:tcBorders>
              <w:top w:val="nil"/>
              <w:left w:val="nil"/>
              <w:bottom w:val="nil"/>
              <w:right w:val="nil"/>
            </w:tcBorders>
            <w:shd w:val="clear" w:color="auto" w:fill="FFFFFF" w:themeFill="background1"/>
          </w:tcPr>
          <w:p w14:paraId="1F06390F"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14%</w:t>
            </w:r>
          </w:p>
        </w:tc>
        <w:tc>
          <w:tcPr>
            <w:tcW w:w="1170" w:type="dxa"/>
            <w:tcBorders>
              <w:top w:val="nil"/>
              <w:left w:val="nil"/>
              <w:bottom w:val="nil"/>
              <w:right w:val="nil"/>
            </w:tcBorders>
            <w:shd w:val="clear" w:color="auto" w:fill="FFFFFF" w:themeFill="background1"/>
          </w:tcPr>
          <w:p w14:paraId="4CC7C0E0"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44</w:t>
            </w:r>
          </w:p>
        </w:tc>
        <w:tc>
          <w:tcPr>
            <w:tcW w:w="1235" w:type="dxa"/>
            <w:tcBorders>
              <w:top w:val="nil"/>
              <w:left w:val="nil"/>
              <w:bottom w:val="nil"/>
              <w:right w:val="nil"/>
            </w:tcBorders>
            <w:shd w:val="clear" w:color="auto" w:fill="FFFFFF" w:themeFill="background1"/>
          </w:tcPr>
          <w:p w14:paraId="263F35B5"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45, 48</w:t>
            </w:r>
          </w:p>
        </w:tc>
        <w:tc>
          <w:tcPr>
            <w:tcW w:w="1170" w:type="dxa"/>
            <w:tcBorders>
              <w:top w:val="nil"/>
              <w:left w:val="nil"/>
              <w:bottom w:val="nil"/>
              <w:right w:val="nil"/>
            </w:tcBorders>
            <w:shd w:val="clear" w:color="auto" w:fill="FFFFFF" w:themeFill="background1"/>
          </w:tcPr>
          <w:p w14:paraId="61FC1C8C"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46, 49</w:t>
            </w:r>
          </w:p>
        </w:tc>
        <w:tc>
          <w:tcPr>
            <w:tcW w:w="1243" w:type="dxa"/>
            <w:tcBorders>
              <w:top w:val="nil"/>
              <w:left w:val="nil"/>
              <w:bottom w:val="nil"/>
              <w:right w:val="nil"/>
            </w:tcBorders>
            <w:shd w:val="clear" w:color="auto" w:fill="FFFFFF" w:themeFill="background1"/>
          </w:tcPr>
          <w:p w14:paraId="1FDFFEC1"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47, 50</w:t>
            </w:r>
          </w:p>
        </w:tc>
        <w:tc>
          <w:tcPr>
            <w:tcW w:w="990" w:type="dxa"/>
            <w:tcBorders>
              <w:top w:val="nil"/>
              <w:left w:val="nil"/>
              <w:bottom w:val="nil"/>
              <w:right w:val="nil"/>
            </w:tcBorders>
            <w:shd w:val="clear" w:color="auto" w:fill="FFFFFF" w:themeFill="background1"/>
          </w:tcPr>
          <w:p w14:paraId="6F3CE80F"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7</w:t>
            </w:r>
          </w:p>
        </w:tc>
        <w:tc>
          <w:tcPr>
            <w:tcW w:w="990" w:type="dxa"/>
            <w:tcBorders>
              <w:top w:val="nil"/>
              <w:left w:val="nil"/>
              <w:bottom w:val="nil"/>
            </w:tcBorders>
            <w:shd w:val="clear" w:color="auto" w:fill="FFFFFF" w:themeFill="background1"/>
          </w:tcPr>
          <w:p w14:paraId="0E9F7F43" w14:textId="77777777" w:rsidR="00510E80" w:rsidRPr="00B20BC4" w:rsidRDefault="00510E80" w:rsidP="00C010D0">
            <w:pPr>
              <w:jc w:val="center"/>
              <w:rPr>
                <w:rFonts w:ascii="Arial" w:hAnsi="Arial" w:cs="Arial"/>
                <w:color w:val="000000" w:themeColor="text1"/>
                <w:sz w:val="20"/>
                <w:szCs w:val="20"/>
              </w:rPr>
            </w:pPr>
            <w:r w:rsidRPr="00B20BC4">
              <w:rPr>
                <w:rFonts w:ascii="Arial" w:hAnsi="Arial" w:cs="Arial"/>
                <w:color w:val="000000" w:themeColor="text1"/>
                <w:sz w:val="20"/>
                <w:szCs w:val="20"/>
              </w:rPr>
              <w:t>14%</w:t>
            </w:r>
          </w:p>
        </w:tc>
      </w:tr>
      <w:tr w:rsidR="00510E80" w:rsidRPr="0026697F" w14:paraId="71D62B6C" w14:textId="77777777" w:rsidTr="00C010D0">
        <w:trPr>
          <w:jc w:val="center"/>
        </w:trPr>
        <w:tc>
          <w:tcPr>
            <w:tcW w:w="1260" w:type="dxa"/>
            <w:tcBorders>
              <w:top w:val="nil"/>
              <w:right w:val="nil"/>
            </w:tcBorders>
            <w:shd w:val="clear" w:color="auto" w:fill="FFFFFF" w:themeFill="background1"/>
          </w:tcPr>
          <w:p w14:paraId="5209E61C"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TOTAL</w:t>
            </w:r>
          </w:p>
        </w:tc>
        <w:tc>
          <w:tcPr>
            <w:tcW w:w="1864" w:type="dxa"/>
            <w:tcBorders>
              <w:top w:val="nil"/>
              <w:left w:val="nil"/>
              <w:right w:val="nil"/>
            </w:tcBorders>
            <w:shd w:val="clear" w:color="auto" w:fill="FFFFFF" w:themeFill="background1"/>
          </w:tcPr>
          <w:p w14:paraId="60CDAD0A"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100%</w:t>
            </w:r>
          </w:p>
        </w:tc>
        <w:tc>
          <w:tcPr>
            <w:tcW w:w="1170" w:type="dxa"/>
            <w:tcBorders>
              <w:top w:val="nil"/>
              <w:left w:val="nil"/>
              <w:right w:val="nil"/>
            </w:tcBorders>
            <w:shd w:val="clear" w:color="auto" w:fill="FFFFFF" w:themeFill="background1"/>
          </w:tcPr>
          <w:p w14:paraId="4D7455EA"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28</w:t>
            </w:r>
          </w:p>
        </w:tc>
        <w:tc>
          <w:tcPr>
            <w:tcW w:w="1235" w:type="dxa"/>
            <w:tcBorders>
              <w:top w:val="nil"/>
              <w:left w:val="nil"/>
              <w:right w:val="nil"/>
            </w:tcBorders>
            <w:shd w:val="clear" w:color="auto" w:fill="FFFFFF" w:themeFill="background1"/>
          </w:tcPr>
          <w:p w14:paraId="0310C076"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8</w:t>
            </w:r>
          </w:p>
        </w:tc>
        <w:tc>
          <w:tcPr>
            <w:tcW w:w="1170" w:type="dxa"/>
            <w:tcBorders>
              <w:top w:val="nil"/>
              <w:left w:val="nil"/>
              <w:right w:val="nil"/>
            </w:tcBorders>
            <w:shd w:val="clear" w:color="auto" w:fill="FFFFFF" w:themeFill="background1"/>
          </w:tcPr>
          <w:p w14:paraId="34B4292A"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11</w:t>
            </w:r>
          </w:p>
        </w:tc>
        <w:tc>
          <w:tcPr>
            <w:tcW w:w="1243" w:type="dxa"/>
            <w:tcBorders>
              <w:top w:val="nil"/>
              <w:left w:val="nil"/>
              <w:right w:val="nil"/>
            </w:tcBorders>
            <w:shd w:val="clear" w:color="auto" w:fill="FFFFFF" w:themeFill="background1"/>
          </w:tcPr>
          <w:p w14:paraId="7E9BEFDF"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3</w:t>
            </w:r>
          </w:p>
        </w:tc>
        <w:tc>
          <w:tcPr>
            <w:tcW w:w="990" w:type="dxa"/>
            <w:tcBorders>
              <w:top w:val="nil"/>
              <w:left w:val="nil"/>
              <w:right w:val="nil"/>
            </w:tcBorders>
            <w:shd w:val="clear" w:color="auto" w:fill="FFFFFF" w:themeFill="background1"/>
          </w:tcPr>
          <w:p w14:paraId="3F4E3705"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50</w:t>
            </w:r>
          </w:p>
        </w:tc>
        <w:tc>
          <w:tcPr>
            <w:tcW w:w="990" w:type="dxa"/>
            <w:tcBorders>
              <w:top w:val="nil"/>
              <w:left w:val="nil"/>
            </w:tcBorders>
            <w:shd w:val="clear" w:color="auto" w:fill="FFFFFF" w:themeFill="background1"/>
          </w:tcPr>
          <w:p w14:paraId="36A1A225" w14:textId="77777777" w:rsidR="00510E80" w:rsidRPr="00B20BC4" w:rsidRDefault="00510E80" w:rsidP="00C010D0">
            <w:pPr>
              <w:spacing w:line="600" w:lineRule="auto"/>
              <w:jc w:val="center"/>
              <w:rPr>
                <w:rFonts w:ascii="Arial" w:hAnsi="Arial" w:cs="Arial"/>
                <w:b/>
                <w:bCs/>
                <w:color w:val="000000" w:themeColor="text1"/>
                <w:sz w:val="20"/>
                <w:szCs w:val="20"/>
              </w:rPr>
            </w:pPr>
            <w:r w:rsidRPr="00B20BC4">
              <w:rPr>
                <w:rFonts w:ascii="Arial" w:hAnsi="Arial" w:cs="Arial"/>
                <w:b/>
                <w:bCs/>
                <w:color w:val="000000" w:themeColor="text1"/>
                <w:sz w:val="20"/>
                <w:szCs w:val="20"/>
              </w:rPr>
              <w:t>100%</w:t>
            </w:r>
          </w:p>
        </w:tc>
      </w:tr>
    </w:tbl>
    <w:p w14:paraId="404CC11A" w14:textId="77777777" w:rsidR="00510E80" w:rsidRPr="00CB4787" w:rsidRDefault="00510E80" w:rsidP="00CB4787">
      <w:pPr>
        <w:pStyle w:val="NormalWeb"/>
        <w:spacing w:before="240" w:beforeAutospacing="0" w:after="240" w:afterAutospacing="0"/>
        <w:jc w:val="both"/>
      </w:pPr>
      <w:r w:rsidRPr="00CB4787">
        <w:rPr>
          <w:i/>
          <w:iCs/>
        </w:rPr>
        <w:t>Note: Initial 50-item distribution across SOLO levels: 72% Surface Learning (Unistructural/</w:t>
      </w:r>
      <w:proofErr w:type="spellStart"/>
      <w:r w:rsidRPr="00CB4787">
        <w:rPr>
          <w:i/>
          <w:iCs/>
        </w:rPr>
        <w:t>Multistructural</w:t>
      </w:r>
      <w:proofErr w:type="spellEnd"/>
      <w:r w:rsidRPr="00CB4787">
        <w:rPr>
          <w:i/>
          <w:iCs/>
        </w:rPr>
        <w:t>) to establish baseline skills, and 28% Deep Learning (Relational/Extended Abstract) to evaluate higher-order synthesis and contextualized problem-solving.</w:t>
      </w:r>
    </w:p>
    <w:p w14:paraId="5B98C774" w14:textId="77777777" w:rsidR="00510E80" w:rsidRPr="00CB4787" w:rsidRDefault="00510E80" w:rsidP="00CB4787">
      <w:pPr>
        <w:pStyle w:val="NormalWeb"/>
        <w:spacing w:before="240" w:beforeAutospacing="0" w:after="240" w:afterAutospacing="0"/>
        <w:jc w:val="both"/>
      </w:pPr>
    </w:p>
    <w:p w14:paraId="0F289226" w14:textId="77777777" w:rsidR="00510E80" w:rsidRPr="00CB4787" w:rsidRDefault="00510E80" w:rsidP="00CB4787">
      <w:pPr>
        <w:pStyle w:val="NormalWeb"/>
        <w:spacing w:before="240" w:beforeAutospacing="0" w:after="240" w:afterAutospacing="0"/>
        <w:jc w:val="both"/>
        <w:rPr>
          <w:b/>
          <w:bCs/>
        </w:rPr>
      </w:pPr>
      <w:r w:rsidRPr="00CB4787">
        <w:rPr>
          <w:b/>
          <w:bCs/>
        </w:rPr>
        <w:t>Phase 3: Development Results (Expert Validation and Refinement)</w:t>
      </w:r>
    </w:p>
    <w:p w14:paraId="227B6997" w14:textId="77777777" w:rsidR="00510E80" w:rsidRPr="00CB4787" w:rsidRDefault="00510E80" w:rsidP="00CB4787">
      <w:pPr>
        <w:pStyle w:val="NormalWeb"/>
        <w:spacing w:before="240" w:beforeAutospacing="0" w:after="240" w:afterAutospacing="0"/>
        <w:jc w:val="both"/>
        <w:rPr>
          <w:b/>
          <w:bCs/>
        </w:rPr>
      </w:pPr>
      <w:r w:rsidRPr="00CB4787">
        <w:rPr>
          <w:b/>
          <w:bCs/>
        </w:rPr>
        <w:t>Level of Acceptability of the Contextualized Numeracy Test</w:t>
      </w:r>
    </w:p>
    <w:p w14:paraId="738E78A7" w14:textId="77777777" w:rsidR="00510E80" w:rsidRPr="00CB4787" w:rsidRDefault="00510E80" w:rsidP="00CB4787">
      <w:pPr>
        <w:pStyle w:val="NormalWeb"/>
        <w:spacing w:before="240" w:beforeAutospacing="0" w:after="240" w:afterAutospacing="0"/>
        <w:ind w:firstLine="720"/>
        <w:jc w:val="both"/>
      </w:pPr>
      <w:r w:rsidRPr="00CB4787">
        <w:t>The researcher submitted the proposed Contextualized Numeracy Test (CNT) to five (5) content experts and two (2) language experts for evaluation using the DepEd-standardized Evaluation Rating Sheet for Print Resources. The evaluation focused on four critical factors: Content, Format, Presentation and Organization, and Accuracy and Up-to-datedness.</w:t>
      </w:r>
    </w:p>
    <w:p w14:paraId="3BB7A4B7" w14:textId="77777777" w:rsidR="00510E80" w:rsidRPr="00CB4787" w:rsidRDefault="00510E80" w:rsidP="00CB4787">
      <w:pPr>
        <w:pStyle w:val="NormalWeb"/>
        <w:spacing w:before="240" w:beforeAutospacing="0" w:after="240" w:afterAutospacing="0"/>
        <w:ind w:firstLine="720"/>
        <w:jc w:val="both"/>
      </w:pPr>
      <w:r w:rsidRPr="00CB4787">
        <w:t>Table 5 presents the evaluation results, which served as the basis for the instrument's refinement. While the first three factors received high passing marks, the results for Factor 4 (Accuracy) highlighted the necessity of a rigorous validation and revision phase.</w:t>
      </w:r>
    </w:p>
    <w:p w14:paraId="0F36D8AD" w14:textId="77777777" w:rsidR="00510E80" w:rsidRPr="00CB4787" w:rsidRDefault="00510E80" w:rsidP="00CB4787">
      <w:pPr>
        <w:pStyle w:val="NormalWeb"/>
        <w:spacing w:before="240" w:beforeAutospacing="0" w:after="240" w:afterAutospacing="0"/>
        <w:ind w:firstLine="720"/>
        <w:jc w:val="both"/>
      </w:pPr>
      <w:r w:rsidRPr="00CB4787">
        <w:t>Specifically, the researcher obtained a mean score of 25.71 for Content, confirming the items' alignment with the MATATAG curriculum. Format earned a score of 68.86, affirming that the layout meets readability standards, while Presentation and Organization achieved 18.57, indicating a logical flow.</w:t>
      </w:r>
    </w:p>
    <w:p w14:paraId="4623104E" w14:textId="77777777" w:rsidR="00510E80" w:rsidRPr="00CB4787" w:rsidRDefault="00510E80" w:rsidP="00CB4787">
      <w:pPr>
        <w:pStyle w:val="NormalWeb"/>
        <w:spacing w:before="240" w:beforeAutospacing="0" w:after="240" w:afterAutospacing="0"/>
        <w:ind w:firstLine="360"/>
        <w:jc w:val="both"/>
      </w:pPr>
      <w:r w:rsidRPr="00CB4787">
        <w:t>However, Factor 4 (Accuracy and Up-to-datedness) received a mean score of 23.29, falling short of the required perfect 24-point threshold. The validators identified minor computational and typographical errors in specific items. In strict adherence to DepEd guidelines—which mandate 100% accuracy for educational resources—the researcher implemented the following corrective measures:</w:t>
      </w:r>
    </w:p>
    <w:p w14:paraId="4A3567A9" w14:textId="77777777" w:rsidR="00510E80" w:rsidRPr="00CB4787" w:rsidRDefault="00510E80" w:rsidP="00CB4787">
      <w:pPr>
        <w:pStyle w:val="NormalWeb"/>
        <w:numPr>
          <w:ilvl w:val="0"/>
          <w:numId w:val="13"/>
        </w:numPr>
        <w:spacing w:before="240" w:beforeAutospacing="0" w:after="240" w:afterAutospacing="0"/>
        <w:jc w:val="both"/>
      </w:pPr>
      <w:r w:rsidRPr="00CB4787">
        <w:t>Systematic Revision: The researcher addressed every error identified by the experts, particularly the typographical inconsistencies and computational lapses.</w:t>
      </w:r>
    </w:p>
    <w:p w14:paraId="7DD6AABD" w14:textId="77777777" w:rsidR="00510E80" w:rsidRPr="00CB4787" w:rsidRDefault="00510E80" w:rsidP="00CB4787">
      <w:pPr>
        <w:pStyle w:val="NormalWeb"/>
        <w:numPr>
          <w:ilvl w:val="0"/>
          <w:numId w:val="13"/>
        </w:numPr>
        <w:spacing w:before="240" w:beforeAutospacing="0" w:after="240" w:afterAutospacing="0"/>
        <w:jc w:val="both"/>
      </w:pPr>
      <w:r w:rsidRPr="00CB4787">
        <w:lastRenderedPageBreak/>
        <w:t>Accuracy Errata: The researcher documented these specific corrections in an Accuracy Errata (see Appendix A) to ensure transparency. This list served as a verification tool to confirm that all "Failed" criteria were rectified.</w:t>
      </w:r>
    </w:p>
    <w:p w14:paraId="2F610787" w14:textId="77777777" w:rsidR="00510E80" w:rsidRPr="00CB4787" w:rsidRDefault="00510E80" w:rsidP="00CB4787">
      <w:pPr>
        <w:pStyle w:val="NormalWeb"/>
        <w:numPr>
          <w:ilvl w:val="0"/>
          <w:numId w:val="13"/>
        </w:numPr>
        <w:spacing w:before="240" w:beforeAutospacing="0" w:after="240" w:afterAutospacing="0"/>
        <w:jc w:val="both"/>
      </w:pPr>
      <w:r w:rsidRPr="00CB4787">
        <w:t>Final Accuracy Verification: Through these revisions, the researcher ensured that the instrument reached the 100% accuracy requirement before it was administered in the pilot testing phase.</w:t>
      </w:r>
    </w:p>
    <w:p w14:paraId="386A8B0D" w14:textId="77777777" w:rsidR="00510E80" w:rsidRPr="00CB4787" w:rsidRDefault="00510E80" w:rsidP="00CB4787">
      <w:pPr>
        <w:pStyle w:val="NormalWeb"/>
        <w:spacing w:before="240" w:beforeAutospacing="0" w:after="240" w:afterAutospacing="0"/>
        <w:ind w:firstLine="360"/>
        <w:jc w:val="both"/>
      </w:pPr>
      <w:r w:rsidRPr="00CB4787">
        <w:t>Consequently, while the initial remark for Accuracy was "Failed," the experts recommended the instrument for use as "Passed with Revisions." The researcher’s proactive refinement transformed the initial draft into a technically sound diagnostic tool.</w:t>
      </w:r>
    </w:p>
    <w:p w14:paraId="6A6556B9" w14:textId="77777777" w:rsidR="00510E80" w:rsidRPr="00CB4787" w:rsidRDefault="00510E80" w:rsidP="00CB4787">
      <w:pPr>
        <w:pStyle w:val="NormalWeb"/>
        <w:spacing w:before="240" w:beforeAutospacing="0" w:after="240" w:afterAutospacing="0"/>
        <w:jc w:val="both"/>
        <w:rPr>
          <w:b/>
          <w:bCs/>
        </w:rPr>
      </w:pPr>
      <w:r w:rsidRPr="00CB4787">
        <w:rPr>
          <w:b/>
          <w:bCs/>
        </w:rPr>
        <w:t>Table 5</w:t>
      </w:r>
    </w:p>
    <w:p w14:paraId="4CBCF1B7" w14:textId="77777777" w:rsidR="00510E80" w:rsidRPr="00CB4787" w:rsidRDefault="00510E80" w:rsidP="00CB4787">
      <w:pPr>
        <w:pStyle w:val="NormalWeb"/>
        <w:spacing w:before="240" w:beforeAutospacing="0" w:after="240" w:afterAutospacing="0"/>
        <w:jc w:val="both"/>
        <w:rPr>
          <w:i/>
          <w:iCs/>
        </w:rPr>
      </w:pPr>
      <w:r w:rsidRPr="00CB4787">
        <w:rPr>
          <w:i/>
          <w:iCs/>
        </w:rPr>
        <w:t>Summary of Expert Evaluation Ratings on the Acceptability of the CNT</w:t>
      </w:r>
    </w:p>
    <w:tbl>
      <w:tblPr>
        <w:tblpPr w:leftFromText="180" w:rightFromText="180" w:vertAnchor="text" w:horzAnchor="margin" w:tblpXSpec="center" w:tblpY="-22"/>
        <w:tblW w:w="5072" w:type="pct"/>
        <w:shd w:val="clear" w:color="auto" w:fill="FFFFFF" w:themeFill="background1"/>
        <w:tblLook w:val="04A0" w:firstRow="1" w:lastRow="0" w:firstColumn="1" w:lastColumn="0" w:noHBand="0" w:noVBand="1"/>
      </w:tblPr>
      <w:tblGrid>
        <w:gridCol w:w="1657"/>
        <w:gridCol w:w="1190"/>
        <w:gridCol w:w="1125"/>
        <w:gridCol w:w="516"/>
        <w:gridCol w:w="516"/>
        <w:gridCol w:w="516"/>
        <w:gridCol w:w="516"/>
        <w:gridCol w:w="516"/>
        <w:gridCol w:w="516"/>
        <w:gridCol w:w="516"/>
        <w:gridCol w:w="829"/>
        <w:gridCol w:w="1228"/>
        <w:gridCol w:w="1209"/>
      </w:tblGrid>
      <w:tr w:rsidR="00510E80" w:rsidRPr="00CB4787" w14:paraId="19CBFAC3" w14:textId="77777777" w:rsidTr="00CB4787">
        <w:trPr>
          <w:trHeight w:val="374"/>
        </w:trPr>
        <w:tc>
          <w:tcPr>
            <w:tcW w:w="763" w:type="pct"/>
            <w:vMerge w:val="restart"/>
            <w:tcBorders>
              <w:top w:val="single" w:sz="4" w:space="0" w:color="auto"/>
            </w:tcBorders>
            <w:shd w:val="clear" w:color="auto" w:fill="FFFFFF" w:themeFill="background1"/>
            <w:vAlign w:val="center"/>
          </w:tcPr>
          <w:p w14:paraId="0791D2A6"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Criteria</w:t>
            </w:r>
          </w:p>
        </w:tc>
        <w:tc>
          <w:tcPr>
            <w:tcW w:w="548" w:type="pct"/>
            <w:vMerge w:val="restart"/>
            <w:tcBorders>
              <w:top w:val="single" w:sz="4" w:space="0" w:color="auto"/>
            </w:tcBorders>
            <w:shd w:val="clear" w:color="auto" w:fill="FFFFFF" w:themeFill="background1"/>
            <w:vAlign w:val="center"/>
          </w:tcPr>
          <w:p w14:paraId="004AE3A1"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Highest Possible Score</w:t>
            </w:r>
          </w:p>
        </w:tc>
        <w:tc>
          <w:tcPr>
            <w:tcW w:w="518" w:type="pct"/>
            <w:vMerge w:val="restart"/>
            <w:tcBorders>
              <w:top w:val="single" w:sz="4" w:space="0" w:color="auto"/>
            </w:tcBorders>
            <w:shd w:val="clear" w:color="auto" w:fill="FFFFFF" w:themeFill="background1"/>
            <w:vAlign w:val="center"/>
          </w:tcPr>
          <w:p w14:paraId="540B493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Passing Score</w:t>
            </w:r>
          </w:p>
        </w:tc>
        <w:tc>
          <w:tcPr>
            <w:tcW w:w="2048" w:type="pct"/>
            <w:gridSpan w:val="8"/>
            <w:tcBorders>
              <w:top w:val="single" w:sz="4" w:space="0" w:color="auto"/>
              <w:bottom w:val="single" w:sz="4" w:space="0" w:color="auto"/>
            </w:tcBorders>
            <w:shd w:val="clear" w:color="auto" w:fill="FFFFFF" w:themeFill="background1"/>
            <w:vAlign w:val="center"/>
          </w:tcPr>
          <w:p w14:paraId="50059A61"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Evaluators’ Ratings</w:t>
            </w:r>
          </w:p>
        </w:tc>
        <w:tc>
          <w:tcPr>
            <w:tcW w:w="566" w:type="pct"/>
            <w:vMerge w:val="restart"/>
            <w:tcBorders>
              <w:top w:val="single" w:sz="4" w:space="0" w:color="auto"/>
              <w:left w:val="nil"/>
            </w:tcBorders>
            <w:shd w:val="clear" w:color="auto" w:fill="FFFFFF" w:themeFill="background1"/>
            <w:vAlign w:val="center"/>
          </w:tcPr>
          <w:p w14:paraId="02004EB6"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Inter</w:t>
            </w:r>
          </w:p>
          <w:p w14:paraId="60D85CEE"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roofErr w:type="spellStart"/>
            <w:r w:rsidRPr="00CB4787">
              <w:rPr>
                <w:rFonts w:ascii="Times New Roman" w:eastAsia="Times New Roman" w:hAnsi="Times New Roman" w:cs="Times New Roman"/>
                <w:b/>
                <w:bCs/>
                <w:color w:val="000000"/>
                <w:kern w:val="0"/>
                <w:sz w:val="22"/>
                <w:szCs w:val="22"/>
                <w:lang w:val="en-PH" w:eastAsia="en-PH"/>
                <w14:ligatures w14:val="none"/>
              </w:rPr>
              <w:t>pretation</w:t>
            </w:r>
            <w:proofErr w:type="spellEnd"/>
          </w:p>
        </w:tc>
        <w:tc>
          <w:tcPr>
            <w:tcW w:w="557" w:type="pct"/>
            <w:vMerge w:val="restart"/>
            <w:tcBorders>
              <w:top w:val="single" w:sz="4" w:space="0" w:color="auto"/>
            </w:tcBorders>
            <w:shd w:val="clear" w:color="auto" w:fill="FFFFFF" w:themeFill="background1"/>
            <w:vAlign w:val="center"/>
          </w:tcPr>
          <w:p w14:paraId="6771F4DF"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Remarks</w:t>
            </w:r>
          </w:p>
        </w:tc>
      </w:tr>
      <w:tr w:rsidR="00510E80" w:rsidRPr="00CB4787" w14:paraId="254BB97F" w14:textId="77777777" w:rsidTr="00CB4787">
        <w:trPr>
          <w:trHeight w:val="369"/>
        </w:trPr>
        <w:tc>
          <w:tcPr>
            <w:tcW w:w="763" w:type="pct"/>
            <w:vMerge/>
            <w:tcBorders>
              <w:bottom w:val="single" w:sz="4" w:space="0" w:color="auto"/>
            </w:tcBorders>
            <w:shd w:val="clear" w:color="auto" w:fill="FFFFFF" w:themeFill="background1"/>
            <w:vAlign w:val="center"/>
            <w:hideMark/>
          </w:tcPr>
          <w:p w14:paraId="415FC5F5"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
        </w:tc>
        <w:tc>
          <w:tcPr>
            <w:tcW w:w="548" w:type="pct"/>
            <w:vMerge/>
            <w:tcBorders>
              <w:bottom w:val="single" w:sz="4" w:space="0" w:color="auto"/>
            </w:tcBorders>
            <w:shd w:val="clear" w:color="auto" w:fill="FFFFFF" w:themeFill="background1"/>
            <w:vAlign w:val="center"/>
            <w:hideMark/>
          </w:tcPr>
          <w:p w14:paraId="123A2DE9"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
        </w:tc>
        <w:tc>
          <w:tcPr>
            <w:tcW w:w="518" w:type="pct"/>
            <w:vMerge/>
            <w:tcBorders>
              <w:bottom w:val="single" w:sz="4" w:space="0" w:color="auto"/>
            </w:tcBorders>
            <w:shd w:val="clear" w:color="auto" w:fill="FFFFFF" w:themeFill="background1"/>
            <w:vAlign w:val="center"/>
            <w:hideMark/>
          </w:tcPr>
          <w:p w14:paraId="5CFFF851"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
        </w:tc>
        <w:tc>
          <w:tcPr>
            <w:tcW w:w="238" w:type="pct"/>
            <w:tcBorders>
              <w:top w:val="single" w:sz="4" w:space="0" w:color="auto"/>
              <w:bottom w:val="single" w:sz="4" w:space="0" w:color="auto"/>
            </w:tcBorders>
            <w:shd w:val="clear" w:color="auto" w:fill="FFFFFF" w:themeFill="background1"/>
            <w:vAlign w:val="center"/>
            <w:hideMark/>
          </w:tcPr>
          <w:p w14:paraId="62E62FD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V1</w:t>
            </w:r>
          </w:p>
        </w:tc>
        <w:tc>
          <w:tcPr>
            <w:tcW w:w="238" w:type="pct"/>
            <w:tcBorders>
              <w:top w:val="single" w:sz="4" w:space="0" w:color="auto"/>
              <w:bottom w:val="single" w:sz="4" w:space="0" w:color="auto"/>
            </w:tcBorders>
            <w:shd w:val="clear" w:color="auto" w:fill="FFFFFF" w:themeFill="background1"/>
            <w:vAlign w:val="center"/>
            <w:hideMark/>
          </w:tcPr>
          <w:p w14:paraId="33C71577"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V2</w:t>
            </w:r>
          </w:p>
        </w:tc>
        <w:tc>
          <w:tcPr>
            <w:tcW w:w="238" w:type="pct"/>
            <w:tcBorders>
              <w:top w:val="single" w:sz="4" w:space="0" w:color="auto"/>
              <w:bottom w:val="single" w:sz="4" w:space="0" w:color="auto"/>
            </w:tcBorders>
            <w:shd w:val="clear" w:color="auto" w:fill="FFFFFF" w:themeFill="background1"/>
            <w:vAlign w:val="center"/>
            <w:hideMark/>
          </w:tcPr>
          <w:p w14:paraId="778F4A72"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V3</w:t>
            </w:r>
          </w:p>
        </w:tc>
        <w:tc>
          <w:tcPr>
            <w:tcW w:w="238" w:type="pct"/>
            <w:tcBorders>
              <w:top w:val="single" w:sz="4" w:space="0" w:color="auto"/>
              <w:bottom w:val="single" w:sz="4" w:space="0" w:color="auto"/>
            </w:tcBorders>
            <w:shd w:val="clear" w:color="auto" w:fill="FFFFFF" w:themeFill="background1"/>
            <w:vAlign w:val="center"/>
            <w:hideMark/>
          </w:tcPr>
          <w:p w14:paraId="4F27FDE9"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V4</w:t>
            </w:r>
          </w:p>
        </w:tc>
        <w:tc>
          <w:tcPr>
            <w:tcW w:w="238" w:type="pct"/>
            <w:tcBorders>
              <w:top w:val="single" w:sz="4" w:space="0" w:color="auto"/>
              <w:bottom w:val="single" w:sz="4" w:space="0" w:color="auto"/>
            </w:tcBorders>
            <w:shd w:val="clear" w:color="auto" w:fill="FFFFFF" w:themeFill="background1"/>
            <w:vAlign w:val="center"/>
            <w:hideMark/>
          </w:tcPr>
          <w:p w14:paraId="4C44AF48"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V5</w:t>
            </w:r>
          </w:p>
        </w:tc>
        <w:tc>
          <w:tcPr>
            <w:tcW w:w="238" w:type="pct"/>
            <w:tcBorders>
              <w:top w:val="single" w:sz="4" w:space="0" w:color="auto"/>
              <w:bottom w:val="single" w:sz="4" w:space="0" w:color="auto"/>
            </w:tcBorders>
            <w:shd w:val="clear" w:color="auto" w:fill="FFFFFF" w:themeFill="background1"/>
            <w:vAlign w:val="center"/>
            <w:hideMark/>
          </w:tcPr>
          <w:p w14:paraId="02053C9E"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V6</w:t>
            </w:r>
          </w:p>
        </w:tc>
        <w:tc>
          <w:tcPr>
            <w:tcW w:w="238" w:type="pct"/>
            <w:tcBorders>
              <w:top w:val="single" w:sz="4" w:space="0" w:color="auto"/>
              <w:bottom w:val="single" w:sz="4" w:space="0" w:color="auto"/>
            </w:tcBorders>
            <w:shd w:val="clear" w:color="auto" w:fill="FFFFFF" w:themeFill="background1"/>
            <w:vAlign w:val="center"/>
            <w:hideMark/>
          </w:tcPr>
          <w:p w14:paraId="1DF33C9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V7</w:t>
            </w:r>
          </w:p>
        </w:tc>
        <w:tc>
          <w:tcPr>
            <w:tcW w:w="382" w:type="pct"/>
            <w:tcBorders>
              <w:top w:val="single" w:sz="4" w:space="0" w:color="auto"/>
              <w:bottom w:val="single" w:sz="4" w:space="0" w:color="auto"/>
            </w:tcBorders>
            <w:shd w:val="clear" w:color="auto" w:fill="FFFFFF" w:themeFill="background1"/>
            <w:vAlign w:val="center"/>
            <w:hideMark/>
          </w:tcPr>
          <w:p w14:paraId="176903E5"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Mean</w:t>
            </w:r>
          </w:p>
        </w:tc>
        <w:tc>
          <w:tcPr>
            <w:tcW w:w="566" w:type="pct"/>
            <w:vMerge/>
            <w:tcBorders>
              <w:left w:val="nil"/>
              <w:bottom w:val="single" w:sz="4" w:space="0" w:color="auto"/>
            </w:tcBorders>
            <w:shd w:val="clear" w:color="auto" w:fill="FFFFFF" w:themeFill="background1"/>
            <w:vAlign w:val="center"/>
            <w:hideMark/>
          </w:tcPr>
          <w:p w14:paraId="32C71CCB"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
        </w:tc>
        <w:tc>
          <w:tcPr>
            <w:tcW w:w="557" w:type="pct"/>
            <w:vMerge/>
            <w:tcBorders>
              <w:bottom w:val="single" w:sz="4" w:space="0" w:color="auto"/>
            </w:tcBorders>
            <w:shd w:val="clear" w:color="auto" w:fill="FFFFFF" w:themeFill="background1"/>
            <w:vAlign w:val="center"/>
            <w:hideMark/>
          </w:tcPr>
          <w:p w14:paraId="1BA85EDB"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p>
        </w:tc>
      </w:tr>
      <w:tr w:rsidR="00510E80" w:rsidRPr="00CB4787" w14:paraId="4CECB7E9" w14:textId="77777777" w:rsidTr="00CB4787">
        <w:trPr>
          <w:trHeight w:val="419"/>
        </w:trPr>
        <w:tc>
          <w:tcPr>
            <w:tcW w:w="763" w:type="pct"/>
            <w:tcBorders>
              <w:top w:val="single" w:sz="4" w:space="0" w:color="auto"/>
            </w:tcBorders>
            <w:shd w:val="clear" w:color="auto" w:fill="FFFFFF" w:themeFill="background1"/>
            <w:vAlign w:val="center"/>
            <w:hideMark/>
          </w:tcPr>
          <w:p w14:paraId="651810FB"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Content</w:t>
            </w:r>
          </w:p>
        </w:tc>
        <w:tc>
          <w:tcPr>
            <w:tcW w:w="548" w:type="pct"/>
            <w:tcBorders>
              <w:top w:val="single" w:sz="4" w:space="0" w:color="auto"/>
            </w:tcBorders>
            <w:shd w:val="clear" w:color="auto" w:fill="FFFFFF" w:themeFill="background1"/>
            <w:vAlign w:val="center"/>
            <w:hideMark/>
          </w:tcPr>
          <w:p w14:paraId="675050D6"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28</w:t>
            </w:r>
          </w:p>
        </w:tc>
        <w:tc>
          <w:tcPr>
            <w:tcW w:w="518" w:type="pct"/>
            <w:tcBorders>
              <w:top w:val="single" w:sz="4" w:space="0" w:color="auto"/>
            </w:tcBorders>
            <w:shd w:val="clear" w:color="auto" w:fill="FFFFFF" w:themeFill="background1"/>
            <w:vAlign w:val="center"/>
            <w:hideMark/>
          </w:tcPr>
          <w:p w14:paraId="0F3A11E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21</w:t>
            </w:r>
          </w:p>
        </w:tc>
        <w:tc>
          <w:tcPr>
            <w:tcW w:w="238" w:type="pct"/>
            <w:tcBorders>
              <w:top w:val="single" w:sz="4" w:space="0" w:color="auto"/>
            </w:tcBorders>
            <w:shd w:val="clear" w:color="auto" w:fill="FFFFFF" w:themeFill="background1"/>
            <w:vAlign w:val="center"/>
            <w:hideMark/>
          </w:tcPr>
          <w:p w14:paraId="41CDEE4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27</w:t>
            </w:r>
          </w:p>
        </w:tc>
        <w:tc>
          <w:tcPr>
            <w:tcW w:w="238" w:type="pct"/>
            <w:tcBorders>
              <w:top w:val="single" w:sz="4" w:space="0" w:color="auto"/>
            </w:tcBorders>
            <w:shd w:val="clear" w:color="auto" w:fill="FFFFFF" w:themeFill="background1"/>
            <w:vAlign w:val="center"/>
            <w:hideMark/>
          </w:tcPr>
          <w:p w14:paraId="143A594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28</w:t>
            </w:r>
          </w:p>
        </w:tc>
        <w:tc>
          <w:tcPr>
            <w:tcW w:w="238" w:type="pct"/>
            <w:tcBorders>
              <w:top w:val="single" w:sz="4" w:space="0" w:color="auto"/>
            </w:tcBorders>
            <w:shd w:val="clear" w:color="auto" w:fill="FFFFFF" w:themeFill="background1"/>
            <w:vAlign w:val="center"/>
            <w:hideMark/>
          </w:tcPr>
          <w:p w14:paraId="1D7FE9F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26</w:t>
            </w:r>
          </w:p>
        </w:tc>
        <w:tc>
          <w:tcPr>
            <w:tcW w:w="238" w:type="pct"/>
            <w:tcBorders>
              <w:top w:val="single" w:sz="4" w:space="0" w:color="auto"/>
            </w:tcBorders>
            <w:shd w:val="clear" w:color="auto" w:fill="FFFFFF" w:themeFill="background1"/>
            <w:vAlign w:val="center"/>
            <w:hideMark/>
          </w:tcPr>
          <w:p w14:paraId="4F3E5A4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27</w:t>
            </w:r>
          </w:p>
        </w:tc>
        <w:tc>
          <w:tcPr>
            <w:tcW w:w="238" w:type="pct"/>
            <w:tcBorders>
              <w:top w:val="single" w:sz="4" w:space="0" w:color="auto"/>
            </w:tcBorders>
            <w:shd w:val="clear" w:color="auto" w:fill="FFFFFF" w:themeFill="background1"/>
            <w:vAlign w:val="center"/>
            <w:hideMark/>
          </w:tcPr>
          <w:p w14:paraId="261B2C1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23</w:t>
            </w:r>
          </w:p>
        </w:tc>
        <w:tc>
          <w:tcPr>
            <w:tcW w:w="238" w:type="pct"/>
            <w:tcBorders>
              <w:top w:val="single" w:sz="4" w:space="0" w:color="auto"/>
            </w:tcBorders>
            <w:shd w:val="clear" w:color="auto" w:fill="FFFFFF" w:themeFill="background1"/>
            <w:vAlign w:val="center"/>
            <w:hideMark/>
          </w:tcPr>
          <w:p w14:paraId="7B7657D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25</w:t>
            </w:r>
          </w:p>
        </w:tc>
        <w:tc>
          <w:tcPr>
            <w:tcW w:w="238" w:type="pct"/>
            <w:tcBorders>
              <w:top w:val="single" w:sz="4" w:space="0" w:color="auto"/>
            </w:tcBorders>
            <w:shd w:val="clear" w:color="auto" w:fill="FFFFFF" w:themeFill="background1"/>
            <w:vAlign w:val="center"/>
            <w:hideMark/>
          </w:tcPr>
          <w:p w14:paraId="061416B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24</w:t>
            </w:r>
          </w:p>
        </w:tc>
        <w:tc>
          <w:tcPr>
            <w:tcW w:w="382" w:type="pct"/>
            <w:tcBorders>
              <w:top w:val="single" w:sz="4" w:space="0" w:color="auto"/>
            </w:tcBorders>
            <w:shd w:val="clear" w:color="auto" w:fill="FFFFFF" w:themeFill="background1"/>
            <w:vAlign w:val="center"/>
            <w:hideMark/>
          </w:tcPr>
          <w:p w14:paraId="4BB8350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25.71</w:t>
            </w:r>
          </w:p>
        </w:tc>
        <w:tc>
          <w:tcPr>
            <w:tcW w:w="566" w:type="pct"/>
            <w:tcBorders>
              <w:top w:val="single" w:sz="4" w:space="0" w:color="auto"/>
            </w:tcBorders>
            <w:shd w:val="clear" w:color="auto" w:fill="FFFFFF" w:themeFill="background1"/>
            <w:vAlign w:val="center"/>
            <w:hideMark/>
          </w:tcPr>
          <w:p w14:paraId="74D769D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Passed</w:t>
            </w:r>
          </w:p>
        </w:tc>
        <w:tc>
          <w:tcPr>
            <w:tcW w:w="557" w:type="pct"/>
            <w:tcBorders>
              <w:top w:val="single" w:sz="4" w:space="0" w:color="auto"/>
            </w:tcBorders>
            <w:shd w:val="clear" w:color="auto" w:fill="FFFFFF" w:themeFill="background1"/>
            <w:vAlign w:val="center"/>
            <w:hideMark/>
          </w:tcPr>
          <w:p w14:paraId="0704599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Accepted</w:t>
            </w:r>
          </w:p>
        </w:tc>
      </w:tr>
      <w:tr w:rsidR="00510E80" w:rsidRPr="00CB4787" w14:paraId="03B1390C" w14:textId="77777777" w:rsidTr="00CB4787">
        <w:trPr>
          <w:trHeight w:val="488"/>
        </w:trPr>
        <w:tc>
          <w:tcPr>
            <w:tcW w:w="763" w:type="pct"/>
            <w:tcBorders>
              <w:top w:val="nil"/>
            </w:tcBorders>
            <w:shd w:val="clear" w:color="auto" w:fill="FFFFFF" w:themeFill="background1"/>
            <w:vAlign w:val="center"/>
            <w:hideMark/>
          </w:tcPr>
          <w:p w14:paraId="3058543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Format</w:t>
            </w:r>
          </w:p>
        </w:tc>
        <w:tc>
          <w:tcPr>
            <w:tcW w:w="548" w:type="pct"/>
            <w:tcBorders>
              <w:top w:val="nil"/>
            </w:tcBorders>
            <w:shd w:val="clear" w:color="auto" w:fill="FFFFFF" w:themeFill="background1"/>
            <w:vAlign w:val="center"/>
            <w:hideMark/>
          </w:tcPr>
          <w:p w14:paraId="47A485E5"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72</w:t>
            </w:r>
          </w:p>
        </w:tc>
        <w:tc>
          <w:tcPr>
            <w:tcW w:w="518" w:type="pct"/>
            <w:tcBorders>
              <w:top w:val="nil"/>
            </w:tcBorders>
            <w:shd w:val="clear" w:color="auto" w:fill="FFFFFF" w:themeFill="background1"/>
            <w:vAlign w:val="center"/>
            <w:hideMark/>
          </w:tcPr>
          <w:p w14:paraId="0DB184F3"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54</w:t>
            </w:r>
          </w:p>
        </w:tc>
        <w:tc>
          <w:tcPr>
            <w:tcW w:w="238" w:type="pct"/>
            <w:tcBorders>
              <w:top w:val="nil"/>
            </w:tcBorders>
            <w:shd w:val="clear" w:color="auto" w:fill="FFFFFF" w:themeFill="background1"/>
            <w:vAlign w:val="center"/>
            <w:hideMark/>
          </w:tcPr>
          <w:p w14:paraId="6E46213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67</w:t>
            </w:r>
          </w:p>
        </w:tc>
        <w:tc>
          <w:tcPr>
            <w:tcW w:w="238" w:type="pct"/>
            <w:tcBorders>
              <w:top w:val="nil"/>
            </w:tcBorders>
            <w:shd w:val="clear" w:color="auto" w:fill="FFFFFF" w:themeFill="background1"/>
            <w:vAlign w:val="center"/>
            <w:hideMark/>
          </w:tcPr>
          <w:p w14:paraId="1374102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72</w:t>
            </w:r>
          </w:p>
        </w:tc>
        <w:tc>
          <w:tcPr>
            <w:tcW w:w="238" w:type="pct"/>
            <w:tcBorders>
              <w:top w:val="nil"/>
            </w:tcBorders>
            <w:shd w:val="clear" w:color="auto" w:fill="FFFFFF" w:themeFill="background1"/>
            <w:vAlign w:val="center"/>
            <w:hideMark/>
          </w:tcPr>
          <w:p w14:paraId="669C2FE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65</w:t>
            </w:r>
          </w:p>
        </w:tc>
        <w:tc>
          <w:tcPr>
            <w:tcW w:w="238" w:type="pct"/>
            <w:tcBorders>
              <w:top w:val="nil"/>
            </w:tcBorders>
            <w:shd w:val="clear" w:color="auto" w:fill="FFFFFF" w:themeFill="background1"/>
            <w:vAlign w:val="center"/>
            <w:hideMark/>
          </w:tcPr>
          <w:p w14:paraId="10E5E62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68</w:t>
            </w:r>
          </w:p>
        </w:tc>
        <w:tc>
          <w:tcPr>
            <w:tcW w:w="238" w:type="pct"/>
            <w:tcBorders>
              <w:top w:val="nil"/>
            </w:tcBorders>
            <w:shd w:val="clear" w:color="auto" w:fill="FFFFFF" w:themeFill="background1"/>
            <w:vAlign w:val="center"/>
            <w:hideMark/>
          </w:tcPr>
          <w:p w14:paraId="5EBAC24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72</w:t>
            </w:r>
          </w:p>
        </w:tc>
        <w:tc>
          <w:tcPr>
            <w:tcW w:w="238" w:type="pct"/>
            <w:tcBorders>
              <w:top w:val="nil"/>
            </w:tcBorders>
            <w:shd w:val="clear" w:color="auto" w:fill="FFFFFF" w:themeFill="background1"/>
            <w:vAlign w:val="center"/>
            <w:hideMark/>
          </w:tcPr>
          <w:p w14:paraId="3DBBF76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70</w:t>
            </w:r>
          </w:p>
        </w:tc>
        <w:tc>
          <w:tcPr>
            <w:tcW w:w="238" w:type="pct"/>
            <w:tcBorders>
              <w:top w:val="nil"/>
            </w:tcBorders>
            <w:shd w:val="clear" w:color="auto" w:fill="FFFFFF" w:themeFill="background1"/>
            <w:vAlign w:val="center"/>
            <w:hideMark/>
          </w:tcPr>
          <w:p w14:paraId="6F0F33E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68</w:t>
            </w:r>
          </w:p>
        </w:tc>
        <w:tc>
          <w:tcPr>
            <w:tcW w:w="382" w:type="pct"/>
            <w:tcBorders>
              <w:top w:val="nil"/>
            </w:tcBorders>
            <w:shd w:val="clear" w:color="auto" w:fill="FFFFFF" w:themeFill="background1"/>
            <w:vAlign w:val="center"/>
            <w:hideMark/>
          </w:tcPr>
          <w:p w14:paraId="3547576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68.86</w:t>
            </w:r>
          </w:p>
        </w:tc>
        <w:tc>
          <w:tcPr>
            <w:tcW w:w="566" w:type="pct"/>
            <w:tcBorders>
              <w:top w:val="nil"/>
            </w:tcBorders>
            <w:shd w:val="clear" w:color="auto" w:fill="FFFFFF" w:themeFill="background1"/>
            <w:vAlign w:val="center"/>
            <w:hideMark/>
          </w:tcPr>
          <w:p w14:paraId="0CF0B14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Passed</w:t>
            </w:r>
          </w:p>
        </w:tc>
        <w:tc>
          <w:tcPr>
            <w:tcW w:w="557" w:type="pct"/>
            <w:tcBorders>
              <w:top w:val="nil"/>
            </w:tcBorders>
            <w:shd w:val="clear" w:color="auto" w:fill="FFFFFF" w:themeFill="background1"/>
            <w:vAlign w:val="center"/>
            <w:hideMark/>
          </w:tcPr>
          <w:p w14:paraId="08CEE19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Accepted</w:t>
            </w:r>
          </w:p>
        </w:tc>
      </w:tr>
      <w:tr w:rsidR="00510E80" w:rsidRPr="00CB4787" w14:paraId="47AE040F" w14:textId="77777777" w:rsidTr="00CB4787">
        <w:trPr>
          <w:trHeight w:val="622"/>
        </w:trPr>
        <w:tc>
          <w:tcPr>
            <w:tcW w:w="763" w:type="pct"/>
            <w:tcBorders>
              <w:top w:val="nil"/>
            </w:tcBorders>
            <w:shd w:val="clear" w:color="auto" w:fill="FFFFFF" w:themeFill="background1"/>
            <w:vAlign w:val="center"/>
            <w:hideMark/>
          </w:tcPr>
          <w:p w14:paraId="40E63702"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Presentation &amp; Organization</w:t>
            </w:r>
          </w:p>
        </w:tc>
        <w:tc>
          <w:tcPr>
            <w:tcW w:w="548" w:type="pct"/>
            <w:tcBorders>
              <w:top w:val="nil"/>
            </w:tcBorders>
            <w:shd w:val="clear" w:color="auto" w:fill="FFFFFF" w:themeFill="background1"/>
            <w:vAlign w:val="center"/>
            <w:hideMark/>
          </w:tcPr>
          <w:p w14:paraId="5AD923A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20</w:t>
            </w:r>
          </w:p>
        </w:tc>
        <w:tc>
          <w:tcPr>
            <w:tcW w:w="518" w:type="pct"/>
            <w:tcBorders>
              <w:top w:val="nil"/>
            </w:tcBorders>
            <w:shd w:val="clear" w:color="auto" w:fill="FFFFFF" w:themeFill="background1"/>
            <w:vAlign w:val="center"/>
            <w:hideMark/>
          </w:tcPr>
          <w:p w14:paraId="573A05B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15</w:t>
            </w:r>
          </w:p>
        </w:tc>
        <w:tc>
          <w:tcPr>
            <w:tcW w:w="238" w:type="pct"/>
            <w:tcBorders>
              <w:top w:val="nil"/>
            </w:tcBorders>
            <w:shd w:val="clear" w:color="auto" w:fill="FFFFFF" w:themeFill="background1"/>
            <w:vAlign w:val="center"/>
            <w:hideMark/>
          </w:tcPr>
          <w:p w14:paraId="67FA89A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18</w:t>
            </w:r>
          </w:p>
        </w:tc>
        <w:tc>
          <w:tcPr>
            <w:tcW w:w="238" w:type="pct"/>
            <w:tcBorders>
              <w:top w:val="nil"/>
            </w:tcBorders>
            <w:shd w:val="clear" w:color="auto" w:fill="FFFFFF" w:themeFill="background1"/>
            <w:vAlign w:val="center"/>
            <w:hideMark/>
          </w:tcPr>
          <w:p w14:paraId="117FF11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20</w:t>
            </w:r>
          </w:p>
        </w:tc>
        <w:tc>
          <w:tcPr>
            <w:tcW w:w="238" w:type="pct"/>
            <w:tcBorders>
              <w:top w:val="nil"/>
            </w:tcBorders>
            <w:shd w:val="clear" w:color="auto" w:fill="FFFFFF" w:themeFill="background1"/>
            <w:vAlign w:val="center"/>
            <w:hideMark/>
          </w:tcPr>
          <w:p w14:paraId="74519B6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20</w:t>
            </w:r>
          </w:p>
        </w:tc>
        <w:tc>
          <w:tcPr>
            <w:tcW w:w="238" w:type="pct"/>
            <w:tcBorders>
              <w:top w:val="nil"/>
            </w:tcBorders>
            <w:shd w:val="clear" w:color="auto" w:fill="FFFFFF" w:themeFill="background1"/>
            <w:vAlign w:val="center"/>
            <w:hideMark/>
          </w:tcPr>
          <w:p w14:paraId="79C3D59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20</w:t>
            </w:r>
          </w:p>
        </w:tc>
        <w:tc>
          <w:tcPr>
            <w:tcW w:w="238" w:type="pct"/>
            <w:tcBorders>
              <w:top w:val="nil"/>
            </w:tcBorders>
            <w:shd w:val="clear" w:color="auto" w:fill="FFFFFF" w:themeFill="background1"/>
            <w:vAlign w:val="center"/>
            <w:hideMark/>
          </w:tcPr>
          <w:p w14:paraId="68E723E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18</w:t>
            </w:r>
          </w:p>
        </w:tc>
        <w:tc>
          <w:tcPr>
            <w:tcW w:w="238" w:type="pct"/>
            <w:tcBorders>
              <w:top w:val="nil"/>
            </w:tcBorders>
            <w:shd w:val="clear" w:color="auto" w:fill="FFFFFF" w:themeFill="background1"/>
            <w:vAlign w:val="center"/>
            <w:hideMark/>
          </w:tcPr>
          <w:p w14:paraId="065856F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17</w:t>
            </w:r>
          </w:p>
        </w:tc>
        <w:tc>
          <w:tcPr>
            <w:tcW w:w="238" w:type="pct"/>
            <w:tcBorders>
              <w:top w:val="nil"/>
            </w:tcBorders>
            <w:shd w:val="clear" w:color="auto" w:fill="FFFFFF" w:themeFill="background1"/>
            <w:vAlign w:val="center"/>
            <w:hideMark/>
          </w:tcPr>
          <w:p w14:paraId="060D0E9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17</w:t>
            </w:r>
          </w:p>
        </w:tc>
        <w:tc>
          <w:tcPr>
            <w:tcW w:w="382" w:type="pct"/>
            <w:tcBorders>
              <w:top w:val="nil"/>
            </w:tcBorders>
            <w:shd w:val="clear" w:color="auto" w:fill="FFFFFF" w:themeFill="background1"/>
            <w:vAlign w:val="center"/>
            <w:hideMark/>
          </w:tcPr>
          <w:p w14:paraId="3DF6381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18.57</w:t>
            </w:r>
          </w:p>
        </w:tc>
        <w:tc>
          <w:tcPr>
            <w:tcW w:w="566" w:type="pct"/>
            <w:tcBorders>
              <w:top w:val="nil"/>
            </w:tcBorders>
            <w:shd w:val="clear" w:color="auto" w:fill="FFFFFF" w:themeFill="background1"/>
            <w:vAlign w:val="center"/>
            <w:hideMark/>
          </w:tcPr>
          <w:p w14:paraId="29D26D6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Passed</w:t>
            </w:r>
          </w:p>
        </w:tc>
        <w:tc>
          <w:tcPr>
            <w:tcW w:w="557" w:type="pct"/>
            <w:tcBorders>
              <w:top w:val="nil"/>
            </w:tcBorders>
            <w:shd w:val="clear" w:color="auto" w:fill="FFFFFF" w:themeFill="background1"/>
            <w:vAlign w:val="center"/>
            <w:hideMark/>
          </w:tcPr>
          <w:p w14:paraId="08BCA26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Accepted</w:t>
            </w:r>
          </w:p>
        </w:tc>
      </w:tr>
      <w:tr w:rsidR="00510E80" w:rsidRPr="00CB4787" w14:paraId="2B9E8DEE" w14:textId="77777777" w:rsidTr="00CB4787">
        <w:trPr>
          <w:trHeight w:val="899"/>
        </w:trPr>
        <w:tc>
          <w:tcPr>
            <w:tcW w:w="763" w:type="pct"/>
            <w:tcBorders>
              <w:top w:val="nil"/>
              <w:bottom w:val="single" w:sz="4" w:space="0" w:color="auto"/>
            </w:tcBorders>
            <w:shd w:val="clear" w:color="auto" w:fill="FFFFFF" w:themeFill="background1"/>
            <w:vAlign w:val="center"/>
            <w:hideMark/>
          </w:tcPr>
          <w:p w14:paraId="79DE7C5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 xml:space="preserve">Accuracy </w:t>
            </w:r>
          </w:p>
        </w:tc>
        <w:tc>
          <w:tcPr>
            <w:tcW w:w="548" w:type="pct"/>
            <w:tcBorders>
              <w:top w:val="nil"/>
              <w:bottom w:val="single" w:sz="4" w:space="0" w:color="auto"/>
            </w:tcBorders>
            <w:shd w:val="clear" w:color="auto" w:fill="FFFFFF" w:themeFill="background1"/>
            <w:vAlign w:val="center"/>
            <w:hideMark/>
          </w:tcPr>
          <w:p w14:paraId="67557EC8"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24</w:t>
            </w:r>
          </w:p>
        </w:tc>
        <w:tc>
          <w:tcPr>
            <w:tcW w:w="518" w:type="pct"/>
            <w:tcBorders>
              <w:top w:val="nil"/>
              <w:bottom w:val="single" w:sz="4" w:space="0" w:color="auto"/>
            </w:tcBorders>
            <w:shd w:val="clear" w:color="auto" w:fill="FFFFFF" w:themeFill="background1"/>
            <w:vAlign w:val="center"/>
            <w:hideMark/>
          </w:tcPr>
          <w:p w14:paraId="55EDA2AF"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lang w:val="en-PH" w:eastAsia="en-PH"/>
                <w14:ligatures w14:val="none"/>
              </w:rPr>
            </w:pPr>
            <w:r w:rsidRPr="00CB4787">
              <w:rPr>
                <w:rFonts w:ascii="Times New Roman" w:eastAsia="Times New Roman" w:hAnsi="Times New Roman" w:cs="Times New Roman"/>
                <w:b/>
                <w:bCs/>
                <w:color w:val="000000"/>
                <w:kern w:val="0"/>
                <w:sz w:val="22"/>
                <w:szCs w:val="22"/>
                <w:lang w:val="en-PH" w:eastAsia="en-PH"/>
                <w14:ligatures w14:val="none"/>
              </w:rPr>
              <w:t>24</w:t>
            </w:r>
          </w:p>
        </w:tc>
        <w:tc>
          <w:tcPr>
            <w:tcW w:w="238" w:type="pct"/>
            <w:tcBorders>
              <w:top w:val="nil"/>
              <w:bottom w:val="single" w:sz="4" w:space="0" w:color="auto"/>
            </w:tcBorders>
            <w:shd w:val="clear" w:color="auto" w:fill="FFFFFF" w:themeFill="background1"/>
            <w:vAlign w:val="center"/>
            <w:hideMark/>
          </w:tcPr>
          <w:p w14:paraId="1887003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24</w:t>
            </w:r>
          </w:p>
        </w:tc>
        <w:tc>
          <w:tcPr>
            <w:tcW w:w="238" w:type="pct"/>
            <w:tcBorders>
              <w:top w:val="nil"/>
              <w:bottom w:val="single" w:sz="4" w:space="0" w:color="auto"/>
            </w:tcBorders>
            <w:shd w:val="clear" w:color="auto" w:fill="FFFFFF" w:themeFill="background1"/>
            <w:vAlign w:val="center"/>
            <w:hideMark/>
          </w:tcPr>
          <w:p w14:paraId="0E204CB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24</w:t>
            </w:r>
          </w:p>
        </w:tc>
        <w:tc>
          <w:tcPr>
            <w:tcW w:w="238" w:type="pct"/>
            <w:tcBorders>
              <w:top w:val="nil"/>
              <w:bottom w:val="single" w:sz="4" w:space="0" w:color="auto"/>
            </w:tcBorders>
            <w:shd w:val="clear" w:color="auto" w:fill="FFFFFF" w:themeFill="background1"/>
            <w:vAlign w:val="center"/>
            <w:hideMark/>
          </w:tcPr>
          <w:p w14:paraId="082C09A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24</w:t>
            </w:r>
          </w:p>
        </w:tc>
        <w:tc>
          <w:tcPr>
            <w:tcW w:w="238" w:type="pct"/>
            <w:tcBorders>
              <w:top w:val="nil"/>
              <w:bottom w:val="single" w:sz="4" w:space="0" w:color="auto"/>
            </w:tcBorders>
            <w:shd w:val="clear" w:color="auto" w:fill="FFFFFF" w:themeFill="background1"/>
            <w:vAlign w:val="center"/>
            <w:hideMark/>
          </w:tcPr>
          <w:p w14:paraId="1C7B519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24</w:t>
            </w:r>
          </w:p>
        </w:tc>
        <w:tc>
          <w:tcPr>
            <w:tcW w:w="238" w:type="pct"/>
            <w:tcBorders>
              <w:top w:val="nil"/>
              <w:bottom w:val="single" w:sz="4" w:space="0" w:color="auto"/>
            </w:tcBorders>
            <w:shd w:val="clear" w:color="auto" w:fill="FFFFFF" w:themeFill="background1"/>
            <w:vAlign w:val="center"/>
            <w:hideMark/>
          </w:tcPr>
          <w:p w14:paraId="41F4F1D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22</w:t>
            </w:r>
          </w:p>
        </w:tc>
        <w:tc>
          <w:tcPr>
            <w:tcW w:w="238" w:type="pct"/>
            <w:tcBorders>
              <w:top w:val="nil"/>
              <w:bottom w:val="single" w:sz="4" w:space="0" w:color="auto"/>
            </w:tcBorders>
            <w:shd w:val="clear" w:color="auto" w:fill="FFFFFF" w:themeFill="background1"/>
            <w:vAlign w:val="center"/>
            <w:hideMark/>
          </w:tcPr>
          <w:p w14:paraId="6CEF31A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23</w:t>
            </w:r>
          </w:p>
        </w:tc>
        <w:tc>
          <w:tcPr>
            <w:tcW w:w="238" w:type="pct"/>
            <w:tcBorders>
              <w:top w:val="nil"/>
              <w:bottom w:val="single" w:sz="4" w:space="0" w:color="auto"/>
            </w:tcBorders>
            <w:shd w:val="clear" w:color="auto" w:fill="FFFFFF" w:themeFill="background1"/>
            <w:vAlign w:val="center"/>
            <w:hideMark/>
          </w:tcPr>
          <w:p w14:paraId="2F50BE5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22</w:t>
            </w:r>
          </w:p>
        </w:tc>
        <w:tc>
          <w:tcPr>
            <w:tcW w:w="382" w:type="pct"/>
            <w:tcBorders>
              <w:top w:val="nil"/>
              <w:bottom w:val="single" w:sz="4" w:space="0" w:color="auto"/>
            </w:tcBorders>
            <w:shd w:val="clear" w:color="auto" w:fill="FFFFFF" w:themeFill="background1"/>
            <w:vAlign w:val="center"/>
            <w:hideMark/>
          </w:tcPr>
          <w:p w14:paraId="47A3E8C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23.29</w:t>
            </w:r>
          </w:p>
        </w:tc>
        <w:tc>
          <w:tcPr>
            <w:tcW w:w="566" w:type="pct"/>
            <w:tcBorders>
              <w:top w:val="nil"/>
              <w:bottom w:val="single" w:sz="4" w:space="0" w:color="auto"/>
            </w:tcBorders>
            <w:shd w:val="clear" w:color="auto" w:fill="FFFFFF" w:themeFill="background1"/>
            <w:vAlign w:val="center"/>
            <w:hideMark/>
          </w:tcPr>
          <w:p w14:paraId="7626D35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Failed</w:t>
            </w:r>
          </w:p>
        </w:tc>
        <w:tc>
          <w:tcPr>
            <w:tcW w:w="557" w:type="pct"/>
            <w:tcBorders>
              <w:top w:val="nil"/>
              <w:bottom w:val="single" w:sz="4" w:space="0" w:color="auto"/>
            </w:tcBorders>
            <w:shd w:val="clear" w:color="auto" w:fill="FFFFFF" w:themeFill="background1"/>
            <w:vAlign w:val="center"/>
            <w:hideMark/>
          </w:tcPr>
          <w:p w14:paraId="4A86ACC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lang w:val="en-PH" w:eastAsia="en-PH"/>
                <w14:ligatures w14:val="none"/>
              </w:rPr>
            </w:pPr>
            <w:r w:rsidRPr="00CB4787">
              <w:rPr>
                <w:rFonts w:ascii="Times New Roman" w:eastAsia="Times New Roman" w:hAnsi="Times New Roman" w:cs="Times New Roman"/>
                <w:color w:val="000000"/>
                <w:kern w:val="0"/>
                <w:sz w:val="22"/>
                <w:szCs w:val="22"/>
                <w:lang w:val="en-PH" w:eastAsia="en-PH"/>
                <w14:ligatures w14:val="none"/>
              </w:rPr>
              <w:t>Needs Minor Revision</w:t>
            </w:r>
          </w:p>
        </w:tc>
      </w:tr>
    </w:tbl>
    <w:p w14:paraId="2FBAE696" w14:textId="69B9B2B4" w:rsidR="00510E80" w:rsidRPr="00CB4787" w:rsidRDefault="00510E80" w:rsidP="00CB4787">
      <w:pPr>
        <w:pStyle w:val="NormalWeb"/>
        <w:spacing w:beforeLines="240" w:before="576" w:beforeAutospacing="0" w:after="240" w:afterAutospacing="0"/>
        <w:jc w:val="both"/>
        <w:rPr>
          <w:i/>
          <w:iCs/>
        </w:rPr>
      </w:pPr>
      <w:r w:rsidRPr="00CB4787">
        <w:rPr>
          <w:i/>
          <w:iCs/>
        </w:rPr>
        <w:t>Note: Although the CNT achieved high acceptability in Content and Format, a "Failed" rating in Accuracy prompted a systematic refinement of typographical and computational errors, documented in Appendix D (Accuracy Errata).</w:t>
      </w:r>
    </w:p>
    <w:p w14:paraId="302CD30C" w14:textId="77777777" w:rsidR="00510E80" w:rsidRPr="00CB4787" w:rsidRDefault="00510E80" w:rsidP="00CB4787">
      <w:pPr>
        <w:pStyle w:val="NormalWeb"/>
        <w:spacing w:beforeLines="240" w:before="576" w:beforeAutospacing="0" w:after="240" w:afterAutospacing="0"/>
        <w:jc w:val="both"/>
      </w:pPr>
      <w:r w:rsidRPr="00CB4787">
        <w:rPr>
          <w:b/>
          <w:bCs/>
        </w:rPr>
        <w:t>Content Validity of the Initial Contextualized Numeracy Test (CNT)</w:t>
      </w:r>
    </w:p>
    <w:p w14:paraId="42A942EF" w14:textId="77777777" w:rsidR="00510E80" w:rsidRPr="00CB4787" w:rsidRDefault="00510E80" w:rsidP="00CB4787">
      <w:pPr>
        <w:pStyle w:val="NormalWeb"/>
        <w:spacing w:beforeLines="240" w:before="576" w:beforeAutospacing="0" w:after="240" w:afterAutospacing="0"/>
        <w:ind w:firstLine="720"/>
        <w:jc w:val="both"/>
      </w:pPr>
      <w:r w:rsidRPr="00CB4787">
        <w:t xml:space="preserve">To determine the essentiality and relevance of the 50 items initially developed, the instrument was subjected to content validation by a panel of five (5) subject matter experts. The experts evaluated each item using Lawshe’s Content Validity Ratio (CVR) to identify which competencies are essential for a Grade 7 diagnostic instrument. </w:t>
      </w:r>
    </w:p>
    <w:p w14:paraId="7279A0EA" w14:textId="77777777" w:rsidR="00510E80" w:rsidRPr="00CB4787" w:rsidRDefault="00510E80" w:rsidP="00CB4787">
      <w:pPr>
        <w:pStyle w:val="NormalWeb"/>
        <w:spacing w:beforeLines="240" w:before="576" w:beforeAutospacing="0" w:after="240" w:afterAutospacing="0"/>
        <w:ind w:firstLine="720"/>
        <w:jc w:val="both"/>
        <w:rPr>
          <w:lang w:val="en-PH"/>
        </w:rPr>
      </w:pPr>
      <w:r w:rsidRPr="00CB4787">
        <w:rPr>
          <w:lang w:val="en-PH"/>
        </w:rPr>
        <w:t>Table 6 presents the expert validation results for the initial 50-item Contextualized Numeracy Test (CNT), utilizing Lawshe’s Content Validity Ratio (CVR) to identify essential foundational competencies as determined by five experts. Based on Lawshe’s formula for a five-member panel, only items achieving a perfect CVR of 1.00 were automatically retained for the final version. In the Numbers and Algebra domain, 20 out of 31 items were identified as essential, while eleven items (Items 4, 9, 11, 14, 20, 21, 22, 23, 25, 26, and 30) were deleted due to CVR scores ranging from -0.20 to 0.60, which fell below the required consensus threshold. For Measures and Geometry, eight items were retained, while four items (Items 32, 36, 37, and 43) were removed after being rated as "Useful but not Essential" or "Not Necessary," resulting in CVR scores as low as -0.20. In contrast, the Statistics and Probability domain showed perfect alignment with the curriculum, with all 7 items (Items 44–50) unanimously rated as essential with a CVR of 1.00.</w:t>
      </w:r>
    </w:p>
    <w:p w14:paraId="29C2B520" w14:textId="617DBF70" w:rsidR="00510E80" w:rsidRPr="00CB4787" w:rsidRDefault="00510E80" w:rsidP="00CB4787">
      <w:pPr>
        <w:pStyle w:val="NormalWeb"/>
        <w:spacing w:beforeLines="240" w:before="576" w:beforeAutospacing="0" w:after="240" w:afterAutospacing="0"/>
        <w:ind w:firstLine="720"/>
        <w:jc w:val="both"/>
        <w:rPr>
          <w:lang w:val="en-PH"/>
        </w:rPr>
      </w:pPr>
      <w:r w:rsidRPr="00CB4787">
        <w:rPr>
          <w:lang w:val="en-PH"/>
        </w:rPr>
        <w:lastRenderedPageBreak/>
        <w:t>The initial 50-item pool yielded an overall Content Validity Index (CVI) of 0.784, representing the average of all CVR values and serving as an indicator of the instrument's overall content quality. While the initial index was 0.784, the strategic removal of the 15 non-essential items significantly refined the tool, resulting in a 35-item diagnostic instrument with perfect content validity ready for the pilot testing phase</w:t>
      </w:r>
      <w:r w:rsidR="00CB4787">
        <w:rPr>
          <w:lang w:val="en-PH"/>
        </w:rPr>
        <w:t>.</w:t>
      </w:r>
    </w:p>
    <w:p w14:paraId="2DAB5F33" w14:textId="77777777" w:rsidR="00510E80" w:rsidRPr="00CB4787" w:rsidRDefault="00510E80" w:rsidP="00CB4787">
      <w:pPr>
        <w:pStyle w:val="NormalWeb"/>
        <w:spacing w:beforeLines="240" w:before="576" w:beforeAutospacing="0" w:after="240" w:afterAutospacing="0"/>
        <w:jc w:val="both"/>
        <w:rPr>
          <w:lang w:val="en-PH"/>
        </w:rPr>
      </w:pPr>
      <w:r w:rsidRPr="00CB4787">
        <w:rPr>
          <w:b/>
          <w:bCs/>
        </w:rPr>
        <w:t xml:space="preserve">Table 6: </w:t>
      </w:r>
    </w:p>
    <w:p w14:paraId="226FE173" w14:textId="77777777" w:rsidR="00510E80" w:rsidRPr="00CB4787" w:rsidRDefault="00510E80" w:rsidP="00CB4787">
      <w:pPr>
        <w:pStyle w:val="NormalWeb"/>
        <w:spacing w:beforeLines="240" w:before="576" w:beforeAutospacing="0" w:after="240" w:afterAutospacing="0"/>
        <w:jc w:val="both"/>
        <w:rPr>
          <w:i/>
          <w:iCs/>
        </w:rPr>
      </w:pPr>
      <w:r w:rsidRPr="00CB4787">
        <w:rPr>
          <w:i/>
          <w:iCs/>
        </w:rPr>
        <w:t xml:space="preserve">Content Validity Analysis using Lawshe’s CVR </w:t>
      </w:r>
    </w:p>
    <w:tbl>
      <w:tblPr>
        <w:tblW w:w="8222" w:type="dxa"/>
        <w:tblInd w:w="1290" w:type="dxa"/>
        <w:tblLook w:val="04A0" w:firstRow="1" w:lastRow="0" w:firstColumn="1" w:lastColumn="0" w:noHBand="0" w:noVBand="1"/>
      </w:tblPr>
      <w:tblGrid>
        <w:gridCol w:w="1418"/>
        <w:gridCol w:w="1578"/>
        <w:gridCol w:w="1362"/>
        <w:gridCol w:w="1306"/>
        <w:gridCol w:w="825"/>
        <w:gridCol w:w="1733"/>
      </w:tblGrid>
      <w:tr w:rsidR="00510E80" w:rsidRPr="0085526B" w14:paraId="12768AE1" w14:textId="77777777" w:rsidTr="00CB4787">
        <w:trPr>
          <w:trHeight w:val="20"/>
        </w:trPr>
        <w:tc>
          <w:tcPr>
            <w:tcW w:w="1418" w:type="dxa"/>
            <w:tcBorders>
              <w:top w:val="single" w:sz="4" w:space="0" w:color="auto"/>
              <w:left w:val="nil"/>
              <w:bottom w:val="single" w:sz="4" w:space="0" w:color="auto"/>
              <w:right w:val="nil"/>
            </w:tcBorders>
            <w:vAlign w:val="center"/>
            <w:hideMark/>
          </w:tcPr>
          <w:p w14:paraId="3928BBE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ITEM NUMBER</w:t>
            </w:r>
          </w:p>
        </w:tc>
        <w:tc>
          <w:tcPr>
            <w:tcW w:w="1578" w:type="dxa"/>
            <w:tcBorders>
              <w:top w:val="single" w:sz="4" w:space="0" w:color="auto"/>
              <w:left w:val="nil"/>
              <w:bottom w:val="single" w:sz="4" w:space="0" w:color="auto"/>
              <w:right w:val="nil"/>
            </w:tcBorders>
            <w:vAlign w:val="center"/>
            <w:hideMark/>
          </w:tcPr>
          <w:p w14:paraId="6ABDD04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Not Necessary</w:t>
            </w:r>
          </w:p>
        </w:tc>
        <w:tc>
          <w:tcPr>
            <w:tcW w:w="1362" w:type="dxa"/>
            <w:tcBorders>
              <w:top w:val="single" w:sz="4" w:space="0" w:color="auto"/>
              <w:left w:val="nil"/>
              <w:bottom w:val="single" w:sz="4" w:space="0" w:color="auto"/>
              <w:right w:val="nil"/>
            </w:tcBorders>
            <w:vAlign w:val="center"/>
            <w:hideMark/>
          </w:tcPr>
          <w:p w14:paraId="0EEB3C1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Useful but not Essential</w:t>
            </w:r>
          </w:p>
        </w:tc>
        <w:tc>
          <w:tcPr>
            <w:tcW w:w="1306" w:type="dxa"/>
            <w:tcBorders>
              <w:top w:val="single" w:sz="4" w:space="0" w:color="auto"/>
              <w:left w:val="nil"/>
              <w:bottom w:val="single" w:sz="4" w:space="0" w:color="auto"/>
              <w:right w:val="nil"/>
            </w:tcBorders>
            <w:vAlign w:val="center"/>
            <w:hideMark/>
          </w:tcPr>
          <w:p w14:paraId="716BDB3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c>
          <w:tcPr>
            <w:tcW w:w="825" w:type="dxa"/>
            <w:tcBorders>
              <w:top w:val="single" w:sz="4" w:space="0" w:color="auto"/>
              <w:left w:val="nil"/>
              <w:bottom w:val="single" w:sz="4" w:space="0" w:color="auto"/>
              <w:right w:val="nil"/>
            </w:tcBorders>
            <w:vAlign w:val="center"/>
            <w:hideMark/>
          </w:tcPr>
          <w:p w14:paraId="51C6EAE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CVR</w:t>
            </w:r>
          </w:p>
        </w:tc>
        <w:tc>
          <w:tcPr>
            <w:tcW w:w="1733" w:type="dxa"/>
            <w:tcBorders>
              <w:top w:val="single" w:sz="4" w:space="0" w:color="auto"/>
              <w:left w:val="nil"/>
              <w:bottom w:val="single" w:sz="4" w:space="0" w:color="auto"/>
              <w:right w:val="nil"/>
            </w:tcBorders>
            <w:noWrap/>
            <w:vAlign w:val="center"/>
            <w:hideMark/>
          </w:tcPr>
          <w:p w14:paraId="572DC8A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REMARKS</w:t>
            </w:r>
          </w:p>
        </w:tc>
      </w:tr>
      <w:tr w:rsidR="00510E80" w:rsidRPr="0085526B" w14:paraId="57668D0C" w14:textId="77777777" w:rsidTr="00CB4787">
        <w:trPr>
          <w:trHeight w:val="20"/>
        </w:trPr>
        <w:tc>
          <w:tcPr>
            <w:tcW w:w="8222" w:type="dxa"/>
            <w:gridSpan w:val="6"/>
            <w:tcBorders>
              <w:top w:val="single" w:sz="4" w:space="0" w:color="auto"/>
              <w:left w:val="nil"/>
              <w:bottom w:val="single" w:sz="4" w:space="0" w:color="auto"/>
              <w:right w:val="nil"/>
            </w:tcBorders>
            <w:vAlign w:val="center"/>
            <w:hideMark/>
          </w:tcPr>
          <w:p w14:paraId="68BA8AAA" w14:textId="77777777" w:rsidR="00510E80" w:rsidRPr="0085526B" w:rsidRDefault="00510E80" w:rsidP="00C010D0">
            <w:pPr>
              <w:spacing w:after="0" w:line="240" w:lineRule="auto"/>
              <w:rPr>
                <w:rFonts w:ascii="Arial" w:eastAsia="Times New Roman" w:hAnsi="Arial" w:cs="Arial"/>
                <w:b/>
                <w:bCs/>
                <w:color w:val="000000"/>
                <w:kern w:val="0"/>
                <w:sz w:val="18"/>
                <w:szCs w:val="18"/>
                <w:lang w:val="en-PH" w:eastAsia="en-PH"/>
                <w14:ligatures w14:val="none"/>
              </w:rPr>
            </w:pPr>
            <w:r w:rsidRPr="0085526B">
              <w:rPr>
                <w:rFonts w:ascii="Arial" w:eastAsia="Times New Roman" w:hAnsi="Arial" w:cs="Arial"/>
                <w:b/>
                <w:bCs/>
                <w:color w:val="000000"/>
                <w:kern w:val="0"/>
                <w:sz w:val="18"/>
                <w:szCs w:val="18"/>
                <w:lang w:val="en-PH" w:eastAsia="en-PH"/>
                <w14:ligatures w14:val="none"/>
              </w:rPr>
              <w:t>Numbers &amp; Algebra</w:t>
            </w:r>
          </w:p>
        </w:tc>
      </w:tr>
      <w:tr w:rsidR="00510E80" w:rsidRPr="0085526B" w14:paraId="374C76E4" w14:textId="77777777" w:rsidTr="00CB4787">
        <w:trPr>
          <w:trHeight w:val="20"/>
        </w:trPr>
        <w:tc>
          <w:tcPr>
            <w:tcW w:w="1418" w:type="dxa"/>
            <w:tcBorders>
              <w:top w:val="nil"/>
              <w:left w:val="nil"/>
              <w:bottom w:val="nil"/>
              <w:right w:val="nil"/>
            </w:tcBorders>
            <w:vAlign w:val="center"/>
            <w:hideMark/>
          </w:tcPr>
          <w:p w14:paraId="143DF7C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w:t>
            </w:r>
          </w:p>
        </w:tc>
        <w:tc>
          <w:tcPr>
            <w:tcW w:w="1578" w:type="dxa"/>
            <w:tcBorders>
              <w:top w:val="nil"/>
              <w:left w:val="nil"/>
              <w:bottom w:val="nil"/>
              <w:right w:val="nil"/>
            </w:tcBorders>
            <w:vAlign w:val="center"/>
            <w:hideMark/>
          </w:tcPr>
          <w:p w14:paraId="28574EC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8761F0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692321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198FD5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53CC48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135D64E3" w14:textId="77777777" w:rsidTr="00CB4787">
        <w:trPr>
          <w:trHeight w:val="20"/>
        </w:trPr>
        <w:tc>
          <w:tcPr>
            <w:tcW w:w="1418" w:type="dxa"/>
            <w:tcBorders>
              <w:top w:val="nil"/>
              <w:left w:val="nil"/>
              <w:bottom w:val="nil"/>
              <w:right w:val="nil"/>
            </w:tcBorders>
            <w:vAlign w:val="center"/>
            <w:hideMark/>
          </w:tcPr>
          <w:p w14:paraId="0B79C87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w:t>
            </w:r>
          </w:p>
        </w:tc>
        <w:tc>
          <w:tcPr>
            <w:tcW w:w="1578" w:type="dxa"/>
            <w:tcBorders>
              <w:top w:val="nil"/>
              <w:left w:val="nil"/>
              <w:bottom w:val="nil"/>
              <w:right w:val="nil"/>
            </w:tcBorders>
            <w:vAlign w:val="center"/>
            <w:hideMark/>
          </w:tcPr>
          <w:p w14:paraId="5A0B790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052FFE6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D3F99F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C02B62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F12E80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51C31895" w14:textId="77777777" w:rsidTr="00CB4787">
        <w:trPr>
          <w:trHeight w:val="20"/>
        </w:trPr>
        <w:tc>
          <w:tcPr>
            <w:tcW w:w="1418" w:type="dxa"/>
            <w:tcBorders>
              <w:top w:val="nil"/>
              <w:left w:val="nil"/>
              <w:bottom w:val="nil"/>
              <w:right w:val="nil"/>
            </w:tcBorders>
            <w:vAlign w:val="center"/>
            <w:hideMark/>
          </w:tcPr>
          <w:p w14:paraId="00F41F6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w:t>
            </w:r>
          </w:p>
        </w:tc>
        <w:tc>
          <w:tcPr>
            <w:tcW w:w="1578" w:type="dxa"/>
            <w:tcBorders>
              <w:top w:val="nil"/>
              <w:left w:val="nil"/>
              <w:bottom w:val="nil"/>
              <w:right w:val="nil"/>
            </w:tcBorders>
            <w:vAlign w:val="center"/>
            <w:hideMark/>
          </w:tcPr>
          <w:p w14:paraId="30664C9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F9565A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016A3F8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6413FD8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6DF1011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221A8F13" w14:textId="77777777" w:rsidTr="00CB4787">
        <w:trPr>
          <w:trHeight w:val="20"/>
        </w:trPr>
        <w:tc>
          <w:tcPr>
            <w:tcW w:w="1418" w:type="dxa"/>
            <w:tcBorders>
              <w:top w:val="nil"/>
              <w:left w:val="nil"/>
              <w:bottom w:val="nil"/>
              <w:right w:val="nil"/>
            </w:tcBorders>
            <w:vAlign w:val="center"/>
            <w:hideMark/>
          </w:tcPr>
          <w:p w14:paraId="4492EE8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w:t>
            </w:r>
          </w:p>
        </w:tc>
        <w:tc>
          <w:tcPr>
            <w:tcW w:w="1578" w:type="dxa"/>
            <w:tcBorders>
              <w:top w:val="nil"/>
              <w:left w:val="nil"/>
              <w:bottom w:val="nil"/>
              <w:right w:val="nil"/>
            </w:tcBorders>
            <w:vAlign w:val="center"/>
            <w:hideMark/>
          </w:tcPr>
          <w:p w14:paraId="53D4DE0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28565C2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06" w:type="dxa"/>
            <w:tcBorders>
              <w:top w:val="nil"/>
              <w:left w:val="nil"/>
              <w:bottom w:val="nil"/>
              <w:right w:val="nil"/>
            </w:tcBorders>
            <w:vAlign w:val="center"/>
            <w:hideMark/>
          </w:tcPr>
          <w:p w14:paraId="1419309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2568BE3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3E56C6E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69058A90" w14:textId="77777777" w:rsidTr="00CB4787">
        <w:trPr>
          <w:trHeight w:val="20"/>
        </w:trPr>
        <w:tc>
          <w:tcPr>
            <w:tcW w:w="1418" w:type="dxa"/>
            <w:tcBorders>
              <w:top w:val="nil"/>
              <w:left w:val="nil"/>
              <w:bottom w:val="nil"/>
              <w:right w:val="nil"/>
            </w:tcBorders>
            <w:vAlign w:val="center"/>
            <w:hideMark/>
          </w:tcPr>
          <w:p w14:paraId="6FEF93F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5</w:t>
            </w:r>
          </w:p>
        </w:tc>
        <w:tc>
          <w:tcPr>
            <w:tcW w:w="1578" w:type="dxa"/>
            <w:tcBorders>
              <w:top w:val="nil"/>
              <w:left w:val="nil"/>
              <w:bottom w:val="nil"/>
              <w:right w:val="nil"/>
            </w:tcBorders>
            <w:vAlign w:val="center"/>
            <w:hideMark/>
          </w:tcPr>
          <w:p w14:paraId="550CFA5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6DECED0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54E882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0C9184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5DB44D4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568EFE21" w14:textId="77777777" w:rsidTr="00CB4787">
        <w:trPr>
          <w:trHeight w:val="20"/>
        </w:trPr>
        <w:tc>
          <w:tcPr>
            <w:tcW w:w="1418" w:type="dxa"/>
            <w:tcBorders>
              <w:top w:val="nil"/>
              <w:left w:val="nil"/>
              <w:bottom w:val="nil"/>
              <w:right w:val="nil"/>
            </w:tcBorders>
            <w:vAlign w:val="center"/>
            <w:hideMark/>
          </w:tcPr>
          <w:p w14:paraId="14A1942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w:t>
            </w:r>
          </w:p>
        </w:tc>
        <w:tc>
          <w:tcPr>
            <w:tcW w:w="1578" w:type="dxa"/>
            <w:tcBorders>
              <w:top w:val="nil"/>
              <w:left w:val="nil"/>
              <w:bottom w:val="nil"/>
              <w:right w:val="nil"/>
            </w:tcBorders>
            <w:vAlign w:val="center"/>
            <w:hideMark/>
          </w:tcPr>
          <w:p w14:paraId="15BC52F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74C872B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8E51F1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8E7462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B7BC70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41F3132" w14:textId="77777777" w:rsidTr="00CB4787">
        <w:trPr>
          <w:trHeight w:val="20"/>
        </w:trPr>
        <w:tc>
          <w:tcPr>
            <w:tcW w:w="1418" w:type="dxa"/>
            <w:tcBorders>
              <w:top w:val="nil"/>
              <w:left w:val="nil"/>
              <w:bottom w:val="nil"/>
              <w:right w:val="nil"/>
            </w:tcBorders>
            <w:vAlign w:val="center"/>
            <w:hideMark/>
          </w:tcPr>
          <w:p w14:paraId="46B826C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7</w:t>
            </w:r>
          </w:p>
        </w:tc>
        <w:tc>
          <w:tcPr>
            <w:tcW w:w="1578" w:type="dxa"/>
            <w:tcBorders>
              <w:top w:val="nil"/>
              <w:left w:val="nil"/>
              <w:bottom w:val="nil"/>
              <w:right w:val="nil"/>
            </w:tcBorders>
            <w:vAlign w:val="center"/>
            <w:hideMark/>
          </w:tcPr>
          <w:p w14:paraId="21B59F7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FB3E1B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2E6ED8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3032B81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24CD541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237D280E" w14:textId="77777777" w:rsidTr="00CB4787">
        <w:trPr>
          <w:trHeight w:val="20"/>
        </w:trPr>
        <w:tc>
          <w:tcPr>
            <w:tcW w:w="1418" w:type="dxa"/>
            <w:tcBorders>
              <w:top w:val="nil"/>
              <w:left w:val="nil"/>
              <w:bottom w:val="nil"/>
              <w:right w:val="nil"/>
            </w:tcBorders>
            <w:vAlign w:val="center"/>
            <w:hideMark/>
          </w:tcPr>
          <w:p w14:paraId="6BAF324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w:t>
            </w:r>
          </w:p>
        </w:tc>
        <w:tc>
          <w:tcPr>
            <w:tcW w:w="1578" w:type="dxa"/>
            <w:tcBorders>
              <w:top w:val="nil"/>
              <w:left w:val="nil"/>
              <w:bottom w:val="nil"/>
              <w:right w:val="nil"/>
            </w:tcBorders>
            <w:vAlign w:val="center"/>
            <w:hideMark/>
          </w:tcPr>
          <w:p w14:paraId="3B28322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10188E6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91B106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3E503DB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275C859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126290F4" w14:textId="77777777" w:rsidTr="00CB4787">
        <w:trPr>
          <w:trHeight w:val="20"/>
        </w:trPr>
        <w:tc>
          <w:tcPr>
            <w:tcW w:w="1418" w:type="dxa"/>
            <w:tcBorders>
              <w:top w:val="nil"/>
              <w:left w:val="nil"/>
              <w:bottom w:val="nil"/>
              <w:right w:val="nil"/>
            </w:tcBorders>
            <w:vAlign w:val="center"/>
            <w:hideMark/>
          </w:tcPr>
          <w:p w14:paraId="137657C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9</w:t>
            </w:r>
          </w:p>
        </w:tc>
        <w:tc>
          <w:tcPr>
            <w:tcW w:w="1578" w:type="dxa"/>
            <w:tcBorders>
              <w:top w:val="nil"/>
              <w:left w:val="nil"/>
              <w:bottom w:val="nil"/>
              <w:right w:val="nil"/>
            </w:tcBorders>
            <w:vAlign w:val="center"/>
            <w:hideMark/>
          </w:tcPr>
          <w:p w14:paraId="3E12846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676F0B3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06" w:type="dxa"/>
            <w:tcBorders>
              <w:top w:val="nil"/>
              <w:left w:val="nil"/>
              <w:bottom w:val="nil"/>
              <w:right w:val="nil"/>
            </w:tcBorders>
            <w:vAlign w:val="center"/>
            <w:hideMark/>
          </w:tcPr>
          <w:p w14:paraId="2A0EDB2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16F9752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7B0F3B4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5B933956" w14:textId="77777777" w:rsidTr="00CB4787">
        <w:trPr>
          <w:trHeight w:val="20"/>
        </w:trPr>
        <w:tc>
          <w:tcPr>
            <w:tcW w:w="1418" w:type="dxa"/>
            <w:tcBorders>
              <w:top w:val="nil"/>
              <w:left w:val="nil"/>
              <w:bottom w:val="nil"/>
              <w:right w:val="nil"/>
            </w:tcBorders>
            <w:vAlign w:val="center"/>
            <w:hideMark/>
          </w:tcPr>
          <w:p w14:paraId="6A5F98E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w:t>
            </w:r>
          </w:p>
        </w:tc>
        <w:tc>
          <w:tcPr>
            <w:tcW w:w="1578" w:type="dxa"/>
            <w:tcBorders>
              <w:top w:val="nil"/>
              <w:left w:val="nil"/>
              <w:bottom w:val="nil"/>
              <w:right w:val="nil"/>
            </w:tcBorders>
            <w:vAlign w:val="center"/>
            <w:hideMark/>
          </w:tcPr>
          <w:p w14:paraId="707A0C4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1536776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65909D3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77ED04A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5AD940A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7BB13C0" w14:textId="77777777" w:rsidTr="00CB4787">
        <w:trPr>
          <w:trHeight w:val="20"/>
        </w:trPr>
        <w:tc>
          <w:tcPr>
            <w:tcW w:w="1418" w:type="dxa"/>
            <w:tcBorders>
              <w:top w:val="nil"/>
              <w:left w:val="nil"/>
              <w:bottom w:val="nil"/>
              <w:right w:val="nil"/>
            </w:tcBorders>
            <w:vAlign w:val="center"/>
            <w:hideMark/>
          </w:tcPr>
          <w:p w14:paraId="3A0B883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11</w:t>
            </w:r>
          </w:p>
        </w:tc>
        <w:tc>
          <w:tcPr>
            <w:tcW w:w="1578" w:type="dxa"/>
            <w:tcBorders>
              <w:top w:val="nil"/>
              <w:left w:val="nil"/>
              <w:bottom w:val="nil"/>
              <w:right w:val="nil"/>
            </w:tcBorders>
            <w:vAlign w:val="center"/>
            <w:hideMark/>
          </w:tcPr>
          <w:p w14:paraId="67745B2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75D9A61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06" w:type="dxa"/>
            <w:tcBorders>
              <w:top w:val="nil"/>
              <w:left w:val="nil"/>
              <w:bottom w:val="nil"/>
              <w:right w:val="nil"/>
            </w:tcBorders>
            <w:vAlign w:val="center"/>
            <w:hideMark/>
          </w:tcPr>
          <w:p w14:paraId="39C649D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070B12C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4EDBF7B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7DBFC236" w14:textId="77777777" w:rsidTr="00CB4787">
        <w:trPr>
          <w:trHeight w:val="20"/>
        </w:trPr>
        <w:tc>
          <w:tcPr>
            <w:tcW w:w="1418" w:type="dxa"/>
            <w:tcBorders>
              <w:top w:val="nil"/>
              <w:left w:val="nil"/>
              <w:bottom w:val="nil"/>
              <w:right w:val="nil"/>
            </w:tcBorders>
            <w:vAlign w:val="center"/>
            <w:hideMark/>
          </w:tcPr>
          <w:p w14:paraId="0EF198A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12</w:t>
            </w:r>
          </w:p>
        </w:tc>
        <w:tc>
          <w:tcPr>
            <w:tcW w:w="1578" w:type="dxa"/>
            <w:tcBorders>
              <w:top w:val="nil"/>
              <w:left w:val="nil"/>
              <w:bottom w:val="nil"/>
              <w:right w:val="nil"/>
            </w:tcBorders>
            <w:vAlign w:val="center"/>
            <w:hideMark/>
          </w:tcPr>
          <w:p w14:paraId="6579E15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0FC7641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6F57556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0474B0E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BB36F4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4D605E1" w14:textId="77777777" w:rsidTr="00CB4787">
        <w:trPr>
          <w:trHeight w:val="20"/>
        </w:trPr>
        <w:tc>
          <w:tcPr>
            <w:tcW w:w="1418" w:type="dxa"/>
            <w:tcBorders>
              <w:top w:val="nil"/>
              <w:left w:val="nil"/>
              <w:bottom w:val="nil"/>
              <w:right w:val="nil"/>
            </w:tcBorders>
            <w:vAlign w:val="center"/>
            <w:hideMark/>
          </w:tcPr>
          <w:p w14:paraId="408A9B4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13</w:t>
            </w:r>
          </w:p>
        </w:tc>
        <w:tc>
          <w:tcPr>
            <w:tcW w:w="1578" w:type="dxa"/>
            <w:tcBorders>
              <w:top w:val="nil"/>
              <w:left w:val="nil"/>
              <w:bottom w:val="nil"/>
              <w:right w:val="nil"/>
            </w:tcBorders>
            <w:vAlign w:val="center"/>
            <w:hideMark/>
          </w:tcPr>
          <w:p w14:paraId="207326B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7CA212D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70BA082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BD729E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86FD1F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5E57973" w14:textId="77777777" w:rsidTr="00CB4787">
        <w:trPr>
          <w:trHeight w:val="20"/>
        </w:trPr>
        <w:tc>
          <w:tcPr>
            <w:tcW w:w="1418" w:type="dxa"/>
            <w:tcBorders>
              <w:top w:val="nil"/>
              <w:left w:val="nil"/>
              <w:bottom w:val="nil"/>
              <w:right w:val="nil"/>
            </w:tcBorders>
            <w:vAlign w:val="center"/>
            <w:hideMark/>
          </w:tcPr>
          <w:p w14:paraId="51AC885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14</w:t>
            </w:r>
          </w:p>
        </w:tc>
        <w:tc>
          <w:tcPr>
            <w:tcW w:w="1578" w:type="dxa"/>
            <w:tcBorders>
              <w:top w:val="nil"/>
              <w:left w:val="nil"/>
              <w:bottom w:val="nil"/>
              <w:right w:val="nil"/>
            </w:tcBorders>
            <w:vAlign w:val="center"/>
            <w:hideMark/>
          </w:tcPr>
          <w:p w14:paraId="62F7585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6048FD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06" w:type="dxa"/>
            <w:tcBorders>
              <w:top w:val="nil"/>
              <w:left w:val="nil"/>
              <w:bottom w:val="nil"/>
              <w:right w:val="nil"/>
            </w:tcBorders>
            <w:vAlign w:val="center"/>
            <w:hideMark/>
          </w:tcPr>
          <w:p w14:paraId="380F189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362EA7B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36E4783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77C239FA" w14:textId="77777777" w:rsidTr="00CB4787">
        <w:trPr>
          <w:trHeight w:val="20"/>
        </w:trPr>
        <w:tc>
          <w:tcPr>
            <w:tcW w:w="1418" w:type="dxa"/>
            <w:tcBorders>
              <w:top w:val="nil"/>
              <w:left w:val="nil"/>
              <w:bottom w:val="nil"/>
              <w:right w:val="nil"/>
            </w:tcBorders>
            <w:vAlign w:val="center"/>
            <w:hideMark/>
          </w:tcPr>
          <w:p w14:paraId="7F7120F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15</w:t>
            </w:r>
          </w:p>
        </w:tc>
        <w:tc>
          <w:tcPr>
            <w:tcW w:w="1578" w:type="dxa"/>
            <w:tcBorders>
              <w:top w:val="nil"/>
              <w:left w:val="nil"/>
              <w:bottom w:val="nil"/>
              <w:right w:val="nil"/>
            </w:tcBorders>
            <w:vAlign w:val="center"/>
            <w:hideMark/>
          </w:tcPr>
          <w:p w14:paraId="3209BA9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A48AC4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10686E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4270F9B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329DAF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50FB2B69" w14:textId="77777777" w:rsidTr="00CB4787">
        <w:trPr>
          <w:trHeight w:val="20"/>
        </w:trPr>
        <w:tc>
          <w:tcPr>
            <w:tcW w:w="1418" w:type="dxa"/>
            <w:tcBorders>
              <w:top w:val="nil"/>
              <w:left w:val="nil"/>
              <w:bottom w:val="nil"/>
              <w:right w:val="nil"/>
            </w:tcBorders>
            <w:vAlign w:val="center"/>
            <w:hideMark/>
          </w:tcPr>
          <w:p w14:paraId="71371C8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16</w:t>
            </w:r>
          </w:p>
        </w:tc>
        <w:tc>
          <w:tcPr>
            <w:tcW w:w="1578" w:type="dxa"/>
            <w:tcBorders>
              <w:top w:val="nil"/>
              <w:left w:val="nil"/>
              <w:bottom w:val="nil"/>
              <w:right w:val="nil"/>
            </w:tcBorders>
            <w:vAlign w:val="center"/>
            <w:hideMark/>
          </w:tcPr>
          <w:p w14:paraId="6A4DC5B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4A6447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99D33F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EDE6C8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15F772C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42C1525B" w14:textId="77777777" w:rsidTr="00CB4787">
        <w:trPr>
          <w:trHeight w:val="20"/>
        </w:trPr>
        <w:tc>
          <w:tcPr>
            <w:tcW w:w="1418" w:type="dxa"/>
            <w:tcBorders>
              <w:top w:val="nil"/>
              <w:left w:val="nil"/>
              <w:bottom w:val="nil"/>
              <w:right w:val="nil"/>
            </w:tcBorders>
            <w:vAlign w:val="center"/>
            <w:hideMark/>
          </w:tcPr>
          <w:p w14:paraId="4EBD434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17</w:t>
            </w:r>
          </w:p>
        </w:tc>
        <w:tc>
          <w:tcPr>
            <w:tcW w:w="1578" w:type="dxa"/>
            <w:tcBorders>
              <w:top w:val="nil"/>
              <w:left w:val="nil"/>
              <w:bottom w:val="nil"/>
              <w:right w:val="nil"/>
            </w:tcBorders>
            <w:vAlign w:val="center"/>
            <w:hideMark/>
          </w:tcPr>
          <w:p w14:paraId="4DCB808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130E33D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2E7FB4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389EA3E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902FD6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38A6E427" w14:textId="77777777" w:rsidTr="00CB4787">
        <w:trPr>
          <w:trHeight w:val="20"/>
        </w:trPr>
        <w:tc>
          <w:tcPr>
            <w:tcW w:w="1418" w:type="dxa"/>
            <w:tcBorders>
              <w:top w:val="nil"/>
              <w:left w:val="nil"/>
              <w:bottom w:val="nil"/>
              <w:right w:val="nil"/>
            </w:tcBorders>
            <w:vAlign w:val="center"/>
            <w:hideMark/>
          </w:tcPr>
          <w:p w14:paraId="0D814E6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18</w:t>
            </w:r>
          </w:p>
        </w:tc>
        <w:tc>
          <w:tcPr>
            <w:tcW w:w="1578" w:type="dxa"/>
            <w:tcBorders>
              <w:top w:val="nil"/>
              <w:left w:val="nil"/>
              <w:bottom w:val="nil"/>
              <w:right w:val="nil"/>
            </w:tcBorders>
            <w:vAlign w:val="center"/>
            <w:hideMark/>
          </w:tcPr>
          <w:p w14:paraId="34A92A4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8C8628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A78A25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0F9DB5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2C61A29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B050686" w14:textId="77777777" w:rsidTr="00CB4787">
        <w:trPr>
          <w:trHeight w:val="20"/>
        </w:trPr>
        <w:tc>
          <w:tcPr>
            <w:tcW w:w="1418" w:type="dxa"/>
            <w:tcBorders>
              <w:top w:val="nil"/>
              <w:left w:val="nil"/>
              <w:bottom w:val="nil"/>
              <w:right w:val="nil"/>
            </w:tcBorders>
            <w:vAlign w:val="center"/>
            <w:hideMark/>
          </w:tcPr>
          <w:p w14:paraId="758B849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19</w:t>
            </w:r>
          </w:p>
        </w:tc>
        <w:tc>
          <w:tcPr>
            <w:tcW w:w="1578" w:type="dxa"/>
            <w:tcBorders>
              <w:top w:val="nil"/>
              <w:left w:val="nil"/>
              <w:bottom w:val="nil"/>
              <w:right w:val="nil"/>
            </w:tcBorders>
            <w:vAlign w:val="center"/>
            <w:hideMark/>
          </w:tcPr>
          <w:p w14:paraId="046A2ED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7894629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6F9755A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BBDF25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610795A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D50EFE5" w14:textId="77777777" w:rsidTr="00CB4787">
        <w:trPr>
          <w:trHeight w:val="20"/>
        </w:trPr>
        <w:tc>
          <w:tcPr>
            <w:tcW w:w="1418" w:type="dxa"/>
            <w:tcBorders>
              <w:top w:val="nil"/>
              <w:left w:val="nil"/>
              <w:bottom w:val="nil"/>
              <w:right w:val="nil"/>
            </w:tcBorders>
            <w:vAlign w:val="center"/>
            <w:hideMark/>
          </w:tcPr>
          <w:p w14:paraId="0AD8413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578" w:type="dxa"/>
            <w:tcBorders>
              <w:top w:val="nil"/>
              <w:left w:val="nil"/>
              <w:bottom w:val="nil"/>
              <w:right w:val="nil"/>
            </w:tcBorders>
            <w:vAlign w:val="center"/>
            <w:hideMark/>
          </w:tcPr>
          <w:p w14:paraId="254B6CB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995B09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06" w:type="dxa"/>
            <w:tcBorders>
              <w:top w:val="nil"/>
              <w:left w:val="nil"/>
              <w:bottom w:val="nil"/>
              <w:right w:val="nil"/>
            </w:tcBorders>
            <w:vAlign w:val="center"/>
            <w:hideMark/>
          </w:tcPr>
          <w:p w14:paraId="5EA49F7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6C85A54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5E22EFA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75E7157E" w14:textId="77777777" w:rsidTr="00CB4787">
        <w:trPr>
          <w:trHeight w:val="20"/>
        </w:trPr>
        <w:tc>
          <w:tcPr>
            <w:tcW w:w="1418" w:type="dxa"/>
            <w:tcBorders>
              <w:top w:val="nil"/>
              <w:left w:val="nil"/>
              <w:bottom w:val="nil"/>
              <w:right w:val="nil"/>
            </w:tcBorders>
            <w:vAlign w:val="center"/>
            <w:hideMark/>
          </w:tcPr>
          <w:p w14:paraId="25102BA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21</w:t>
            </w:r>
          </w:p>
        </w:tc>
        <w:tc>
          <w:tcPr>
            <w:tcW w:w="1578" w:type="dxa"/>
            <w:tcBorders>
              <w:top w:val="nil"/>
              <w:left w:val="nil"/>
              <w:bottom w:val="nil"/>
              <w:right w:val="nil"/>
            </w:tcBorders>
            <w:vAlign w:val="center"/>
            <w:hideMark/>
          </w:tcPr>
          <w:p w14:paraId="7867DBD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368D09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06" w:type="dxa"/>
            <w:tcBorders>
              <w:top w:val="nil"/>
              <w:left w:val="nil"/>
              <w:bottom w:val="nil"/>
              <w:right w:val="nil"/>
            </w:tcBorders>
            <w:vAlign w:val="center"/>
            <w:hideMark/>
          </w:tcPr>
          <w:p w14:paraId="27163D6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1B3E02B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34FA003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12BF4200" w14:textId="77777777" w:rsidTr="00CB4787">
        <w:trPr>
          <w:trHeight w:val="20"/>
        </w:trPr>
        <w:tc>
          <w:tcPr>
            <w:tcW w:w="1418" w:type="dxa"/>
            <w:tcBorders>
              <w:top w:val="nil"/>
              <w:left w:val="nil"/>
              <w:bottom w:val="nil"/>
              <w:right w:val="nil"/>
            </w:tcBorders>
            <w:vAlign w:val="center"/>
            <w:hideMark/>
          </w:tcPr>
          <w:p w14:paraId="3D3088F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22</w:t>
            </w:r>
          </w:p>
        </w:tc>
        <w:tc>
          <w:tcPr>
            <w:tcW w:w="1578" w:type="dxa"/>
            <w:tcBorders>
              <w:top w:val="nil"/>
              <w:left w:val="nil"/>
              <w:bottom w:val="nil"/>
              <w:right w:val="nil"/>
            </w:tcBorders>
            <w:vAlign w:val="center"/>
            <w:hideMark/>
          </w:tcPr>
          <w:p w14:paraId="0A03783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227EC4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1306" w:type="dxa"/>
            <w:tcBorders>
              <w:top w:val="nil"/>
              <w:left w:val="nil"/>
              <w:bottom w:val="nil"/>
              <w:right w:val="nil"/>
            </w:tcBorders>
            <w:vAlign w:val="center"/>
            <w:hideMark/>
          </w:tcPr>
          <w:p w14:paraId="10A0949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825" w:type="dxa"/>
            <w:tcBorders>
              <w:top w:val="nil"/>
              <w:left w:val="nil"/>
              <w:bottom w:val="nil"/>
              <w:right w:val="nil"/>
            </w:tcBorders>
            <w:vAlign w:val="center"/>
            <w:hideMark/>
          </w:tcPr>
          <w:p w14:paraId="7B71708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49F68E5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7BCF76A8" w14:textId="77777777" w:rsidTr="00CB4787">
        <w:trPr>
          <w:trHeight w:val="20"/>
        </w:trPr>
        <w:tc>
          <w:tcPr>
            <w:tcW w:w="1418" w:type="dxa"/>
            <w:tcBorders>
              <w:top w:val="nil"/>
              <w:left w:val="nil"/>
              <w:bottom w:val="nil"/>
              <w:right w:val="nil"/>
            </w:tcBorders>
            <w:vAlign w:val="center"/>
            <w:hideMark/>
          </w:tcPr>
          <w:p w14:paraId="4E53BBC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23</w:t>
            </w:r>
          </w:p>
        </w:tc>
        <w:tc>
          <w:tcPr>
            <w:tcW w:w="1578" w:type="dxa"/>
            <w:tcBorders>
              <w:top w:val="nil"/>
              <w:left w:val="nil"/>
              <w:bottom w:val="nil"/>
              <w:right w:val="nil"/>
            </w:tcBorders>
            <w:vAlign w:val="center"/>
            <w:hideMark/>
          </w:tcPr>
          <w:p w14:paraId="7D57FA4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62" w:type="dxa"/>
            <w:tcBorders>
              <w:top w:val="nil"/>
              <w:left w:val="nil"/>
              <w:bottom w:val="nil"/>
              <w:right w:val="nil"/>
            </w:tcBorders>
            <w:vAlign w:val="center"/>
            <w:hideMark/>
          </w:tcPr>
          <w:p w14:paraId="3329D4C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06" w:type="dxa"/>
            <w:tcBorders>
              <w:top w:val="nil"/>
              <w:left w:val="nil"/>
              <w:bottom w:val="nil"/>
              <w:right w:val="nil"/>
            </w:tcBorders>
            <w:vAlign w:val="center"/>
            <w:hideMark/>
          </w:tcPr>
          <w:p w14:paraId="66D4C5B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0BB1B4C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3B71121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316A3375" w14:textId="77777777" w:rsidTr="00CB4787">
        <w:trPr>
          <w:trHeight w:val="20"/>
        </w:trPr>
        <w:tc>
          <w:tcPr>
            <w:tcW w:w="1418" w:type="dxa"/>
            <w:tcBorders>
              <w:top w:val="nil"/>
              <w:left w:val="nil"/>
              <w:bottom w:val="nil"/>
              <w:right w:val="nil"/>
            </w:tcBorders>
            <w:vAlign w:val="center"/>
            <w:hideMark/>
          </w:tcPr>
          <w:p w14:paraId="610812B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24</w:t>
            </w:r>
          </w:p>
        </w:tc>
        <w:tc>
          <w:tcPr>
            <w:tcW w:w="1578" w:type="dxa"/>
            <w:tcBorders>
              <w:top w:val="nil"/>
              <w:left w:val="nil"/>
              <w:bottom w:val="nil"/>
              <w:right w:val="nil"/>
            </w:tcBorders>
            <w:vAlign w:val="center"/>
            <w:hideMark/>
          </w:tcPr>
          <w:p w14:paraId="0DC3419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16B8E7E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EA611F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40B0FC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4769659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F59D2C3" w14:textId="77777777" w:rsidTr="00CB4787">
        <w:trPr>
          <w:trHeight w:val="20"/>
        </w:trPr>
        <w:tc>
          <w:tcPr>
            <w:tcW w:w="1418" w:type="dxa"/>
            <w:tcBorders>
              <w:top w:val="nil"/>
              <w:left w:val="nil"/>
              <w:bottom w:val="nil"/>
              <w:right w:val="nil"/>
            </w:tcBorders>
            <w:vAlign w:val="center"/>
            <w:hideMark/>
          </w:tcPr>
          <w:p w14:paraId="5244E9C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25</w:t>
            </w:r>
          </w:p>
        </w:tc>
        <w:tc>
          <w:tcPr>
            <w:tcW w:w="1578" w:type="dxa"/>
            <w:tcBorders>
              <w:top w:val="nil"/>
              <w:left w:val="nil"/>
              <w:bottom w:val="nil"/>
              <w:right w:val="nil"/>
            </w:tcBorders>
            <w:vAlign w:val="center"/>
            <w:hideMark/>
          </w:tcPr>
          <w:p w14:paraId="38C9E5D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62" w:type="dxa"/>
            <w:tcBorders>
              <w:top w:val="nil"/>
              <w:left w:val="nil"/>
              <w:bottom w:val="nil"/>
              <w:right w:val="nil"/>
            </w:tcBorders>
            <w:vAlign w:val="center"/>
            <w:hideMark/>
          </w:tcPr>
          <w:p w14:paraId="3484365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F246B8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433E43C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46BA2CE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647092A0" w14:textId="77777777" w:rsidTr="00CB4787">
        <w:trPr>
          <w:trHeight w:val="20"/>
        </w:trPr>
        <w:tc>
          <w:tcPr>
            <w:tcW w:w="1418" w:type="dxa"/>
            <w:tcBorders>
              <w:top w:val="nil"/>
              <w:left w:val="nil"/>
              <w:bottom w:val="nil"/>
              <w:right w:val="nil"/>
            </w:tcBorders>
            <w:vAlign w:val="center"/>
            <w:hideMark/>
          </w:tcPr>
          <w:p w14:paraId="63F7872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26</w:t>
            </w:r>
          </w:p>
        </w:tc>
        <w:tc>
          <w:tcPr>
            <w:tcW w:w="1578" w:type="dxa"/>
            <w:tcBorders>
              <w:top w:val="nil"/>
              <w:left w:val="nil"/>
              <w:bottom w:val="nil"/>
              <w:right w:val="nil"/>
            </w:tcBorders>
            <w:vAlign w:val="center"/>
            <w:hideMark/>
          </w:tcPr>
          <w:p w14:paraId="2A0927B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C450F3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06" w:type="dxa"/>
            <w:tcBorders>
              <w:top w:val="nil"/>
              <w:left w:val="nil"/>
              <w:bottom w:val="nil"/>
              <w:right w:val="nil"/>
            </w:tcBorders>
            <w:vAlign w:val="center"/>
            <w:hideMark/>
          </w:tcPr>
          <w:p w14:paraId="406671C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35269D6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257068C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23EC1DE6" w14:textId="77777777" w:rsidTr="00CB4787">
        <w:trPr>
          <w:trHeight w:val="20"/>
        </w:trPr>
        <w:tc>
          <w:tcPr>
            <w:tcW w:w="1418" w:type="dxa"/>
            <w:tcBorders>
              <w:top w:val="nil"/>
              <w:left w:val="nil"/>
              <w:bottom w:val="nil"/>
              <w:right w:val="nil"/>
            </w:tcBorders>
            <w:vAlign w:val="center"/>
            <w:hideMark/>
          </w:tcPr>
          <w:p w14:paraId="4DB5F96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27</w:t>
            </w:r>
          </w:p>
        </w:tc>
        <w:tc>
          <w:tcPr>
            <w:tcW w:w="1578" w:type="dxa"/>
            <w:tcBorders>
              <w:top w:val="nil"/>
              <w:left w:val="nil"/>
              <w:bottom w:val="nil"/>
              <w:right w:val="nil"/>
            </w:tcBorders>
            <w:vAlign w:val="center"/>
            <w:hideMark/>
          </w:tcPr>
          <w:p w14:paraId="592D2F1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57392C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DD333A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A70CF6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4D17E6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152E623A" w14:textId="77777777" w:rsidTr="00CB4787">
        <w:trPr>
          <w:trHeight w:val="20"/>
        </w:trPr>
        <w:tc>
          <w:tcPr>
            <w:tcW w:w="1418" w:type="dxa"/>
            <w:tcBorders>
              <w:top w:val="nil"/>
              <w:left w:val="nil"/>
              <w:bottom w:val="nil"/>
              <w:right w:val="nil"/>
            </w:tcBorders>
            <w:vAlign w:val="center"/>
            <w:hideMark/>
          </w:tcPr>
          <w:p w14:paraId="3443D59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28</w:t>
            </w:r>
          </w:p>
        </w:tc>
        <w:tc>
          <w:tcPr>
            <w:tcW w:w="1578" w:type="dxa"/>
            <w:tcBorders>
              <w:top w:val="nil"/>
              <w:left w:val="nil"/>
              <w:bottom w:val="nil"/>
              <w:right w:val="nil"/>
            </w:tcBorders>
            <w:vAlign w:val="center"/>
            <w:hideMark/>
          </w:tcPr>
          <w:p w14:paraId="29662EA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0181E2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84A5A9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6782668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10A4968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3932769C" w14:textId="77777777" w:rsidTr="00CB4787">
        <w:trPr>
          <w:trHeight w:val="20"/>
        </w:trPr>
        <w:tc>
          <w:tcPr>
            <w:tcW w:w="1418" w:type="dxa"/>
            <w:tcBorders>
              <w:top w:val="nil"/>
              <w:left w:val="nil"/>
              <w:bottom w:val="nil"/>
              <w:right w:val="nil"/>
            </w:tcBorders>
            <w:vAlign w:val="center"/>
            <w:hideMark/>
          </w:tcPr>
          <w:p w14:paraId="2F7B079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29</w:t>
            </w:r>
          </w:p>
        </w:tc>
        <w:tc>
          <w:tcPr>
            <w:tcW w:w="1578" w:type="dxa"/>
            <w:tcBorders>
              <w:top w:val="nil"/>
              <w:left w:val="nil"/>
              <w:bottom w:val="nil"/>
              <w:right w:val="nil"/>
            </w:tcBorders>
            <w:vAlign w:val="center"/>
            <w:hideMark/>
          </w:tcPr>
          <w:p w14:paraId="1DDFE2E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10FD19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6E77CD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39AE3EA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6CA60C4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BA1A7E7" w14:textId="77777777" w:rsidTr="00CB4787">
        <w:trPr>
          <w:trHeight w:val="20"/>
        </w:trPr>
        <w:tc>
          <w:tcPr>
            <w:tcW w:w="1418" w:type="dxa"/>
            <w:tcBorders>
              <w:top w:val="nil"/>
              <w:left w:val="nil"/>
              <w:bottom w:val="nil"/>
              <w:right w:val="nil"/>
            </w:tcBorders>
            <w:vAlign w:val="center"/>
            <w:hideMark/>
          </w:tcPr>
          <w:p w14:paraId="5FFCFEB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30</w:t>
            </w:r>
          </w:p>
        </w:tc>
        <w:tc>
          <w:tcPr>
            <w:tcW w:w="1578" w:type="dxa"/>
            <w:tcBorders>
              <w:top w:val="nil"/>
              <w:left w:val="nil"/>
              <w:bottom w:val="nil"/>
              <w:right w:val="nil"/>
            </w:tcBorders>
            <w:vAlign w:val="center"/>
            <w:hideMark/>
          </w:tcPr>
          <w:p w14:paraId="07C557C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8C4385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06" w:type="dxa"/>
            <w:tcBorders>
              <w:top w:val="nil"/>
              <w:left w:val="nil"/>
              <w:bottom w:val="nil"/>
              <w:right w:val="nil"/>
            </w:tcBorders>
            <w:vAlign w:val="center"/>
            <w:hideMark/>
          </w:tcPr>
          <w:p w14:paraId="5AB2486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04909FB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3B4BF27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0C2C68CF" w14:textId="77777777" w:rsidTr="00CB4787">
        <w:trPr>
          <w:trHeight w:val="20"/>
        </w:trPr>
        <w:tc>
          <w:tcPr>
            <w:tcW w:w="1418" w:type="dxa"/>
            <w:tcBorders>
              <w:top w:val="nil"/>
              <w:left w:val="nil"/>
              <w:bottom w:val="nil"/>
              <w:right w:val="nil"/>
            </w:tcBorders>
            <w:vAlign w:val="center"/>
            <w:hideMark/>
          </w:tcPr>
          <w:p w14:paraId="33B33F9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31</w:t>
            </w:r>
          </w:p>
        </w:tc>
        <w:tc>
          <w:tcPr>
            <w:tcW w:w="1578" w:type="dxa"/>
            <w:tcBorders>
              <w:top w:val="nil"/>
              <w:left w:val="nil"/>
              <w:bottom w:val="nil"/>
              <w:right w:val="nil"/>
            </w:tcBorders>
            <w:vAlign w:val="center"/>
            <w:hideMark/>
          </w:tcPr>
          <w:p w14:paraId="7E9BEC5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3EC7511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7F7F179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49B961E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67ED0D8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5940ED0" w14:textId="77777777" w:rsidTr="00CB4787">
        <w:trPr>
          <w:trHeight w:val="20"/>
        </w:trPr>
        <w:tc>
          <w:tcPr>
            <w:tcW w:w="8222" w:type="dxa"/>
            <w:gridSpan w:val="6"/>
            <w:tcBorders>
              <w:top w:val="single" w:sz="4" w:space="0" w:color="auto"/>
              <w:left w:val="nil"/>
              <w:bottom w:val="single" w:sz="4" w:space="0" w:color="auto"/>
              <w:right w:val="nil"/>
            </w:tcBorders>
            <w:vAlign w:val="center"/>
            <w:hideMark/>
          </w:tcPr>
          <w:p w14:paraId="1EBD773D" w14:textId="77777777" w:rsidR="00510E80" w:rsidRPr="0085526B" w:rsidRDefault="00510E80" w:rsidP="00C010D0">
            <w:pPr>
              <w:spacing w:after="0" w:line="240" w:lineRule="auto"/>
              <w:rPr>
                <w:rFonts w:ascii="Arial" w:eastAsia="Times New Roman" w:hAnsi="Arial" w:cs="Arial"/>
                <w:b/>
                <w:bCs/>
                <w:color w:val="000000"/>
                <w:kern w:val="0"/>
                <w:sz w:val="18"/>
                <w:szCs w:val="18"/>
                <w:lang w:val="en-PH" w:eastAsia="en-PH"/>
                <w14:ligatures w14:val="none"/>
              </w:rPr>
            </w:pPr>
            <w:r w:rsidRPr="0085526B">
              <w:rPr>
                <w:rFonts w:ascii="Arial" w:eastAsia="Times New Roman" w:hAnsi="Arial" w:cs="Arial"/>
                <w:b/>
                <w:bCs/>
                <w:color w:val="000000"/>
                <w:kern w:val="0"/>
                <w:sz w:val="18"/>
                <w:szCs w:val="18"/>
                <w:lang w:val="en-PH" w:eastAsia="en-PH"/>
                <w14:ligatures w14:val="none"/>
              </w:rPr>
              <w:t>Measures &amp; Geometry</w:t>
            </w:r>
          </w:p>
        </w:tc>
      </w:tr>
      <w:tr w:rsidR="00510E80" w:rsidRPr="0085526B" w14:paraId="66783D6F" w14:textId="77777777" w:rsidTr="00CB4787">
        <w:trPr>
          <w:trHeight w:val="20"/>
        </w:trPr>
        <w:tc>
          <w:tcPr>
            <w:tcW w:w="1418" w:type="dxa"/>
            <w:tcBorders>
              <w:top w:val="nil"/>
              <w:left w:val="nil"/>
              <w:bottom w:val="nil"/>
              <w:right w:val="nil"/>
            </w:tcBorders>
            <w:vAlign w:val="center"/>
            <w:hideMark/>
          </w:tcPr>
          <w:p w14:paraId="7C092F7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32</w:t>
            </w:r>
          </w:p>
        </w:tc>
        <w:tc>
          <w:tcPr>
            <w:tcW w:w="1578" w:type="dxa"/>
            <w:tcBorders>
              <w:top w:val="nil"/>
              <w:left w:val="nil"/>
              <w:bottom w:val="nil"/>
              <w:right w:val="nil"/>
            </w:tcBorders>
            <w:vAlign w:val="center"/>
            <w:hideMark/>
          </w:tcPr>
          <w:p w14:paraId="076F6D6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1362" w:type="dxa"/>
            <w:tcBorders>
              <w:top w:val="nil"/>
              <w:left w:val="nil"/>
              <w:bottom w:val="nil"/>
              <w:right w:val="nil"/>
            </w:tcBorders>
            <w:vAlign w:val="center"/>
            <w:hideMark/>
          </w:tcPr>
          <w:p w14:paraId="58C5F69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D91F2B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825" w:type="dxa"/>
            <w:tcBorders>
              <w:top w:val="nil"/>
              <w:left w:val="nil"/>
              <w:bottom w:val="nil"/>
              <w:right w:val="nil"/>
            </w:tcBorders>
            <w:vAlign w:val="center"/>
            <w:hideMark/>
          </w:tcPr>
          <w:p w14:paraId="2318697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7A92A2B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13848722" w14:textId="77777777" w:rsidTr="00CB4787">
        <w:trPr>
          <w:trHeight w:val="20"/>
        </w:trPr>
        <w:tc>
          <w:tcPr>
            <w:tcW w:w="1418" w:type="dxa"/>
            <w:tcBorders>
              <w:top w:val="nil"/>
              <w:left w:val="nil"/>
              <w:bottom w:val="nil"/>
              <w:right w:val="nil"/>
            </w:tcBorders>
            <w:vAlign w:val="center"/>
            <w:hideMark/>
          </w:tcPr>
          <w:p w14:paraId="2DD9C32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33</w:t>
            </w:r>
          </w:p>
        </w:tc>
        <w:tc>
          <w:tcPr>
            <w:tcW w:w="1578" w:type="dxa"/>
            <w:tcBorders>
              <w:top w:val="nil"/>
              <w:left w:val="nil"/>
              <w:bottom w:val="nil"/>
              <w:right w:val="nil"/>
            </w:tcBorders>
            <w:vAlign w:val="center"/>
            <w:hideMark/>
          </w:tcPr>
          <w:p w14:paraId="161FDA3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F02B11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0551968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6088F9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1793F7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F8BB883" w14:textId="77777777" w:rsidTr="00CB4787">
        <w:trPr>
          <w:trHeight w:val="20"/>
        </w:trPr>
        <w:tc>
          <w:tcPr>
            <w:tcW w:w="1418" w:type="dxa"/>
            <w:tcBorders>
              <w:top w:val="nil"/>
              <w:left w:val="nil"/>
              <w:bottom w:val="nil"/>
              <w:right w:val="nil"/>
            </w:tcBorders>
            <w:vAlign w:val="center"/>
            <w:hideMark/>
          </w:tcPr>
          <w:p w14:paraId="5E40E11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34</w:t>
            </w:r>
          </w:p>
        </w:tc>
        <w:tc>
          <w:tcPr>
            <w:tcW w:w="1578" w:type="dxa"/>
            <w:tcBorders>
              <w:top w:val="nil"/>
              <w:left w:val="nil"/>
              <w:bottom w:val="nil"/>
              <w:right w:val="nil"/>
            </w:tcBorders>
            <w:vAlign w:val="center"/>
            <w:hideMark/>
          </w:tcPr>
          <w:p w14:paraId="7A0822F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2532685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9D9F9A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A4BFF1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085293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04250FEB" w14:textId="77777777" w:rsidTr="00CB4787">
        <w:trPr>
          <w:trHeight w:val="20"/>
        </w:trPr>
        <w:tc>
          <w:tcPr>
            <w:tcW w:w="1418" w:type="dxa"/>
            <w:tcBorders>
              <w:top w:val="nil"/>
              <w:left w:val="nil"/>
              <w:bottom w:val="nil"/>
              <w:right w:val="nil"/>
            </w:tcBorders>
            <w:vAlign w:val="center"/>
            <w:hideMark/>
          </w:tcPr>
          <w:p w14:paraId="2E32720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35</w:t>
            </w:r>
          </w:p>
        </w:tc>
        <w:tc>
          <w:tcPr>
            <w:tcW w:w="1578" w:type="dxa"/>
            <w:tcBorders>
              <w:top w:val="nil"/>
              <w:left w:val="nil"/>
              <w:bottom w:val="nil"/>
              <w:right w:val="nil"/>
            </w:tcBorders>
            <w:vAlign w:val="center"/>
            <w:hideMark/>
          </w:tcPr>
          <w:p w14:paraId="604C3FF1"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683DE78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9E7095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F5F3C4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2397730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A6B5E9F" w14:textId="77777777" w:rsidTr="00CB4787">
        <w:trPr>
          <w:trHeight w:val="20"/>
        </w:trPr>
        <w:tc>
          <w:tcPr>
            <w:tcW w:w="1418" w:type="dxa"/>
            <w:tcBorders>
              <w:top w:val="nil"/>
              <w:left w:val="nil"/>
              <w:bottom w:val="nil"/>
              <w:right w:val="nil"/>
            </w:tcBorders>
            <w:vAlign w:val="center"/>
            <w:hideMark/>
          </w:tcPr>
          <w:p w14:paraId="1CE0503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36</w:t>
            </w:r>
          </w:p>
        </w:tc>
        <w:tc>
          <w:tcPr>
            <w:tcW w:w="1578" w:type="dxa"/>
            <w:tcBorders>
              <w:top w:val="nil"/>
              <w:left w:val="nil"/>
              <w:bottom w:val="nil"/>
              <w:right w:val="nil"/>
            </w:tcBorders>
            <w:vAlign w:val="center"/>
            <w:hideMark/>
          </w:tcPr>
          <w:p w14:paraId="6471F70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62" w:type="dxa"/>
            <w:tcBorders>
              <w:top w:val="nil"/>
              <w:left w:val="nil"/>
              <w:bottom w:val="nil"/>
              <w:right w:val="nil"/>
            </w:tcBorders>
            <w:vAlign w:val="center"/>
            <w:hideMark/>
          </w:tcPr>
          <w:p w14:paraId="031F292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5D7A93E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60%</w:t>
            </w:r>
          </w:p>
        </w:tc>
        <w:tc>
          <w:tcPr>
            <w:tcW w:w="825" w:type="dxa"/>
            <w:tcBorders>
              <w:top w:val="nil"/>
              <w:left w:val="nil"/>
              <w:bottom w:val="nil"/>
              <w:right w:val="nil"/>
            </w:tcBorders>
            <w:vAlign w:val="center"/>
            <w:hideMark/>
          </w:tcPr>
          <w:p w14:paraId="428A1EB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47C8B8E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6106B63E" w14:textId="77777777" w:rsidTr="00CB4787">
        <w:trPr>
          <w:trHeight w:val="20"/>
        </w:trPr>
        <w:tc>
          <w:tcPr>
            <w:tcW w:w="1418" w:type="dxa"/>
            <w:tcBorders>
              <w:top w:val="nil"/>
              <w:left w:val="nil"/>
              <w:bottom w:val="nil"/>
              <w:right w:val="nil"/>
            </w:tcBorders>
            <w:vAlign w:val="center"/>
            <w:hideMark/>
          </w:tcPr>
          <w:p w14:paraId="0419E3A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37</w:t>
            </w:r>
          </w:p>
        </w:tc>
        <w:tc>
          <w:tcPr>
            <w:tcW w:w="1578" w:type="dxa"/>
            <w:tcBorders>
              <w:top w:val="nil"/>
              <w:left w:val="nil"/>
              <w:bottom w:val="nil"/>
              <w:right w:val="nil"/>
            </w:tcBorders>
            <w:vAlign w:val="center"/>
            <w:hideMark/>
          </w:tcPr>
          <w:p w14:paraId="703EB10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62" w:type="dxa"/>
            <w:tcBorders>
              <w:top w:val="nil"/>
              <w:left w:val="nil"/>
              <w:bottom w:val="nil"/>
              <w:right w:val="nil"/>
            </w:tcBorders>
            <w:vAlign w:val="center"/>
            <w:hideMark/>
          </w:tcPr>
          <w:p w14:paraId="3019C74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306" w:type="dxa"/>
            <w:tcBorders>
              <w:top w:val="nil"/>
              <w:left w:val="nil"/>
              <w:bottom w:val="nil"/>
              <w:right w:val="nil"/>
            </w:tcBorders>
            <w:vAlign w:val="center"/>
            <w:hideMark/>
          </w:tcPr>
          <w:p w14:paraId="67FE22E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825" w:type="dxa"/>
            <w:tcBorders>
              <w:top w:val="nil"/>
              <w:left w:val="nil"/>
              <w:bottom w:val="nil"/>
              <w:right w:val="nil"/>
            </w:tcBorders>
            <w:vAlign w:val="center"/>
            <w:hideMark/>
          </w:tcPr>
          <w:p w14:paraId="1B8D5E9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-0.20</w:t>
            </w:r>
          </w:p>
        </w:tc>
        <w:tc>
          <w:tcPr>
            <w:tcW w:w="1733" w:type="dxa"/>
            <w:tcBorders>
              <w:top w:val="nil"/>
              <w:left w:val="nil"/>
              <w:bottom w:val="nil"/>
              <w:right w:val="nil"/>
            </w:tcBorders>
            <w:noWrap/>
            <w:vAlign w:val="bottom"/>
            <w:hideMark/>
          </w:tcPr>
          <w:p w14:paraId="1972B7E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131849B3" w14:textId="77777777" w:rsidTr="00CB4787">
        <w:trPr>
          <w:trHeight w:val="20"/>
        </w:trPr>
        <w:tc>
          <w:tcPr>
            <w:tcW w:w="1418" w:type="dxa"/>
            <w:tcBorders>
              <w:top w:val="nil"/>
              <w:left w:val="nil"/>
              <w:bottom w:val="nil"/>
              <w:right w:val="nil"/>
            </w:tcBorders>
            <w:vAlign w:val="center"/>
            <w:hideMark/>
          </w:tcPr>
          <w:p w14:paraId="598A5CB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38</w:t>
            </w:r>
          </w:p>
        </w:tc>
        <w:tc>
          <w:tcPr>
            <w:tcW w:w="1578" w:type="dxa"/>
            <w:tcBorders>
              <w:top w:val="nil"/>
              <w:left w:val="nil"/>
              <w:bottom w:val="nil"/>
              <w:right w:val="nil"/>
            </w:tcBorders>
            <w:vAlign w:val="center"/>
            <w:hideMark/>
          </w:tcPr>
          <w:p w14:paraId="2C148DF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2B95EA69"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14E76C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2A30098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FE9B02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3BE8CF8D" w14:textId="77777777" w:rsidTr="00CB4787">
        <w:trPr>
          <w:trHeight w:val="20"/>
        </w:trPr>
        <w:tc>
          <w:tcPr>
            <w:tcW w:w="1418" w:type="dxa"/>
            <w:tcBorders>
              <w:top w:val="nil"/>
              <w:left w:val="nil"/>
              <w:bottom w:val="nil"/>
              <w:right w:val="nil"/>
            </w:tcBorders>
            <w:vAlign w:val="center"/>
            <w:hideMark/>
          </w:tcPr>
          <w:p w14:paraId="25D016F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39</w:t>
            </w:r>
          </w:p>
        </w:tc>
        <w:tc>
          <w:tcPr>
            <w:tcW w:w="1578" w:type="dxa"/>
            <w:tcBorders>
              <w:top w:val="nil"/>
              <w:left w:val="nil"/>
              <w:bottom w:val="nil"/>
              <w:right w:val="nil"/>
            </w:tcBorders>
            <w:vAlign w:val="center"/>
            <w:hideMark/>
          </w:tcPr>
          <w:p w14:paraId="3B0DF1C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21001B6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C292C2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728F517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F35541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31382856" w14:textId="77777777" w:rsidTr="00CB4787">
        <w:trPr>
          <w:trHeight w:val="20"/>
        </w:trPr>
        <w:tc>
          <w:tcPr>
            <w:tcW w:w="1418" w:type="dxa"/>
            <w:tcBorders>
              <w:top w:val="nil"/>
              <w:left w:val="nil"/>
              <w:bottom w:val="nil"/>
              <w:right w:val="nil"/>
            </w:tcBorders>
            <w:vAlign w:val="center"/>
            <w:hideMark/>
          </w:tcPr>
          <w:p w14:paraId="6D6F272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40</w:t>
            </w:r>
          </w:p>
        </w:tc>
        <w:tc>
          <w:tcPr>
            <w:tcW w:w="1578" w:type="dxa"/>
            <w:tcBorders>
              <w:top w:val="nil"/>
              <w:left w:val="nil"/>
              <w:bottom w:val="nil"/>
              <w:right w:val="nil"/>
            </w:tcBorders>
            <w:vAlign w:val="center"/>
            <w:hideMark/>
          </w:tcPr>
          <w:p w14:paraId="5C3E796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63C379A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5D1E8EF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7860C79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3D5EED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E651873" w14:textId="77777777" w:rsidTr="00CB4787">
        <w:trPr>
          <w:trHeight w:val="20"/>
        </w:trPr>
        <w:tc>
          <w:tcPr>
            <w:tcW w:w="1418" w:type="dxa"/>
            <w:tcBorders>
              <w:top w:val="nil"/>
              <w:left w:val="nil"/>
              <w:bottom w:val="nil"/>
              <w:right w:val="nil"/>
            </w:tcBorders>
            <w:vAlign w:val="center"/>
            <w:hideMark/>
          </w:tcPr>
          <w:p w14:paraId="5270459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41</w:t>
            </w:r>
          </w:p>
        </w:tc>
        <w:tc>
          <w:tcPr>
            <w:tcW w:w="1578" w:type="dxa"/>
            <w:tcBorders>
              <w:top w:val="nil"/>
              <w:left w:val="nil"/>
              <w:bottom w:val="nil"/>
              <w:right w:val="nil"/>
            </w:tcBorders>
            <w:vAlign w:val="center"/>
            <w:hideMark/>
          </w:tcPr>
          <w:p w14:paraId="382B276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6A93309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BBC2E6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6D4E0B6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661929C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7C8F7E64" w14:textId="77777777" w:rsidTr="00CB4787">
        <w:trPr>
          <w:trHeight w:val="20"/>
        </w:trPr>
        <w:tc>
          <w:tcPr>
            <w:tcW w:w="1418" w:type="dxa"/>
            <w:tcBorders>
              <w:top w:val="nil"/>
              <w:left w:val="nil"/>
              <w:bottom w:val="nil"/>
              <w:right w:val="nil"/>
            </w:tcBorders>
            <w:vAlign w:val="center"/>
            <w:hideMark/>
          </w:tcPr>
          <w:p w14:paraId="3767ED7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42</w:t>
            </w:r>
          </w:p>
        </w:tc>
        <w:tc>
          <w:tcPr>
            <w:tcW w:w="1578" w:type="dxa"/>
            <w:tcBorders>
              <w:top w:val="nil"/>
              <w:left w:val="nil"/>
              <w:bottom w:val="nil"/>
              <w:right w:val="nil"/>
            </w:tcBorders>
            <w:vAlign w:val="center"/>
            <w:hideMark/>
          </w:tcPr>
          <w:p w14:paraId="290DA11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0AEA6F7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5EC2D5D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73934A8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749E6B8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2479C895" w14:textId="77777777" w:rsidTr="00CB4787">
        <w:trPr>
          <w:trHeight w:val="20"/>
        </w:trPr>
        <w:tc>
          <w:tcPr>
            <w:tcW w:w="1418" w:type="dxa"/>
            <w:tcBorders>
              <w:top w:val="nil"/>
              <w:left w:val="nil"/>
              <w:bottom w:val="nil"/>
              <w:right w:val="nil"/>
            </w:tcBorders>
            <w:vAlign w:val="center"/>
            <w:hideMark/>
          </w:tcPr>
          <w:p w14:paraId="27F0C1A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43</w:t>
            </w:r>
          </w:p>
        </w:tc>
        <w:tc>
          <w:tcPr>
            <w:tcW w:w="1578" w:type="dxa"/>
            <w:tcBorders>
              <w:top w:val="nil"/>
              <w:left w:val="nil"/>
              <w:bottom w:val="nil"/>
              <w:right w:val="nil"/>
            </w:tcBorders>
            <w:vAlign w:val="center"/>
            <w:hideMark/>
          </w:tcPr>
          <w:p w14:paraId="5A412EB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20%</w:t>
            </w:r>
          </w:p>
        </w:tc>
        <w:tc>
          <w:tcPr>
            <w:tcW w:w="1362" w:type="dxa"/>
            <w:tcBorders>
              <w:top w:val="nil"/>
              <w:left w:val="nil"/>
              <w:bottom w:val="nil"/>
              <w:right w:val="nil"/>
            </w:tcBorders>
            <w:vAlign w:val="center"/>
            <w:hideMark/>
          </w:tcPr>
          <w:p w14:paraId="11A99AD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2A5EFB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80%</w:t>
            </w:r>
          </w:p>
        </w:tc>
        <w:tc>
          <w:tcPr>
            <w:tcW w:w="825" w:type="dxa"/>
            <w:tcBorders>
              <w:top w:val="nil"/>
              <w:left w:val="nil"/>
              <w:bottom w:val="nil"/>
              <w:right w:val="nil"/>
            </w:tcBorders>
            <w:vAlign w:val="center"/>
            <w:hideMark/>
          </w:tcPr>
          <w:p w14:paraId="22EA0F8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0.60</w:t>
            </w:r>
          </w:p>
        </w:tc>
        <w:tc>
          <w:tcPr>
            <w:tcW w:w="1733" w:type="dxa"/>
            <w:tcBorders>
              <w:top w:val="nil"/>
              <w:left w:val="nil"/>
              <w:bottom w:val="nil"/>
              <w:right w:val="nil"/>
            </w:tcBorders>
            <w:noWrap/>
            <w:vAlign w:val="bottom"/>
            <w:hideMark/>
          </w:tcPr>
          <w:p w14:paraId="0861A16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DELETE</w:t>
            </w:r>
          </w:p>
        </w:tc>
      </w:tr>
      <w:tr w:rsidR="00510E80" w:rsidRPr="0085526B" w14:paraId="7094C34D" w14:textId="77777777" w:rsidTr="00CB4787">
        <w:trPr>
          <w:trHeight w:val="20"/>
        </w:trPr>
        <w:tc>
          <w:tcPr>
            <w:tcW w:w="8222" w:type="dxa"/>
            <w:gridSpan w:val="6"/>
            <w:tcBorders>
              <w:top w:val="single" w:sz="4" w:space="0" w:color="auto"/>
              <w:left w:val="nil"/>
              <w:bottom w:val="single" w:sz="4" w:space="0" w:color="auto"/>
              <w:right w:val="nil"/>
            </w:tcBorders>
            <w:vAlign w:val="center"/>
            <w:hideMark/>
          </w:tcPr>
          <w:p w14:paraId="6F10BFA3" w14:textId="77777777" w:rsidR="00510E80" w:rsidRPr="0085526B" w:rsidRDefault="00510E80" w:rsidP="00C010D0">
            <w:pPr>
              <w:spacing w:after="0" w:line="240" w:lineRule="auto"/>
              <w:rPr>
                <w:rFonts w:ascii="Arial" w:eastAsia="Times New Roman" w:hAnsi="Arial" w:cs="Arial"/>
                <w:b/>
                <w:bCs/>
                <w:color w:val="000000"/>
                <w:kern w:val="0"/>
                <w:sz w:val="18"/>
                <w:szCs w:val="18"/>
                <w:lang w:val="en-PH" w:eastAsia="en-PH"/>
                <w14:ligatures w14:val="none"/>
              </w:rPr>
            </w:pPr>
            <w:r w:rsidRPr="0085526B">
              <w:rPr>
                <w:rFonts w:ascii="Arial" w:eastAsia="Times New Roman" w:hAnsi="Arial" w:cs="Arial"/>
                <w:b/>
                <w:bCs/>
                <w:color w:val="000000"/>
                <w:kern w:val="0"/>
                <w:sz w:val="18"/>
                <w:szCs w:val="18"/>
                <w:lang w:val="en-PH" w:eastAsia="en-PH"/>
                <w14:ligatures w14:val="none"/>
              </w:rPr>
              <w:t>Data &amp; Probability</w:t>
            </w:r>
          </w:p>
        </w:tc>
      </w:tr>
      <w:tr w:rsidR="00510E80" w:rsidRPr="0085526B" w14:paraId="53A5588C" w14:textId="77777777" w:rsidTr="00CB4787">
        <w:trPr>
          <w:trHeight w:val="20"/>
        </w:trPr>
        <w:tc>
          <w:tcPr>
            <w:tcW w:w="1418" w:type="dxa"/>
            <w:tcBorders>
              <w:top w:val="nil"/>
              <w:left w:val="nil"/>
              <w:bottom w:val="nil"/>
              <w:right w:val="nil"/>
            </w:tcBorders>
            <w:vAlign w:val="center"/>
            <w:hideMark/>
          </w:tcPr>
          <w:p w14:paraId="1615612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44</w:t>
            </w:r>
          </w:p>
        </w:tc>
        <w:tc>
          <w:tcPr>
            <w:tcW w:w="1578" w:type="dxa"/>
            <w:tcBorders>
              <w:top w:val="nil"/>
              <w:left w:val="nil"/>
              <w:bottom w:val="nil"/>
              <w:right w:val="nil"/>
            </w:tcBorders>
            <w:vAlign w:val="center"/>
            <w:hideMark/>
          </w:tcPr>
          <w:p w14:paraId="4D3DCD18"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6F1F21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1AE0B35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394E0FA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2BACF0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0B912AE7" w14:textId="77777777" w:rsidTr="00CB4787">
        <w:trPr>
          <w:trHeight w:val="20"/>
        </w:trPr>
        <w:tc>
          <w:tcPr>
            <w:tcW w:w="1418" w:type="dxa"/>
            <w:tcBorders>
              <w:top w:val="nil"/>
              <w:left w:val="nil"/>
              <w:bottom w:val="nil"/>
              <w:right w:val="nil"/>
            </w:tcBorders>
            <w:vAlign w:val="center"/>
            <w:hideMark/>
          </w:tcPr>
          <w:p w14:paraId="0942C94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45</w:t>
            </w:r>
          </w:p>
        </w:tc>
        <w:tc>
          <w:tcPr>
            <w:tcW w:w="1578" w:type="dxa"/>
            <w:tcBorders>
              <w:top w:val="nil"/>
              <w:left w:val="nil"/>
              <w:bottom w:val="nil"/>
              <w:right w:val="nil"/>
            </w:tcBorders>
            <w:vAlign w:val="center"/>
            <w:hideMark/>
          </w:tcPr>
          <w:p w14:paraId="622F9DA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7BFDDBE"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76AAA633"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0BB6ED1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3B32B4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2275FA55" w14:textId="77777777" w:rsidTr="00CB4787">
        <w:trPr>
          <w:trHeight w:val="20"/>
        </w:trPr>
        <w:tc>
          <w:tcPr>
            <w:tcW w:w="1418" w:type="dxa"/>
            <w:tcBorders>
              <w:top w:val="nil"/>
              <w:left w:val="nil"/>
              <w:bottom w:val="nil"/>
              <w:right w:val="nil"/>
            </w:tcBorders>
            <w:vAlign w:val="center"/>
            <w:hideMark/>
          </w:tcPr>
          <w:p w14:paraId="5B27920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46</w:t>
            </w:r>
          </w:p>
        </w:tc>
        <w:tc>
          <w:tcPr>
            <w:tcW w:w="1578" w:type="dxa"/>
            <w:tcBorders>
              <w:top w:val="nil"/>
              <w:left w:val="nil"/>
              <w:bottom w:val="nil"/>
              <w:right w:val="nil"/>
            </w:tcBorders>
            <w:vAlign w:val="center"/>
            <w:hideMark/>
          </w:tcPr>
          <w:p w14:paraId="181A9DB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020662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05FB60E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7C2228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DB2E13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65CEBCDC" w14:textId="77777777" w:rsidTr="00CB4787">
        <w:trPr>
          <w:trHeight w:val="20"/>
        </w:trPr>
        <w:tc>
          <w:tcPr>
            <w:tcW w:w="1418" w:type="dxa"/>
            <w:tcBorders>
              <w:top w:val="nil"/>
              <w:left w:val="nil"/>
              <w:bottom w:val="nil"/>
              <w:right w:val="nil"/>
            </w:tcBorders>
            <w:vAlign w:val="center"/>
            <w:hideMark/>
          </w:tcPr>
          <w:p w14:paraId="23114714"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47</w:t>
            </w:r>
          </w:p>
        </w:tc>
        <w:tc>
          <w:tcPr>
            <w:tcW w:w="1578" w:type="dxa"/>
            <w:tcBorders>
              <w:top w:val="nil"/>
              <w:left w:val="nil"/>
              <w:bottom w:val="nil"/>
              <w:right w:val="nil"/>
            </w:tcBorders>
            <w:vAlign w:val="center"/>
            <w:hideMark/>
          </w:tcPr>
          <w:p w14:paraId="68E0869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0897E47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46235C2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593183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715AE5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453EAB0C" w14:textId="77777777" w:rsidTr="00CB4787">
        <w:trPr>
          <w:trHeight w:val="20"/>
        </w:trPr>
        <w:tc>
          <w:tcPr>
            <w:tcW w:w="1418" w:type="dxa"/>
            <w:tcBorders>
              <w:top w:val="nil"/>
              <w:left w:val="nil"/>
              <w:bottom w:val="nil"/>
              <w:right w:val="nil"/>
            </w:tcBorders>
            <w:vAlign w:val="center"/>
            <w:hideMark/>
          </w:tcPr>
          <w:p w14:paraId="4730420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48</w:t>
            </w:r>
          </w:p>
        </w:tc>
        <w:tc>
          <w:tcPr>
            <w:tcW w:w="1578" w:type="dxa"/>
            <w:tcBorders>
              <w:top w:val="nil"/>
              <w:left w:val="nil"/>
              <w:bottom w:val="nil"/>
              <w:right w:val="nil"/>
            </w:tcBorders>
            <w:vAlign w:val="center"/>
            <w:hideMark/>
          </w:tcPr>
          <w:p w14:paraId="2161D4E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4132150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395ECA8C"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048D3E7F"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9A3354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0BC86386" w14:textId="77777777" w:rsidTr="00CB4787">
        <w:trPr>
          <w:trHeight w:val="20"/>
        </w:trPr>
        <w:tc>
          <w:tcPr>
            <w:tcW w:w="1418" w:type="dxa"/>
            <w:tcBorders>
              <w:top w:val="nil"/>
              <w:left w:val="nil"/>
              <w:bottom w:val="nil"/>
              <w:right w:val="nil"/>
            </w:tcBorders>
            <w:vAlign w:val="center"/>
            <w:hideMark/>
          </w:tcPr>
          <w:p w14:paraId="1034BA30"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49</w:t>
            </w:r>
          </w:p>
        </w:tc>
        <w:tc>
          <w:tcPr>
            <w:tcW w:w="1578" w:type="dxa"/>
            <w:tcBorders>
              <w:top w:val="nil"/>
              <w:left w:val="nil"/>
              <w:bottom w:val="nil"/>
              <w:right w:val="nil"/>
            </w:tcBorders>
            <w:vAlign w:val="center"/>
            <w:hideMark/>
          </w:tcPr>
          <w:p w14:paraId="51D77A3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52783AFD"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697BDFC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5045271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07F98DFA"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5B33CD68" w14:textId="77777777" w:rsidTr="00CB4787">
        <w:trPr>
          <w:trHeight w:val="20"/>
        </w:trPr>
        <w:tc>
          <w:tcPr>
            <w:tcW w:w="1418" w:type="dxa"/>
            <w:tcBorders>
              <w:top w:val="nil"/>
              <w:left w:val="nil"/>
              <w:bottom w:val="nil"/>
              <w:right w:val="nil"/>
            </w:tcBorders>
            <w:vAlign w:val="center"/>
            <w:hideMark/>
          </w:tcPr>
          <w:p w14:paraId="219ECBE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50</w:t>
            </w:r>
          </w:p>
        </w:tc>
        <w:tc>
          <w:tcPr>
            <w:tcW w:w="1578" w:type="dxa"/>
            <w:tcBorders>
              <w:top w:val="nil"/>
              <w:left w:val="nil"/>
              <w:bottom w:val="nil"/>
              <w:right w:val="nil"/>
            </w:tcBorders>
            <w:vAlign w:val="center"/>
            <w:hideMark/>
          </w:tcPr>
          <w:p w14:paraId="6400DD37"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62" w:type="dxa"/>
            <w:tcBorders>
              <w:top w:val="nil"/>
              <w:left w:val="nil"/>
              <w:bottom w:val="nil"/>
              <w:right w:val="nil"/>
            </w:tcBorders>
            <w:vAlign w:val="center"/>
            <w:hideMark/>
          </w:tcPr>
          <w:p w14:paraId="10337CB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w:t>
            </w:r>
          </w:p>
        </w:tc>
        <w:tc>
          <w:tcPr>
            <w:tcW w:w="1306" w:type="dxa"/>
            <w:tcBorders>
              <w:top w:val="nil"/>
              <w:left w:val="nil"/>
              <w:bottom w:val="nil"/>
              <w:right w:val="nil"/>
            </w:tcBorders>
            <w:vAlign w:val="center"/>
            <w:hideMark/>
          </w:tcPr>
          <w:p w14:paraId="224379DB"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825" w:type="dxa"/>
            <w:tcBorders>
              <w:top w:val="nil"/>
              <w:left w:val="nil"/>
              <w:bottom w:val="nil"/>
              <w:right w:val="nil"/>
            </w:tcBorders>
            <w:vAlign w:val="center"/>
            <w:hideMark/>
          </w:tcPr>
          <w:p w14:paraId="11A67B16"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1.00</w:t>
            </w:r>
          </w:p>
        </w:tc>
        <w:tc>
          <w:tcPr>
            <w:tcW w:w="1733" w:type="dxa"/>
            <w:tcBorders>
              <w:top w:val="nil"/>
              <w:left w:val="nil"/>
              <w:bottom w:val="nil"/>
              <w:right w:val="nil"/>
            </w:tcBorders>
            <w:noWrap/>
            <w:vAlign w:val="bottom"/>
            <w:hideMark/>
          </w:tcPr>
          <w:p w14:paraId="3ACCBB22"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ESSENTIAL</w:t>
            </w:r>
          </w:p>
        </w:tc>
      </w:tr>
      <w:tr w:rsidR="00510E80" w:rsidRPr="0085526B" w14:paraId="26CF341B" w14:textId="77777777" w:rsidTr="00CB4787">
        <w:trPr>
          <w:trHeight w:val="20"/>
        </w:trPr>
        <w:tc>
          <w:tcPr>
            <w:tcW w:w="5664" w:type="dxa"/>
            <w:gridSpan w:val="4"/>
            <w:tcBorders>
              <w:top w:val="single" w:sz="4" w:space="0" w:color="auto"/>
              <w:left w:val="nil"/>
              <w:bottom w:val="single" w:sz="4" w:space="0" w:color="auto"/>
              <w:right w:val="nil"/>
            </w:tcBorders>
            <w:vAlign w:val="center"/>
            <w:hideMark/>
          </w:tcPr>
          <w:p w14:paraId="6D5C089D" w14:textId="77777777" w:rsidR="00510E80" w:rsidRPr="0085526B" w:rsidRDefault="00510E80" w:rsidP="00C010D0">
            <w:pPr>
              <w:spacing w:after="0" w:line="240" w:lineRule="auto"/>
              <w:jc w:val="right"/>
              <w:rPr>
                <w:rFonts w:ascii="Arial" w:eastAsia="Times New Roman" w:hAnsi="Arial" w:cs="Arial"/>
                <w:b/>
                <w:bCs/>
                <w:color w:val="000000"/>
                <w:kern w:val="0"/>
                <w:sz w:val="18"/>
                <w:szCs w:val="18"/>
                <w:lang w:val="en-PH" w:eastAsia="en-PH"/>
                <w14:ligatures w14:val="none"/>
              </w:rPr>
            </w:pPr>
            <w:r w:rsidRPr="0085526B">
              <w:rPr>
                <w:rFonts w:ascii="Arial" w:eastAsia="Times New Roman" w:hAnsi="Arial" w:cs="Arial"/>
                <w:b/>
                <w:bCs/>
                <w:color w:val="000000"/>
                <w:kern w:val="0"/>
                <w:sz w:val="18"/>
                <w:szCs w:val="18"/>
                <w:lang w:val="en-PH" w:eastAsia="en-PH"/>
                <w14:ligatures w14:val="none"/>
              </w:rPr>
              <w:t>CONTENT VALIDITY INDEX (CVI)</w:t>
            </w:r>
          </w:p>
        </w:tc>
        <w:tc>
          <w:tcPr>
            <w:tcW w:w="2558" w:type="dxa"/>
            <w:gridSpan w:val="2"/>
            <w:tcBorders>
              <w:top w:val="single" w:sz="4" w:space="0" w:color="auto"/>
              <w:left w:val="nil"/>
              <w:bottom w:val="single" w:sz="4" w:space="0" w:color="auto"/>
              <w:right w:val="nil"/>
            </w:tcBorders>
            <w:vAlign w:val="center"/>
            <w:hideMark/>
          </w:tcPr>
          <w:p w14:paraId="7EC35635" w14:textId="77777777" w:rsidR="00510E80" w:rsidRPr="0085526B" w:rsidRDefault="00510E80" w:rsidP="00C010D0">
            <w:pPr>
              <w:spacing w:after="0" w:line="240" w:lineRule="auto"/>
              <w:jc w:val="center"/>
              <w:rPr>
                <w:rFonts w:ascii="Arial" w:eastAsia="Times New Roman" w:hAnsi="Arial" w:cs="Arial"/>
                <w:color w:val="000000"/>
                <w:kern w:val="0"/>
                <w:sz w:val="18"/>
                <w:szCs w:val="18"/>
                <w:lang w:val="en-PH" w:eastAsia="en-PH"/>
                <w14:ligatures w14:val="none"/>
              </w:rPr>
            </w:pPr>
            <w:r w:rsidRPr="0085526B">
              <w:rPr>
                <w:rFonts w:ascii="Arial" w:eastAsia="Times New Roman" w:hAnsi="Arial" w:cs="Arial"/>
                <w:color w:val="000000"/>
                <w:kern w:val="0"/>
                <w:sz w:val="18"/>
                <w:szCs w:val="18"/>
                <w:lang w:val="en-PH" w:eastAsia="en-PH"/>
                <w14:ligatures w14:val="none"/>
              </w:rPr>
              <w:t>0.784</w:t>
            </w:r>
          </w:p>
        </w:tc>
      </w:tr>
    </w:tbl>
    <w:p w14:paraId="760EA53B" w14:textId="77777777" w:rsidR="00510E80" w:rsidRPr="00CB4787" w:rsidRDefault="00510E80" w:rsidP="00CB4787">
      <w:pPr>
        <w:pStyle w:val="NormalWeb"/>
        <w:spacing w:before="240" w:beforeAutospacing="0" w:after="240" w:afterAutospacing="0"/>
        <w:jc w:val="both"/>
      </w:pPr>
      <w:r w:rsidRPr="00CB4787">
        <w:rPr>
          <w:i/>
          <w:iCs/>
        </w:rPr>
        <w:lastRenderedPageBreak/>
        <w:t>Note: Remarks are based on Lawshe’s Content Validity Ratio (CVR). Items labeled Essential achieved a CVR of 1.00, representing unanimous consensus among the five experts. Items marked Delete yielded CVR scores below the 1.00 threshold (ranging from -0.20 to 0.60) and were excluded. The initial 50-item pool yielded an overall Content Validity Index (CVI) of 0.784.</w:t>
      </w:r>
    </w:p>
    <w:p w14:paraId="2AE5B5D5" w14:textId="77777777" w:rsidR="00510E80" w:rsidRPr="00CB4787" w:rsidRDefault="00510E80" w:rsidP="00CB4787">
      <w:pPr>
        <w:pStyle w:val="NormalWeb"/>
        <w:spacing w:before="240" w:beforeAutospacing="0" w:after="240" w:afterAutospacing="0"/>
        <w:jc w:val="both"/>
        <w:rPr>
          <w:b/>
          <w:bCs/>
        </w:rPr>
      </w:pPr>
      <w:r w:rsidRPr="00CB4787">
        <w:rPr>
          <w:b/>
          <w:bCs/>
        </w:rPr>
        <w:t>Item Traceability: Refinement of the Instrument</w:t>
      </w:r>
    </w:p>
    <w:p w14:paraId="6E5A5353" w14:textId="606F9010" w:rsidR="00510E80" w:rsidRPr="00CB4787" w:rsidRDefault="00510E80" w:rsidP="00CB4787">
      <w:pPr>
        <w:pStyle w:val="NormalWeb"/>
        <w:spacing w:before="240" w:beforeAutospacing="0" w:after="240" w:afterAutospacing="0"/>
        <w:ind w:firstLine="720"/>
        <w:jc w:val="both"/>
      </w:pPr>
      <w:r w:rsidRPr="00CB4787">
        <w:t>The summary of item retention and deletion (table 7) illustrates the refinement of the initial 50-item pool based on the expert validation results using Lawshe’s Content Validity Ratio (CVR). In the Numbers and Algebra domain, which comprised the largest portion of the test with 31 items, 20 items were retained while 11 were deleted for failing to meet the required consensus threshold. For Measures and Geometry, 8 out of the 12 initial items were kept, resulting in the removal of 4 non-essential items. Notably, the Data and Probability domain (labeled as Statistics and Probability in the initial pool) showed perfect alignment, with all 7 items retained as essential by the validators. Overall, out of the 50 items evaluated, 35 items were retained and 15 were deleted, ensuring that the final version of the Contextualized Numeracy Test (CNT) possesses high content validity for pilot testing</w:t>
      </w:r>
    </w:p>
    <w:p w14:paraId="1A3B9316" w14:textId="77777777" w:rsidR="00510E80" w:rsidRPr="00CB4787" w:rsidRDefault="00510E80" w:rsidP="00CB4787">
      <w:pPr>
        <w:pStyle w:val="NormalWeb"/>
        <w:spacing w:before="240" w:beforeAutospacing="0" w:after="240" w:afterAutospacing="0"/>
        <w:jc w:val="both"/>
        <w:rPr>
          <w:b/>
          <w:bCs/>
          <w:lang w:val="en-PH"/>
        </w:rPr>
      </w:pPr>
      <w:r w:rsidRPr="00CB4787">
        <w:rPr>
          <w:b/>
          <w:bCs/>
          <w:lang w:val="en-PH"/>
        </w:rPr>
        <w:t xml:space="preserve">Table 7: </w:t>
      </w:r>
    </w:p>
    <w:p w14:paraId="7A867740" w14:textId="77777777" w:rsidR="00510E80" w:rsidRPr="00CB4787" w:rsidRDefault="00510E80" w:rsidP="00CB4787">
      <w:pPr>
        <w:pStyle w:val="NormalWeb"/>
        <w:spacing w:before="240" w:beforeAutospacing="0" w:after="240" w:afterAutospacing="0"/>
        <w:jc w:val="both"/>
      </w:pPr>
      <w:r w:rsidRPr="00CB4787">
        <w:rPr>
          <w:i/>
          <w:iCs/>
          <w:lang w:val="en-PH"/>
        </w:rPr>
        <w:t>Summary of Item Retention and Deletion Based on Content Validity Ratio (CVR)</w:t>
      </w:r>
    </w:p>
    <w:tbl>
      <w:tblPr>
        <w:tblW w:w="9821" w:type="dxa"/>
        <w:tblInd w:w="630" w:type="dxa"/>
        <w:tblLayout w:type="fixed"/>
        <w:tblLook w:val="04A0" w:firstRow="1" w:lastRow="0" w:firstColumn="1" w:lastColumn="0" w:noHBand="0" w:noVBand="1"/>
      </w:tblPr>
      <w:tblGrid>
        <w:gridCol w:w="1080"/>
        <w:gridCol w:w="1250"/>
        <w:gridCol w:w="1262"/>
        <w:gridCol w:w="1293"/>
        <w:gridCol w:w="1325"/>
        <w:gridCol w:w="1293"/>
        <w:gridCol w:w="1317"/>
        <w:gridCol w:w="995"/>
        <w:gridCol w:w="6"/>
      </w:tblGrid>
      <w:tr w:rsidR="00510E80" w:rsidRPr="00CB4787" w14:paraId="2F91851B" w14:textId="77777777" w:rsidTr="00CB4787">
        <w:trPr>
          <w:trHeight w:val="315"/>
        </w:trPr>
        <w:tc>
          <w:tcPr>
            <w:tcW w:w="1080" w:type="dxa"/>
            <w:vMerge w:val="restart"/>
            <w:tcBorders>
              <w:top w:val="single" w:sz="4" w:space="0" w:color="auto"/>
              <w:left w:val="nil"/>
              <w:bottom w:val="single" w:sz="4" w:space="0" w:color="000000"/>
              <w:right w:val="nil"/>
            </w:tcBorders>
            <w:vAlign w:val="center"/>
            <w:hideMark/>
          </w:tcPr>
          <w:p w14:paraId="1399BE4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Action Taken</w:t>
            </w:r>
          </w:p>
        </w:tc>
        <w:tc>
          <w:tcPr>
            <w:tcW w:w="7740" w:type="dxa"/>
            <w:gridSpan w:val="6"/>
            <w:tcBorders>
              <w:top w:val="single" w:sz="4" w:space="0" w:color="auto"/>
              <w:left w:val="nil"/>
              <w:bottom w:val="single" w:sz="4" w:space="0" w:color="auto"/>
              <w:right w:val="nil"/>
            </w:tcBorders>
            <w:vAlign w:val="center"/>
            <w:hideMark/>
          </w:tcPr>
          <w:p w14:paraId="0C2640C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Domain</w:t>
            </w:r>
          </w:p>
        </w:tc>
        <w:tc>
          <w:tcPr>
            <w:tcW w:w="1001" w:type="dxa"/>
            <w:gridSpan w:val="2"/>
            <w:tcBorders>
              <w:top w:val="single" w:sz="4" w:space="0" w:color="auto"/>
              <w:left w:val="nil"/>
              <w:bottom w:val="single" w:sz="4" w:space="0" w:color="000000"/>
              <w:right w:val="nil"/>
            </w:tcBorders>
            <w:vAlign w:val="center"/>
            <w:hideMark/>
          </w:tcPr>
          <w:p w14:paraId="328EE91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TOTAL</w:t>
            </w:r>
          </w:p>
        </w:tc>
      </w:tr>
      <w:tr w:rsidR="00510E80" w:rsidRPr="00CB4787" w14:paraId="3F81A11F" w14:textId="77777777" w:rsidTr="00CB4787">
        <w:trPr>
          <w:gridAfter w:val="1"/>
          <w:wAfter w:w="6" w:type="dxa"/>
          <w:trHeight w:val="315"/>
        </w:trPr>
        <w:tc>
          <w:tcPr>
            <w:tcW w:w="1080" w:type="dxa"/>
            <w:vMerge/>
            <w:tcBorders>
              <w:top w:val="single" w:sz="4" w:space="0" w:color="auto"/>
              <w:left w:val="nil"/>
              <w:bottom w:val="single" w:sz="4" w:space="0" w:color="000000"/>
              <w:right w:val="nil"/>
            </w:tcBorders>
            <w:vAlign w:val="center"/>
            <w:hideMark/>
          </w:tcPr>
          <w:p w14:paraId="7CAC1D8B" w14:textId="77777777" w:rsidR="00510E80" w:rsidRPr="00CB4787" w:rsidRDefault="00510E80" w:rsidP="00C010D0">
            <w:pPr>
              <w:spacing w:after="0" w:line="240" w:lineRule="auto"/>
              <w:rPr>
                <w:rFonts w:ascii="Times New Roman" w:eastAsia="Times New Roman" w:hAnsi="Times New Roman" w:cs="Times New Roman"/>
                <w:color w:val="000000"/>
                <w:kern w:val="0"/>
                <w:sz w:val="22"/>
                <w:szCs w:val="22"/>
                <w14:ligatures w14:val="none"/>
              </w:rPr>
            </w:pPr>
          </w:p>
        </w:tc>
        <w:tc>
          <w:tcPr>
            <w:tcW w:w="2512" w:type="dxa"/>
            <w:gridSpan w:val="2"/>
            <w:tcBorders>
              <w:top w:val="single" w:sz="4" w:space="0" w:color="auto"/>
              <w:left w:val="nil"/>
              <w:bottom w:val="single" w:sz="4" w:space="0" w:color="auto"/>
              <w:right w:val="nil"/>
            </w:tcBorders>
            <w:vAlign w:val="center"/>
            <w:hideMark/>
          </w:tcPr>
          <w:p w14:paraId="71F65B4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Numbers &amp; Algebra</w:t>
            </w:r>
          </w:p>
        </w:tc>
        <w:tc>
          <w:tcPr>
            <w:tcW w:w="2618" w:type="dxa"/>
            <w:gridSpan w:val="2"/>
            <w:tcBorders>
              <w:top w:val="single" w:sz="4" w:space="0" w:color="auto"/>
              <w:left w:val="nil"/>
              <w:bottom w:val="single" w:sz="4" w:space="0" w:color="auto"/>
              <w:right w:val="nil"/>
            </w:tcBorders>
            <w:vAlign w:val="center"/>
            <w:hideMark/>
          </w:tcPr>
          <w:p w14:paraId="131971E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Measures &amp; Geometry</w:t>
            </w:r>
          </w:p>
        </w:tc>
        <w:tc>
          <w:tcPr>
            <w:tcW w:w="2610" w:type="dxa"/>
            <w:gridSpan w:val="2"/>
            <w:tcBorders>
              <w:top w:val="single" w:sz="4" w:space="0" w:color="auto"/>
              <w:left w:val="nil"/>
              <w:bottom w:val="single" w:sz="4" w:space="0" w:color="auto"/>
              <w:right w:val="nil"/>
            </w:tcBorders>
            <w:vAlign w:val="center"/>
            <w:hideMark/>
          </w:tcPr>
          <w:p w14:paraId="5233E8D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Data &amp; Probability</w:t>
            </w:r>
          </w:p>
        </w:tc>
        <w:tc>
          <w:tcPr>
            <w:tcW w:w="995" w:type="dxa"/>
            <w:tcBorders>
              <w:top w:val="single" w:sz="4" w:space="0" w:color="auto"/>
              <w:left w:val="nil"/>
              <w:bottom w:val="single" w:sz="4" w:space="0" w:color="000000"/>
              <w:right w:val="nil"/>
            </w:tcBorders>
            <w:vAlign w:val="center"/>
            <w:hideMark/>
          </w:tcPr>
          <w:p w14:paraId="2C792B5F" w14:textId="77777777" w:rsidR="00510E80" w:rsidRPr="00CB4787" w:rsidRDefault="00510E80" w:rsidP="00C010D0">
            <w:pPr>
              <w:spacing w:after="0" w:line="240" w:lineRule="auto"/>
              <w:rPr>
                <w:rFonts w:ascii="Times New Roman" w:eastAsia="Times New Roman" w:hAnsi="Times New Roman" w:cs="Times New Roman"/>
                <w:color w:val="000000"/>
                <w:kern w:val="0"/>
                <w:sz w:val="22"/>
                <w:szCs w:val="22"/>
                <w14:ligatures w14:val="none"/>
              </w:rPr>
            </w:pPr>
          </w:p>
        </w:tc>
      </w:tr>
      <w:tr w:rsidR="00510E80" w:rsidRPr="00CB4787" w14:paraId="390EB99E" w14:textId="77777777" w:rsidTr="00CB4787">
        <w:trPr>
          <w:gridAfter w:val="1"/>
          <w:wAfter w:w="6" w:type="dxa"/>
          <w:trHeight w:val="330"/>
        </w:trPr>
        <w:tc>
          <w:tcPr>
            <w:tcW w:w="1080" w:type="dxa"/>
            <w:vMerge/>
            <w:tcBorders>
              <w:top w:val="single" w:sz="4" w:space="0" w:color="auto"/>
              <w:left w:val="nil"/>
              <w:bottom w:val="single" w:sz="4" w:space="0" w:color="000000"/>
              <w:right w:val="nil"/>
            </w:tcBorders>
            <w:vAlign w:val="center"/>
            <w:hideMark/>
          </w:tcPr>
          <w:p w14:paraId="6B0EF248" w14:textId="77777777" w:rsidR="00510E80" w:rsidRPr="00CB4787" w:rsidRDefault="00510E80" w:rsidP="00C010D0">
            <w:pPr>
              <w:spacing w:after="0" w:line="240" w:lineRule="auto"/>
              <w:rPr>
                <w:rFonts w:ascii="Times New Roman" w:eastAsia="Times New Roman" w:hAnsi="Times New Roman" w:cs="Times New Roman"/>
                <w:color w:val="000000"/>
                <w:kern w:val="0"/>
                <w:sz w:val="22"/>
                <w:szCs w:val="22"/>
                <w14:ligatures w14:val="none"/>
              </w:rPr>
            </w:pPr>
          </w:p>
        </w:tc>
        <w:tc>
          <w:tcPr>
            <w:tcW w:w="1250" w:type="dxa"/>
            <w:tcBorders>
              <w:top w:val="nil"/>
              <w:left w:val="nil"/>
              <w:bottom w:val="single" w:sz="4" w:space="0" w:color="auto"/>
              <w:right w:val="nil"/>
            </w:tcBorders>
            <w:vAlign w:val="center"/>
            <w:hideMark/>
          </w:tcPr>
          <w:p w14:paraId="3771B40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Item Number</w:t>
            </w:r>
          </w:p>
        </w:tc>
        <w:tc>
          <w:tcPr>
            <w:tcW w:w="1262" w:type="dxa"/>
            <w:tcBorders>
              <w:top w:val="nil"/>
              <w:left w:val="nil"/>
              <w:bottom w:val="single" w:sz="4" w:space="0" w:color="auto"/>
              <w:right w:val="nil"/>
            </w:tcBorders>
            <w:vAlign w:val="center"/>
            <w:hideMark/>
          </w:tcPr>
          <w:p w14:paraId="20157FB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Frequency</w:t>
            </w:r>
          </w:p>
        </w:tc>
        <w:tc>
          <w:tcPr>
            <w:tcW w:w="1293" w:type="dxa"/>
            <w:tcBorders>
              <w:top w:val="nil"/>
              <w:left w:val="nil"/>
              <w:bottom w:val="single" w:sz="4" w:space="0" w:color="auto"/>
              <w:right w:val="nil"/>
            </w:tcBorders>
            <w:vAlign w:val="center"/>
            <w:hideMark/>
          </w:tcPr>
          <w:p w14:paraId="73D04D6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Item Number</w:t>
            </w:r>
          </w:p>
        </w:tc>
        <w:tc>
          <w:tcPr>
            <w:tcW w:w="1325" w:type="dxa"/>
            <w:tcBorders>
              <w:top w:val="nil"/>
              <w:left w:val="nil"/>
              <w:bottom w:val="single" w:sz="4" w:space="0" w:color="auto"/>
              <w:right w:val="nil"/>
            </w:tcBorders>
            <w:vAlign w:val="center"/>
            <w:hideMark/>
          </w:tcPr>
          <w:p w14:paraId="1936CA7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Frequency</w:t>
            </w:r>
          </w:p>
        </w:tc>
        <w:tc>
          <w:tcPr>
            <w:tcW w:w="1293" w:type="dxa"/>
            <w:tcBorders>
              <w:top w:val="nil"/>
              <w:left w:val="nil"/>
              <w:bottom w:val="single" w:sz="4" w:space="0" w:color="auto"/>
              <w:right w:val="nil"/>
            </w:tcBorders>
            <w:vAlign w:val="center"/>
            <w:hideMark/>
          </w:tcPr>
          <w:p w14:paraId="6602849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Item Number</w:t>
            </w:r>
          </w:p>
        </w:tc>
        <w:tc>
          <w:tcPr>
            <w:tcW w:w="1317" w:type="dxa"/>
            <w:tcBorders>
              <w:top w:val="nil"/>
              <w:left w:val="nil"/>
              <w:bottom w:val="single" w:sz="4" w:space="0" w:color="auto"/>
              <w:right w:val="nil"/>
            </w:tcBorders>
            <w:vAlign w:val="center"/>
            <w:hideMark/>
          </w:tcPr>
          <w:p w14:paraId="09A629C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Frequency</w:t>
            </w:r>
          </w:p>
        </w:tc>
        <w:tc>
          <w:tcPr>
            <w:tcW w:w="995" w:type="dxa"/>
            <w:tcBorders>
              <w:top w:val="single" w:sz="4" w:space="0" w:color="auto"/>
              <w:left w:val="nil"/>
              <w:bottom w:val="single" w:sz="4" w:space="0" w:color="000000"/>
              <w:right w:val="nil"/>
            </w:tcBorders>
            <w:vAlign w:val="center"/>
            <w:hideMark/>
          </w:tcPr>
          <w:p w14:paraId="469E1169" w14:textId="77777777" w:rsidR="00510E80" w:rsidRPr="00CB4787" w:rsidRDefault="00510E80" w:rsidP="00C010D0">
            <w:pPr>
              <w:spacing w:after="0" w:line="240" w:lineRule="auto"/>
              <w:rPr>
                <w:rFonts w:ascii="Times New Roman" w:eastAsia="Times New Roman" w:hAnsi="Times New Roman" w:cs="Times New Roman"/>
                <w:color w:val="000000"/>
                <w:kern w:val="0"/>
                <w:sz w:val="22"/>
                <w:szCs w:val="22"/>
                <w14:ligatures w14:val="none"/>
              </w:rPr>
            </w:pPr>
          </w:p>
        </w:tc>
      </w:tr>
      <w:tr w:rsidR="00510E80" w:rsidRPr="00CB4787" w14:paraId="059A524D" w14:textId="77777777" w:rsidTr="00CB4787">
        <w:trPr>
          <w:gridAfter w:val="1"/>
          <w:wAfter w:w="6" w:type="dxa"/>
          <w:trHeight w:val="1200"/>
        </w:trPr>
        <w:tc>
          <w:tcPr>
            <w:tcW w:w="1080" w:type="dxa"/>
            <w:tcBorders>
              <w:top w:val="nil"/>
              <w:left w:val="nil"/>
              <w:bottom w:val="nil"/>
              <w:right w:val="nil"/>
            </w:tcBorders>
            <w:vAlign w:val="center"/>
            <w:hideMark/>
          </w:tcPr>
          <w:p w14:paraId="04F3BF6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Items Retained</w:t>
            </w:r>
          </w:p>
        </w:tc>
        <w:tc>
          <w:tcPr>
            <w:tcW w:w="1250" w:type="dxa"/>
            <w:tcBorders>
              <w:top w:val="nil"/>
              <w:left w:val="nil"/>
              <w:bottom w:val="nil"/>
              <w:right w:val="nil"/>
            </w:tcBorders>
            <w:vAlign w:val="center"/>
            <w:hideMark/>
          </w:tcPr>
          <w:p w14:paraId="1601FC6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1,2,3,5,6,7,8,10,12,13,15,16,17,18,19,24,27,28,29,31</w:t>
            </w:r>
          </w:p>
        </w:tc>
        <w:tc>
          <w:tcPr>
            <w:tcW w:w="1262" w:type="dxa"/>
            <w:tcBorders>
              <w:top w:val="nil"/>
              <w:left w:val="nil"/>
              <w:bottom w:val="nil"/>
              <w:right w:val="nil"/>
            </w:tcBorders>
            <w:vAlign w:val="center"/>
            <w:hideMark/>
          </w:tcPr>
          <w:p w14:paraId="653CC12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20</w:t>
            </w:r>
          </w:p>
        </w:tc>
        <w:tc>
          <w:tcPr>
            <w:tcW w:w="1293" w:type="dxa"/>
            <w:tcBorders>
              <w:top w:val="nil"/>
              <w:left w:val="nil"/>
              <w:bottom w:val="nil"/>
              <w:right w:val="nil"/>
            </w:tcBorders>
            <w:vAlign w:val="center"/>
            <w:hideMark/>
          </w:tcPr>
          <w:p w14:paraId="66CBB94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33,34,35,38,39,40,41,42</w:t>
            </w:r>
          </w:p>
        </w:tc>
        <w:tc>
          <w:tcPr>
            <w:tcW w:w="1325" w:type="dxa"/>
            <w:tcBorders>
              <w:top w:val="nil"/>
              <w:left w:val="nil"/>
              <w:bottom w:val="nil"/>
              <w:right w:val="nil"/>
            </w:tcBorders>
            <w:vAlign w:val="center"/>
            <w:hideMark/>
          </w:tcPr>
          <w:p w14:paraId="3090DCF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8</w:t>
            </w:r>
          </w:p>
        </w:tc>
        <w:tc>
          <w:tcPr>
            <w:tcW w:w="1293" w:type="dxa"/>
            <w:tcBorders>
              <w:top w:val="nil"/>
              <w:left w:val="nil"/>
              <w:bottom w:val="nil"/>
              <w:right w:val="nil"/>
            </w:tcBorders>
            <w:vAlign w:val="center"/>
            <w:hideMark/>
          </w:tcPr>
          <w:p w14:paraId="407AFF8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44,45,46,47,48,49,50</w:t>
            </w:r>
          </w:p>
        </w:tc>
        <w:tc>
          <w:tcPr>
            <w:tcW w:w="1317" w:type="dxa"/>
            <w:tcBorders>
              <w:top w:val="nil"/>
              <w:left w:val="nil"/>
              <w:bottom w:val="nil"/>
              <w:right w:val="nil"/>
            </w:tcBorders>
            <w:vAlign w:val="center"/>
            <w:hideMark/>
          </w:tcPr>
          <w:p w14:paraId="49AA80B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7</w:t>
            </w:r>
          </w:p>
        </w:tc>
        <w:tc>
          <w:tcPr>
            <w:tcW w:w="995" w:type="dxa"/>
            <w:tcBorders>
              <w:top w:val="nil"/>
              <w:left w:val="nil"/>
              <w:bottom w:val="nil"/>
              <w:right w:val="nil"/>
            </w:tcBorders>
            <w:vAlign w:val="center"/>
            <w:hideMark/>
          </w:tcPr>
          <w:p w14:paraId="2D17D02E"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35</w:t>
            </w:r>
          </w:p>
        </w:tc>
      </w:tr>
      <w:tr w:rsidR="00510E80" w:rsidRPr="00CB4787" w14:paraId="3F782EAA" w14:textId="77777777" w:rsidTr="00CB4787">
        <w:trPr>
          <w:gridAfter w:val="1"/>
          <w:wAfter w:w="6" w:type="dxa"/>
          <w:trHeight w:val="900"/>
        </w:trPr>
        <w:tc>
          <w:tcPr>
            <w:tcW w:w="1080" w:type="dxa"/>
            <w:tcBorders>
              <w:top w:val="nil"/>
              <w:left w:val="nil"/>
              <w:bottom w:val="nil"/>
              <w:right w:val="nil"/>
            </w:tcBorders>
            <w:vAlign w:val="center"/>
            <w:hideMark/>
          </w:tcPr>
          <w:p w14:paraId="0C54026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Items Deleted</w:t>
            </w:r>
          </w:p>
        </w:tc>
        <w:tc>
          <w:tcPr>
            <w:tcW w:w="1250" w:type="dxa"/>
            <w:tcBorders>
              <w:top w:val="nil"/>
              <w:left w:val="nil"/>
              <w:bottom w:val="nil"/>
              <w:right w:val="nil"/>
            </w:tcBorders>
            <w:vAlign w:val="center"/>
            <w:hideMark/>
          </w:tcPr>
          <w:p w14:paraId="0DEE011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4,9,11,14,20,21,22,23,25,26,30</w:t>
            </w:r>
          </w:p>
        </w:tc>
        <w:tc>
          <w:tcPr>
            <w:tcW w:w="1262" w:type="dxa"/>
            <w:tcBorders>
              <w:top w:val="nil"/>
              <w:left w:val="nil"/>
              <w:bottom w:val="nil"/>
              <w:right w:val="nil"/>
            </w:tcBorders>
            <w:vAlign w:val="center"/>
            <w:hideMark/>
          </w:tcPr>
          <w:p w14:paraId="7EAD967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11</w:t>
            </w:r>
          </w:p>
        </w:tc>
        <w:tc>
          <w:tcPr>
            <w:tcW w:w="1293" w:type="dxa"/>
            <w:tcBorders>
              <w:top w:val="nil"/>
              <w:left w:val="nil"/>
              <w:bottom w:val="nil"/>
              <w:right w:val="nil"/>
            </w:tcBorders>
            <w:vAlign w:val="center"/>
            <w:hideMark/>
          </w:tcPr>
          <w:p w14:paraId="64733B4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32,36,37,43</w:t>
            </w:r>
          </w:p>
        </w:tc>
        <w:tc>
          <w:tcPr>
            <w:tcW w:w="1325" w:type="dxa"/>
            <w:tcBorders>
              <w:top w:val="nil"/>
              <w:left w:val="nil"/>
              <w:bottom w:val="nil"/>
              <w:right w:val="nil"/>
            </w:tcBorders>
            <w:vAlign w:val="center"/>
            <w:hideMark/>
          </w:tcPr>
          <w:p w14:paraId="33B54AF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4</w:t>
            </w:r>
          </w:p>
        </w:tc>
        <w:tc>
          <w:tcPr>
            <w:tcW w:w="1293" w:type="dxa"/>
            <w:tcBorders>
              <w:top w:val="nil"/>
              <w:left w:val="nil"/>
              <w:bottom w:val="nil"/>
              <w:right w:val="nil"/>
            </w:tcBorders>
            <w:vAlign w:val="center"/>
            <w:hideMark/>
          </w:tcPr>
          <w:p w14:paraId="4D08AB9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p>
        </w:tc>
        <w:tc>
          <w:tcPr>
            <w:tcW w:w="1317" w:type="dxa"/>
            <w:tcBorders>
              <w:top w:val="nil"/>
              <w:left w:val="nil"/>
              <w:bottom w:val="nil"/>
              <w:right w:val="nil"/>
            </w:tcBorders>
            <w:vAlign w:val="center"/>
            <w:hideMark/>
          </w:tcPr>
          <w:p w14:paraId="60AC520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0</w:t>
            </w:r>
          </w:p>
        </w:tc>
        <w:tc>
          <w:tcPr>
            <w:tcW w:w="995" w:type="dxa"/>
            <w:tcBorders>
              <w:top w:val="nil"/>
              <w:left w:val="nil"/>
              <w:bottom w:val="nil"/>
              <w:right w:val="nil"/>
            </w:tcBorders>
            <w:vAlign w:val="center"/>
            <w:hideMark/>
          </w:tcPr>
          <w:p w14:paraId="4DD35532"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15</w:t>
            </w:r>
          </w:p>
        </w:tc>
      </w:tr>
      <w:tr w:rsidR="00510E80" w:rsidRPr="00CB4787" w14:paraId="129B1262" w14:textId="77777777" w:rsidTr="00CB4787">
        <w:trPr>
          <w:gridAfter w:val="1"/>
          <w:wAfter w:w="6" w:type="dxa"/>
          <w:trHeight w:val="300"/>
        </w:trPr>
        <w:tc>
          <w:tcPr>
            <w:tcW w:w="1080" w:type="dxa"/>
            <w:tcBorders>
              <w:top w:val="single" w:sz="4" w:space="0" w:color="auto"/>
              <w:left w:val="nil"/>
              <w:bottom w:val="single" w:sz="4" w:space="0" w:color="auto"/>
              <w:right w:val="nil"/>
            </w:tcBorders>
            <w:vAlign w:val="center"/>
            <w:hideMark/>
          </w:tcPr>
          <w:p w14:paraId="00A2FEE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TOTAL</w:t>
            </w:r>
          </w:p>
        </w:tc>
        <w:tc>
          <w:tcPr>
            <w:tcW w:w="1250" w:type="dxa"/>
            <w:tcBorders>
              <w:top w:val="single" w:sz="4" w:space="0" w:color="auto"/>
              <w:left w:val="nil"/>
              <w:bottom w:val="single" w:sz="4" w:space="0" w:color="auto"/>
              <w:right w:val="nil"/>
            </w:tcBorders>
            <w:vAlign w:val="center"/>
            <w:hideMark/>
          </w:tcPr>
          <w:p w14:paraId="0818F6C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 </w:t>
            </w:r>
          </w:p>
        </w:tc>
        <w:tc>
          <w:tcPr>
            <w:tcW w:w="1262" w:type="dxa"/>
            <w:tcBorders>
              <w:top w:val="single" w:sz="4" w:space="0" w:color="auto"/>
              <w:left w:val="nil"/>
              <w:bottom w:val="single" w:sz="4" w:space="0" w:color="auto"/>
              <w:right w:val="nil"/>
            </w:tcBorders>
            <w:vAlign w:val="center"/>
            <w:hideMark/>
          </w:tcPr>
          <w:p w14:paraId="40BEE4A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31</w:t>
            </w:r>
          </w:p>
        </w:tc>
        <w:tc>
          <w:tcPr>
            <w:tcW w:w="1293" w:type="dxa"/>
            <w:tcBorders>
              <w:top w:val="single" w:sz="4" w:space="0" w:color="auto"/>
              <w:left w:val="nil"/>
              <w:bottom w:val="single" w:sz="4" w:space="0" w:color="auto"/>
              <w:right w:val="nil"/>
            </w:tcBorders>
            <w:vAlign w:val="center"/>
            <w:hideMark/>
          </w:tcPr>
          <w:p w14:paraId="7656321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 </w:t>
            </w:r>
          </w:p>
        </w:tc>
        <w:tc>
          <w:tcPr>
            <w:tcW w:w="1325" w:type="dxa"/>
            <w:tcBorders>
              <w:top w:val="single" w:sz="4" w:space="0" w:color="auto"/>
              <w:left w:val="nil"/>
              <w:bottom w:val="single" w:sz="4" w:space="0" w:color="auto"/>
              <w:right w:val="nil"/>
            </w:tcBorders>
            <w:vAlign w:val="center"/>
            <w:hideMark/>
          </w:tcPr>
          <w:p w14:paraId="63CCA20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12</w:t>
            </w:r>
          </w:p>
        </w:tc>
        <w:tc>
          <w:tcPr>
            <w:tcW w:w="1293" w:type="dxa"/>
            <w:tcBorders>
              <w:top w:val="single" w:sz="4" w:space="0" w:color="auto"/>
              <w:left w:val="nil"/>
              <w:bottom w:val="single" w:sz="4" w:space="0" w:color="auto"/>
              <w:right w:val="nil"/>
            </w:tcBorders>
            <w:vAlign w:val="center"/>
            <w:hideMark/>
          </w:tcPr>
          <w:p w14:paraId="3C70C22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 </w:t>
            </w:r>
          </w:p>
        </w:tc>
        <w:tc>
          <w:tcPr>
            <w:tcW w:w="1317" w:type="dxa"/>
            <w:tcBorders>
              <w:top w:val="single" w:sz="4" w:space="0" w:color="auto"/>
              <w:left w:val="nil"/>
              <w:bottom w:val="single" w:sz="4" w:space="0" w:color="auto"/>
              <w:right w:val="nil"/>
            </w:tcBorders>
            <w:vAlign w:val="center"/>
            <w:hideMark/>
          </w:tcPr>
          <w:p w14:paraId="4CD63E2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7</w:t>
            </w:r>
          </w:p>
        </w:tc>
        <w:tc>
          <w:tcPr>
            <w:tcW w:w="995" w:type="dxa"/>
            <w:tcBorders>
              <w:top w:val="single" w:sz="4" w:space="0" w:color="auto"/>
              <w:left w:val="nil"/>
              <w:bottom w:val="single" w:sz="4" w:space="0" w:color="auto"/>
              <w:right w:val="nil"/>
            </w:tcBorders>
            <w:vAlign w:val="center"/>
            <w:hideMark/>
          </w:tcPr>
          <w:p w14:paraId="521BE132"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50</w:t>
            </w:r>
          </w:p>
        </w:tc>
      </w:tr>
    </w:tbl>
    <w:p w14:paraId="621CFD8F" w14:textId="77777777" w:rsidR="00510E80" w:rsidRDefault="00510E80" w:rsidP="00510E80">
      <w:pPr>
        <w:pStyle w:val="NormalWeb"/>
        <w:spacing w:after="0" w:afterAutospacing="0" w:line="480" w:lineRule="auto"/>
        <w:jc w:val="both"/>
        <w:rPr>
          <w:rFonts w:ascii="Arial" w:hAnsi="Arial" w:cs="Arial"/>
          <w:b/>
          <w:bCs/>
        </w:rPr>
      </w:pPr>
    </w:p>
    <w:p w14:paraId="0D384D7D" w14:textId="77777777" w:rsidR="00510E80" w:rsidRPr="00CB4787" w:rsidRDefault="00510E80" w:rsidP="00CB4787">
      <w:pPr>
        <w:pStyle w:val="NormalWeb"/>
        <w:spacing w:before="240" w:beforeAutospacing="0" w:after="240" w:afterAutospacing="0"/>
        <w:jc w:val="both"/>
        <w:rPr>
          <w:b/>
          <w:bCs/>
        </w:rPr>
      </w:pPr>
      <w:r w:rsidRPr="00CB4787">
        <w:rPr>
          <w:b/>
          <w:bCs/>
        </w:rPr>
        <w:t>Refined Instrument for Pilot Testing</w:t>
      </w:r>
    </w:p>
    <w:p w14:paraId="44017586" w14:textId="77777777" w:rsidR="00510E80" w:rsidRPr="00CB4787" w:rsidRDefault="00510E80" w:rsidP="00CB4787">
      <w:pPr>
        <w:pStyle w:val="NormalWeb"/>
        <w:spacing w:before="240" w:beforeAutospacing="0" w:after="240" w:afterAutospacing="0"/>
        <w:ind w:firstLine="720"/>
        <w:jc w:val="both"/>
        <w:rPr>
          <w:lang w:val="en-PH"/>
        </w:rPr>
      </w:pPr>
      <w:r w:rsidRPr="00CB4787">
        <w:rPr>
          <w:lang w:val="en-PH"/>
        </w:rPr>
        <w:t>Table 8 presents the 35 items that successfully passed the expert validation phase. These items, which achieved a perfect Content Validity Ratio (CVR) of 1.00, constitute the refined instrument used for the pilot testing conducted among 307 Grade 7 respondents.</w:t>
      </w:r>
    </w:p>
    <w:p w14:paraId="0706699A" w14:textId="77777777" w:rsidR="00510E80" w:rsidRPr="00CB4787" w:rsidRDefault="00510E80" w:rsidP="00CB4787">
      <w:pPr>
        <w:pStyle w:val="NormalWeb"/>
        <w:spacing w:before="240" w:beforeAutospacing="0" w:after="240" w:afterAutospacing="0"/>
        <w:ind w:firstLine="720"/>
        <w:jc w:val="both"/>
        <w:rPr>
          <w:lang w:val="en-PH"/>
        </w:rPr>
      </w:pPr>
      <w:r w:rsidRPr="00CB4787">
        <w:rPr>
          <w:lang w:val="en-PH"/>
        </w:rPr>
        <w:t>The distribution includes 20 items for Numbers and Algebra, eight (8) for Measures and Geometry, and seven (7) for Statistics and Probability. By retaining only those items with a CVR of 1.00, the overall Content Validity Index (CVI) of the tool increased from 0.784 to a perfect 1.00, ensuring the instrument's high content relevance before the final item analysis.</w:t>
      </w:r>
    </w:p>
    <w:p w14:paraId="1C0DFD35" w14:textId="77777777" w:rsidR="00510E80" w:rsidRDefault="00510E80" w:rsidP="00CB4787">
      <w:pPr>
        <w:pStyle w:val="NormalWeb"/>
        <w:spacing w:before="240" w:beforeAutospacing="0" w:after="240" w:afterAutospacing="0"/>
        <w:jc w:val="both"/>
        <w:rPr>
          <w:lang w:val="en-PH"/>
        </w:rPr>
      </w:pPr>
    </w:p>
    <w:p w14:paraId="6708B991" w14:textId="77777777" w:rsidR="00CB4787" w:rsidRDefault="00CB4787" w:rsidP="00CB4787">
      <w:pPr>
        <w:pStyle w:val="NormalWeb"/>
        <w:spacing w:before="240" w:beforeAutospacing="0" w:after="240" w:afterAutospacing="0"/>
        <w:jc w:val="both"/>
        <w:rPr>
          <w:lang w:val="en-PH"/>
        </w:rPr>
      </w:pPr>
    </w:p>
    <w:p w14:paraId="7A60AD38" w14:textId="77777777" w:rsidR="00CB4787" w:rsidRDefault="00CB4787" w:rsidP="00CB4787">
      <w:pPr>
        <w:pStyle w:val="NormalWeb"/>
        <w:spacing w:before="240" w:beforeAutospacing="0" w:after="240" w:afterAutospacing="0"/>
        <w:jc w:val="both"/>
        <w:rPr>
          <w:lang w:val="en-PH"/>
        </w:rPr>
      </w:pPr>
    </w:p>
    <w:p w14:paraId="271AF8B6" w14:textId="77777777" w:rsidR="00CB4787" w:rsidRPr="00CB4787" w:rsidRDefault="00CB4787" w:rsidP="00CB4787">
      <w:pPr>
        <w:pStyle w:val="NormalWeb"/>
        <w:spacing w:before="240" w:beforeAutospacing="0" w:after="240" w:afterAutospacing="0"/>
        <w:jc w:val="both"/>
        <w:rPr>
          <w:lang w:val="en-PH"/>
        </w:rPr>
      </w:pPr>
    </w:p>
    <w:p w14:paraId="5FB79FF0" w14:textId="77777777" w:rsidR="00510E80" w:rsidRPr="00CB4787" w:rsidRDefault="00510E80" w:rsidP="00CB4787">
      <w:pPr>
        <w:pStyle w:val="NormalWeb"/>
        <w:spacing w:before="240" w:beforeAutospacing="0" w:after="240" w:afterAutospacing="0"/>
        <w:jc w:val="both"/>
        <w:rPr>
          <w:b/>
          <w:bCs/>
          <w:lang w:val="en-PH"/>
        </w:rPr>
      </w:pPr>
      <w:r w:rsidRPr="00CB4787">
        <w:rPr>
          <w:b/>
          <w:bCs/>
          <w:lang w:val="en-PH"/>
        </w:rPr>
        <w:lastRenderedPageBreak/>
        <w:t xml:space="preserve">Table 8: </w:t>
      </w:r>
    </w:p>
    <w:p w14:paraId="227F912E" w14:textId="77777777" w:rsidR="00510E80" w:rsidRPr="00CB4787" w:rsidRDefault="00510E80" w:rsidP="00CB4787">
      <w:pPr>
        <w:pStyle w:val="NormalWeb"/>
        <w:spacing w:before="240" w:beforeAutospacing="0" w:after="240" w:afterAutospacing="0"/>
        <w:jc w:val="both"/>
        <w:rPr>
          <w:i/>
          <w:iCs/>
          <w:lang w:val="en-PH"/>
        </w:rPr>
      </w:pPr>
      <w:r w:rsidRPr="00CB4787">
        <w:rPr>
          <w:i/>
          <w:iCs/>
          <w:lang w:val="en-PH"/>
        </w:rPr>
        <w:t>Essential items selected for final pilot testing</w:t>
      </w:r>
    </w:p>
    <w:tbl>
      <w:tblPr>
        <w:tblW w:w="8340" w:type="dxa"/>
        <w:jc w:val="center"/>
        <w:tblLook w:val="04A0" w:firstRow="1" w:lastRow="0" w:firstColumn="1" w:lastColumn="0" w:noHBand="0" w:noVBand="1"/>
      </w:tblPr>
      <w:tblGrid>
        <w:gridCol w:w="1275"/>
        <w:gridCol w:w="1510"/>
        <w:gridCol w:w="1795"/>
        <w:gridCol w:w="1542"/>
        <w:gridCol w:w="722"/>
        <w:gridCol w:w="1496"/>
      </w:tblGrid>
      <w:tr w:rsidR="00510E80" w:rsidRPr="00CB4787" w14:paraId="0B41CFE8" w14:textId="77777777" w:rsidTr="00C010D0">
        <w:trPr>
          <w:trHeight w:val="870"/>
          <w:jc w:val="center"/>
        </w:trPr>
        <w:tc>
          <w:tcPr>
            <w:tcW w:w="1276" w:type="dxa"/>
            <w:tcBorders>
              <w:top w:val="single" w:sz="4" w:space="0" w:color="auto"/>
              <w:left w:val="nil"/>
              <w:bottom w:val="single" w:sz="4" w:space="0" w:color="auto"/>
              <w:right w:val="nil"/>
            </w:tcBorders>
            <w:vAlign w:val="center"/>
            <w:hideMark/>
          </w:tcPr>
          <w:p w14:paraId="12F1672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ITEM NUMBER</w:t>
            </w:r>
          </w:p>
        </w:tc>
        <w:tc>
          <w:tcPr>
            <w:tcW w:w="1524" w:type="dxa"/>
            <w:tcBorders>
              <w:top w:val="single" w:sz="4" w:space="0" w:color="auto"/>
              <w:left w:val="nil"/>
              <w:bottom w:val="single" w:sz="4" w:space="0" w:color="auto"/>
              <w:right w:val="nil"/>
            </w:tcBorders>
            <w:vAlign w:val="center"/>
            <w:hideMark/>
          </w:tcPr>
          <w:p w14:paraId="520E398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Not Necessary</w:t>
            </w:r>
          </w:p>
        </w:tc>
        <w:tc>
          <w:tcPr>
            <w:tcW w:w="1827" w:type="dxa"/>
            <w:tcBorders>
              <w:top w:val="single" w:sz="4" w:space="0" w:color="auto"/>
              <w:left w:val="nil"/>
              <w:bottom w:val="single" w:sz="4" w:space="0" w:color="auto"/>
              <w:right w:val="nil"/>
            </w:tcBorders>
            <w:vAlign w:val="center"/>
            <w:hideMark/>
          </w:tcPr>
          <w:p w14:paraId="06C1B00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Useful but not Essential</w:t>
            </w:r>
          </w:p>
        </w:tc>
        <w:tc>
          <w:tcPr>
            <w:tcW w:w="1563" w:type="dxa"/>
            <w:tcBorders>
              <w:top w:val="single" w:sz="4" w:space="0" w:color="auto"/>
              <w:left w:val="nil"/>
              <w:bottom w:val="single" w:sz="4" w:space="0" w:color="auto"/>
              <w:right w:val="nil"/>
            </w:tcBorders>
            <w:vAlign w:val="center"/>
            <w:hideMark/>
          </w:tcPr>
          <w:p w14:paraId="4F8B016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c>
          <w:tcPr>
            <w:tcW w:w="723" w:type="dxa"/>
            <w:tcBorders>
              <w:top w:val="single" w:sz="4" w:space="0" w:color="auto"/>
              <w:left w:val="nil"/>
              <w:bottom w:val="single" w:sz="4" w:space="0" w:color="auto"/>
              <w:right w:val="nil"/>
            </w:tcBorders>
            <w:vAlign w:val="center"/>
            <w:hideMark/>
          </w:tcPr>
          <w:p w14:paraId="22C1350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CVR</w:t>
            </w:r>
          </w:p>
        </w:tc>
        <w:tc>
          <w:tcPr>
            <w:tcW w:w="1427" w:type="dxa"/>
            <w:tcBorders>
              <w:top w:val="single" w:sz="4" w:space="0" w:color="auto"/>
              <w:left w:val="nil"/>
              <w:bottom w:val="single" w:sz="4" w:space="0" w:color="auto"/>
              <w:right w:val="nil"/>
            </w:tcBorders>
            <w:noWrap/>
            <w:vAlign w:val="center"/>
            <w:hideMark/>
          </w:tcPr>
          <w:p w14:paraId="691CA70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REMARKS</w:t>
            </w:r>
          </w:p>
        </w:tc>
      </w:tr>
      <w:tr w:rsidR="00510E80" w:rsidRPr="00CB4787" w14:paraId="643A6A07" w14:textId="77777777" w:rsidTr="00C010D0">
        <w:trPr>
          <w:trHeight w:val="290"/>
          <w:jc w:val="center"/>
        </w:trPr>
        <w:tc>
          <w:tcPr>
            <w:tcW w:w="8340" w:type="dxa"/>
            <w:gridSpan w:val="6"/>
            <w:tcBorders>
              <w:top w:val="single" w:sz="4" w:space="0" w:color="auto"/>
              <w:left w:val="nil"/>
              <w:bottom w:val="single" w:sz="4" w:space="0" w:color="auto"/>
              <w:right w:val="nil"/>
            </w:tcBorders>
            <w:vAlign w:val="center"/>
            <w:hideMark/>
          </w:tcPr>
          <w:p w14:paraId="76D1A882" w14:textId="77777777" w:rsidR="00510E80" w:rsidRPr="00CB4787" w:rsidRDefault="00510E80" w:rsidP="00C010D0">
            <w:pPr>
              <w:spacing w:after="0" w:line="240" w:lineRule="auto"/>
              <w:rPr>
                <w:rFonts w:ascii="Times New Roman" w:eastAsia="Times New Roman" w:hAnsi="Times New Roman" w:cs="Times New Roman"/>
                <w:b/>
                <w:bCs/>
                <w:color w:val="000000"/>
                <w:kern w:val="0"/>
                <w:lang w:val="en-PH" w:eastAsia="en-PH"/>
                <w14:ligatures w14:val="none"/>
              </w:rPr>
            </w:pPr>
            <w:r w:rsidRPr="00CB4787">
              <w:rPr>
                <w:rFonts w:ascii="Times New Roman" w:eastAsia="Times New Roman" w:hAnsi="Times New Roman" w:cs="Times New Roman"/>
                <w:b/>
                <w:bCs/>
                <w:color w:val="000000"/>
                <w:kern w:val="0"/>
                <w:lang w:val="en-PH" w:eastAsia="en-PH"/>
                <w14:ligatures w14:val="none"/>
              </w:rPr>
              <w:t>Numbers &amp; Algebra</w:t>
            </w:r>
          </w:p>
        </w:tc>
      </w:tr>
      <w:tr w:rsidR="00510E80" w:rsidRPr="00CB4787" w14:paraId="1089EA80" w14:textId="77777777" w:rsidTr="00C010D0">
        <w:trPr>
          <w:trHeight w:val="290"/>
          <w:jc w:val="center"/>
        </w:trPr>
        <w:tc>
          <w:tcPr>
            <w:tcW w:w="1276" w:type="dxa"/>
            <w:tcBorders>
              <w:top w:val="nil"/>
              <w:left w:val="nil"/>
              <w:bottom w:val="nil"/>
              <w:right w:val="nil"/>
            </w:tcBorders>
            <w:vAlign w:val="center"/>
            <w:hideMark/>
          </w:tcPr>
          <w:p w14:paraId="3002707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w:t>
            </w:r>
          </w:p>
        </w:tc>
        <w:tc>
          <w:tcPr>
            <w:tcW w:w="1524" w:type="dxa"/>
            <w:tcBorders>
              <w:top w:val="nil"/>
              <w:left w:val="nil"/>
              <w:bottom w:val="nil"/>
              <w:right w:val="nil"/>
            </w:tcBorders>
            <w:vAlign w:val="center"/>
            <w:hideMark/>
          </w:tcPr>
          <w:p w14:paraId="68A1BB4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1F9B880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2CBDAB6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365D09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73FEC9A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611EE2B2" w14:textId="77777777" w:rsidTr="00C010D0">
        <w:trPr>
          <w:trHeight w:val="290"/>
          <w:jc w:val="center"/>
        </w:trPr>
        <w:tc>
          <w:tcPr>
            <w:tcW w:w="1276" w:type="dxa"/>
            <w:tcBorders>
              <w:top w:val="nil"/>
              <w:left w:val="nil"/>
              <w:bottom w:val="nil"/>
              <w:right w:val="nil"/>
            </w:tcBorders>
            <w:vAlign w:val="center"/>
            <w:hideMark/>
          </w:tcPr>
          <w:p w14:paraId="15F5EF3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2</w:t>
            </w:r>
          </w:p>
        </w:tc>
        <w:tc>
          <w:tcPr>
            <w:tcW w:w="1524" w:type="dxa"/>
            <w:tcBorders>
              <w:top w:val="nil"/>
              <w:left w:val="nil"/>
              <w:bottom w:val="nil"/>
              <w:right w:val="nil"/>
            </w:tcBorders>
            <w:vAlign w:val="center"/>
            <w:hideMark/>
          </w:tcPr>
          <w:p w14:paraId="16E6EC1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33FC29C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6BDAFDE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4B4B352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F42CF7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3F217B40" w14:textId="77777777" w:rsidTr="00C010D0">
        <w:trPr>
          <w:trHeight w:val="290"/>
          <w:jc w:val="center"/>
        </w:trPr>
        <w:tc>
          <w:tcPr>
            <w:tcW w:w="1276" w:type="dxa"/>
            <w:tcBorders>
              <w:top w:val="nil"/>
              <w:left w:val="nil"/>
              <w:bottom w:val="nil"/>
              <w:right w:val="nil"/>
            </w:tcBorders>
            <w:vAlign w:val="center"/>
            <w:hideMark/>
          </w:tcPr>
          <w:p w14:paraId="78EBC34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w:t>
            </w:r>
          </w:p>
        </w:tc>
        <w:tc>
          <w:tcPr>
            <w:tcW w:w="1524" w:type="dxa"/>
            <w:tcBorders>
              <w:top w:val="nil"/>
              <w:left w:val="nil"/>
              <w:bottom w:val="nil"/>
              <w:right w:val="nil"/>
            </w:tcBorders>
            <w:vAlign w:val="center"/>
            <w:hideMark/>
          </w:tcPr>
          <w:p w14:paraId="07AF0A8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6133BC9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18D643F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EF96E0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71FE2D6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D9CFA88" w14:textId="77777777" w:rsidTr="00C010D0">
        <w:trPr>
          <w:trHeight w:val="290"/>
          <w:jc w:val="center"/>
        </w:trPr>
        <w:tc>
          <w:tcPr>
            <w:tcW w:w="1276" w:type="dxa"/>
            <w:tcBorders>
              <w:top w:val="nil"/>
              <w:left w:val="nil"/>
              <w:bottom w:val="nil"/>
              <w:right w:val="nil"/>
            </w:tcBorders>
            <w:vAlign w:val="center"/>
            <w:hideMark/>
          </w:tcPr>
          <w:p w14:paraId="0282193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5</w:t>
            </w:r>
          </w:p>
        </w:tc>
        <w:tc>
          <w:tcPr>
            <w:tcW w:w="1524" w:type="dxa"/>
            <w:tcBorders>
              <w:top w:val="nil"/>
              <w:left w:val="nil"/>
              <w:bottom w:val="nil"/>
              <w:right w:val="nil"/>
            </w:tcBorders>
            <w:vAlign w:val="center"/>
            <w:hideMark/>
          </w:tcPr>
          <w:p w14:paraId="540D6FE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28BABF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6352186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5F7ED4D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FB77F5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9127BFC" w14:textId="77777777" w:rsidTr="00C010D0">
        <w:trPr>
          <w:trHeight w:val="290"/>
          <w:jc w:val="center"/>
        </w:trPr>
        <w:tc>
          <w:tcPr>
            <w:tcW w:w="1276" w:type="dxa"/>
            <w:tcBorders>
              <w:top w:val="nil"/>
              <w:left w:val="nil"/>
              <w:bottom w:val="nil"/>
              <w:right w:val="nil"/>
            </w:tcBorders>
            <w:vAlign w:val="center"/>
            <w:hideMark/>
          </w:tcPr>
          <w:p w14:paraId="6A4409A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6</w:t>
            </w:r>
          </w:p>
        </w:tc>
        <w:tc>
          <w:tcPr>
            <w:tcW w:w="1524" w:type="dxa"/>
            <w:tcBorders>
              <w:top w:val="nil"/>
              <w:left w:val="nil"/>
              <w:bottom w:val="nil"/>
              <w:right w:val="nil"/>
            </w:tcBorders>
            <w:vAlign w:val="center"/>
            <w:hideMark/>
          </w:tcPr>
          <w:p w14:paraId="4F3301C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72D79B9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5478AC1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346F166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4BBF0D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2D17A56B" w14:textId="77777777" w:rsidTr="00C010D0">
        <w:trPr>
          <w:trHeight w:val="290"/>
          <w:jc w:val="center"/>
        </w:trPr>
        <w:tc>
          <w:tcPr>
            <w:tcW w:w="1276" w:type="dxa"/>
            <w:tcBorders>
              <w:top w:val="nil"/>
              <w:left w:val="nil"/>
              <w:bottom w:val="nil"/>
              <w:right w:val="nil"/>
            </w:tcBorders>
            <w:vAlign w:val="center"/>
            <w:hideMark/>
          </w:tcPr>
          <w:p w14:paraId="352B484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7</w:t>
            </w:r>
          </w:p>
        </w:tc>
        <w:tc>
          <w:tcPr>
            <w:tcW w:w="1524" w:type="dxa"/>
            <w:tcBorders>
              <w:top w:val="nil"/>
              <w:left w:val="nil"/>
              <w:bottom w:val="nil"/>
              <w:right w:val="nil"/>
            </w:tcBorders>
            <w:vAlign w:val="center"/>
            <w:hideMark/>
          </w:tcPr>
          <w:p w14:paraId="58802AC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47F4DD9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17E6D66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DBB3B3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62DC00C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0FA5FD3C" w14:textId="77777777" w:rsidTr="00C010D0">
        <w:trPr>
          <w:trHeight w:val="290"/>
          <w:jc w:val="center"/>
        </w:trPr>
        <w:tc>
          <w:tcPr>
            <w:tcW w:w="1276" w:type="dxa"/>
            <w:tcBorders>
              <w:top w:val="nil"/>
              <w:left w:val="nil"/>
              <w:bottom w:val="nil"/>
              <w:right w:val="nil"/>
            </w:tcBorders>
            <w:vAlign w:val="center"/>
            <w:hideMark/>
          </w:tcPr>
          <w:p w14:paraId="7F31D7C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8</w:t>
            </w:r>
          </w:p>
        </w:tc>
        <w:tc>
          <w:tcPr>
            <w:tcW w:w="1524" w:type="dxa"/>
            <w:tcBorders>
              <w:top w:val="nil"/>
              <w:left w:val="nil"/>
              <w:bottom w:val="nil"/>
              <w:right w:val="nil"/>
            </w:tcBorders>
            <w:vAlign w:val="center"/>
            <w:hideMark/>
          </w:tcPr>
          <w:p w14:paraId="362EF7C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42E57AD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78A7791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4BDDCE3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73CB98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2FFEA559" w14:textId="77777777" w:rsidTr="00C010D0">
        <w:trPr>
          <w:trHeight w:val="290"/>
          <w:jc w:val="center"/>
        </w:trPr>
        <w:tc>
          <w:tcPr>
            <w:tcW w:w="1276" w:type="dxa"/>
            <w:tcBorders>
              <w:top w:val="nil"/>
              <w:left w:val="nil"/>
              <w:bottom w:val="nil"/>
              <w:right w:val="nil"/>
            </w:tcBorders>
            <w:vAlign w:val="center"/>
            <w:hideMark/>
          </w:tcPr>
          <w:p w14:paraId="6DF0991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w:t>
            </w:r>
          </w:p>
        </w:tc>
        <w:tc>
          <w:tcPr>
            <w:tcW w:w="1524" w:type="dxa"/>
            <w:tcBorders>
              <w:top w:val="nil"/>
              <w:left w:val="nil"/>
              <w:bottom w:val="nil"/>
              <w:right w:val="nil"/>
            </w:tcBorders>
            <w:vAlign w:val="center"/>
            <w:hideMark/>
          </w:tcPr>
          <w:p w14:paraId="422D432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D76BDB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2F59AB7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1E13C9B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782EA1B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65B3100B" w14:textId="77777777" w:rsidTr="00C010D0">
        <w:trPr>
          <w:trHeight w:val="290"/>
          <w:jc w:val="center"/>
        </w:trPr>
        <w:tc>
          <w:tcPr>
            <w:tcW w:w="1276" w:type="dxa"/>
            <w:tcBorders>
              <w:top w:val="nil"/>
              <w:left w:val="nil"/>
              <w:bottom w:val="nil"/>
              <w:right w:val="nil"/>
            </w:tcBorders>
            <w:vAlign w:val="center"/>
            <w:hideMark/>
          </w:tcPr>
          <w:p w14:paraId="571A264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12</w:t>
            </w:r>
          </w:p>
        </w:tc>
        <w:tc>
          <w:tcPr>
            <w:tcW w:w="1524" w:type="dxa"/>
            <w:tcBorders>
              <w:top w:val="nil"/>
              <w:left w:val="nil"/>
              <w:bottom w:val="nil"/>
              <w:right w:val="nil"/>
            </w:tcBorders>
            <w:vAlign w:val="center"/>
            <w:hideMark/>
          </w:tcPr>
          <w:p w14:paraId="213ADDD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6A5E34F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3B238F4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5E3B4CB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3FAC06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3DE7A794" w14:textId="77777777" w:rsidTr="00C010D0">
        <w:trPr>
          <w:trHeight w:val="290"/>
          <w:jc w:val="center"/>
        </w:trPr>
        <w:tc>
          <w:tcPr>
            <w:tcW w:w="1276" w:type="dxa"/>
            <w:tcBorders>
              <w:top w:val="nil"/>
              <w:left w:val="nil"/>
              <w:bottom w:val="nil"/>
              <w:right w:val="nil"/>
            </w:tcBorders>
            <w:vAlign w:val="center"/>
            <w:hideMark/>
          </w:tcPr>
          <w:p w14:paraId="217B68C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13</w:t>
            </w:r>
          </w:p>
        </w:tc>
        <w:tc>
          <w:tcPr>
            <w:tcW w:w="1524" w:type="dxa"/>
            <w:tcBorders>
              <w:top w:val="nil"/>
              <w:left w:val="nil"/>
              <w:bottom w:val="nil"/>
              <w:right w:val="nil"/>
            </w:tcBorders>
            <w:vAlign w:val="center"/>
            <w:hideMark/>
          </w:tcPr>
          <w:p w14:paraId="166FCB5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9D8F77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739B4E4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2817BC4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319F0DF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1F4CEAEE" w14:textId="77777777" w:rsidTr="00C010D0">
        <w:trPr>
          <w:trHeight w:val="290"/>
          <w:jc w:val="center"/>
        </w:trPr>
        <w:tc>
          <w:tcPr>
            <w:tcW w:w="1276" w:type="dxa"/>
            <w:tcBorders>
              <w:top w:val="nil"/>
              <w:left w:val="nil"/>
              <w:bottom w:val="nil"/>
              <w:right w:val="nil"/>
            </w:tcBorders>
            <w:vAlign w:val="center"/>
            <w:hideMark/>
          </w:tcPr>
          <w:p w14:paraId="7B14B35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15</w:t>
            </w:r>
          </w:p>
        </w:tc>
        <w:tc>
          <w:tcPr>
            <w:tcW w:w="1524" w:type="dxa"/>
            <w:tcBorders>
              <w:top w:val="nil"/>
              <w:left w:val="nil"/>
              <w:bottom w:val="nil"/>
              <w:right w:val="nil"/>
            </w:tcBorders>
            <w:vAlign w:val="center"/>
            <w:hideMark/>
          </w:tcPr>
          <w:p w14:paraId="643174A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8565A7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3D9F2A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5B3EE5E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707BF9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4F58BC27" w14:textId="77777777" w:rsidTr="00C010D0">
        <w:trPr>
          <w:trHeight w:val="290"/>
          <w:jc w:val="center"/>
        </w:trPr>
        <w:tc>
          <w:tcPr>
            <w:tcW w:w="1276" w:type="dxa"/>
            <w:tcBorders>
              <w:top w:val="nil"/>
              <w:left w:val="nil"/>
              <w:bottom w:val="nil"/>
              <w:right w:val="nil"/>
            </w:tcBorders>
            <w:vAlign w:val="center"/>
            <w:hideMark/>
          </w:tcPr>
          <w:p w14:paraId="64DD6A5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16</w:t>
            </w:r>
          </w:p>
        </w:tc>
        <w:tc>
          <w:tcPr>
            <w:tcW w:w="1524" w:type="dxa"/>
            <w:tcBorders>
              <w:top w:val="nil"/>
              <w:left w:val="nil"/>
              <w:bottom w:val="nil"/>
              <w:right w:val="nil"/>
            </w:tcBorders>
            <w:vAlign w:val="center"/>
            <w:hideMark/>
          </w:tcPr>
          <w:p w14:paraId="1D45D9E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1BC48F1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5EB3277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19FE21E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45685A3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B357B88" w14:textId="77777777" w:rsidTr="00C010D0">
        <w:trPr>
          <w:trHeight w:val="290"/>
          <w:jc w:val="center"/>
        </w:trPr>
        <w:tc>
          <w:tcPr>
            <w:tcW w:w="1276" w:type="dxa"/>
            <w:tcBorders>
              <w:top w:val="nil"/>
              <w:left w:val="nil"/>
              <w:bottom w:val="nil"/>
              <w:right w:val="nil"/>
            </w:tcBorders>
            <w:vAlign w:val="center"/>
            <w:hideMark/>
          </w:tcPr>
          <w:p w14:paraId="1A37006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17</w:t>
            </w:r>
          </w:p>
        </w:tc>
        <w:tc>
          <w:tcPr>
            <w:tcW w:w="1524" w:type="dxa"/>
            <w:tcBorders>
              <w:top w:val="nil"/>
              <w:left w:val="nil"/>
              <w:bottom w:val="nil"/>
              <w:right w:val="nil"/>
            </w:tcBorders>
            <w:vAlign w:val="center"/>
            <w:hideMark/>
          </w:tcPr>
          <w:p w14:paraId="4B17604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AD4B2F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2CE1C82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CC7682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38F2F1D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034BA808" w14:textId="77777777" w:rsidTr="00C010D0">
        <w:trPr>
          <w:trHeight w:val="290"/>
          <w:jc w:val="center"/>
        </w:trPr>
        <w:tc>
          <w:tcPr>
            <w:tcW w:w="1276" w:type="dxa"/>
            <w:tcBorders>
              <w:top w:val="nil"/>
              <w:left w:val="nil"/>
              <w:bottom w:val="nil"/>
              <w:right w:val="nil"/>
            </w:tcBorders>
            <w:vAlign w:val="center"/>
            <w:hideMark/>
          </w:tcPr>
          <w:p w14:paraId="2DD0FED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18</w:t>
            </w:r>
          </w:p>
        </w:tc>
        <w:tc>
          <w:tcPr>
            <w:tcW w:w="1524" w:type="dxa"/>
            <w:tcBorders>
              <w:top w:val="nil"/>
              <w:left w:val="nil"/>
              <w:bottom w:val="nil"/>
              <w:right w:val="nil"/>
            </w:tcBorders>
            <w:vAlign w:val="center"/>
            <w:hideMark/>
          </w:tcPr>
          <w:p w14:paraId="45CDC0F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0171BB4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32A2E9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44A3F9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F77001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4FC13A6" w14:textId="77777777" w:rsidTr="00C010D0">
        <w:trPr>
          <w:trHeight w:val="290"/>
          <w:jc w:val="center"/>
        </w:trPr>
        <w:tc>
          <w:tcPr>
            <w:tcW w:w="1276" w:type="dxa"/>
            <w:tcBorders>
              <w:top w:val="nil"/>
              <w:left w:val="nil"/>
              <w:bottom w:val="nil"/>
              <w:right w:val="nil"/>
            </w:tcBorders>
            <w:vAlign w:val="center"/>
            <w:hideMark/>
          </w:tcPr>
          <w:p w14:paraId="0879F95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19</w:t>
            </w:r>
          </w:p>
        </w:tc>
        <w:tc>
          <w:tcPr>
            <w:tcW w:w="1524" w:type="dxa"/>
            <w:tcBorders>
              <w:top w:val="nil"/>
              <w:left w:val="nil"/>
              <w:bottom w:val="nil"/>
              <w:right w:val="nil"/>
            </w:tcBorders>
            <w:vAlign w:val="center"/>
            <w:hideMark/>
          </w:tcPr>
          <w:p w14:paraId="4A5EA46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BD58CD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3A894D6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406B49D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6EFC029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2A0C0B3B" w14:textId="77777777" w:rsidTr="00C010D0">
        <w:trPr>
          <w:trHeight w:val="290"/>
          <w:jc w:val="center"/>
        </w:trPr>
        <w:tc>
          <w:tcPr>
            <w:tcW w:w="1276" w:type="dxa"/>
            <w:tcBorders>
              <w:top w:val="nil"/>
              <w:left w:val="nil"/>
              <w:bottom w:val="nil"/>
              <w:right w:val="nil"/>
            </w:tcBorders>
            <w:vAlign w:val="center"/>
            <w:hideMark/>
          </w:tcPr>
          <w:p w14:paraId="658ABB8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24</w:t>
            </w:r>
          </w:p>
        </w:tc>
        <w:tc>
          <w:tcPr>
            <w:tcW w:w="1524" w:type="dxa"/>
            <w:tcBorders>
              <w:top w:val="nil"/>
              <w:left w:val="nil"/>
              <w:bottom w:val="nil"/>
              <w:right w:val="nil"/>
            </w:tcBorders>
            <w:vAlign w:val="center"/>
            <w:hideMark/>
          </w:tcPr>
          <w:p w14:paraId="1648AC9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7D11FD6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363490B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199FE2C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5CC4F5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62A0A7A1" w14:textId="77777777" w:rsidTr="00C010D0">
        <w:trPr>
          <w:trHeight w:val="290"/>
          <w:jc w:val="center"/>
        </w:trPr>
        <w:tc>
          <w:tcPr>
            <w:tcW w:w="1276" w:type="dxa"/>
            <w:tcBorders>
              <w:top w:val="nil"/>
              <w:left w:val="nil"/>
              <w:bottom w:val="nil"/>
              <w:right w:val="nil"/>
            </w:tcBorders>
            <w:vAlign w:val="center"/>
            <w:hideMark/>
          </w:tcPr>
          <w:p w14:paraId="2B17956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27</w:t>
            </w:r>
          </w:p>
        </w:tc>
        <w:tc>
          <w:tcPr>
            <w:tcW w:w="1524" w:type="dxa"/>
            <w:tcBorders>
              <w:top w:val="nil"/>
              <w:left w:val="nil"/>
              <w:bottom w:val="nil"/>
              <w:right w:val="nil"/>
            </w:tcBorders>
            <w:vAlign w:val="center"/>
            <w:hideMark/>
          </w:tcPr>
          <w:p w14:paraId="42CA4D8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660D231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2107E42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46C95C6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35E9BA6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429B1FCD" w14:textId="77777777" w:rsidTr="00C010D0">
        <w:trPr>
          <w:trHeight w:val="290"/>
          <w:jc w:val="center"/>
        </w:trPr>
        <w:tc>
          <w:tcPr>
            <w:tcW w:w="1276" w:type="dxa"/>
            <w:tcBorders>
              <w:top w:val="nil"/>
              <w:left w:val="nil"/>
              <w:bottom w:val="nil"/>
              <w:right w:val="nil"/>
            </w:tcBorders>
            <w:vAlign w:val="center"/>
            <w:hideMark/>
          </w:tcPr>
          <w:p w14:paraId="484BBDC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28</w:t>
            </w:r>
          </w:p>
        </w:tc>
        <w:tc>
          <w:tcPr>
            <w:tcW w:w="1524" w:type="dxa"/>
            <w:tcBorders>
              <w:top w:val="nil"/>
              <w:left w:val="nil"/>
              <w:bottom w:val="nil"/>
              <w:right w:val="nil"/>
            </w:tcBorders>
            <w:vAlign w:val="center"/>
            <w:hideMark/>
          </w:tcPr>
          <w:p w14:paraId="1CBB6F0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D9F382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403B385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3AED569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3E1EE74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097AEF2F" w14:textId="77777777" w:rsidTr="00C010D0">
        <w:trPr>
          <w:trHeight w:val="290"/>
          <w:jc w:val="center"/>
        </w:trPr>
        <w:tc>
          <w:tcPr>
            <w:tcW w:w="1276" w:type="dxa"/>
            <w:tcBorders>
              <w:top w:val="nil"/>
              <w:left w:val="nil"/>
              <w:bottom w:val="nil"/>
              <w:right w:val="nil"/>
            </w:tcBorders>
            <w:vAlign w:val="center"/>
            <w:hideMark/>
          </w:tcPr>
          <w:p w14:paraId="541FDE3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29</w:t>
            </w:r>
          </w:p>
        </w:tc>
        <w:tc>
          <w:tcPr>
            <w:tcW w:w="1524" w:type="dxa"/>
            <w:tcBorders>
              <w:top w:val="nil"/>
              <w:left w:val="nil"/>
              <w:bottom w:val="nil"/>
              <w:right w:val="nil"/>
            </w:tcBorders>
            <w:vAlign w:val="center"/>
            <w:hideMark/>
          </w:tcPr>
          <w:p w14:paraId="659D405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CBA51A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72DC2E4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3E8C1E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3644A1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28CD512E" w14:textId="77777777" w:rsidTr="00C010D0">
        <w:trPr>
          <w:trHeight w:val="290"/>
          <w:jc w:val="center"/>
        </w:trPr>
        <w:tc>
          <w:tcPr>
            <w:tcW w:w="1276" w:type="dxa"/>
            <w:tcBorders>
              <w:top w:val="nil"/>
              <w:left w:val="nil"/>
              <w:bottom w:val="nil"/>
              <w:right w:val="nil"/>
            </w:tcBorders>
            <w:vAlign w:val="center"/>
            <w:hideMark/>
          </w:tcPr>
          <w:p w14:paraId="4C36929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31</w:t>
            </w:r>
          </w:p>
        </w:tc>
        <w:tc>
          <w:tcPr>
            <w:tcW w:w="1524" w:type="dxa"/>
            <w:tcBorders>
              <w:top w:val="nil"/>
              <w:left w:val="nil"/>
              <w:bottom w:val="nil"/>
              <w:right w:val="nil"/>
            </w:tcBorders>
            <w:vAlign w:val="center"/>
            <w:hideMark/>
          </w:tcPr>
          <w:p w14:paraId="64A2DE1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72EB80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36579E3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5A5CA4F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F31E93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6944D744" w14:textId="77777777" w:rsidTr="00C010D0">
        <w:trPr>
          <w:trHeight w:val="290"/>
          <w:jc w:val="center"/>
        </w:trPr>
        <w:tc>
          <w:tcPr>
            <w:tcW w:w="8340" w:type="dxa"/>
            <w:gridSpan w:val="6"/>
            <w:tcBorders>
              <w:top w:val="single" w:sz="4" w:space="0" w:color="auto"/>
              <w:left w:val="nil"/>
              <w:bottom w:val="single" w:sz="4" w:space="0" w:color="auto"/>
              <w:right w:val="nil"/>
            </w:tcBorders>
            <w:vAlign w:val="center"/>
            <w:hideMark/>
          </w:tcPr>
          <w:p w14:paraId="67B015E5" w14:textId="77777777" w:rsidR="00510E80" w:rsidRPr="00CB4787" w:rsidRDefault="00510E80" w:rsidP="00C010D0">
            <w:pPr>
              <w:spacing w:after="0" w:line="240" w:lineRule="auto"/>
              <w:rPr>
                <w:rFonts w:ascii="Times New Roman" w:eastAsia="Times New Roman" w:hAnsi="Times New Roman" w:cs="Times New Roman"/>
                <w:b/>
                <w:bCs/>
                <w:color w:val="000000"/>
                <w:kern w:val="0"/>
                <w:lang w:val="en-PH" w:eastAsia="en-PH"/>
                <w14:ligatures w14:val="none"/>
              </w:rPr>
            </w:pPr>
            <w:r w:rsidRPr="00CB4787">
              <w:rPr>
                <w:rFonts w:ascii="Times New Roman" w:eastAsia="Times New Roman" w:hAnsi="Times New Roman" w:cs="Times New Roman"/>
                <w:b/>
                <w:bCs/>
                <w:color w:val="000000"/>
                <w:kern w:val="0"/>
                <w:lang w:val="en-PH" w:eastAsia="en-PH"/>
                <w14:ligatures w14:val="none"/>
              </w:rPr>
              <w:t>Measures &amp; Geometry</w:t>
            </w:r>
          </w:p>
        </w:tc>
      </w:tr>
      <w:tr w:rsidR="00510E80" w:rsidRPr="00CB4787" w14:paraId="7EBAB499" w14:textId="77777777" w:rsidTr="00C010D0">
        <w:trPr>
          <w:trHeight w:val="290"/>
          <w:jc w:val="center"/>
        </w:trPr>
        <w:tc>
          <w:tcPr>
            <w:tcW w:w="1276" w:type="dxa"/>
            <w:tcBorders>
              <w:top w:val="nil"/>
              <w:left w:val="nil"/>
              <w:bottom w:val="nil"/>
              <w:right w:val="nil"/>
            </w:tcBorders>
            <w:vAlign w:val="center"/>
            <w:hideMark/>
          </w:tcPr>
          <w:p w14:paraId="11034D2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33</w:t>
            </w:r>
          </w:p>
        </w:tc>
        <w:tc>
          <w:tcPr>
            <w:tcW w:w="1524" w:type="dxa"/>
            <w:tcBorders>
              <w:top w:val="nil"/>
              <w:left w:val="nil"/>
              <w:bottom w:val="nil"/>
              <w:right w:val="nil"/>
            </w:tcBorders>
            <w:vAlign w:val="center"/>
            <w:hideMark/>
          </w:tcPr>
          <w:p w14:paraId="46B4B2C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1D3A762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66D44A9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793DEC6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57A20C3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762FCE17" w14:textId="77777777" w:rsidTr="00C010D0">
        <w:trPr>
          <w:trHeight w:val="290"/>
          <w:jc w:val="center"/>
        </w:trPr>
        <w:tc>
          <w:tcPr>
            <w:tcW w:w="1276" w:type="dxa"/>
            <w:tcBorders>
              <w:top w:val="nil"/>
              <w:left w:val="nil"/>
              <w:bottom w:val="nil"/>
              <w:right w:val="nil"/>
            </w:tcBorders>
            <w:vAlign w:val="center"/>
            <w:hideMark/>
          </w:tcPr>
          <w:p w14:paraId="5BAF5B0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34</w:t>
            </w:r>
          </w:p>
        </w:tc>
        <w:tc>
          <w:tcPr>
            <w:tcW w:w="1524" w:type="dxa"/>
            <w:tcBorders>
              <w:top w:val="nil"/>
              <w:left w:val="nil"/>
              <w:bottom w:val="nil"/>
              <w:right w:val="nil"/>
            </w:tcBorders>
            <w:vAlign w:val="center"/>
            <w:hideMark/>
          </w:tcPr>
          <w:p w14:paraId="7142EDE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FAEC8F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5F61396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2FE3CD5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5148F01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107C5B5E" w14:textId="77777777" w:rsidTr="00C010D0">
        <w:trPr>
          <w:trHeight w:val="290"/>
          <w:jc w:val="center"/>
        </w:trPr>
        <w:tc>
          <w:tcPr>
            <w:tcW w:w="1276" w:type="dxa"/>
            <w:tcBorders>
              <w:top w:val="nil"/>
              <w:left w:val="nil"/>
              <w:bottom w:val="nil"/>
              <w:right w:val="nil"/>
            </w:tcBorders>
            <w:vAlign w:val="center"/>
            <w:hideMark/>
          </w:tcPr>
          <w:p w14:paraId="23022E7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35</w:t>
            </w:r>
          </w:p>
        </w:tc>
        <w:tc>
          <w:tcPr>
            <w:tcW w:w="1524" w:type="dxa"/>
            <w:tcBorders>
              <w:top w:val="nil"/>
              <w:left w:val="nil"/>
              <w:bottom w:val="nil"/>
              <w:right w:val="nil"/>
            </w:tcBorders>
            <w:vAlign w:val="center"/>
            <w:hideMark/>
          </w:tcPr>
          <w:p w14:paraId="25BE14B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082D061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424EC1B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26AA03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2F92095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4C17E239" w14:textId="77777777" w:rsidTr="00C010D0">
        <w:trPr>
          <w:trHeight w:val="290"/>
          <w:jc w:val="center"/>
        </w:trPr>
        <w:tc>
          <w:tcPr>
            <w:tcW w:w="1276" w:type="dxa"/>
            <w:tcBorders>
              <w:top w:val="nil"/>
              <w:left w:val="nil"/>
              <w:bottom w:val="nil"/>
              <w:right w:val="nil"/>
            </w:tcBorders>
            <w:vAlign w:val="center"/>
            <w:hideMark/>
          </w:tcPr>
          <w:p w14:paraId="0DC9F10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38</w:t>
            </w:r>
          </w:p>
        </w:tc>
        <w:tc>
          <w:tcPr>
            <w:tcW w:w="1524" w:type="dxa"/>
            <w:tcBorders>
              <w:top w:val="nil"/>
              <w:left w:val="nil"/>
              <w:bottom w:val="nil"/>
              <w:right w:val="nil"/>
            </w:tcBorders>
            <w:vAlign w:val="center"/>
            <w:hideMark/>
          </w:tcPr>
          <w:p w14:paraId="173159A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B489AD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B6998D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D18CB9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6B4834A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4DC53674" w14:textId="77777777" w:rsidTr="00C010D0">
        <w:trPr>
          <w:trHeight w:val="290"/>
          <w:jc w:val="center"/>
        </w:trPr>
        <w:tc>
          <w:tcPr>
            <w:tcW w:w="1276" w:type="dxa"/>
            <w:tcBorders>
              <w:top w:val="nil"/>
              <w:left w:val="nil"/>
              <w:bottom w:val="nil"/>
              <w:right w:val="nil"/>
            </w:tcBorders>
            <w:vAlign w:val="center"/>
            <w:hideMark/>
          </w:tcPr>
          <w:p w14:paraId="4B4E878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39</w:t>
            </w:r>
          </w:p>
        </w:tc>
        <w:tc>
          <w:tcPr>
            <w:tcW w:w="1524" w:type="dxa"/>
            <w:tcBorders>
              <w:top w:val="nil"/>
              <w:left w:val="nil"/>
              <w:bottom w:val="nil"/>
              <w:right w:val="nil"/>
            </w:tcBorders>
            <w:vAlign w:val="center"/>
            <w:hideMark/>
          </w:tcPr>
          <w:p w14:paraId="1EB2830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4158E7A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ABCACAC"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338E74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390D496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08A46009" w14:textId="77777777" w:rsidTr="00C010D0">
        <w:trPr>
          <w:trHeight w:val="290"/>
          <w:jc w:val="center"/>
        </w:trPr>
        <w:tc>
          <w:tcPr>
            <w:tcW w:w="1276" w:type="dxa"/>
            <w:tcBorders>
              <w:top w:val="nil"/>
              <w:left w:val="nil"/>
              <w:bottom w:val="nil"/>
              <w:right w:val="nil"/>
            </w:tcBorders>
            <w:vAlign w:val="center"/>
            <w:hideMark/>
          </w:tcPr>
          <w:p w14:paraId="21C6E8A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40</w:t>
            </w:r>
          </w:p>
        </w:tc>
        <w:tc>
          <w:tcPr>
            <w:tcW w:w="1524" w:type="dxa"/>
            <w:tcBorders>
              <w:top w:val="nil"/>
              <w:left w:val="nil"/>
              <w:bottom w:val="nil"/>
              <w:right w:val="nil"/>
            </w:tcBorders>
            <w:vAlign w:val="center"/>
            <w:hideMark/>
          </w:tcPr>
          <w:p w14:paraId="66D8AA8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112148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4DA9FD3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D6525F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7C6D500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72D6CF2C" w14:textId="77777777" w:rsidTr="00C010D0">
        <w:trPr>
          <w:trHeight w:val="290"/>
          <w:jc w:val="center"/>
        </w:trPr>
        <w:tc>
          <w:tcPr>
            <w:tcW w:w="1276" w:type="dxa"/>
            <w:tcBorders>
              <w:top w:val="nil"/>
              <w:left w:val="nil"/>
              <w:bottom w:val="nil"/>
              <w:right w:val="nil"/>
            </w:tcBorders>
            <w:vAlign w:val="center"/>
            <w:hideMark/>
          </w:tcPr>
          <w:p w14:paraId="2504E90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41</w:t>
            </w:r>
          </w:p>
        </w:tc>
        <w:tc>
          <w:tcPr>
            <w:tcW w:w="1524" w:type="dxa"/>
            <w:tcBorders>
              <w:top w:val="nil"/>
              <w:left w:val="nil"/>
              <w:bottom w:val="nil"/>
              <w:right w:val="nil"/>
            </w:tcBorders>
            <w:vAlign w:val="center"/>
            <w:hideMark/>
          </w:tcPr>
          <w:p w14:paraId="486B738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5D3BC34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58C0693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8905F2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05A0548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1F0A00A9" w14:textId="77777777" w:rsidTr="00C010D0">
        <w:trPr>
          <w:trHeight w:val="290"/>
          <w:jc w:val="center"/>
        </w:trPr>
        <w:tc>
          <w:tcPr>
            <w:tcW w:w="1276" w:type="dxa"/>
            <w:tcBorders>
              <w:top w:val="nil"/>
              <w:left w:val="nil"/>
              <w:bottom w:val="nil"/>
              <w:right w:val="nil"/>
            </w:tcBorders>
            <w:vAlign w:val="center"/>
            <w:hideMark/>
          </w:tcPr>
          <w:p w14:paraId="35D6C3E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42</w:t>
            </w:r>
          </w:p>
        </w:tc>
        <w:tc>
          <w:tcPr>
            <w:tcW w:w="1524" w:type="dxa"/>
            <w:tcBorders>
              <w:top w:val="nil"/>
              <w:left w:val="nil"/>
              <w:bottom w:val="nil"/>
              <w:right w:val="nil"/>
            </w:tcBorders>
            <w:vAlign w:val="center"/>
            <w:hideMark/>
          </w:tcPr>
          <w:p w14:paraId="0B26EEC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6FA425E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74F23A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0217869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5B92852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E40A4BC" w14:textId="77777777" w:rsidTr="00C010D0">
        <w:trPr>
          <w:trHeight w:val="290"/>
          <w:jc w:val="center"/>
        </w:trPr>
        <w:tc>
          <w:tcPr>
            <w:tcW w:w="8340" w:type="dxa"/>
            <w:gridSpan w:val="6"/>
            <w:tcBorders>
              <w:top w:val="single" w:sz="4" w:space="0" w:color="auto"/>
              <w:left w:val="nil"/>
              <w:bottom w:val="single" w:sz="4" w:space="0" w:color="auto"/>
              <w:right w:val="nil"/>
            </w:tcBorders>
            <w:vAlign w:val="center"/>
            <w:hideMark/>
          </w:tcPr>
          <w:p w14:paraId="5DC80A51" w14:textId="77777777" w:rsidR="00510E80" w:rsidRPr="00CB4787" w:rsidRDefault="00510E80" w:rsidP="00C010D0">
            <w:pPr>
              <w:spacing w:after="0" w:line="240" w:lineRule="auto"/>
              <w:rPr>
                <w:rFonts w:ascii="Times New Roman" w:eastAsia="Times New Roman" w:hAnsi="Times New Roman" w:cs="Times New Roman"/>
                <w:b/>
                <w:bCs/>
                <w:color w:val="000000"/>
                <w:kern w:val="0"/>
                <w:lang w:val="en-PH" w:eastAsia="en-PH"/>
                <w14:ligatures w14:val="none"/>
              </w:rPr>
            </w:pPr>
            <w:r w:rsidRPr="00CB4787">
              <w:rPr>
                <w:rFonts w:ascii="Times New Roman" w:eastAsia="Times New Roman" w:hAnsi="Times New Roman" w:cs="Times New Roman"/>
                <w:b/>
                <w:bCs/>
                <w:color w:val="000000"/>
                <w:kern w:val="0"/>
                <w:lang w:val="en-PH" w:eastAsia="en-PH"/>
                <w14:ligatures w14:val="none"/>
              </w:rPr>
              <w:t>Data &amp; Probability</w:t>
            </w:r>
          </w:p>
        </w:tc>
      </w:tr>
      <w:tr w:rsidR="00510E80" w:rsidRPr="00CB4787" w14:paraId="011D381D" w14:textId="77777777" w:rsidTr="00C010D0">
        <w:trPr>
          <w:trHeight w:val="290"/>
          <w:jc w:val="center"/>
        </w:trPr>
        <w:tc>
          <w:tcPr>
            <w:tcW w:w="1276" w:type="dxa"/>
            <w:tcBorders>
              <w:top w:val="nil"/>
              <w:left w:val="nil"/>
              <w:bottom w:val="nil"/>
              <w:right w:val="nil"/>
            </w:tcBorders>
            <w:vAlign w:val="center"/>
            <w:hideMark/>
          </w:tcPr>
          <w:p w14:paraId="70FC9BE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44</w:t>
            </w:r>
          </w:p>
        </w:tc>
        <w:tc>
          <w:tcPr>
            <w:tcW w:w="1524" w:type="dxa"/>
            <w:tcBorders>
              <w:top w:val="nil"/>
              <w:left w:val="nil"/>
              <w:bottom w:val="nil"/>
              <w:right w:val="nil"/>
            </w:tcBorders>
            <w:vAlign w:val="center"/>
            <w:hideMark/>
          </w:tcPr>
          <w:p w14:paraId="25F6FF4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0FAC56E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618DDAE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1A133EE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6F61419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1835E215" w14:textId="77777777" w:rsidTr="00C010D0">
        <w:trPr>
          <w:trHeight w:val="290"/>
          <w:jc w:val="center"/>
        </w:trPr>
        <w:tc>
          <w:tcPr>
            <w:tcW w:w="1276" w:type="dxa"/>
            <w:tcBorders>
              <w:top w:val="nil"/>
              <w:left w:val="nil"/>
              <w:bottom w:val="nil"/>
              <w:right w:val="nil"/>
            </w:tcBorders>
            <w:vAlign w:val="center"/>
            <w:hideMark/>
          </w:tcPr>
          <w:p w14:paraId="58FE5B5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45</w:t>
            </w:r>
          </w:p>
        </w:tc>
        <w:tc>
          <w:tcPr>
            <w:tcW w:w="1524" w:type="dxa"/>
            <w:tcBorders>
              <w:top w:val="nil"/>
              <w:left w:val="nil"/>
              <w:bottom w:val="nil"/>
              <w:right w:val="nil"/>
            </w:tcBorders>
            <w:vAlign w:val="center"/>
            <w:hideMark/>
          </w:tcPr>
          <w:p w14:paraId="310227C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3ABC5A6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66E3FC5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5354DC9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79A05DA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4E0AB079" w14:textId="77777777" w:rsidTr="00C010D0">
        <w:trPr>
          <w:trHeight w:val="290"/>
          <w:jc w:val="center"/>
        </w:trPr>
        <w:tc>
          <w:tcPr>
            <w:tcW w:w="1276" w:type="dxa"/>
            <w:tcBorders>
              <w:top w:val="nil"/>
              <w:left w:val="nil"/>
              <w:bottom w:val="nil"/>
              <w:right w:val="nil"/>
            </w:tcBorders>
            <w:vAlign w:val="center"/>
            <w:hideMark/>
          </w:tcPr>
          <w:p w14:paraId="662EF06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46</w:t>
            </w:r>
          </w:p>
        </w:tc>
        <w:tc>
          <w:tcPr>
            <w:tcW w:w="1524" w:type="dxa"/>
            <w:tcBorders>
              <w:top w:val="nil"/>
              <w:left w:val="nil"/>
              <w:bottom w:val="nil"/>
              <w:right w:val="nil"/>
            </w:tcBorders>
            <w:vAlign w:val="center"/>
            <w:hideMark/>
          </w:tcPr>
          <w:p w14:paraId="31C9A92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06A780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2F8ACBD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7ABA5B7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5A53705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0D26FB3F" w14:textId="77777777" w:rsidTr="00C010D0">
        <w:trPr>
          <w:trHeight w:val="290"/>
          <w:jc w:val="center"/>
        </w:trPr>
        <w:tc>
          <w:tcPr>
            <w:tcW w:w="1276" w:type="dxa"/>
            <w:tcBorders>
              <w:top w:val="nil"/>
              <w:left w:val="nil"/>
              <w:bottom w:val="nil"/>
              <w:right w:val="nil"/>
            </w:tcBorders>
            <w:vAlign w:val="center"/>
            <w:hideMark/>
          </w:tcPr>
          <w:p w14:paraId="0B20E222"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47</w:t>
            </w:r>
          </w:p>
        </w:tc>
        <w:tc>
          <w:tcPr>
            <w:tcW w:w="1524" w:type="dxa"/>
            <w:tcBorders>
              <w:top w:val="nil"/>
              <w:left w:val="nil"/>
              <w:bottom w:val="nil"/>
              <w:right w:val="nil"/>
            </w:tcBorders>
            <w:vAlign w:val="center"/>
            <w:hideMark/>
          </w:tcPr>
          <w:p w14:paraId="078FF37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387BF02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5B8CC6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1D875DA6"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6D2059E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396BC20A" w14:textId="77777777" w:rsidTr="00C010D0">
        <w:trPr>
          <w:trHeight w:val="290"/>
          <w:jc w:val="center"/>
        </w:trPr>
        <w:tc>
          <w:tcPr>
            <w:tcW w:w="1276" w:type="dxa"/>
            <w:tcBorders>
              <w:top w:val="nil"/>
              <w:left w:val="nil"/>
              <w:bottom w:val="nil"/>
              <w:right w:val="nil"/>
            </w:tcBorders>
            <w:vAlign w:val="center"/>
            <w:hideMark/>
          </w:tcPr>
          <w:p w14:paraId="2B81561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48</w:t>
            </w:r>
          </w:p>
        </w:tc>
        <w:tc>
          <w:tcPr>
            <w:tcW w:w="1524" w:type="dxa"/>
            <w:tcBorders>
              <w:top w:val="nil"/>
              <w:left w:val="nil"/>
              <w:bottom w:val="nil"/>
              <w:right w:val="nil"/>
            </w:tcBorders>
            <w:vAlign w:val="center"/>
            <w:hideMark/>
          </w:tcPr>
          <w:p w14:paraId="1BCF63CE"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7E348DF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4136CBB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E3211E8"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1E5D6B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52045A77" w14:textId="77777777" w:rsidTr="00C010D0">
        <w:trPr>
          <w:trHeight w:val="290"/>
          <w:jc w:val="center"/>
        </w:trPr>
        <w:tc>
          <w:tcPr>
            <w:tcW w:w="1276" w:type="dxa"/>
            <w:tcBorders>
              <w:top w:val="nil"/>
              <w:left w:val="nil"/>
              <w:bottom w:val="nil"/>
              <w:right w:val="nil"/>
            </w:tcBorders>
            <w:vAlign w:val="center"/>
            <w:hideMark/>
          </w:tcPr>
          <w:p w14:paraId="75FFC80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49</w:t>
            </w:r>
          </w:p>
        </w:tc>
        <w:tc>
          <w:tcPr>
            <w:tcW w:w="1524" w:type="dxa"/>
            <w:tcBorders>
              <w:top w:val="nil"/>
              <w:left w:val="nil"/>
              <w:bottom w:val="nil"/>
              <w:right w:val="nil"/>
            </w:tcBorders>
            <w:vAlign w:val="center"/>
            <w:hideMark/>
          </w:tcPr>
          <w:p w14:paraId="70A8CE6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1703A2A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0184D5E4"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600E35C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1C325570"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2DD7769F" w14:textId="77777777" w:rsidTr="00C010D0">
        <w:trPr>
          <w:trHeight w:val="290"/>
          <w:jc w:val="center"/>
        </w:trPr>
        <w:tc>
          <w:tcPr>
            <w:tcW w:w="1276" w:type="dxa"/>
            <w:tcBorders>
              <w:top w:val="nil"/>
              <w:left w:val="nil"/>
              <w:bottom w:val="nil"/>
              <w:right w:val="nil"/>
            </w:tcBorders>
            <w:vAlign w:val="center"/>
            <w:hideMark/>
          </w:tcPr>
          <w:p w14:paraId="0C0F6A97"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50</w:t>
            </w:r>
          </w:p>
        </w:tc>
        <w:tc>
          <w:tcPr>
            <w:tcW w:w="1524" w:type="dxa"/>
            <w:tcBorders>
              <w:top w:val="nil"/>
              <w:left w:val="nil"/>
              <w:bottom w:val="nil"/>
              <w:right w:val="nil"/>
            </w:tcBorders>
            <w:vAlign w:val="center"/>
            <w:hideMark/>
          </w:tcPr>
          <w:p w14:paraId="4678D0C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827" w:type="dxa"/>
            <w:tcBorders>
              <w:top w:val="nil"/>
              <w:left w:val="nil"/>
              <w:bottom w:val="nil"/>
              <w:right w:val="nil"/>
            </w:tcBorders>
            <w:vAlign w:val="center"/>
            <w:hideMark/>
          </w:tcPr>
          <w:p w14:paraId="23EE961F"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w:t>
            </w:r>
          </w:p>
        </w:tc>
        <w:tc>
          <w:tcPr>
            <w:tcW w:w="1563" w:type="dxa"/>
            <w:tcBorders>
              <w:top w:val="nil"/>
              <w:left w:val="nil"/>
              <w:bottom w:val="nil"/>
              <w:right w:val="nil"/>
            </w:tcBorders>
            <w:vAlign w:val="center"/>
            <w:hideMark/>
          </w:tcPr>
          <w:p w14:paraId="1301FAB5"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723" w:type="dxa"/>
            <w:tcBorders>
              <w:top w:val="nil"/>
              <w:left w:val="nil"/>
              <w:bottom w:val="nil"/>
              <w:right w:val="nil"/>
            </w:tcBorders>
            <w:vAlign w:val="center"/>
            <w:hideMark/>
          </w:tcPr>
          <w:p w14:paraId="4DFBA441"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c>
          <w:tcPr>
            <w:tcW w:w="1427" w:type="dxa"/>
            <w:tcBorders>
              <w:top w:val="nil"/>
              <w:left w:val="nil"/>
              <w:bottom w:val="nil"/>
              <w:right w:val="nil"/>
            </w:tcBorders>
            <w:noWrap/>
            <w:vAlign w:val="bottom"/>
            <w:hideMark/>
          </w:tcPr>
          <w:p w14:paraId="49D93BC9"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ESSENTIAL</w:t>
            </w:r>
          </w:p>
        </w:tc>
      </w:tr>
      <w:tr w:rsidR="00510E80" w:rsidRPr="00CB4787" w14:paraId="7893DAD7" w14:textId="77777777" w:rsidTr="00C010D0">
        <w:trPr>
          <w:trHeight w:val="290"/>
          <w:jc w:val="center"/>
        </w:trPr>
        <w:tc>
          <w:tcPr>
            <w:tcW w:w="6190" w:type="dxa"/>
            <w:gridSpan w:val="4"/>
            <w:tcBorders>
              <w:top w:val="single" w:sz="4" w:space="0" w:color="auto"/>
              <w:left w:val="nil"/>
              <w:bottom w:val="single" w:sz="4" w:space="0" w:color="auto"/>
              <w:right w:val="nil"/>
            </w:tcBorders>
            <w:vAlign w:val="center"/>
            <w:hideMark/>
          </w:tcPr>
          <w:p w14:paraId="3DEE7B1E" w14:textId="77777777" w:rsidR="00510E80" w:rsidRPr="00CB4787" w:rsidRDefault="00510E80" w:rsidP="00C010D0">
            <w:pPr>
              <w:spacing w:after="0" w:line="240" w:lineRule="auto"/>
              <w:jc w:val="right"/>
              <w:rPr>
                <w:rFonts w:ascii="Times New Roman" w:eastAsia="Times New Roman" w:hAnsi="Times New Roman" w:cs="Times New Roman"/>
                <w:b/>
                <w:bCs/>
                <w:color w:val="000000"/>
                <w:kern w:val="0"/>
                <w:lang w:val="en-PH" w:eastAsia="en-PH"/>
                <w14:ligatures w14:val="none"/>
              </w:rPr>
            </w:pPr>
            <w:r w:rsidRPr="00CB4787">
              <w:rPr>
                <w:rFonts w:ascii="Times New Roman" w:eastAsia="Times New Roman" w:hAnsi="Times New Roman" w:cs="Times New Roman"/>
                <w:b/>
                <w:bCs/>
                <w:color w:val="000000"/>
                <w:kern w:val="0"/>
                <w:lang w:val="en-PH" w:eastAsia="en-PH"/>
                <w14:ligatures w14:val="none"/>
              </w:rPr>
              <w:t>CONTENT VALIDITY INDEX (CVI)</w:t>
            </w:r>
          </w:p>
        </w:tc>
        <w:tc>
          <w:tcPr>
            <w:tcW w:w="2150" w:type="dxa"/>
            <w:gridSpan w:val="2"/>
            <w:tcBorders>
              <w:top w:val="single" w:sz="4" w:space="0" w:color="auto"/>
              <w:left w:val="nil"/>
              <w:bottom w:val="single" w:sz="4" w:space="0" w:color="auto"/>
              <w:right w:val="nil"/>
            </w:tcBorders>
            <w:vAlign w:val="center"/>
            <w:hideMark/>
          </w:tcPr>
          <w:p w14:paraId="00F60113"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lang w:val="en-PH" w:eastAsia="en-PH"/>
                <w14:ligatures w14:val="none"/>
              </w:rPr>
            </w:pPr>
            <w:r w:rsidRPr="00CB4787">
              <w:rPr>
                <w:rFonts w:ascii="Times New Roman" w:eastAsia="Times New Roman" w:hAnsi="Times New Roman" w:cs="Times New Roman"/>
                <w:color w:val="000000"/>
                <w:kern w:val="0"/>
                <w:lang w:val="en-PH" w:eastAsia="en-PH"/>
                <w14:ligatures w14:val="none"/>
              </w:rPr>
              <w:t>1.00</w:t>
            </w:r>
          </w:p>
        </w:tc>
      </w:tr>
    </w:tbl>
    <w:p w14:paraId="2DA6598C" w14:textId="77777777" w:rsidR="00CB4787" w:rsidRDefault="00CB4787" w:rsidP="00510E80">
      <w:pPr>
        <w:pStyle w:val="NormalWeb"/>
        <w:spacing w:after="0" w:afterAutospacing="0"/>
        <w:jc w:val="both"/>
        <w:rPr>
          <w:rFonts w:ascii="Arial" w:hAnsi="Arial" w:cs="Arial"/>
          <w:b/>
          <w:bCs/>
        </w:rPr>
      </w:pPr>
    </w:p>
    <w:p w14:paraId="0A2C2A59" w14:textId="77777777" w:rsidR="00CB4787" w:rsidRDefault="00CB4787" w:rsidP="00510E80">
      <w:pPr>
        <w:pStyle w:val="NormalWeb"/>
        <w:spacing w:after="0" w:afterAutospacing="0"/>
        <w:jc w:val="both"/>
        <w:rPr>
          <w:rFonts w:ascii="Arial" w:hAnsi="Arial" w:cs="Arial"/>
          <w:b/>
          <w:bCs/>
        </w:rPr>
      </w:pPr>
    </w:p>
    <w:p w14:paraId="41AB5315" w14:textId="77777777" w:rsidR="00CB4787" w:rsidRDefault="00CB4787" w:rsidP="00510E80">
      <w:pPr>
        <w:pStyle w:val="NormalWeb"/>
        <w:spacing w:after="0" w:afterAutospacing="0"/>
        <w:jc w:val="both"/>
        <w:rPr>
          <w:rFonts w:ascii="Arial" w:hAnsi="Arial" w:cs="Arial"/>
          <w:b/>
          <w:bCs/>
        </w:rPr>
      </w:pPr>
    </w:p>
    <w:p w14:paraId="5B3F5900" w14:textId="5B615FF6" w:rsidR="00510E80" w:rsidRPr="00CB4787" w:rsidRDefault="00510E80" w:rsidP="00CB4787">
      <w:pPr>
        <w:pStyle w:val="NormalWeb"/>
        <w:spacing w:before="240" w:beforeAutospacing="0" w:after="240" w:afterAutospacing="0"/>
        <w:jc w:val="both"/>
        <w:rPr>
          <w:b/>
          <w:bCs/>
        </w:rPr>
      </w:pPr>
      <w:r w:rsidRPr="00CB4787">
        <w:rPr>
          <w:b/>
          <w:bCs/>
        </w:rPr>
        <w:lastRenderedPageBreak/>
        <w:t>Phase 4 &amp; 5: Implementation and Evaluation</w:t>
      </w:r>
    </w:p>
    <w:p w14:paraId="284633C9" w14:textId="77777777" w:rsidR="00510E80" w:rsidRPr="00CB4787" w:rsidRDefault="00510E80" w:rsidP="00CB4787">
      <w:pPr>
        <w:pStyle w:val="NormalWeb"/>
        <w:spacing w:before="240" w:beforeAutospacing="0" w:after="240" w:afterAutospacing="0"/>
        <w:jc w:val="both"/>
        <w:rPr>
          <w:b/>
          <w:bCs/>
        </w:rPr>
      </w:pPr>
      <w:r w:rsidRPr="00CB4787">
        <w:rPr>
          <w:b/>
          <w:bCs/>
        </w:rPr>
        <w:t>Psychometric Evaluation of the CNT</w:t>
      </w:r>
    </w:p>
    <w:p w14:paraId="283D773E" w14:textId="77777777" w:rsidR="00510E80" w:rsidRPr="00CB4787" w:rsidRDefault="00510E80" w:rsidP="00CB4787">
      <w:pPr>
        <w:pStyle w:val="NormalWeb"/>
        <w:spacing w:before="240" w:beforeAutospacing="0" w:after="240" w:afterAutospacing="0"/>
        <w:ind w:firstLine="720"/>
        <w:jc w:val="both"/>
      </w:pPr>
      <w:r w:rsidRPr="00CB4787">
        <w:t>To ensure the technical quality of the 35-item refined instrument, the researcher conducted a comprehensive item analysis following the pilot test with 307 Grade 7 learners. As presented in Table 10, the researcher evaluated the test using three primary psychometric properties: the Difficulty Index (p), the Discrimination Index (D), and the Point-Biserial Correlation.</w:t>
      </w:r>
    </w:p>
    <w:p w14:paraId="59145B77" w14:textId="77777777" w:rsidR="00510E80" w:rsidRPr="00CB4787" w:rsidRDefault="00510E80" w:rsidP="00CB4787">
      <w:pPr>
        <w:pStyle w:val="NormalWeb"/>
        <w:spacing w:before="240" w:beforeAutospacing="0" w:after="240" w:afterAutospacing="0"/>
        <w:ind w:firstLine="720"/>
        <w:jc w:val="both"/>
      </w:pPr>
      <w:r w:rsidRPr="00CB4787">
        <w:t>The analysis revealed an average Difficulty Index of 0.5083, which falls under the Average category. This result indicates that the researcher developed a well-balanced instrument that is neither too easy nor too difficult for the target learners. Specifically, the researcher identified 27 items with average difficulty, six items as easy, and two items as hard.</w:t>
      </w:r>
    </w:p>
    <w:p w14:paraId="7D05CB2E" w14:textId="77777777" w:rsidR="00510E80" w:rsidRPr="00CB4787" w:rsidRDefault="00510E80" w:rsidP="00CB4787">
      <w:pPr>
        <w:pStyle w:val="NormalWeb"/>
        <w:spacing w:before="240" w:beforeAutospacing="0" w:after="240" w:afterAutospacing="0"/>
        <w:ind w:firstLine="720"/>
        <w:jc w:val="both"/>
      </w:pPr>
      <w:r w:rsidRPr="00CB4787">
        <w:t>In evaluating the discrimination power, the researcher first utilized the Discrimination Index (D) to compare the performance of the upper 27% and the lower 27% of the test-takers. The researcher found that the test achieved an average Discrimination Index of 0.3432. Most items effectively differentiated the two groups, with the exception of Item 16, which yielded a negative discrimination index.</w:t>
      </w:r>
    </w:p>
    <w:p w14:paraId="62509394" w14:textId="77777777" w:rsidR="00510E80" w:rsidRPr="00CB4787" w:rsidRDefault="00510E80" w:rsidP="00CB4787">
      <w:pPr>
        <w:pStyle w:val="NormalWeb"/>
        <w:spacing w:before="240" w:beforeAutospacing="0" w:after="240" w:afterAutospacing="0"/>
        <w:ind w:firstLine="720"/>
        <w:jc w:val="both"/>
      </w:pPr>
      <w:r w:rsidRPr="00CB4787">
        <w:t>Furthermore, the researcher independently calculated the Point-Biserial Correlation to provide a more robust statistical measure of internal consistency. Unlike the discrimination index, the point-biserial correlation allowed the researcher to correlate individual item performance against the total test score of all 307 participants. The analysis yielded an average Point-Biserial Correlation of 0.3032, which indicates a good discrimination level. By using Point-Biserial Correlation as a second layer of validation, the researcher confirmed that items with values above 0.30 (e.g., Item 2 with 0.51 and Item 7 with 0.40) possess high internal consistency and strong diagnostic power.</w:t>
      </w:r>
    </w:p>
    <w:p w14:paraId="483A75F3" w14:textId="77777777" w:rsidR="00510E80" w:rsidRPr="00CB4787" w:rsidRDefault="00510E80" w:rsidP="00CB4787">
      <w:pPr>
        <w:pStyle w:val="NormalWeb"/>
        <w:spacing w:before="240" w:beforeAutospacing="0" w:after="240" w:afterAutospacing="0"/>
        <w:jc w:val="both"/>
        <w:rPr>
          <w:b/>
          <w:bCs/>
        </w:rPr>
      </w:pPr>
      <w:r w:rsidRPr="00CB4787">
        <w:rPr>
          <w:b/>
          <w:bCs/>
        </w:rPr>
        <w:t xml:space="preserve">Table 9: </w:t>
      </w:r>
    </w:p>
    <w:p w14:paraId="05CBB54F" w14:textId="77777777" w:rsidR="00510E80" w:rsidRPr="00CB4787" w:rsidRDefault="00510E80" w:rsidP="00CB4787">
      <w:pPr>
        <w:pStyle w:val="NormalWeb"/>
        <w:spacing w:before="240" w:beforeAutospacing="0" w:after="240" w:afterAutospacing="0"/>
        <w:jc w:val="both"/>
        <w:rPr>
          <w:i/>
          <w:iCs/>
        </w:rPr>
      </w:pPr>
      <w:r w:rsidRPr="00CB4787">
        <w:rPr>
          <w:i/>
          <w:iCs/>
        </w:rPr>
        <w:t>Item Difficulty and Discrimination of each item</w:t>
      </w:r>
    </w:p>
    <w:p w14:paraId="72F75CDB" w14:textId="77777777" w:rsidR="00510E80" w:rsidRPr="00F024AA" w:rsidRDefault="00510E80" w:rsidP="00510E80">
      <w:pPr>
        <w:pStyle w:val="NormalWeb"/>
        <w:spacing w:after="0" w:afterAutospacing="0"/>
        <w:jc w:val="both"/>
        <w:rPr>
          <w:rFonts w:ascii="Arial" w:hAnsi="Arial" w:cs="Arial"/>
          <w:i/>
          <w:iCs/>
        </w:rPr>
      </w:pPr>
    </w:p>
    <w:tbl>
      <w:tblPr>
        <w:tblW w:w="9536" w:type="dxa"/>
        <w:tblLayout w:type="fixed"/>
        <w:tblLook w:val="04A0" w:firstRow="1" w:lastRow="0" w:firstColumn="1" w:lastColumn="0" w:noHBand="0" w:noVBand="1"/>
      </w:tblPr>
      <w:tblGrid>
        <w:gridCol w:w="576"/>
        <w:gridCol w:w="937"/>
        <w:gridCol w:w="937"/>
        <w:gridCol w:w="1369"/>
        <w:gridCol w:w="1369"/>
        <w:gridCol w:w="1107"/>
        <w:gridCol w:w="1134"/>
        <w:gridCol w:w="1841"/>
        <w:gridCol w:w="266"/>
      </w:tblGrid>
      <w:tr w:rsidR="00510E80" w:rsidRPr="009E6E63" w14:paraId="6BEF9BB0" w14:textId="77777777" w:rsidTr="00C010D0">
        <w:trPr>
          <w:gridAfter w:val="1"/>
          <w:wAfter w:w="266" w:type="dxa"/>
          <w:trHeight w:val="499"/>
        </w:trPr>
        <w:tc>
          <w:tcPr>
            <w:tcW w:w="576" w:type="dxa"/>
            <w:vMerge w:val="restart"/>
            <w:tcBorders>
              <w:top w:val="single" w:sz="8" w:space="0" w:color="auto"/>
              <w:left w:val="nil"/>
              <w:bottom w:val="single" w:sz="8" w:space="0" w:color="000000"/>
              <w:right w:val="nil"/>
            </w:tcBorders>
            <w:vAlign w:val="center"/>
            <w:hideMark/>
          </w:tcPr>
          <w:p w14:paraId="16B23080"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lang w:val="en-PH"/>
                <w14:ligatures w14:val="none"/>
              </w:rPr>
              <w:t>Item #</w:t>
            </w:r>
          </w:p>
        </w:tc>
        <w:tc>
          <w:tcPr>
            <w:tcW w:w="937" w:type="dxa"/>
            <w:vMerge w:val="restart"/>
            <w:tcBorders>
              <w:top w:val="single" w:sz="8" w:space="0" w:color="auto"/>
              <w:left w:val="nil"/>
              <w:bottom w:val="single" w:sz="8" w:space="0" w:color="000000"/>
              <w:right w:val="nil"/>
            </w:tcBorders>
            <w:vAlign w:val="center"/>
            <w:hideMark/>
          </w:tcPr>
          <w:p w14:paraId="4CFB6A8D"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lang w:val="en-PH"/>
                <w14:ligatures w14:val="none"/>
              </w:rPr>
              <w:t>Difficulty Value</w:t>
            </w:r>
          </w:p>
        </w:tc>
        <w:tc>
          <w:tcPr>
            <w:tcW w:w="937" w:type="dxa"/>
            <w:vMerge w:val="restart"/>
            <w:tcBorders>
              <w:top w:val="single" w:sz="8" w:space="0" w:color="auto"/>
              <w:left w:val="nil"/>
              <w:bottom w:val="single" w:sz="8" w:space="0" w:color="000000"/>
              <w:right w:val="nil"/>
            </w:tcBorders>
            <w:vAlign w:val="center"/>
            <w:hideMark/>
          </w:tcPr>
          <w:p w14:paraId="64338B12"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lang w:val="en-PH"/>
                <w14:ligatures w14:val="none"/>
              </w:rPr>
              <w:t>Item Difficulty</w:t>
            </w:r>
          </w:p>
        </w:tc>
        <w:tc>
          <w:tcPr>
            <w:tcW w:w="1369" w:type="dxa"/>
            <w:vMerge w:val="restart"/>
            <w:tcBorders>
              <w:top w:val="single" w:sz="8" w:space="0" w:color="auto"/>
              <w:left w:val="nil"/>
              <w:bottom w:val="single" w:sz="8" w:space="0" w:color="000000"/>
              <w:right w:val="nil"/>
            </w:tcBorders>
            <w:vAlign w:val="center"/>
            <w:hideMark/>
          </w:tcPr>
          <w:p w14:paraId="286B284D"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lang w:val="en-PH"/>
                <w14:ligatures w14:val="none"/>
              </w:rPr>
              <w:t>Discrimination Index</w:t>
            </w:r>
          </w:p>
        </w:tc>
        <w:tc>
          <w:tcPr>
            <w:tcW w:w="1369" w:type="dxa"/>
            <w:vMerge w:val="restart"/>
            <w:tcBorders>
              <w:top w:val="single" w:sz="8" w:space="0" w:color="auto"/>
              <w:left w:val="nil"/>
              <w:bottom w:val="single" w:sz="8" w:space="0" w:color="000000"/>
              <w:right w:val="nil"/>
            </w:tcBorders>
            <w:vAlign w:val="center"/>
            <w:hideMark/>
          </w:tcPr>
          <w:p w14:paraId="31F5E7FE"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lang w:val="en-PH"/>
                <w14:ligatures w14:val="none"/>
              </w:rPr>
              <w:t>Item Discrimination</w:t>
            </w:r>
          </w:p>
        </w:tc>
        <w:tc>
          <w:tcPr>
            <w:tcW w:w="1107" w:type="dxa"/>
            <w:vMerge w:val="restart"/>
            <w:tcBorders>
              <w:top w:val="single" w:sz="8" w:space="0" w:color="auto"/>
              <w:left w:val="nil"/>
              <w:bottom w:val="single" w:sz="8" w:space="0" w:color="000000"/>
              <w:right w:val="nil"/>
            </w:tcBorders>
            <w:vAlign w:val="center"/>
            <w:hideMark/>
          </w:tcPr>
          <w:p w14:paraId="41D1C2D5"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14:ligatures w14:val="none"/>
              </w:rPr>
              <w:t>Point-Biserial Correlation</w:t>
            </w:r>
          </w:p>
        </w:tc>
        <w:tc>
          <w:tcPr>
            <w:tcW w:w="1134" w:type="dxa"/>
            <w:vMerge w:val="restart"/>
            <w:tcBorders>
              <w:top w:val="single" w:sz="8" w:space="0" w:color="auto"/>
              <w:left w:val="nil"/>
              <w:bottom w:val="single" w:sz="8" w:space="0" w:color="000000"/>
              <w:right w:val="nil"/>
            </w:tcBorders>
            <w:vAlign w:val="center"/>
            <w:hideMark/>
          </w:tcPr>
          <w:p w14:paraId="272C2AC4" w14:textId="77777777" w:rsidR="00510E80" w:rsidRPr="009E6E63" w:rsidRDefault="00510E80" w:rsidP="00C010D0">
            <w:pPr>
              <w:spacing w:after="0" w:line="240" w:lineRule="auto"/>
              <w:jc w:val="center"/>
              <w:rPr>
                <w:rFonts w:ascii="Arial" w:eastAsia="Times New Roman" w:hAnsi="Arial" w:cs="Arial"/>
                <w:b/>
                <w:bCs/>
                <w:color w:val="000000"/>
                <w:kern w:val="0"/>
                <w:sz w:val="16"/>
                <w:szCs w:val="16"/>
                <w14:ligatures w14:val="none"/>
              </w:rPr>
            </w:pPr>
            <w:r w:rsidRPr="009E6E63">
              <w:rPr>
                <w:rFonts w:ascii="Arial" w:eastAsia="Times New Roman" w:hAnsi="Arial" w:cs="Arial"/>
                <w:b/>
                <w:bCs/>
                <w:color w:val="000000"/>
                <w:kern w:val="0"/>
                <w:sz w:val="16"/>
                <w:szCs w:val="16"/>
                <w14:ligatures w14:val="none"/>
              </w:rPr>
              <w:t>Description</w:t>
            </w:r>
          </w:p>
        </w:tc>
        <w:tc>
          <w:tcPr>
            <w:tcW w:w="1841" w:type="dxa"/>
            <w:vMerge w:val="restart"/>
            <w:tcBorders>
              <w:top w:val="single" w:sz="8" w:space="0" w:color="auto"/>
              <w:left w:val="nil"/>
              <w:bottom w:val="single" w:sz="8" w:space="0" w:color="000000"/>
              <w:right w:val="nil"/>
            </w:tcBorders>
            <w:vAlign w:val="center"/>
            <w:hideMark/>
          </w:tcPr>
          <w:p w14:paraId="64715C5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Action</w:t>
            </w:r>
          </w:p>
        </w:tc>
      </w:tr>
      <w:tr w:rsidR="00510E80" w:rsidRPr="009E6E63" w14:paraId="257AE6A9" w14:textId="77777777" w:rsidTr="00C010D0">
        <w:trPr>
          <w:trHeight w:val="20"/>
        </w:trPr>
        <w:tc>
          <w:tcPr>
            <w:tcW w:w="576" w:type="dxa"/>
            <w:vMerge/>
            <w:tcBorders>
              <w:top w:val="single" w:sz="8" w:space="0" w:color="auto"/>
              <w:left w:val="nil"/>
              <w:bottom w:val="single" w:sz="8" w:space="0" w:color="000000"/>
              <w:right w:val="nil"/>
            </w:tcBorders>
            <w:vAlign w:val="center"/>
            <w:hideMark/>
          </w:tcPr>
          <w:p w14:paraId="6234B056"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937" w:type="dxa"/>
            <w:vMerge/>
            <w:tcBorders>
              <w:top w:val="single" w:sz="8" w:space="0" w:color="auto"/>
              <w:left w:val="nil"/>
              <w:bottom w:val="single" w:sz="8" w:space="0" w:color="000000"/>
              <w:right w:val="nil"/>
            </w:tcBorders>
            <w:vAlign w:val="center"/>
            <w:hideMark/>
          </w:tcPr>
          <w:p w14:paraId="1A5DC7C2"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937" w:type="dxa"/>
            <w:vMerge/>
            <w:tcBorders>
              <w:top w:val="single" w:sz="8" w:space="0" w:color="auto"/>
              <w:left w:val="nil"/>
              <w:bottom w:val="single" w:sz="8" w:space="0" w:color="000000"/>
              <w:right w:val="nil"/>
            </w:tcBorders>
            <w:vAlign w:val="center"/>
            <w:hideMark/>
          </w:tcPr>
          <w:p w14:paraId="1AC52243"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1369" w:type="dxa"/>
            <w:vMerge/>
            <w:tcBorders>
              <w:top w:val="single" w:sz="8" w:space="0" w:color="auto"/>
              <w:left w:val="nil"/>
              <w:bottom w:val="single" w:sz="8" w:space="0" w:color="000000"/>
              <w:right w:val="nil"/>
            </w:tcBorders>
            <w:vAlign w:val="center"/>
            <w:hideMark/>
          </w:tcPr>
          <w:p w14:paraId="17C03471"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1369" w:type="dxa"/>
            <w:vMerge/>
            <w:tcBorders>
              <w:top w:val="single" w:sz="8" w:space="0" w:color="auto"/>
              <w:left w:val="nil"/>
              <w:bottom w:val="single" w:sz="8" w:space="0" w:color="000000"/>
              <w:right w:val="nil"/>
            </w:tcBorders>
            <w:vAlign w:val="center"/>
            <w:hideMark/>
          </w:tcPr>
          <w:p w14:paraId="43A88D32"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1107" w:type="dxa"/>
            <w:vMerge/>
            <w:tcBorders>
              <w:top w:val="single" w:sz="8" w:space="0" w:color="auto"/>
              <w:left w:val="nil"/>
              <w:bottom w:val="single" w:sz="8" w:space="0" w:color="000000"/>
              <w:right w:val="nil"/>
            </w:tcBorders>
            <w:vAlign w:val="center"/>
            <w:hideMark/>
          </w:tcPr>
          <w:p w14:paraId="343D8F35"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1134" w:type="dxa"/>
            <w:vMerge/>
            <w:tcBorders>
              <w:top w:val="single" w:sz="8" w:space="0" w:color="auto"/>
              <w:left w:val="nil"/>
              <w:bottom w:val="single" w:sz="8" w:space="0" w:color="000000"/>
              <w:right w:val="nil"/>
            </w:tcBorders>
            <w:vAlign w:val="center"/>
            <w:hideMark/>
          </w:tcPr>
          <w:p w14:paraId="38ABA824"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1841" w:type="dxa"/>
            <w:vMerge/>
            <w:tcBorders>
              <w:top w:val="single" w:sz="8" w:space="0" w:color="auto"/>
              <w:left w:val="nil"/>
              <w:bottom w:val="single" w:sz="8" w:space="0" w:color="000000"/>
              <w:right w:val="nil"/>
            </w:tcBorders>
            <w:vAlign w:val="center"/>
            <w:hideMark/>
          </w:tcPr>
          <w:p w14:paraId="2C5E3649" w14:textId="77777777" w:rsidR="00510E80" w:rsidRPr="009E6E63" w:rsidRDefault="00510E80" w:rsidP="00C010D0">
            <w:pPr>
              <w:spacing w:after="0" w:line="240" w:lineRule="auto"/>
              <w:rPr>
                <w:rFonts w:ascii="Arial" w:eastAsia="Times New Roman" w:hAnsi="Arial" w:cs="Arial"/>
                <w:b/>
                <w:bCs/>
                <w:color w:val="000000"/>
                <w:kern w:val="0"/>
                <w:sz w:val="18"/>
                <w:szCs w:val="18"/>
                <w14:ligatures w14:val="none"/>
              </w:rPr>
            </w:pPr>
          </w:p>
        </w:tc>
        <w:tc>
          <w:tcPr>
            <w:tcW w:w="266" w:type="dxa"/>
            <w:tcBorders>
              <w:top w:val="nil"/>
              <w:left w:val="nil"/>
              <w:bottom w:val="nil"/>
              <w:right w:val="nil"/>
            </w:tcBorders>
            <w:noWrap/>
            <w:vAlign w:val="bottom"/>
            <w:hideMark/>
          </w:tcPr>
          <w:p w14:paraId="355553C1"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p>
        </w:tc>
      </w:tr>
      <w:tr w:rsidR="00510E80" w:rsidRPr="009E6E63" w14:paraId="7CB166B0" w14:textId="77777777" w:rsidTr="00C010D0">
        <w:trPr>
          <w:trHeight w:val="20"/>
        </w:trPr>
        <w:tc>
          <w:tcPr>
            <w:tcW w:w="576" w:type="dxa"/>
            <w:tcBorders>
              <w:top w:val="nil"/>
              <w:left w:val="nil"/>
              <w:bottom w:val="nil"/>
              <w:right w:val="nil"/>
            </w:tcBorders>
            <w:noWrap/>
            <w:vAlign w:val="center"/>
            <w:hideMark/>
          </w:tcPr>
          <w:p w14:paraId="76EFA92C"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w:t>
            </w:r>
          </w:p>
        </w:tc>
        <w:tc>
          <w:tcPr>
            <w:tcW w:w="937" w:type="dxa"/>
            <w:tcBorders>
              <w:top w:val="nil"/>
              <w:left w:val="nil"/>
              <w:bottom w:val="nil"/>
              <w:right w:val="nil"/>
            </w:tcBorders>
            <w:noWrap/>
            <w:vAlign w:val="center"/>
            <w:hideMark/>
          </w:tcPr>
          <w:p w14:paraId="6339FDA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0.6988</w:t>
            </w:r>
          </w:p>
        </w:tc>
        <w:tc>
          <w:tcPr>
            <w:tcW w:w="937" w:type="dxa"/>
            <w:tcBorders>
              <w:top w:val="nil"/>
              <w:left w:val="nil"/>
              <w:bottom w:val="nil"/>
              <w:right w:val="nil"/>
            </w:tcBorders>
            <w:noWrap/>
            <w:vAlign w:val="center"/>
            <w:hideMark/>
          </w:tcPr>
          <w:p w14:paraId="42C42B6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7AC222C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0.1687</w:t>
            </w:r>
          </w:p>
        </w:tc>
        <w:tc>
          <w:tcPr>
            <w:tcW w:w="1369" w:type="dxa"/>
            <w:tcBorders>
              <w:top w:val="nil"/>
              <w:left w:val="nil"/>
              <w:bottom w:val="nil"/>
              <w:right w:val="nil"/>
            </w:tcBorders>
            <w:noWrap/>
            <w:vAlign w:val="center"/>
            <w:hideMark/>
          </w:tcPr>
          <w:p w14:paraId="04BCF8A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609BAF6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0.1826</w:t>
            </w:r>
          </w:p>
        </w:tc>
        <w:tc>
          <w:tcPr>
            <w:tcW w:w="1134" w:type="dxa"/>
            <w:tcBorders>
              <w:top w:val="nil"/>
              <w:left w:val="nil"/>
              <w:bottom w:val="nil"/>
              <w:right w:val="nil"/>
            </w:tcBorders>
            <w:noWrap/>
            <w:vAlign w:val="center"/>
            <w:hideMark/>
          </w:tcPr>
          <w:p w14:paraId="4FA3E31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5D4CEFA8"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6B92E03D"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D19DFD3" w14:textId="77777777" w:rsidTr="00C010D0">
        <w:trPr>
          <w:trHeight w:val="20"/>
        </w:trPr>
        <w:tc>
          <w:tcPr>
            <w:tcW w:w="576" w:type="dxa"/>
            <w:tcBorders>
              <w:top w:val="nil"/>
              <w:left w:val="nil"/>
              <w:bottom w:val="nil"/>
              <w:right w:val="nil"/>
            </w:tcBorders>
            <w:noWrap/>
            <w:vAlign w:val="center"/>
            <w:hideMark/>
          </w:tcPr>
          <w:p w14:paraId="3CBD68BF"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w:t>
            </w:r>
          </w:p>
        </w:tc>
        <w:tc>
          <w:tcPr>
            <w:tcW w:w="937" w:type="dxa"/>
            <w:tcBorders>
              <w:top w:val="nil"/>
              <w:left w:val="nil"/>
              <w:bottom w:val="nil"/>
              <w:right w:val="nil"/>
            </w:tcBorders>
            <w:noWrap/>
            <w:vAlign w:val="center"/>
            <w:hideMark/>
          </w:tcPr>
          <w:p w14:paraId="4968362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0.5422</w:t>
            </w:r>
          </w:p>
        </w:tc>
        <w:tc>
          <w:tcPr>
            <w:tcW w:w="937" w:type="dxa"/>
            <w:tcBorders>
              <w:top w:val="nil"/>
              <w:left w:val="nil"/>
              <w:bottom w:val="nil"/>
              <w:right w:val="nil"/>
            </w:tcBorders>
            <w:noWrap/>
            <w:vAlign w:val="center"/>
            <w:hideMark/>
          </w:tcPr>
          <w:p w14:paraId="3DF1B2E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7C685D9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0.6024</w:t>
            </w:r>
          </w:p>
        </w:tc>
        <w:tc>
          <w:tcPr>
            <w:tcW w:w="1369" w:type="dxa"/>
            <w:tcBorders>
              <w:top w:val="nil"/>
              <w:left w:val="nil"/>
              <w:bottom w:val="nil"/>
              <w:right w:val="nil"/>
            </w:tcBorders>
            <w:noWrap/>
            <w:vAlign w:val="center"/>
            <w:hideMark/>
          </w:tcPr>
          <w:p w14:paraId="4ADB73B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5FF3627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0.5083</w:t>
            </w:r>
          </w:p>
        </w:tc>
        <w:tc>
          <w:tcPr>
            <w:tcW w:w="1134" w:type="dxa"/>
            <w:tcBorders>
              <w:top w:val="nil"/>
              <w:left w:val="nil"/>
              <w:bottom w:val="nil"/>
              <w:right w:val="nil"/>
            </w:tcBorders>
            <w:noWrap/>
            <w:vAlign w:val="center"/>
            <w:hideMark/>
          </w:tcPr>
          <w:p w14:paraId="1714418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7F23700C"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0D8E748C"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4C0CC737" w14:textId="77777777" w:rsidTr="00C010D0">
        <w:trPr>
          <w:trHeight w:val="20"/>
        </w:trPr>
        <w:tc>
          <w:tcPr>
            <w:tcW w:w="576" w:type="dxa"/>
            <w:tcBorders>
              <w:top w:val="nil"/>
              <w:left w:val="nil"/>
              <w:bottom w:val="nil"/>
              <w:right w:val="nil"/>
            </w:tcBorders>
            <w:noWrap/>
            <w:vAlign w:val="center"/>
            <w:hideMark/>
          </w:tcPr>
          <w:p w14:paraId="54AC67A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w:t>
            </w:r>
          </w:p>
        </w:tc>
        <w:tc>
          <w:tcPr>
            <w:tcW w:w="937" w:type="dxa"/>
            <w:tcBorders>
              <w:top w:val="nil"/>
              <w:left w:val="nil"/>
              <w:bottom w:val="nil"/>
              <w:right w:val="nil"/>
            </w:tcBorders>
            <w:noWrap/>
            <w:vAlign w:val="center"/>
            <w:hideMark/>
          </w:tcPr>
          <w:p w14:paraId="7510A4B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0.6627</w:t>
            </w:r>
          </w:p>
        </w:tc>
        <w:tc>
          <w:tcPr>
            <w:tcW w:w="937" w:type="dxa"/>
            <w:tcBorders>
              <w:top w:val="nil"/>
              <w:left w:val="nil"/>
              <w:bottom w:val="nil"/>
              <w:right w:val="nil"/>
            </w:tcBorders>
            <w:noWrap/>
            <w:vAlign w:val="center"/>
            <w:hideMark/>
          </w:tcPr>
          <w:p w14:paraId="1A8BEBC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04E10F5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0.5301</w:t>
            </w:r>
          </w:p>
        </w:tc>
        <w:tc>
          <w:tcPr>
            <w:tcW w:w="1369" w:type="dxa"/>
            <w:tcBorders>
              <w:top w:val="nil"/>
              <w:left w:val="nil"/>
              <w:bottom w:val="nil"/>
              <w:right w:val="nil"/>
            </w:tcBorders>
            <w:noWrap/>
            <w:vAlign w:val="center"/>
            <w:hideMark/>
          </w:tcPr>
          <w:p w14:paraId="4915E1C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67838E7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0.4194</w:t>
            </w:r>
          </w:p>
        </w:tc>
        <w:tc>
          <w:tcPr>
            <w:tcW w:w="1134" w:type="dxa"/>
            <w:tcBorders>
              <w:top w:val="nil"/>
              <w:left w:val="nil"/>
              <w:bottom w:val="nil"/>
              <w:right w:val="nil"/>
            </w:tcBorders>
            <w:noWrap/>
            <w:vAlign w:val="center"/>
            <w:hideMark/>
          </w:tcPr>
          <w:p w14:paraId="3CFC8E9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3FF8301F"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2F5ADE3E"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38176234" w14:textId="77777777" w:rsidTr="00C010D0">
        <w:trPr>
          <w:trHeight w:val="20"/>
        </w:trPr>
        <w:tc>
          <w:tcPr>
            <w:tcW w:w="576" w:type="dxa"/>
            <w:tcBorders>
              <w:top w:val="nil"/>
              <w:left w:val="nil"/>
              <w:bottom w:val="nil"/>
              <w:right w:val="nil"/>
            </w:tcBorders>
            <w:noWrap/>
            <w:vAlign w:val="center"/>
            <w:hideMark/>
          </w:tcPr>
          <w:p w14:paraId="214368E4"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4</w:t>
            </w:r>
          </w:p>
        </w:tc>
        <w:tc>
          <w:tcPr>
            <w:tcW w:w="937" w:type="dxa"/>
            <w:tcBorders>
              <w:top w:val="nil"/>
              <w:left w:val="nil"/>
              <w:bottom w:val="nil"/>
              <w:right w:val="nil"/>
            </w:tcBorders>
            <w:noWrap/>
            <w:vAlign w:val="center"/>
            <w:hideMark/>
          </w:tcPr>
          <w:p w14:paraId="321BB97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0.3434</w:t>
            </w:r>
          </w:p>
        </w:tc>
        <w:tc>
          <w:tcPr>
            <w:tcW w:w="937" w:type="dxa"/>
            <w:tcBorders>
              <w:top w:val="nil"/>
              <w:left w:val="nil"/>
              <w:bottom w:val="nil"/>
              <w:right w:val="nil"/>
            </w:tcBorders>
            <w:noWrap/>
            <w:vAlign w:val="center"/>
            <w:hideMark/>
          </w:tcPr>
          <w:p w14:paraId="6CA7AEE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77ED9A1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0.4699</w:t>
            </w:r>
          </w:p>
        </w:tc>
        <w:tc>
          <w:tcPr>
            <w:tcW w:w="1369" w:type="dxa"/>
            <w:tcBorders>
              <w:top w:val="nil"/>
              <w:left w:val="nil"/>
              <w:bottom w:val="nil"/>
              <w:right w:val="nil"/>
            </w:tcBorders>
            <w:noWrap/>
            <w:vAlign w:val="center"/>
            <w:hideMark/>
          </w:tcPr>
          <w:p w14:paraId="713E9F1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0A6AB4C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0.3948</w:t>
            </w:r>
          </w:p>
        </w:tc>
        <w:tc>
          <w:tcPr>
            <w:tcW w:w="1134" w:type="dxa"/>
            <w:tcBorders>
              <w:top w:val="nil"/>
              <w:left w:val="nil"/>
              <w:bottom w:val="nil"/>
              <w:right w:val="nil"/>
            </w:tcBorders>
            <w:noWrap/>
            <w:vAlign w:val="center"/>
            <w:hideMark/>
          </w:tcPr>
          <w:p w14:paraId="3AA6651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1C81675F"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2B676195"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6E27C2A4" w14:textId="77777777" w:rsidTr="00C010D0">
        <w:trPr>
          <w:trHeight w:val="20"/>
        </w:trPr>
        <w:tc>
          <w:tcPr>
            <w:tcW w:w="576" w:type="dxa"/>
            <w:tcBorders>
              <w:top w:val="nil"/>
              <w:left w:val="nil"/>
              <w:bottom w:val="nil"/>
              <w:right w:val="nil"/>
            </w:tcBorders>
            <w:noWrap/>
            <w:vAlign w:val="center"/>
            <w:hideMark/>
          </w:tcPr>
          <w:p w14:paraId="741F2CE5"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5</w:t>
            </w:r>
          </w:p>
        </w:tc>
        <w:tc>
          <w:tcPr>
            <w:tcW w:w="937" w:type="dxa"/>
            <w:tcBorders>
              <w:top w:val="nil"/>
              <w:left w:val="nil"/>
              <w:bottom w:val="nil"/>
              <w:right w:val="nil"/>
            </w:tcBorders>
            <w:noWrap/>
            <w:vAlign w:val="center"/>
            <w:hideMark/>
          </w:tcPr>
          <w:p w14:paraId="6B0A3C6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0.7651</w:t>
            </w:r>
          </w:p>
        </w:tc>
        <w:tc>
          <w:tcPr>
            <w:tcW w:w="937" w:type="dxa"/>
            <w:tcBorders>
              <w:top w:val="nil"/>
              <w:left w:val="nil"/>
              <w:bottom w:val="nil"/>
              <w:right w:val="nil"/>
            </w:tcBorders>
            <w:noWrap/>
            <w:vAlign w:val="center"/>
            <w:hideMark/>
          </w:tcPr>
          <w:p w14:paraId="02BB6AB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6AF9FD1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0.3012</w:t>
            </w:r>
          </w:p>
        </w:tc>
        <w:tc>
          <w:tcPr>
            <w:tcW w:w="1369" w:type="dxa"/>
            <w:tcBorders>
              <w:top w:val="nil"/>
              <w:left w:val="nil"/>
              <w:bottom w:val="nil"/>
              <w:right w:val="nil"/>
            </w:tcBorders>
            <w:noWrap/>
            <w:vAlign w:val="center"/>
            <w:hideMark/>
          </w:tcPr>
          <w:p w14:paraId="136E686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0DA8A95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0.3033</w:t>
            </w:r>
          </w:p>
        </w:tc>
        <w:tc>
          <w:tcPr>
            <w:tcW w:w="1134" w:type="dxa"/>
            <w:tcBorders>
              <w:top w:val="nil"/>
              <w:left w:val="nil"/>
              <w:bottom w:val="nil"/>
              <w:right w:val="nil"/>
            </w:tcBorders>
            <w:noWrap/>
            <w:vAlign w:val="center"/>
            <w:hideMark/>
          </w:tcPr>
          <w:p w14:paraId="1A761C1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402181BE"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607B1D81"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4CFA70CF" w14:textId="77777777" w:rsidTr="00C010D0">
        <w:trPr>
          <w:trHeight w:val="20"/>
        </w:trPr>
        <w:tc>
          <w:tcPr>
            <w:tcW w:w="576" w:type="dxa"/>
            <w:tcBorders>
              <w:top w:val="nil"/>
              <w:left w:val="nil"/>
              <w:bottom w:val="nil"/>
              <w:right w:val="nil"/>
            </w:tcBorders>
            <w:noWrap/>
            <w:vAlign w:val="center"/>
            <w:hideMark/>
          </w:tcPr>
          <w:p w14:paraId="0662F32F"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6</w:t>
            </w:r>
          </w:p>
        </w:tc>
        <w:tc>
          <w:tcPr>
            <w:tcW w:w="937" w:type="dxa"/>
            <w:tcBorders>
              <w:top w:val="nil"/>
              <w:left w:val="nil"/>
              <w:bottom w:val="nil"/>
              <w:right w:val="nil"/>
            </w:tcBorders>
            <w:noWrap/>
            <w:vAlign w:val="center"/>
            <w:hideMark/>
          </w:tcPr>
          <w:p w14:paraId="1D18113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0.8193</w:t>
            </w:r>
          </w:p>
        </w:tc>
        <w:tc>
          <w:tcPr>
            <w:tcW w:w="937" w:type="dxa"/>
            <w:tcBorders>
              <w:top w:val="nil"/>
              <w:left w:val="nil"/>
              <w:bottom w:val="nil"/>
              <w:right w:val="nil"/>
            </w:tcBorders>
            <w:noWrap/>
            <w:vAlign w:val="center"/>
            <w:hideMark/>
          </w:tcPr>
          <w:p w14:paraId="3F5A2FB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01E5888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0.2892</w:t>
            </w:r>
          </w:p>
        </w:tc>
        <w:tc>
          <w:tcPr>
            <w:tcW w:w="1369" w:type="dxa"/>
            <w:tcBorders>
              <w:top w:val="nil"/>
              <w:left w:val="nil"/>
              <w:bottom w:val="nil"/>
              <w:right w:val="nil"/>
            </w:tcBorders>
            <w:noWrap/>
            <w:vAlign w:val="center"/>
            <w:hideMark/>
          </w:tcPr>
          <w:p w14:paraId="5DB35EF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454FCF6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0.3786</w:t>
            </w:r>
          </w:p>
        </w:tc>
        <w:tc>
          <w:tcPr>
            <w:tcW w:w="1134" w:type="dxa"/>
            <w:tcBorders>
              <w:top w:val="nil"/>
              <w:left w:val="nil"/>
              <w:bottom w:val="nil"/>
              <w:right w:val="nil"/>
            </w:tcBorders>
            <w:noWrap/>
            <w:vAlign w:val="center"/>
            <w:hideMark/>
          </w:tcPr>
          <w:p w14:paraId="21D380F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4A06B368"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7E1D8168"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5C6D781D" w14:textId="77777777" w:rsidTr="00C010D0">
        <w:trPr>
          <w:trHeight w:val="20"/>
        </w:trPr>
        <w:tc>
          <w:tcPr>
            <w:tcW w:w="576" w:type="dxa"/>
            <w:tcBorders>
              <w:top w:val="nil"/>
              <w:left w:val="nil"/>
              <w:bottom w:val="nil"/>
              <w:right w:val="nil"/>
            </w:tcBorders>
            <w:noWrap/>
            <w:vAlign w:val="center"/>
            <w:hideMark/>
          </w:tcPr>
          <w:p w14:paraId="3EC6A31F"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7</w:t>
            </w:r>
          </w:p>
        </w:tc>
        <w:tc>
          <w:tcPr>
            <w:tcW w:w="937" w:type="dxa"/>
            <w:tcBorders>
              <w:top w:val="nil"/>
              <w:left w:val="nil"/>
              <w:bottom w:val="nil"/>
              <w:right w:val="nil"/>
            </w:tcBorders>
            <w:noWrap/>
            <w:vAlign w:val="center"/>
            <w:hideMark/>
          </w:tcPr>
          <w:p w14:paraId="656CA1A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0.6867</w:t>
            </w:r>
          </w:p>
        </w:tc>
        <w:tc>
          <w:tcPr>
            <w:tcW w:w="937" w:type="dxa"/>
            <w:tcBorders>
              <w:top w:val="nil"/>
              <w:left w:val="nil"/>
              <w:bottom w:val="nil"/>
              <w:right w:val="nil"/>
            </w:tcBorders>
            <w:noWrap/>
            <w:vAlign w:val="center"/>
            <w:hideMark/>
          </w:tcPr>
          <w:p w14:paraId="1382186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00EFCD2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0.4578</w:t>
            </w:r>
          </w:p>
        </w:tc>
        <w:tc>
          <w:tcPr>
            <w:tcW w:w="1369" w:type="dxa"/>
            <w:tcBorders>
              <w:top w:val="nil"/>
              <w:left w:val="nil"/>
              <w:bottom w:val="nil"/>
              <w:right w:val="nil"/>
            </w:tcBorders>
            <w:noWrap/>
            <w:vAlign w:val="center"/>
            <w:hideMark/>
          </w:tcPr>
          <w:p w14:paraId="0A9D92C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5A13C43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0.4047</w:t>
            </w:r>
          </w:p>
        </w:tc>
        <w:tc>
          <w:tcPr>
            <w:tcW w:w="1134" w:type="dxa"/>
            <w:tcBorders>
              <w:top w:val="nil"/>
              <w:left w:val="nil"/>
              <w:bottom w:val="nil"/>
              <w:right w:val="nil"/>
            </w:tcBorders>
            <w:noWrap/>
            <w:vAlign w:val="center"/>
            <w:hideMark/>
          </w:tcPr>
          <w:p w14:paraId="435A551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7B8042CD"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028FA9B0"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15015398" w14:textId="77777777" w:rsidTr="00C010D0">
        <w:trPr>
          <w:trHeight w:val="20"/>
        </w:trPr>
        <w:tc>
          <w:tcPr>
            <w:tcW w:w="576" w:type="dxa"/>
            <w:tcBorders>
              <w:top w:val="nil"/>
              <w:left w:val="nil"/>
              <w:bottom w:val="nil"/>
              <w:right w:val="nil"/>
            </w:tcBorders>
            <w:noWrap/>
            <w:vAlign w:val="center"/>
            <w:hideMark/>
          </w:tcPr>
          <w:p w14:paraId="6EA5CCB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8</w:t>
            </w:r>
          </w:p>
        </w:tc>
        <w:tc>
          <w:tcPr>
            <w:tcW w:w="937" w:type="dxa"/>
            <w:tcBorders>
              <w:top w:val="nil"/>
              <w:left w:val="nil"/>
              <w:bottom w:val="nil"/>
              <w:right w:val="nil"/>
            </w:tcBorders>
            <w:noWrap/>
            <w:vAlign w:val="center"/>
            <w:hideMark/>
          </w:tcPr>
          <w:p w14:paraId="69AAC98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0.7892</w:t>
            </w:r>
          </w:p>
        </w:tc>
        <w:tc>
          <w:tcPr>
            <w:tcW w:w="937" w:type="dxa"/>
            <w:tcBorders>
              <w:top w:val="nil"/>
              <w:left w:val="nil"/>
              <w:bottom w:val="nil"/>
              <w:right w:val="nil"/>
            </w:tcBorders>
            <w:noWrap/>
            <w:vAlign w:val="center"/>
            <w:hideMark/>
          </w:tcPr>
          <w:p w14:paraId="58029D2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7753E23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0.2048</w:t>
            </w:r>
          </w:p>
        </w:tc>
        <w:tc>
          <w:tcPr>
            <w:tcW w:w="1369" w:type="dxa"/>
            <w:tcBorders>
              <w:top w:val="nil"/>
              <w:left w:val="nil"/>
              <w:bottom w:val="nil"/>
              <w:right w:val="nil"/>
            </w:tcBorders>
            <w:noWrap/>
            <w:vAlign w:val="center"/>
            <w:hideMark/>
          </w:tcPr>
          <w:p w14:paraId="681969C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31FB305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0.2217</w:t>
            </w:r>
          </w:p>
        </w:tc>
        <w:tc>
          <w:tcPr>
            <w:tcW w:w="1134" w:type="dxa"/>
            <w:tcBorders>
              <w:top w:val="nil"/>
              <w:left w:val="nil"/>
              <w:bottom w:val="nil"/>
              <w:right w:val="nil"/>
            </w:tcBorders>
            <w:noWrap/>
            <w:vAlign w:val="center"/>
            <w:hideMark/>
          </w:tcPr>
          <w:p w14:paraId="0C7A2C8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460C3135"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5CC88E20"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3651A1BB" w14:textId="77777777" w:rsidTr="00C010D0">
        <w:trPr>
          <w:trHeight w:val="20"/>
        </w:trPr>
        <w:tc>
          <w:tcPr>
            <w:tcW w:w="576" w:type="dxa"/>
            <w:tcBorders>
              <w:top w:val="nil"/>
              <w:left w:val="nil"/>
              <w:bottom w:val="nil"/>
              <w:right w:val="nil"/>
            </w:tcBorders>
            <w:noWrap/>
            <w:vAlign w:val="center"/>
            <w:hideMark/>
          </w:tcPr>
          <w:p w14:paraId="6EF0AC4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9</w:t>
            </w:r>
          </w:p>
        </w:tc>
        <w:tc>
          <w:tcPr>
            <w:tcW w:w="937" w:type="dxa"/>
            <w:tcBorders>
              <w:top w:val="nil"/>
              <w:left w:val="nil"/>
              <w:bottom w:val="nil"/>
              <w:right w:val="nil"/>
            </w:tcBorders>
            <w:noWrap/>
            <w:vAlign w:val="center"/>
            <w:hideMark/>
          </w:tcPr>
          <w:p w14:paraId="220D491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0.7651</w:t>
            </w:r>
          </w:p>
        </w:tc>
        <w:tc>
          <w:tcPr>
            <w:tcW w:w="937" w:type="dxa"/>
            <w:tcBorders>
              <w:top w:val="nil"/>
              <w:left w:val="nil"/>
              <w:bottom w:val="nil"/>
              <w:right w:val="nil"/>
            </w:tcBorders>
            <w:noWrap/>
            <w:vAlign w:val="center"/>
            <w:hideMark/>
          </w:tcPr>
          <w:p w14:paraId="72BA3E4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6DF4808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0.3494</w:t>
            </w:r>
          </w:p>
        </w:tc>
        <w:tc>
          <w:tcPr>
            <w:tcW w:w="1369" w:type="dxa"/>
            <w:tcBorders>
              <w:top w:val="nil"/>
              <w:left w:val="nil"/>
              <w:bottom w:val="nil"/>
              <w:right w:val="nil"/>
            </w:tcBorders>
            <w:noWrap/>
            <w:vAlign w:val="center"/>
            <w:hideMark/>
          </w:tcPr>
          <w:p w14:paraId="57F3F81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4581489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0.3788</w:t>
            </w:r>
          </w:p>
        </w:tc>
        <w:tc>
          <w:tcPr>
            <w:tcW w:w="1134" w:type="dxa"/>
            <w:tcBorders>
              <w:top w:val="nil"/>
              <w:left w:val="nil"/>
              <w:bottom w:val="nil"/>
              <w:right w:val="nil"/>
            </w:tcBorders>
            <w:noWrap/>
            <w:vAlign w:val="center"/>
            <w:hideMark/>
          </w:tcPr>
          <w:p w14:paraId="0BCBD36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257AEA5F"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777DF5F5"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4249000E" w14:textId="77777777" w:rsidTr="00C010D0">
        <w:trPr>
          <w:trHeight w:val="20"/>
        </w:trPr>
        <w:tc>
          <w:tcPr>
            <w:tcW w:w="576" w:type="dxa"/>
            <w:tcBorders>
              <w:top w:val="nil"/>
              <w:left w:val="nil"/>
              <w:bottom w:val="nil"/>
              <w:right w:val="nil"/>
            </w:tcBorders>
            <w:noWrap/>
            <w:vAlign w:val="center"/>
            <w:hideMark/>
          </w:tcPr>
          <w:p w14:paraId="74B641CC"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10</w:t>
            </w:r>
          </w:p>
        </w:tc>
        <w:tc>
          <w:tcPr>
            <w:tcW w:w="937" w:type="dxa"/>
            <w:tcBorders>
              <w:top w:val="nil"/>
              <w:left w:val="nil"/>
              <w:bottom w:val="nil"/>
              <w:right w:val="nil"/>
            </w:tcBorders>
            <w:noWrap/>
            <w:vAlign w:val="center"/>
            <w:hideMark/>
          </w:tcPr>
          <w:p w14:paraId="0F07182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0.3916</w:t>
            </w:r>
          </w:p>
        </w:tc>
        <w:tc>
          <w:tcPr>
            <w:tcW w:w="937" w:type="dxa"/>
            <w:tcBorders>
              <w:top w:val="nil"/>
              <w:left w:val="nil"/>
              <w:bottom w:val="nil"/>
              <w:right w:val="nil"/>
            </w:tcBorders>
            <w:noWrap/>
            <w:vAlign w:val="center"/>
            <w:hideMark/>
          </w:tcPr>
          <w:p w14:paraId="1E36A9D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21EB23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0.2771</w:t>
            </w:r>
          </w:p>
        </w:tc>
        <w:tc>
          <w:tcPr>
            <w:tcW w:w="1369" w:type="dxa"/>
            <w:tcBorders>
              <w:top w:val="nil"/>
              <w:left w:val="nil"/>
              <w:bottom w:val="nil"/>
              <w:right w:val="nil"/>
            </w:tcBorders>
            <w:noWrap/>
            <w:vAlign w:val="center"/>
            <w:hideMark/>
          </w:tcPr>
          <w:p w14:paraId="5EA7AD4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61AFCA6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0.2518</w:t>
            </w:r>
          </w:p>
        </w:tc>
        <w:tc>
          <w:tcPr>
            <w:tcW w:w="1134" w:type="dxa"/>
            <w:tcBorders>
              <w:top w:val="nil"/>
              <w:left w:val="nil"/>
              <w:bottom w:val="nil"/>
              <w:right w:val="nil"/>
            </w:tcBorders>
            <w:noWrap/>
            <w:vAlign w:val="center"/>
            <w:hideMark/>
          </w:tcPr>
          <w:p w14:paraId="2FF46EB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4F483D25"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215E860A"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4ABCADC" w14:textId="77777777" w:rsidTr="00C010D0">
        <w:trPr>
          <w:trHeight w:val="20"/>
        </w:trPr>
        <w:tc>
          <w:tcPr>
            <w:tcW w:w="576" w:type="dxa"/>
            <w:tcBorders>
              <w:top w:val="nil"/>
              <w:left w:val="nil"/>
              <w:bottom w:val="nil"/>
              <w:right w:val="nil"/>
            </w:tcBorders>
            <w:noWrap/>
            <w:vAlign w:val="center"/>
            <w:hideMark/>
          </w:tcPr>
          <w:p w14:paraId="0593EB70"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11</w:t>
            </w:r>
          </w:p>
        </w:tc>
        <w:tc>
          <w:tcPr>
            <w:tcW w:w="937" w:type="dxa"/>
            <w:tcBorders>
              <w:top w:val="nil"/>
              <w:left w:val="nil"/>
              <w:bottom w:val="nil"/>
              <w:right w:val="nil"/>
            </w:tcBorders>
            <w:noWrap/>
            <w:vAlign w:val="center"/>
            <w:hideMark/>
          </w:tcPr>
          <w:p w14:paraId="16BBCCB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0.2651</w:t>
            </w:r>
          </w:p>
        </w:tc>
        <w:tc>
          <w:tcPr>
            <w:tcW w:w="937" w:type="dxa"/>
            <w:tcBorders>
              <w:top w:val="nil"/>
              <w:left w:val="nil"/>
              <w:bottom w:val="nil"/>
              <w:right w:val="nil"/>
            </w:tcBorders>
            <w:noWrap/>
            <w:vAlign w:val="center"/>
            <w:hideMark/>
          </w:tcPr>
          <w:p w14:paraId="3DA8E4E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1361CDF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0.1928</w:t>
            </w:r>
          </w:p>
        </w:tc>
        <w:tc>
          <w:tcPr>
            <w:tcW w:w="1369" w:type="dxa"/>
            <w:tcBorders>
              <w:top w:val="nil"/>
              <w:left w:val="nil"/>
              <w:bottom w:val="nil"/>
              <w:right w:val="nil"/>
            </w:tcBorders>
            <w:noWrap/>
            <w:vAlign w:val="center"/>
            <w:hideMark/>
          </w:tcPr>
          <w:p w14:paraId="2A26DC4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2FDDC3C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0.1820</w:t>
            </w:r>
          </w:p>
        </w:tc>
        <w:tc>
          <w:tcPr>
            <w:tcW w:w="1134" w:type="dxa"/>
            <w:tcBorders>
              <w:top w:val="nil"/>
              <w:left w:val="nil"/>
              <w:bottom w:val="nil"/>
              <w:right w:val="nil"/>
            </w:tcBorders>
            <w:noWrap/>
            <w:vAlign w:val="center"/>
            <w:hideMark/>
          </w:tcPr>
          <w:p w14:paraId="69AC41F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106AB18A"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6829BFB1"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505A504F" w14:textId="77777777" w:rsidTr="00C010D0">
        <w:trPr>
          <w:trHeight w:val="20"/>
        </w:trPr>
        <w:tc>
          <w:tcPr>
            <w:tcW w:w="576" w:type="dxa"/>
            <w:tcBorders>
              <w:top w:val="nil"/>
              <w:left w:val="nil"/>
              <w:bottom w:val="nil"/>
              <w:right w:val="nil"/>
            </w:tcBorders>
            <w:noWrap/>
            <w:vAlign w:val="center"/>
            <w:hideMark/>
          </w:tcPr>
          <w:p w14:paraId="6D92206D"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12</w:t>
            </w:r>
          </w:p>
        </w:tc>
        <w:tc>
          <w:tcPr>
            <w:tcW w:w="937" w:type="dxa"/>
            <w:tcBorders>
              <w:top w:val="nil"/>
              <w:left w:val="nil"/>
              <w:bottom w:val="nil"/>
              <w:right w:val="nil"/>
            </w:tcBorders>
            <w:noWrap/>
            <w:vAlign w:val="center"/>
            <w:hideMark/>
          </w:tcPr>
          <w:p w14:paraId="19F2F2E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0.5542</w:t>
            </w:r>
          </w:p>
        </w:tc>
        <w:tc>
          <w:tcPr>
            <w:tcW w:w="937" w:type="dxa"/>
            <w:tcBorders>
              <w:top w:val="nil"/>
              <w:left w:val="nil"/>
              <w:bottom w:val="nil"/>
              <w:right w:val="nil"/>
            </w:tcBorders>
            <w:noWrap/>
            <w:vAlign w:val="center"/>
            <w:hideMark/>
          </w:tcPr>
          <w:p w14:paraId="185C703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2D48C21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0.4819</w:t>
            </w:r>
          </w:p>
        </w:tc>
        <w:tc>
          <w:tcPr>
            <w:tcW w:w="1369" w:type="dxa"/>
            <w:tcBorders>
              <w:top w:val="nil"/>
              <w:left w:val="nil"/>
              <w:bottom w:val="nil"/>
              <w:right w:val="nil"/>
            </w:tcBorders>
            <w:noWrap/>
            <w:vAlign w:val="center"/>
            <w:hideMark/>
          </w:tcPr>
          <w:p w14:paraId="5B4AF8B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6633A6A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0.3895</w:t>
            </w:r>
          </w:p>
        </w:tc>
        <w:tc>
          <w:tcPr>
            <w:tcW w:w="1134" w:type="dxa"/>
            <w:tcBorders>
              <w:top w:val="nil"/>
              <w:left w:val="nil"/>
              <w:bottom w:val="nil"/>
              <w:right w:val="nil"/>
            </w:tcBorders>
            <w:noWrap/>
            <w:vAlign w:val="center"/>
            <w:hideMark/>
          </w:tcPr>
          <w:p w14:paraId="668DDE7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6B9B533D"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40D54239"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3876E718" w14:textId="77777777" w:rsidTr="00C010D0">
        <w:trPr>
          <w:trHeight w:val="20"/>
        </w:trPr>
        <w:tc>
          <w:tcPr>
            <w:tcW w:w="576" w:type="dxa"/>
            <w:tcBorders>
              <w:top w:val="nil"/>
              <w:left w:val="nil"/>
              <w:bottom w:val="nil"/>
              <w:right w:val="nil"/>
            </w:tcBorders>
            <w:noWrap/>
            <w:vAlign w:val="center"/>
            <w:hideMark/>
          </w:tcPr>
          <w:p w14:paraId="33C7CB1B"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13</w:t>
            </w:r>
          </w:p>
        </w:tc>
        <w:tc>
          <w:tcPr>
            <w:tcW w:w="937" w:type="dxa"/>
            <w:tcBorders>
              <w:top w:val="nil"/>
              <w:left w:val="nil"/>
              <w:bottom w:val="nil"/>
              <w:right w:val="nil"/>
            </w:tcBorders>
            <w:noWrap/>
            <w:vAlign w:val="center"/>
            <w:hideMark/>
          </w:tcPr>
          <w:p w14:paraId="12C78D9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0.512</w:t>
            </w:r>
          </w:p>
        </w:tc>
        <w:tc>
          <w:tcPr>
            <w:tcW w:w="937" w:type="dxa"/>
            <w:tcBorders>
              <w:top w:val="nil"/>
              <w:left w:val="nil"/>
              <w:bottom w:val="nil"/>
              <w:right w:val="nil"/>
            </w:tcBorders>
            <w:noWrap/>
            <w:vAlign w:val="center"/>
            <w:hideMark/>
          </w:tcPr>
          <w:p w14:paraId="0C8EEDD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6245FAE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0.5181</w:t>
            </w:r>
          </w:p>
        </w:tc>
        <w:tc>
          <w:tcPr>
            <w:tcW w:w="1369" w:type="dxa"/>
            <w:tcBorders>
              <w:top w:val="nil"/>
              <w:left w:val="nil"/>
              <w:bottom w:val="nil"/>
              <w:right w:val="nil"/>
            </w:tcBorders>
            <w:noWrap/>
            <w:vAlign w:val="center"/>
            <w:hideMark/>
          </w:tcPr>
          <w:p w14:paraId="31B6A46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46CD669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0.4138</w:t>
            </w:r>
          </w:p>
        </w:tc>
        <w:tc>
          <w:tcPr>
            <w:tcW w:w="1134" w:type="dxa"/>
            <w:tcBorders>
              <w:top w:val="nil"/>
              <w:left w:val="nil"/>
              <w:bottom w:val="nil"/>
              <w:right w:val="nil"/>
            </w:tcBorders>
            <w:noWrap/>
            <w:vAlign w:val="center"/>
            <w:hideMark/>
          </w:tcPr>
          <w:p w14:paraId="50E4CB8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745FCCE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1A43DCB6"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33FFF536" w14:textId="77777777" w:rsidTr="00C010D0">
        <w:trPr>
          <w:trHeight w:val="20"/>
        </w:trPr>
        <w:tc>
          <w:tcPr>
            <w:tcW w:w="576" w:type="dxa"/>
            <w:tcBorders>
              <w:top w:val="nil"/>
              <w:left w:val="nil"/>
              <w:bottom w:val="nil"/>
              <w:right w:val="nil"/>
            </w:tcBorders>
            <w:noWrap/>
            <w:vAlign w:val="center"/>
            <w:hideMark/>
          </w:tcPr>
          <w:p w14:paraId="448C474E"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14</w:t>
            </w:r>
          </w:p>
        </w:tc>
        <w:tc>
          <w:tcPr>
            <w:tcW w:w="937" w:type="dxa"/>
            <w:tcBorders>
              <w:top w:val="nil"/>
              <w:left w:val="nil"/>
              <w:bottom w:val="nil"/>
              <w:right w:val="nil"/>
            </w:tcBorders>
            <w:noWrap/>
            <w:vAlign w:val="center"/>
            <w:hideMark/>
          </w:tcPr>
          <w:p w14:paraId="54984F0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0.1867</w:t>
            </w:r>
          </w:p>
        </w:tc>
        <w:tc>
          <w:tcPr>
            <w:tcW w:w="937" w:type="dxa"/>
            <w:tcBorders>
              <w:top w:val="nil"/>
              <w:left w:val="nil"/>
              <w:bottom w:val="nil"/>
              <w:right w:val="nil"/>
            </w:tcBorders>
            <w:noWrap/>
            <w:vAlign w:val="center"/>
            <w:hideMark/>
          </w:tcPr>
          <w:p w14:paraId="721CBB9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Hard</w:t>
            </w:r>
          </w:p>
        </w:tc>
        <w:tc>
          <w:tcPr>
            <w:tcW w:w="1369" w:type="dxa"/>
            <w:tcBorders>
              <w:top w:val="nil"/>
              <w:left w:val="nil"/>
              <w:bottom w:val="nil"/>
              <w:right w:val="nil"/>
            </w:tcBorders>
            <w:noWrap/>
            <w:vAlign w:val="center"/>
            <w:hideMark/>
          </w:tcPr>
          <w:p w14:paraId="5356BB2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0.1325</w:t>
            </w:r>
          </w:p>
        </w:tc>
        <w:tc>
          <w:tcPr>
            <w:tcW w:w="1369" w:type="dxa"/>
            <w:tcBorders>
              <w:top w:val="nil"/>
              <w:left w:val="nil"/>
              <w:bottom w:val="nil"/>
              <w:right w:val="nil"/>
            </w:tcBorders>
            <w:noWrap/>
            <w:vAlign w:val="center"/>
            <w:hideMark/>
          </w:tcPr>
          <w:p w14:paraId="41575CE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4F94D70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0.1645</w:t>
            </w:r>
          </w:p>
        </w:tc>
        <w:tc>
          <w:tcPr>
            <w:tcW w:w="1134" w:type="dxa"/>
            <w:tcBorders>
              <w:top w:val="nil"/>
              <w:left w:val="nil"/>
              <w:bottom w:val="nil"/>
              <w:right w:val="nil"/>
            </w:tcBorders>
            <w:noWrap/>
            <w:vAlign w:val="center"/>
            <w:hideMark/>
          </w:tcPr>
          <w:p w14:paraId="1C0AD73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66EFAD2D"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13D380C6"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0338D1A9" w14:textId="77777777" w:rsidTr="00C010D0">
        <w:trPr>
          <w:trHeight w:val="20"/>
        </w:trPr>
        <w:tc>
          <w:tcPr>
            <w:tcW w:w="576" w:type="dxa"/>
            <w:tcBorders>
              <w:top w:val="nil"/>
              <w:left w:val="nil"/>
              <w:bottom w:val="nil"/>
              <w:right w:val="nil"/>
            </w:tcBorders>
            <w:noWrap/>
            <w:vAlign w:val="center"/>
            <w:hideMark/>
          </w:tcPr>
          <w:p w14:paraId="7D6EE4D1"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15</w:t>
            </w:r>
          </w:p>
        </w:tc>
        <w:tc>
          <w:tcPr>
            <w:tcW w:w="937" w:type="dxa"/>
            <w:tcBorders>
              <w:top w:val="nil"/>
              <w:left w:val="nil"/>
              <w:bottom w:val="nil"/>
              <w:right w:val="nil"/>
            </w:tcBorders>
            <w:noWrap/>
            <w:vAlign w:val="center"/>
            <w:hideMark/>
          </w:tcPr>
          <w:p w14:paraId="224D1BB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0.3313</w:t>
            </w:r>
          </w:p>
        </w:tc>
        <w:tc>
          <w:tcPr>
            <w:tcW w:w="937" w:type="dxa"/>
            <w:tcBorders>
              <w:top w:val="nil"/>
              <w:left w:val="nil"/>
              <w:bottom w:val="nil"/>
              <w:right w:val="nil"/>
            </w:tcBorders>
            <w:noWrap/>
            <w:vAlign w:val="center"/>
            <w:hideMark/>
          </w:tcPr>
          <w:p w14:paraId="032D03A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70F15AF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0.3735</w:t>
            </w:r>
          </w:p>
        </w:tc>
        <w:tc>
          <w:tcPr>
            <w:tcW w:w="1369" w:type="dxa"/>
            <w:tcBorders>
              <w:top w:val="nil"/>
              <w:left w:val="nil"/>
              <w:bottom w:val="nil"/>
              <w:right w:val="nil"/>
            </w:tcBorders>
            <w:noWrap/>
            <w:vAlign w:val="center"/>
            <w:hideMark/>
          </w:tcPr>
          <w:p w14:paraId="763C360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7EF2DD5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0.3223</w:t>
            </w:r>
          </w:p>
        </w:tc>
        <w:tc>
          <w:tcPr>
            <w:tcW w:w="1134" w:type="dxa"/>
            <w:tcBorders>
              <w:top w:val="nil"/>
              <w:left w:val="nil"/>
              <w:bottom w:val="nil"/>
              <w:right w:val="nil"/>
            </w:tcBorders>
            <w:noWrap/>
            <w:vAlign w:val="center"/>
            <w:hideMark/>
          </w:tcPr>
          <w:p w14:paraId="4622A1E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39AB186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73D310CF"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774C60A4" w14:textId="77777777" w:rsidTr="00C010D0">
        <w:trPr>
          <w:trHeight w:val="20"/>
        </w:trPr>
        <w:tc>
          <w:tcPr>
            <w:tcW w:w="576" w:type="dxa"/>
            <w:tcBorders>
              <w:top w:val="nil"/>
              <w:left w:val="nil"/>
              <w:bottom w:val="nil"/>
              <w:right w:val="nil"/>
            </w:tcBorders>
            <w:noWrap/>
            <w:vAlign w:val="center"/>
            <w:hideMark/>
          </w:tcPr>
          <w:p w14:paraId="35CFE8A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16</w:t>
            </w:r>
          </w:p>
        </w:tc>
        <w:tc>
          <w:tcPr>
            <w:tcW w:w="937" w:type="dxa"/>
            <w:tcBorders>
              <w:top w:val="nil"/>
              <w:left w:val="nil"/>
              <w:bottom w:val="nil"/>
              <w:right w:val="nil"/>
            </w:tcBorders>
            <w:noWrap/>
            <w:vAlign w:val="center"/>
            <w:hideMark/>
          </w:tcPr>
          <w:p w14:paraId="041C571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0.1928</w:t>
            </w:r>
          </w:p>
        </w:tc>
        <w:tc>
          <w:tcPr>
            <w:tcW w:w="937" w:type="dxa"/>
            <w:tcBorders>
              <w:top w:val="nil"/>
              <w:left w:val="nil"/>
              <w:bottom w:val="nil"/>
              <w:right w:val="nil"/>
            </w:tcBorders>
            <w:noWrap/>
            <w:vAlign w:val="center"/>
            <w:hideMark/>
          </w:tcPr>
          <w:p w14:paraId="4E45B55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Hard</w:t>
            </w:r>
          </w:p>
        </w:tc>
        <w:tc>
          <w:tcPr>
            <w:tcW w:w="1369" w:type="dxa"/>
            <w:tcBorders>
              <w:top w:val="nil"/>
              <w:left w:val="nil"/>
              <w:bottom w:val="nil"/>
              <w:right w:val="nil"/>
            </w:tcBorders>
            <w:noWrap/>
            <w:vAlign w:val="center"/>
            <w:hideMark/>
          </w:tcPr>
          <w:p w14:paraId="634BB0D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-0.0723</w:t>
            </w:r>
          </w:p>
        </w:tc>
        <w:tc>
          <w:tcPr>
            <w:tcW w:w="1369" w:type="dxa"/>
            <w:tcBorders>
              <w:top w:val="nil"/>
              <w:left w:val="nil"/>
              <w:bottom w:val="nil"/>
              <w:right w:val="nil"/>
            </w:tcBorders>
            <w:noWrap/>
            <w:vAlign w:val="center"/>
            <w:hideMark/>
          </w:tcPr>
          <w:p w14:paraId="69CBEBD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Not Discriminating</w:t>
            </w:r>
          </w:p>
        </w:tc>
        <w:tc>
          <w:tcPr>
            <w:tcW w:w="1107" w:type="dxa"/>
            <w:tcBorders>
              <w:top w:val="nil"/>
              <w:left w:val="nil"/>
              <w:bottom w:val="nil"/>
              <w:right w:val="nil"/>
            </w:tcBorders>
            <w:noWrap/>
            <w:vAlign w:val="center"/>
            <w:hideMark/>
          </w:tcPr>
          <w:p w14:paraId="4F2378B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-0.0451</w:t>
            </w:r>
          </w:p>
        </w:tc>
        <w:tc>
          <w:tcPr>
            <w:tcW w:w="1134" w:type="dxa"/>
            <w:tcBorders>
              <w:top w:val="nil"/>
              <w:left w:val="nil"/>
              <w:bottom w:val="nil"/>
              <w:right w:val="nil"/>
            </w:tcBorders>
            <w:noWrap/>
            <w:vAlign w:val="center"/>
            <w:hideMark/>
          </w:tcPr>
          <w:p w14:paraId="1EDBB82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6E33E982"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Discard</w:t>
            </w:r>
          </w:p>
        </w:tc>
        <w:tc>
          <w:tcPr>
            <w:tcW w:w="266" w:type="dxa"/>
            <w:vAlign w:val="center"/>
            <w:hideMark/>
          </w:tcPr>
          <w:p w14:paraId="5892156A"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3DB7B608" w14:textId="77777777" w:rsidTr="00C010D0">
        <w:trPr>
          <w:trHeight w:val="20"/>
        </w:trPr>
        <w:tc>
          <w:tcPr>
            <w:tcW w:w="576" w:type="dxa"/>
            <w:tcBorders>
              <w:top w:val="nil"/>
              <w:left w:val="nil"/>
              <w:bottom w:val="nil"/>
              <w:right w:val="nil"/>
            </w:tcBorders>
            <w:noWrap/>
            <w:vAlign w:val="center"/>
            <w:hideMark/>
          </w:tcPr>
          <w:p w14:paraId="48246B50"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17</w:t>
            </w:r>
          </w:p>
        </w:tc>
        <w:tc>
          <w:tcPr>
            <w:tcW w:w="937" w:type="dxa"/>
            <w:tcBorders>
              <w:top w:val="nil"/>
              <w:left w:val="nil"/>
              <w:bottom w:val="nil"/>
              <w:right w:val="nil"/>
            </w:tcBorders>
            <w:noWrap/>
            <w:vAlign w:val="center"/>
            <w:hideMark/>
          </w:tcPr>
          <w:p w14:paraId="3835C01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0.3072</w:t>
            </w:r>
          </w:p>
        </w:tc>
        <w:tc>
          <w:tcPr>
            <w:tcW w:w="937" w:type="dxa"/>
            <w:tcBorders>
              <w:top w:val="nil"/>
              <w:left w:val="nil"/>
              <w:bottom w:val="nil"/>
              <w:right w:val="nil"/>
            </w:tcBorders>
            <w:noWrap/>
            <w:vAlign w:val="center"/>
            <w:hideMark/>
          </w:tcPr>
          <w:p w14:paraId="01171F0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6F0D2B5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0.3735</w:t>
            </w:r>
          </w:p>
        </w:tc>
        <w:tc>
          <w:tcPr>
            <w:tcW w:w="1369" w:type="dxa"/>
            <w:tcBorders>
              <w:top w:val="nil"/>
              <w:left w:val="nil"/>
              <w:bottom w:val="nil"/>
              <w:right w:val="nil"/>
            </w:tcBorders>
            <w:noWrap/>
            <w:vAlign w:val="center"/>
            <w:hideMark/>
          </w:tcPr>
          <w:p w14:paraId="6745DCB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7E30370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0.3842</w:t>
            </w:r>
          </w:p>
        </w:tc>
        <w:tc>
          <w:tcPr>
            <w:tcW w:w="1134" w:type="dxa"/>
            <w:tcBorders>
              <w:top w:val="nil"/>
              <w:left w:val="nil"/>
              <w:bottom w:val="nil"/>
              <w:right w:val="nil"/>
            </w:tcBorders>
            <w:noWrap/>
            <w:vAlign w:val="center"/>
            <w:hideMark/>
          </w:tcPr>
          <w:p w14:paraId="1ABB373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1B4243FA"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58367F1F"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0C9DF124" w14:textId="77777777" w:rsidTr="00C010D0">
        <w:trPr>
          <w:trHeight w:val="20"/>
        </w:trPr>
        <w:tc>
          <w:tcPr>
            <w:tcW w:w="576" w:type="dxa"/>
            <w:tcBorders>
              <w:top w:val="nil"/>
              <w:left w:val="nil"/>
              <w:bottom w:val="nil"/>
              <w:right w:val="nil"/>
            </w:tcBorders>
            <w:noWrap/>
            <w:vAlign w:val="center"/>
            <w:hideMark/>
          </w:tcPr>
          <w:p w14:paraId="4BCF2EB7"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18</w:t>
            </w:r>
          </w:p>
        </w:tc>
        <w:tc>
          <w:tcPr>
            <w:tcW w:w="937" w:type="dxa"/>
            <w:tcBorders>
              <w:top w:val="nil"/>
              <w:left w:val="nil"/>
              <w:bottom w:val="nil"/>
              <w:right w:val="nil"/>
            </w:tcBorders>
            <w:noWrap/>
            <w:vAlign w:val="center"/>
            <w:hideMark/>
          </w:tcPr>
          <w:p w14:paraId="66400C3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0.3072</w:t>
            </w:r>
          </w:p>
        </w:tc>
        <w:tc>
          <w:tcPr>
            <w:tcW w:w="937" w:type="dxa"/>
            <w:tcBorders>
              <w:top w:val="nil"/>
              <w:left w:val="nil"/>
              <w:bottom w:val="nil"/>
              <w:right w:val="nil"/>
            </w:tcBorders>
            <w:noWrap/>
            <w:vAlign w:val="center"/>
            <w:hideMark/>
          </w:tcPr>
          <w:p w14:paraId="42210C0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08D7E41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0.2771</w:t>
            </w:r>
          </w:p>
        </w:tc>
        <w:tc>
          <w:tcPr>
            <w:tcW w:w="1369" w:type="dxa"/>
            <w:tcBorders>
              <w:top w:val="nil"/>
              <w:left w:val="nil"/>
              <w:bottom w:val="nil"/>
              <w:right w:val="nil"/>
            </w:tcBorders>
            <w:noWrap/>
            <w:vAlign w:val="center"/>
            <w:hideMark/>
          </w:tcPr>
          <w:p w14:paraId="5D55A43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3988A5D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0.2547</w:t>
            </w:r>
          </w:p>
        </w:tc>
        <w:tc>
          <w:tcPr>
            <w:tcW w:w="1134" w:type="dxa"/>
            <w:tcBorders>
              <w:top w:val="nil"/>
              <w:left w:val="nil"/>
              <w:bottom w:val="nil"/>
              <w:right w:val="nil"/>
            </w:tcBorders>
            <w:noWrap/>
            <w:vAlign w:val="center"/>
            <w:hideMark/>
          </w:tcPr>
          <w:p w14:paraId="4A502D1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00DE6D0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700861D4"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63BA441" w14:textId="77777777" w:rsidTr="00C010D0">
        <w:trPr>
          <w:trHeight w:val="20"/>
        </w:trPr>
        <w:tc>
          <w:tcPr>
            <w:tcW w:w="576" w:type="dxa"/>
            <w:tcBorders>
              <w:top w:val="nil"/>
              <w:left w:val="nil"/>
              <w:bottom w:val="nil"/>
              <w:right w:val="nil"/>
            </w:tcBorders>
            <w:noWrap/>
            <w:vAlign w:val="center"/>
            <w:hideMark/>
          </w:tcPr>
          <w:p w14:paraId="2238991E"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19</w:t>
            </w:r>
          </w:p>
        </w:tc>
        <w:tc>
          <w:tcPr>
            <w:tcW w:w="937" w:type="dxa"/>
            <w:tcBorders>
              <w:top w:val="nil"/>
              <w:left w:val="nil"/>
              <w:bottom w:val="nil"/>
              <w:right w:val="nil"/>
            </w:tcBorders>
            <w:noWrap/>
            <w:vAlign w:val="center"/>
            <w:hideMark/>
          </w:tcPr>
          <w:p w14:paraId="7056DFB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w:t>
            </w:r>
          </w:p>
        </w:tc>
        <w:tc>
          <w:tcPr>
            <w:tcW w:w="937" w:type="dxa"/>
            <w:tcBorders>
              <w:top w:val="nil"/>
              <w:left w:val="nil"/>
              <w:bottom w:val="nil"/>
              <w:right w:val="nil"/>
            </w:tcBorders>
            <w:noWrap/>
            <w:vAlign w:val="center"/>
            <w:hideMark/>
          </w:tcPr>
          <w:p w14:paraId="4FD1B58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B2D65C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0.6627</w:t>
            </w:r>
          </w:p>
        </w:tc>
        <w:tc>
          <w:tcPr>
            <w:tcW w:w="1369" w:type="dxa"/>
            <w:tcBorders>
              <w:top w:val="nil"/>
              <w:left w:val="nil"/>
              <w:bottom w:val="nil"/>
              <w:right w:val="nil"/>
            </w:tcBorders>
            <w:noWrap/>
            <w:vAlign w:val="center"/>
            <w:hideMark/>
          </w:tcPr>
          <w:p w14:paraId="57A6D23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35DC88E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0.5306</w:t>
            </w:r>
          </w:p>
        </w:tc>
        <w:tc>
          <w:tcPr>
            <w:tcW w:w="1134" w:type="dxa"/>
            <w:tcBorders>
              <w:top w:val="nil"/>
              <w:left w:val="nil"/>
              <w:bottom w:val="nil"/>
              <w:right w:val="nil"/>
            </w:tcBorders>
            <w:noWrap/>
            <w:vAlign w:val="center"/>
            <w:hideMark/>
          </w:tcPr>
          <w:p w14:paraId="687C49A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03234A3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7BE1F331"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7B3E01A0" w14:textId="77777777" w:rsidTr="00C010D0">
        <w:trPr>
          <w:trHeight w:val="20"/>
        </w:trPr>
        <w:tc>
          <w:tcPr>
            <w:tcW w:w="576" w:type="dxa"/>
            <w:tcBorders>
              <w:top w:val="nil"/>
              <w:left w:val="nil"/>
              <w:bottom w:val="nil"/>
              <w:right w:val="nil"/>
            </w:tcBorders>
            <w:noWrap/>
            <w:vAlign w:val="center"/>
            <w:hideMark/>
          </w:tcPr>
          <w:p w14:paraId="591908FC"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20</w:t>
            </w:r>
          </w:p>
        </w:tc>
        <w:tc>
          <w:tcPr>
            <w:tcW w:w="937" w:type="dxa"/>
            <w:tcBorders>
              <w:top w:val="nil"/>
              <w:left w:val="nil"/>
              <w:bottom w:val="nil"/>
              <w:right w:val="nil"/>
            </w:tcBorders>
            <w:noWrap/>
            <w:vAlign w:val="center"/>
            <w:hideMark/>
          </w:tcPr>
          <w:p w14:paraId="307A8E4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0.5361</w:t>
            </w:r>
          </w:p>
        </w:tc>
        <w:tc>
          <w:tcPr>
            <w:tcW w:w="937" w:type="dxa"/>
            <w:tcBorders>
              <w:top w:val="nil"/>
              <w:left w:val="nil"/>
              <w:bottom w:val="nil"/>
              <w:right w:val="nil"/>
            </w:tcBorders>
            <w:noWrap/>
            <w:vAlign w:val="center"/>
            <w:hideMark/>
          </w:tcPr>
          <w:p w14:paraId="68B2093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1119979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0.3976</w:t>
            </w:r>
          </w:p>
        </w:tc>
        <w:tc>
          <w:tcPr>
            <w:tcW w:w="1369" w:type="dxa"/>
            <w:tcBorders>
              <w:top w:val="nil"/>
              <w:left w:val="nil"/>
              <w:bottom w:val="nil"/>
              <w:right w:val="nil"/>
            </w:tcBorders>
            <w:noWrap/>
            <w:vAlign w:val="center"/>
            <w:hideMark/>
          </w:tcPr>
          <w:p w14:paraId="1DD976A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3AAA266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0.3243</w:t>
            </w:r>
          </w:p>
        </w:tc>
        <w:tc>
          <w:tcPr>
            <w:tcW w:w="1134" w:type="dxa"/>
            <w:tcBorders>
              <w:top w:val="nil"/>
              <w:left w:val="nil"/>
              <w:bottom w:val="nil"/>
              <w:right w:val="nil"/>
            </w:tcBorders>
            <w:noWrap/>
            <w:vAlign w:val="center"/>
            <w:hideMark/>
          </w:tcPr>
          <w:p w14:paraId="2C913F8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5B3ED14B"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13F00D61"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6F2DE084" w14:textId="77777777" w:rsidTr="00C010D0">
        <w:trPr>
          <w:trHeight w:val="20"/>
        </w:trPr>
        <w:tc>
          <w:tcPr>
            <w:tcW w:w="576" w:type="dxa"/>
            <w:tcBorders>
              <w:top w:val="nil"/>
              <w:left w:val="nil"/>
              <w:bottom w:val="nil"/>
              <w:right w:val="nil"/>
            </w:tcBorders>
            <w:noWrap/>
            <w:vAlign w:val="center"/>
            <w:hideMark/>
          </w:tcPr>
          <w:p w14:paraId="14D14A98"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21</w:t>
            </w:r>
          </w:p>
        </w:tc>
        <w:tc>
          <w:tcPr>
            <w:tcW w:w="937" w:type="dxa"/>
            <w:tcBorders>
              <w:top w:val="nil"/>
              <w:left w:val="nil"/>
              <w:bottom w:val="nil"/>
              <w:right w:val="nil"/>
            </w:tcBorders>
            <w:noWrap/>
            <w:vAlign w:val="center"/>
            <w:hideMark/>
          </w:tcPr>
          <w:p w14:paraId="3C27594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0.5181</w:t>
            </w:r>
          </w:p>
        </w:tc>
        <w:tc>
          <w:tcPr>
            <w:tcW w:w="937" w:type="dxa"/>
            <w:tcBorders>
              <w:top w:val="nil"/>
              <w:left w:val="nil"/>
              <w:bottom w:val="nil"/>
              <w:right w:val="nil"/>
            </w:tcBorders>
            <w:noWrap/>
            <w:vAlign w:val="center"/>
            <w:hideMark/>
          </w:tcPr>
          <w:p w14:paraId="4C97B04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7252B7A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0.4337</w:t>
            </w:r>
          </w:p>
        </w:tc>
        <w:tc>
          <w:tcPr>
            <w:tcW w:w="1369" w:type="dxa"/>
            <w:tcBorders>
              <w:top w:val="nil"/>
              <w:left w:val="nil"/>
              <w:bottom w:val="nil"/>
              <w:right w:val="nil"/>
            </w:tcBorders>
            <w:noWrap/>
            <w:vAlign w:val="center"/>
            <w:hideMark/>
          </w:tcPr>
          <w:p w14:paraId="6A5CB1B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011BE73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0.3603</w:t>
            </w:r>
          </w:p>
        </w:tc>
        <w:tc>
          <w:tcPr>
            <w:tcW w:w="1134" w:type="dxa"/>
            <w:tcBorders>
              <w:top w:val="nil"/>
              <w:left w:val="nil"/>
              <w:bottom w:val="nil"/>
              <w:right w:val="nil"/>
            </w:tcBorders>
            <w:noWrap/>
            <w:vAlign w:val="center"/>
            <w:hideMark/>
          </w:tcPr>
          <w:p w14:paraId="268137D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4648024E"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538D4F73"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6D015C65" w14:textId="77777777" w:rsidTr="00C010D0">
        <w:trPr>
          <w:trHeight w:val="20"/>
        </w:trPr>
        <w:tc>
          <w:tcPr>
            <w:tcW w:w="576" w:type="dxa"/>
            <w:tcBorders>
              <w:top w:val="nil"/>
              <w:left w:val="nil"/>
              <w:bottom w:val="nil"/>
              <w:right w:val="nil"/>
            </w:tcBorders>
            <w:noWrap/>
            <w:vAlign w:val="center"/>
            <w:hideMark/>
          </w:tcPr>
          <w:p w14:paraId="4E0B1DD1"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22</w:t>
            </w:r>
          </w:p>
        </w:tc>
        <w:tc>
          <w:tcPr>
            <w:tcW w:w="937" w:type="dxa"/>
            <w:tcBorders>
              <w:top w:val="nil"/>
              <w:left w:val="nil"/>
              <w:bottom w:val="nil"/>
              <w:right w:val="nil"/>
            </w:tcBorders>
            <w:noWrap/>
            <w:vAlign w:val="center"/>
            <w:hideMark/>
          </w:tcPr>
          <w:p w14:paraId="1B83AA2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0.3735</w:t>
            </w:r>
          </w:p>
        </w:tc>
        <w:tc>
          <w:tcPr>
            <w:tcW w:w="937" w:type="dxa"/>
            <w:tcBorders>
              <w:top w:val="nil"/>
              <w:left w:val="nil"/>
              <w:bottom w:val="nil"/>
              <w:right w:val="nil"/>
            </w:tcBorders>
            <w:noWrap/>
            <w:vAlign w:val="center"/>
            <w:hideMark/>
          </w:tcPr>
          <w:p w14:paraId="2522673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3DF724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0.1205</w:t>
            </w:r>
          </w:p>
        </w:tc>
        <w:tc>
          <w:tcPr>
            <w:tcW w:w="1369" w:type="dxa"/>
            <w:tcBorders>
              <w:top w:val="nil"/>
              <w:left w:val="nil"/>
              <w:bottom w:val="nil"/>
              <w:right w:val="nil"/>
            </w:tcBorders>
            <w:noWrap/>
            <w:vAlign w:val="center"/>
            <w:hideMark/>
          </w:tcPr>
          <w:p w14:paraId="1E3066A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41DE485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0.0951</w:t>
            </w:r>
          </w:p>
        </w:tc>
        <w:tc>
          <w:tcPr>
            <w:tcW w:w="1134" w:type="dxa"/>
            <w:tcBorders>
              <w:top w:val="nil"/>
              <w:left w:val="nil"/>
              <w:bottom w:val="nil"/>
              <w:right w:val="nil"/>
            </w:tcBorders>
            <w:noWrap/>
            <w:vAlign w:val="center"/>
            <w:hideMark/>
          </w:tcPr>
          <w:p w14:paraId="078921B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32E05974"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63D49267"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1FDE81A9" w14:textId="77777777" w:rsidTr="00C010D0">
        <w:trPr>
          <w:trHeight w:val="20"/>
        </w:trPr>
        <w:tc>
          <w:tcPr>
            <w:tcW w:w="576" w:type="dxa"/>
            <w:tcBorders>
              <w:top w:val="nil"/>
              <w:left w:val="nil"/>
              <w:bottom w:val="nil"/>
              <w:right w:val="nil"/>
            </w:tcBorders>
            <w:noWrap/>
            <w:vAlign w:val="center"/>
            <w:hideMark/>
          </w:tcPr>
          <w:p w14:paraId="68428CDE"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23</w:t>
            </w:r>
          </w:p>
        </w:tc>
        <w:tc>
          <w:tcPr>
            <w:tcW w:w="937" w:type="dxa"/>
            <w:tcBorders>
              <w:top w:val="nil"/>
              <w:left w:val="nil"/>
              <w:bottom w:val="nil"/>
              <w:right w:val="nil"/>
            </w:tcBorders>
            <w:noWrap/>
            <w:vAlign w:val="center"/>
            <w:hideMark/>
          </w:tcPr>
          <w:p w14:paraId="5C231C5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0.5602</w:t>
            </w:r>
          </w:p>
        </w:tc>
        <w:tc>
          <w:tcPr>
            <w:tcW w:w="937" w:type="dxa"/>
            <w:tcBorders>
              <w:top w:val="nil"/>
              <w:left w:val="nil"/>
              <w:bottom w:val="nil"/>
              <w:right w:val="nil"/>
            </w:tcBorders>
            <w:noWrap/>
            <w:vAlign w:val="center"/>
            <w:hideMark/>
          </w:tcPr>
          <w:p w14:paraId="4A03A4A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08CF789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0.3494</w:t>
            </w:r>
          </w:p>
        </w:tc>
        <w:tc>
          <w:tcPr>
            <w:tcW w:w="1369" w:type="dxa"/>
            <w:tcBorders>
              <w:top w:val="nil"/>
              <w:left w:val="nil"/>
              <w:bottom w:val="nil"/>
              <w:right w:val="nil"/>
            </w:tcBorders>
            <w:noWrap/>
            <w:vAlign w:val="center"/>
            <w:hideMark/>
          </w:tcPr>
          <w:p w14:paraId="1A5263B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65C75C8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0.2861</w:t>
            </w:r>
          </w:p>
        </w:tc>
        <w:tc>
          <w:tcPr>
            <w:tcW w:w="1134" w:type="dxa"/>
            <w:tcBorders>
              <w:top w:val="nil"/>
              <w:left w:val="nil"/>
              <w:bottom w:val="nil"/>
              <w:right w:val="nil"/>
            </w:tcBorders>
            <w:noWrap/>
            <w:vAlign w:val="center"/>
            <w:hideMark/>
          </w:tcPr>
          <w:p w14:paraId="2C35C87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26575445"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7F489DE6"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452AD95D" w14:textId="77777777" w:rsidTr="00C010D0">
        <w:trPr>
          <w:trHeight w:val="20"/>
        </w:trPr>
        <w:tc>
          <w:tcPr>
            <w:tcW w:w="576" w:type="dxa"/>
            <w:tcBorders>
              <w:top w:val="nil"/>
              <w:left w:val="nil"/>
              <w:bottom w:val="nil"/>
              <w:right w:val="nil"/>
            </w:tcBorders>
            <w:noWrap/>
            <w:vAlign w:val="center"/>
            <w:hideMark/>
          </w:tcPr>
          <w:p w14:paraId="3620E2AC"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24</w:t>
            </w:r>
          </w:p>
        </w:tc>
        <w:tc>
          <w:tcPr>
            <w:tcW w:w="937" w:type="dxa"/>
            <w:tcBorders>
              <w:top w:val="nil"/>
              <w:left w:val="nil"/>
              <w:bottom w:val="nil"/>
              <w:right w:val="nil"/>
            </w:tcBorders>
            <w:noWrap/>
            <w:vAlign w:val="center"/>
            <w:hideMark/>
          </w:tcPr>
          <w:p w14:paraId="26A4B5C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0.3855</w:t>
            </w:r>
          </w:p>
        </w:tc>
        <w:tc>
          <w:tcPr>
            <w:tcW w:w="937" w:type="dxa"/>
            <w:tcBorders>
              <w:top w:val="nil"/>
              <w:left w:val="nil"/>
              <w:bottom w:val="nil"/>
              <w:right w:val="nil"/>
            </w:tcBorders>
            <w:noWrap/>
            <w:vAlign w:val="center"/>
            <w:hideMark/>
          </w:tcPr>
          <w:p w14:paraId="17DD7BB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26DFE3B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0.1446</w:t>
            </w:r>
          </w:p>
        </w:tc>
        <w:tc>
          <w:tcPr>
            <w:tcW w:w="1369" w:type="dxa"/>
            <w:tcBorders>
              <w:top w:val="nil"/>
              <w:left w:val="nil"/>
              <w:bottom w:val="nil"/>
              <w:right w:val="nil"/>
            </w:tcBorders>
            <w:noWrap/>
            <w:vAlign w:val="center"/>
            <w:hideMark/>
          </w:tcPr>
          <w:p w14:paraId="762F9AD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1B547FF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0.1257</w:t>
            </w:r>
          </w:p>
        </w:tc>
        <w:tc>
          <w:tcPr>
            <w:tcW w:w="1134" w:type="dxa"/>
            <w:tcBorders>
              <w:top w:val="nil"/>
              <w:left w:val="nil"/>
              <w:bottom w:val="nil"/>
              <w:right w:val="nil"/>
            </w:tcBorders>
            <w:noWrap/>
            <w:vAlign w:val="center"/>
            <w:hideMark/>
          </w:tcPr>
          <w:p w14:paraId="13BD76B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667FA0AB"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4943B2B0"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E4FE903" w14:textId="77777777" w:rsidTr="00C010D0">
        <w:trPr>
          <w:trHeight w:val="20"/>
        </w:trPr>
        <w:tc>
          <w:tcPr>
            <w:tcW w:w="576" w:type="dxa"/>
            <w:tcBorders>
              <w:top w:val="nil"/>
              <w:left w:val="nil"/>
              <w:bottom w:val="nil"/>
              <w:right w:val="nil"/>
            </w:tcBorders>
            <w:noWrap/>
            <w:vAlign w:val="center"/>
            <w:hideMark/>
          </w:tcPr>
          <w:p w14:paraId="17E18CF2"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25</w:t>
            </w:r>
          </w:p>
        </w:tc>
        <w:tc>
          <w:tcPr>
            <w:tcW w:w="937" w:type="dxa"/>
            <w:tcBorders>
              <w:top w:val="nil"/>
              <w:left w:val="nil"/>
              <w:bottom w:val="nil"/>
              <w:right w:val="nil"/>
            </w:tcBorders>
            <w:noWrap/>
            <w:vAlign w:val="center"/>
            <w:hideMark/>
          </w:tcPr>
          <w:p w14:paraId="42E8D05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0.5964</w:t>
            </w:r>
          </w:p>
        </w:tc>
        <w:tc>
          <w:tcPr>
            <w:tcW w:w="937" w:type="dxa"/>
            <w:tcBorders>
              <w:top w:val="nil"/>
              <w:left w:val="nil"/>
              <w:bottom w:val="nil"/>
              <w:right w:val="nil"/>
            </w:tcBorders>
            <w:noWrap/>
            <w:vAlign w:val="center"/>
            <w:hideMark/>
          </w:tcPr>
          <w:p w14:paraId="788C9A4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450864D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0.494</w:t>
            </w:r>
          </w:p>
        </w:tc>
        <w:tc>
          <w:tcPr>
            <w:tcW w:w="1369" w:type="dxa"/>
            <w:tcBorders>
              <w:top w:val="nil"/>
              <w:left w:val="nil"/>
              <w:bottom w:val="nil"/>
              <w:right w:val="nil"/>
            </w:tcBorders>
            <w:noWrap/>
            <w:vAlign w:val="center"/>
            <w:hideMark/>
          </w:tcPr>
          <w:p w14:paraId="6E12A43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5C33A13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0.4052</w:t>
            </w:r>
          </w:p>
        </w:tc>
        <w:tc>
          <w:tcPr>
            <w:tcW w:w="1134" w:type="dxa"/>
            <w:tcBorders>
              <w:top w:val="nil"/>
              <w:left w:val="nil"/>
              <w:bottom w:val="nil"/>
              <w:right w:val="nil"/>
            </w:tcBorders>
            <w:noWrap/>
            <w:vAlign w:val="center"/>
            <w:hideMark/>
          </w:tcPr>
          <w:p w14:paraId="43BC619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2CF7E66C"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3D4F828B"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02D1592B" w14:textId="77777777" w:rsidTr="00C010D0">
        <w:trPr>
          <w:trHeight w:val="20"/>
        </w:trPr>
        <w:tc>
          <w:tcPr>
            <w:tcW w:w="576" w:type="dxa"/>
            <w:tcBorders>
              <w:top w:val="nil"/>
              <w:left w:val="nil"/>
              <w:bottom w:val="nil"/>
              <w:right w:val="nil"/>
            </w:tcBorders>
            <w:noWrap/>
            <w:vAlign w:val="center"/>
            <w:hideMark/>
          </w:tcPr>
          <w:p w14:paraId="4AAADBC0"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26</w:t>
            </w:r>
          </w:p>
        </w:tc>
        <w:tc>
          <w:tcPr>
            <w:tcW w:w="937" w:type="dxa"/>
            <w:tcBorders>
              <w:top w:val="nil"/>
              <w:left w:val="nil"/>
              <w:bottom w:val="nil"/>
              <w:right w:val="nil"/>
            </w:tcBorders>
            <w:noWrap/>
            <w:vAlign w:val="center"/>
            <w:hideMark/>
          </w:tcPr>
          <w:p w14:paraId="17BD2F6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0.2651</w:t>
            </w:r>
          </w:p>
        </w:tc>
        <w:tc>
          <w:tcPr>
            <w:tcW w:w="937" w:type="dxa"/>
            <w:tcBorders>
              <w:top w:val="nil"/>
              <w:left w:val="nil"/>
              <w:bottom w:val="nil"/>
              <w:right w:val="nil"/>
            </w:tcBorders>
            <w:noWrap/>
            <w:vAlign w:val="center"/>
            <w:hideMark/>
          </w:tcPr>
          <w:p w14:paraId="4FD0C71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1773293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0.0482</w:t>
            </w:r>
          </w:p>
        </w:tc>
        <w:tc>
          <w:tcPr>
            <w:tcW w:w="1369" w:type="dxa"/>
            <w:tcBorders>
              <w:top w:val="nil"/>
              <w:left w:val="nil"/>
              <w:bottom w:val="nil"/>
              <w:right w:val="nil"/>
            </w:tcBorders>
            <w:noWrap/>
            <w:vAlign w:val="center"/>
            <w:hideMark/>
          </w:tcPr>
          <w:p w14:paraId="38018EC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2ECF5A0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0.0652</w:t>
            </w:r>
          </w:p>
        </w:tc>
        <w:tc>
          <w:tcPr>
            <w:tcW w:w="1134" w:type="dxa"/>
            <w:tcBorders>
              <w:top w:val="nil"/>
              <w:left w:val="nil"/>
              <w:bottom w:val="nil"/>
              <w:right w:val="nil"/>
            </w:tcBorders>
            <w:noWrap/>
            <w:vAlign w:val="center"/>
            <w:hideMark/>
          </w:tcPr>
          <w:p w14:paraId="63BDDAC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057E86B2"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620206F2"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03D8ABCD" w14:textId="77777777" w:rsidTr="00C010D0">
        <w:trPr>
          <w:trHeight w:val="20"/>
        </w:trPr>
        <w:tc>
          <w:tcPr>
            <w:tcW w:w="576" w:type="dxa"/>
            <w:tcBorders>
              <w:top w:val="nil"/>
              <w:left w:val="nil"/>
              <w:bottom w:val="nil"/>
              <w:right w:val="nil"/>
            </w:tcBorders>
            <w:noWrap/>
            <w:vAlign w:val="center"/>
            <w:hideMark/>
          </w:tcPr>
          <w:p w14:paraId="345685A3"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lastRenderedPageBreak/>
              <w:t>27</w:t>
            </w:r>
          </w:p>
        </w:tc>
        <w:tc>
          <w:tcPr>
            <w:tcW w:w="937" w:type="dxa"/>
            <w:tcBorders>
              <w:top w:val="nil"/>
              <w:left w:val="nil"/>
              <w:bottom w:val="nil"/>
              <w:right w:val="nil"/>
            </w:tcBorders>
            <w:noWrap/>
            <w:vAlign w:val="center"/>
            <w:hideMark/>
          </w:tcPr>
          <w:p w14:paraId="76518ED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0.494</w:t>
            </w:r>
          </w:p>
        </w:tc>
        <w:tc>
          <w:tcPr>
            <w:tcW w:w="937" w:type="dxa"/>
            <w:tcBorders>
              <w:top w:val="nil"/>
              <w:left w:val="nil"/>
              <w:bottom w:val="nil"/>
              <w:right w:val="nil"/>
            </w:tcBorders>
            <w:noWrap/>
            <w:vAlign w:val="center"/>
            <w:hideMark/>
          </w:tcPr>
          <w:p w14:paraId="31E1A9A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936DDC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0.7711</w:t>
            </w:r>
          </w:p>
        </w:tc>
        <w:tc>
          <w:tcPr>
            <w:tcW w:w="1369" w:type="dxa"/>
            <w:tcBorders>
              <w:top w:val="nil"/>
              <w:left w:val="nil"/>
              <w:bottom w:val="nil"/>
              <w:right w:val="nil"/>
            </w:tcBorders>
            <w:noWrap/>
            <w:vAlign w:val="center"/>
            <w:hideMark/>
          </w:tcPr>
          <w:p w14:paraId="08E6571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07A89BC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0.5507</w:t>
            </w:r>
          </w:p>
        </w:tc>
        <w:tc>
          <w:tcPr>
            <w:tcW w:w="1134" w:type="dxa"/>
            <w:tcBorders>
              <w:top w:val="nil"/>
              <w:left w:val="nil"/>
              <w:bottom w:val="nil"/>
              <w:right w:val="nil"/>
            </w:tcBorders>
            <w:noWrap/>
            <w:vAlign w:val="center"/>
            <w:hideMark/>
          </w:tcPr>
          <w:p w14:paraId="6A6CC32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6987D9A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1BB4D83F"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609AD38E" w14:textId="77777777" w:rsidTr="00C010D0">
        <w:trPr>
          <w:trHeight w:val="20"/>
        </w:trPr>
        <w:tc>
          <w:tcPr>
            <w:tcW w:w="576" w:type="dxa"/>
            <w:tcBorders>
              <w:top w:val="nil"/>
              <w:left w:val="nil"/>
              <w:bottom w:val="nil"/>
              <w:right w:val="nil"/>
            </w:tcBorders>
            <w:noWrap/>
            <w:vAlign w:val="center"/>
            <w:hideMark/>
          </w:tcPr>
          <w:p w14:paraId="2A4392D1"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28</w:t>
            </w:r>
          </w:p>
        </w:tc>
        <w:tc>
          <w:tcPr>
            <w:tcW w:w="937" w:type="dxa"/>
            <w:tcBorders>
              <w:top w:val="nil"/>
              <w:left w:val="nil"/>
              <w:bottom w:val="nil"/>
              <w:right w:val="nil"/>
            </w:tcBorders>
            <w:noWrap/>
            <w:vAlign w:val="center"/>
            <w:hideMark/>
          </w:tcPr>
          <w:p w14:paraId="7D64305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0.4036</w:t>
            </w:r>
          </w:p>
        </w:tc>
        <w:tc>
          <w:tcPr>
            <w:tcW w:w="937" w:type="dxa"/>
            <w:tcBorders>
              <w:top w:val="nil"/>
              <w:left w:val="nil"/>
              <w:bottom w:val="nil"/>
              <w:right w:val="nil"/>
            </w:tcBorders>
            <w:noWrap/>
            <w:vAlign w:val="center"/>
            <w:hideMark/>
          </w:tcPr>
          <w:p w14:paraId="07A07B3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2A2AFC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0.2048</w:t>
            </w:r>
          </w:p>
        </w:tc>
        <w:tc>
          <w:tcPr>
            <w:tcW w:w="1369" w:type="dxa"/>
            <w:tcBorders>
              <w:top w:val="nil"/>
              <w:left w:val="nil"/>
              <w:bottom w:val="nil"/>
              <w:right w:val="nil"/>
            </w:tcBorders>
            <w:noWrap/>
            <w:vAlign w:val="center"/>
            <w:hideMark/>
          </w:tcPr>
          <w:p w14:paraId="263E9993"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4A9650E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0.2268</w:t>
            </w:r>
          </w:p>
        </w:tc>
        <w:tc>
          <w:tcPr>
            <w:tcW w:w="1134" w:type="dxa"/>
            <w:tcBorders>
              <w:top w:val="nil"/>
              <w:left w:val="nil"/>
              <w:bottom w:val="nil"/>
              <w:right w:val="nil"/>
            </w:tcBorders>
            <w:noWrap/>
            <w:vAlign w:val="center"/>
            <w:hideMark/>
          </w:tcPr>
          <w:p w14:paraId="03AB7A9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648B2C00"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4A23F5D5"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1E24140E" w14:textId="77777777" w:rsidTr="00C010D0">
        <w:trPr>
          <w:trHeight w:val="20"/>
        </w:trPr>
        <w:tc>
          <w:tcPr>
            <w:tcW w:w="576" w:type="dxa"/>
            <w:tcBorders>
              <w:top w:val="nil"/>
              <w:left w:val="nil"/>
              <w:bottom w:val="nil"/>
              <w:right w:val="nil"/>
            </w:tcBorders>
            <w:noWrap/>
            <w:vAlign w:val="center"/>
            <w:hideMark/>
          </w:tcPr>
          <w:p w14:paraId="2EB2CCFF"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29</w:t>
            </w:r>
          </w:p>
        </w:tc>
        <w:tc>
          <w:tcPr>
            <w:tcW w:w="937" w:type="dxa"/>
            <w:tcBorders>
              <w:top w:val="nil"/>
              <w:left w:val="nil"/>
              <w:bottom w:val="nil"/>
              <w:right w:val="nil"/>
            </w:tcBorders>
            <w:noWrap/>
            <w:vAlign w:val="center"/>
            <w:hideMark/>
          </w:tcPr>
          <w:p w14:paraId="1C6F276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0.7952</w:t>
            </w:r>
          </w:p>
        </w:tc>
        <w:tc>
          <w:tcPr>
            <w:tcW w:w="937" w:type="dxa"/>
            <w:tcBorders>
              <w:top w:val="nil"/>
              <w:left w:val="nil"/>
              <w:bottom w:val="nil"/>
              <w:right w:val="nil"/>
            </w:tcBorders>
            <w:noWrap/>
            <w:vAlign w:val="center"/>
            <w:hideMark/>
          </w:tcPr>
          <w:p w14:paraId="6F469EC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03466A1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0.3614</w:t>
            </w:r>
          </w:p>
        </w:tc>
        <w:tc>
          <w:tcPr>
            <w:tcW w:w="1369" w:type="dxa"/>
            <w:tcBorders>
              <w:top w:val="nil"/>
              <w:left w:val="nil"/>
              <w:bottom w:val="nil"/>
              <w:right w:val="nil"/>
            </w:tcBorders>
            <w:noWrap/>
            <w:vAlign w:val="center"/>
            <w:hideMark/>
          </w:tcPr>
          <w:p w14:paraId="3F611C4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0B865F16"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0.3859</w:t>
            </w:r>
          </w:p>
        </w:tc>
        <w:tc>
          <w:tcPr>
            <w:tcW w:w="1134" w:type="dxa"/>
            <w:tcBorders>
              <w:top w:val="nil"/>
              <w:left w:val="nil"/>
              <w:bottom w:val="nil"/>
              <w:right w:val="nil"/>
            </w:tcBorders>
            <w:noWrap/>
            <w:vAlign w:val="center"/>
            <w:hideMark/>
          </w:tcPr>
          <w:p w14:paraId="3CFA753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6F6F3E27"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19B05E73"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6465684E" w14:textId="77777777" w:rsidTr="00C010D0">
        <w:trPr>
          <w:trHeight w:val="20"/>
        </w:trPr>
        <w:tc>
          <w:tcPr>
            <w:tcW w:w="576" w:type="dxa"/>
            <w:tcBorders>
              <w:top w:val="nil"/>
              <w:left w:val="nil"/>
              <w:bottom w:val="nil"/>
              <w:right w:val="nil"/>
            </w:tcBorders>
            <w:noWrap/>
            <w:vAlign w:val="center"/>
            <w:hideMark/>
          </w:tcPr>
          <w:p w14:paraId="6922325A"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30</w:t>
            </w:r>
          </w:p>
        </w:tc>
        <w:tc>
          <w:tcPr>
            <w:tcW w:w="937" w:type="dxa"/>
            <w:tcBorders>
              <w:top w:val="nil"/>
              <w:left w:val="nil"/>
              <w:bottom w:val="nil"/>
              <w:right w:val="nil"/>
            </w:tcBorders>
            <w:noWrap/>
            <w:vAlign w:val="center"/>
            <w:hideMark/>
          </w:tcPr>
          <w:p w14:paraId="5FF29BA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0.7892</w:t>
            </w:r>
          </w:p>
        </w:tc>
        <w:tc>
          <w:tcPr>
            <w:tcW w:w="937" w:type="dxa"/>
            <w:tcBorders>
              <w:top w:val="nil"/>
              <w:left w:val="nil"/>
              <w:bottom w:val="nil"/>
              <w:right w:val="nil"/>
            </w:tcBorders>
            <w:noWrap/>
            <w:vAlign w:val="center"/>
            <w:hideMark/>
          </w:tcPr>
          <w:p w14:paraId="794A6A9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Easy</w:t>
            </w:r>
          </w:p>
        </w:tc>
        <w:tc>
          <w:tcPr>
            <w:tcW w:w="1369" w:type="dxa"/>
            <w:tcBorders>
              <w:top w:val="nil"/>
              <w:left w:val="nil"/>
              <w:bottom w:val="nil"/>
              <w:right w:val="nil"/>
            </w:tcBorders>
            <w:noWrap/>
            <w:vAlign w:val="center"/>
            <w:hideMark/>
          </w:tcPr>
          <w:p w14:paraId="36E959D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0.3253</w:t>
            </w:r>
          </w:p>
        </w:tc>
        <w:tc>
          <w:tcPr>
            <w:tcW w:w="1369" w:type="dxa"/>
            <w:tcBorders>
              <w:top w:val="nil"/>
              <w:left w:val="nil"/>
              <w:bottom w:val="nil"/>
              <w:right w:val="nil"/>
            </w:tcBorders>
            <w:noWrap/>
            <w:vAlign w:val="center"/>
            <w:hideMark/>
          </w:tcPr>
          <w:p w14:paraId="31292FC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1419C8F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0.3436</w:t>
            </w:r>
          </w:p>
        </w:tc>
        <w:tc>
          <w:tcPr>
            <w:tcW w:w="1134" w:type="dxa"/>
            <w:tcBorders>
              <w:top w:val="nil"/>
              <w:left w:val="nil"/>
              <w:bottom w:val="nil"/>
              <w:right w:val="nil"/>
            </w:tcBorders>
            <w:noWrap/>
            <w:vAlign w:val="center"/>
            <w:hideMark/>
          </w:tcPr>
          <w:p w14:paraId="3C4095D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14C1EDBE"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w:t>
            </w:r>
          </w:p>
        </w:tc>
        <w:tc>
          <w:tcPr>
            <w:tcW w:w="266" w:type="dxa"/>
            <w:vAlign w:val="center"/>
            <w:hideMark/>
          </w:tcPr>
          <w:p w14:paraId="6ECA5D2D"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45CB835" w14:textId="77777777" w:rsidTr="00C010D0">
        <w:trPr>
          <w:trHeight w:val="20"/>
        </w:trPr>
        <w:tc>
          <w:tcPr>
            <w:tcW w:w="576" w:type="dxa"/>
            <w:tcBorders>
              <w:top w:val="nil"/>
              <w:left w:val="nil"/>
              <w:bottom w:val="nil"/>
              <w:right w:val="nil"/>
            </w:tcBorders>
            <w:noWrap/>
            <w:vAlign w:val="center"/>
            <w:hideMark/>
          </w:tcPr>
          <w:p w14:paraId="215F53FA"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31</w:t>
            </w:r>
          </w:p>
        </w:tc>
        <w:tc>
          <w:tcPr>
            <w:tcW w:w="937" w:type="dxa"/>
            <w:tcBorders>
              <w:top w:val="nil"/>
              <w:left w:val="nil"/>
              <w:bottom w:val="nil"/>
              <w:right w:val="nil"/>
            </w:tcBorders>
            <w:noWrap/>
            <w:vAlign w:val="center"/>
            <w:hideMark/>
          </w:tcPr>
          <w:p w14:paraId="612556E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0.3916</w:t>
            </w:r>
          </w:p>
        </w:tc>
        <w:tc>
          <w:tcPr>
            <w:tcW w:w="937" w:type="dxa"/>
            <w:tcBorders>
              <w:top w:val="nil"/>
              <w:left w:val="nil"/>
              <w:bottom w:val="nil"/>
              <w:right w:val="nil"/>
            </w:tcBorders>
            <w:noWrap/>
            <w:vAlign w:val="center"/>
            <w:hideMark/>
          </w:tcPr>
          <w:p w14:paraId="7084389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1B7B8359"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0.1566</w:t>
            </w:r>
          </w:p>
        </w:tc>
        <w:tc>
          <w:tcPr>
            <w:tcW w:w="1369" w:type="dxa"/>
            <w:tcBorders>
              <w:top w:val="nil"/>
              <w:left w:val="nil"/>
              <w:bottom w:val="nil"/>
              <w:right w:val="nil"/>
            </w:tcBorders>
            <w:noWrap/>
            <w:vAlign w:val="center"/>
            <w:hideMark/>
          </w:tcPr>
          <w:p w14:paraId="6C6AB14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54205A6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0.1481</w:t>
            </w:r>
          </w:p>
        </w:tc>
        <w:tc>
          <w:tcPr>
            <w:tcW w:w="1134" w:type="dxa"/>
            <w:tcBorders>
              <w:top w:val="nil"/>
              <w:left w:val="nil"/>
              <w:bottom w:val="nil"/>
              <w:right w:val="nil"/>
            </w:tcBorders>
            <w:noWrap/>
            <w:vAlign w:val="center"/>
            <w:hideMark/>
          </w:tcPr>
          <w:p w14:paraId="7839A27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Poor</w:t>
            </w:r>
          </w:p>
        </w:tc>
        <w:tc>
          <w:tcPr>
            <w:tcW w:w="1841" w:type="dxa"/>
            <w:tcBorders>
              <w:top w:val="nil"/>
              <w:left w:val="nil"/>
              <w:bottom w:val="nil"/>
              <w:right w:val="nil"/>
            </w:tcBorders>
            <w:vAlign w:val="center"/>
            <w:hideMark/>
          </w:tcPr>
          <w:p w14:paraId="561BC3FE"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Rehabilitate/Discard</w:t>
            </w:r>
          </w:p>
        </w:tc>
        <w:tc>
          <w:tcPr>
            <w:tcW w:w="266" w:type="dxa"/>
            <w:vAlign w:val="center"/>
            <w:hideMark/>
          </w:tcPr>
          <w:p w14:paraId="023AC9CF"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22338048" w14:textId="77777777" w:rsidTr="00C010D0">
        <w:trPr>
          <w:trHeight w:val="20"/>
        </w:trPr>
        <w:tc>
          <w:tcPr>
            <w:tcW w:w="576" w:type="dxa"/>
            <w:tcBorders>
              <w:top w:val="nil"/>
              <w:left w:val="nil"/>
              <w:bottom w:val="nil"/>
              <w:right w:val="nil"/>
            </w:tcBorders>
            <w:noWrap/>
            <w:vAlign w:val="center"/>
            <w:hideMark/>
          </w:tcPr>
          <w:p w14:paraId="141390F7"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32</w:t>
            </w:r>
          </w:p>
        </w:tc>
        <w:tc>
          <w:tcPr>
            <w:tcW w:w="937" w:type="dxa"/>
            <w:tcBorders>
              <w:top w:val="nil"/>
              <w:left w:val="nil"/>
              <w:bottom w:val="nil"/>
              <w:right w:val="nil"/>
            </w:tcBorders>
            <w:noWrap/>
            <w:vAlign w:val="center"/>
            <w:hideMark/>
          </w:tcPr>
          <w:p w14:paraId="4DAD17B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0.5783</w:t>
            </w:r>
          </w:p>
        </w:tc>
        <w:tc>
          <w:tcPr>
            <w:tcW w:w="937" w:type="dxa"/>
            <w:tcBorders>
              <w:top w:val="nil"/>
              <w:left w:val="nil"/>
              <w:bottom w:val="nil"/>
              <w:right w:val="nil"/>
            </w:tcBorders>
            <w:noWrap/>
            <w:vAlign w:val="center"/>
            <w:hideMark/>
          </w:tcPr>
          <w:p w14:paraId="0472B17A"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3F0F566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0.5783</w:t>
            </w:r>
          </w:p>
        </w:tc>
        <w:tc>
          <w:tcPr>
            <w:tcW w:w="1369" w:type="dxa"/>
            <w:tcBorders>
              <w:top w:val="nil"/>
              <w:left w:val="nil"/>
              <w:bottom w:val="nil"/>
              <w:right w:val="nil"/>
            </w:tcBorders>
            <w:noWrap/>
            <w:vAlign w:val="center"/>
            <w:hideMark/>
          </w:tcPr>
          <w:p w14:paraId="4A73B43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53D6992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0.4427</w:t>
            </w:r>
          </w:p>
        </w:tc>
        <w:tc>
          <w:tcPr>
            <w:tcW w:w="1134" w:type="dxa"/>
            <w:tcBorders>
              <w:top w:val="nil"/>
              <w:left w:val="nil"/>
              <w:bottom w:val="nil"/>
              <w:right w:val="nil"/>
            </w:tcBorders>
            <w:noWrap/>
            <w:vAlign w:val="center"/>
            <w:hideMark/>
          </w:tcPr>
          <w:p w14:paraId="6ABE0C7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Excellent</w:t>
            </w:r>
          </w:p>
        </w:tc>
        <w:tc>
          <w:tcPr>
            <w:tcW w:w="1841" w:type="dxa"/>
            <w:tcBorders>
              <w:top w:val="nil"/>
              <w:left w:val="nil"/>
              <w:bottom w:val="nil"/>
              <w:right w:val="nil"/>
            </w:tcBorders>
            <w:vAlign w:val="center"/>
            <w:hideMark/>
          </w:tcPr>
          <w:p w14:paraId="17F1EE68"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3753BAD6"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5AA6C02C" w14:textId="77777777" w:rsidTr="00C010D0">
        <w:trPr>
          <w:trHeight w:val="20"/>
        </w:trPr>
        <w:tc>
          <w:tcPr>
            <w:tcW w:w="576" w:type="dxa"/>
            <w:tcBorders>
              <w:top w:val="nil"/>
              <w:left w:val="nil"/>
              <w:bottom w:val="nil"/>
              <w:right w:val="nil"/>
            </w:tcBorders>
            <w:noWrap/>
            <w:vAlign w:val="center"/>
            <w:hideMark/>
          </w:tcPr>
          <w:p w14:paraId="2CCD0A26"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33</w:t>
            </w:r>
          </w:p>
        </w:tc>
        <w:tc>
          <w:tcPr>
            <w:tcW w:w="937" w:type="dxa"/>
            <w:tcBorders>
              <w:top w:val="nil"/>
              <w:left w:val="nil"/>
              <w:bottom w:val="nil"/>
              <w:right w:val="nil"/>
            </w:tcBorders>
            <w:noWrap/>
            <w:vAlign w:val="center"/>
            <w:hideMark/>
          </w:tcPr>
          <w:p w14:paraId="510B0BED"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0.5301</w:t>
            </w:r>
          </w:p>
        </w:tc>
        <w:tc>
          <w:tcPr>
            <w:tcW w:w="937" w:type="dxa"/>
            <w:tcBorders>
              <w:top w:val="nil"/>
              <w:left w:val="nil"/>
              <w:bottom w:val="nil"/>
              <w:right w:val="nil"/>
            </w:tcBorders>
            <w:noWrap/>
            <w:vAlign w:val="center"/>
            <w:hideMark/>
          </w:tcPr>
          <w:p w14:paraId="2FD55ED0"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27A311A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0.3133</w:t>
            </w:r>
          </w:p>
        </w:tc>
        <w:tc>
          <w:tcPr>
            <w:tcW w:w="1369" w:type="dxa"/>
            <w:tcBorders>
              <w:top w:val="nil"/>
              <w:left w:val="nil"/>
              <w:bottom w:val="nil"/>
              <w:right w:val="nil"/>
            </w:tcBorders>
            <w:noWrap/>
            <w:vAlign w:val="center"/>
            <w:hideMark/>
          </w:tcPr>
          <w:p w14:paraId="35E80C94"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nil"/>
              <w:right w:val="nil"/>
            </w:tcBorders>
            <w:noWrap/>
            <w:vAlign w:val="center"/>
            <w:hideMark/>
          </w:tcPr>
          <w:p w14:paraId="2237615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0.2434</w:t>
            </w:r>
          </w:p>
        </w:tc>
        <w:tc>
          <w:tcPr>
            <w:tcW w:w="1134" w:type="dxa"/>
            <w:tcBorders>
              <w:top w:val="nil"/>
              <w:left w:val="nil"/>
              <w:bottom w:val="nil"/>
              <w:right w:val="nil"/>
            </w:tcBorders>
            <w:noWrap/>
            <w:vAlign w:val="center"/>
            <w:hideMark/>
          </w:tcPr>
          <w:p w14:paraId="419EC6D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nil"/>
              <w:right w:val="nil"/>
            </w:tcBorders>
            <w:vAlign w:val="center"/>
            <w:hideMark/>
          </w:tcPr>
          <w:p w14:paraId="033FC7DB"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40E2DF8B"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5CB3B647" w14:textId="77777777" w:rsidTr="00C010D0">
        <w:trPr>
          <w:trHeight w:val="20"/>
        </w:trPr>
        <w:tc>
          <w:tcPr>
            <w:tcW w:w="576" w:type="dxa"/>
            <w:tcBorders>
              <w:top w:val="nil"/>
              <w:left w:val="nil"/>
              <w:bottom w:val="nil"/>
              <w:right w:val="nil"/>
            </w:tcBorders>
            <w:noWrap/>
            <w:vAlign w:val="center"/>
            <w:hideMark/>
          </w:tcPr>
          <w:p w14:paraId="4A273F4F"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34</w:t>
            </w:r>
          </w:p>
        </w:tc>
        <w:tc>
          <w:tcPr>
            <w:tcW w:w="937" w:type="dxa"/>
            <w:tcBorders>
              <w:top w:val="nil"/>
              <w:left w:val="nil"/>
              <w:bottom w:val="nil"/>
              <w:right w:val="nil"/>
            </w:tcBorders>
            <w:noWrap/>
            <w:vAlign w:val="center"/>
            <w:hideMark/>
          </w:tcPr>
          <w:p w14:paraId="5EB4A60B"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0.5843</w:t>
            </w:r>
          </w:p>
        </w:tc>
        <w:tc>
          <w:tcPr>
            <w:tcW w:w="937" w:type="dxa"/>
            <w:tcBorders>
              <w:top w:val="nil"/>
              <w:left w:val="nil"/>
              <w:bottom w:val="nil"/>
              <w:right w:val="nil"/>
            </w:tcBorders>
            <w:noWrap/>
            <w:vAlign w:val="center"/>
            <w:hideMark/>
          </w:tcPr>
          <w:p w14:paraId="5352E6D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nil"/>
              <w:right w:val="nil"/>
            </w:tcBorders>
            <w:noWrap/>
            <w:vAlign w:val="center"/>
            <w:hideMark/>
          </w:tcPr>
          <w:p w14:paraId="2E6F7138"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0.4458</w:t>
            </w:r>
          </w:p>
        </w:tc>
        <w:tc>
          <w:tcPr>
            <w:tcW w:w="1369" w:type="dxa"/>
            <w:tcBorders>
              <w:top w:val="nil"/>
              <w:left w:val="nil"/>
              <w:bottom w:val="nil"/>
              <w:right w:val="nil"/>
            </w:tcBorders>
            <w:noWrap/>
            <w:vAlign w:val="center"/>
            <w:hideMark/>
          </w:tcPr>
          <w:p w14:paraId="04574F6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Discriminating</w:t>
            </w:r>
          </w:p>
        </w:tc>
        <w:tc>
          <w:tcPr>
            <w:tcW w:w="1107" w:type="dxa"/>
            <w:tcBorders>
              <w:top w:val="nil"/>
              <w:left w:val="nil"/>
              <w:bottom w:val="nil"/>
              <w:right w:val="nil"/>
            </w:tcBorders>
            <w:noWrap/>
            <w:vAlign w:val="center"/>
            <w:hideMark/>
          </w:tcPr>
          <w:p w14:paraId="248D148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0.3545</w:t>
            </w:r>
          </w:p>
        </w:tc>
        <w:tc>
          <w:tcPr>
            <w:tcW w:w="1134" w:type="dxa"/>
            <w:tcBorders>
              <w:top w:val="nil"/>
              <w:left w:val="nil"/>
              <w:bottom w:val="nil"/>
              <w:right w:val="nil"/>
            </w:tcBorders>
            <w:noWrap/>
            <w:vAlign w:val="center"/>
            <w:hideMark/>
          </w:tcPr>
          <w:p w14:paraId="535871A7"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Good</w:t>
            </w:r>
          </w:p>
        </w:tc>
        <w:tc>
          <w:tcPr>
            <w:tcW w:w="1841" w:type="dxa"/>
            <w:tcBorders>
              <w:top w:val="nil"/>
              <w:left w:val="nil"/>
              <w:bottom w:val="nil"/>
              <w:right w:val="nil"/>
            </w:tcBorders>
            <w:vAlign w:val="center"/>
            <w:hideMark/>
          </w:tcPr>
          <w:p w14:paraId="030CF6E1"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2367B5BC"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r w:rsidR="00510E80" w:rsidRPr="009E6E63" w14:paraId="163707F0" w14:textId="77777777" w:rsidTr="00C010D0">
        <w:trPr>
          <w:trHeight w:val="20"/>
        </w:trPr>
        <w:tc>
          <w:tcPr>
            <w:tcW w:w="576" w:type="dxa"/>
            <w:tcBorders>
              <w:top w:val="nil"/>
              <w:left w:val="nil"/>
              <w:bottom w:val="single" w:sz="8" w:space="0" w:color="auto"/>
              <w:right w:val="nil"/>
            </w:tcBorders>
            <w:noWrap/>
            <w:vAlign w:val="center"/>
            <w:hideMark/>
          </w:tcPr>
          <w:p w14:paraId="7564AF7C" w14:textId="77777777" w:rsidR="00510E80" w:rsidRPr="009E6E63" w:rsidRDefault="00510E80" w:rsidP="00C010D0">
            <w:pPr>
              <w:spacing w:after="0" w:line="240" w:lineRule="auto"/>
              <w:jc w:val="center"/>
              <w:rPr>
                <w:rFonts w:ascii="Arial" w:eastAsia="Times New Roman" w:hAnsi="Arial" w:cs="Arial"/>
                <w:b/>
                <w:bCs/>
                <w:color w:val="000000"/>
                <w:kern w:val="0"/>
                <w:sz w:val="18"/>
                <w:szCs w:val="18"/>
                <w14:ligatures w14:val="none"/>
              </w:rPr>
            </w:pPr>
            <w:r w:rsidRPr="009E6E63">
              <w:rPr>
                <w:rFonts w:ascii="Arial" w:eastAsia="Times New Roman" w:hAnsi="Arial" w:cs="Arial"/>
                <w:b/>
                <w:bCs/>
                <w:color w:val="000000"/>
                <w:kern w:val="0"/>
                <w:sz w:val="18"/>
                <w:szCs w:val="18"/>
                <w:lang w:val="en-PH"/>
                <w14:ligatures w14:val="none"/>
              </w:rPr>
              <w:t>35</w:t>
            </w:r>
          </w:p>
        </w:tc>
        <w:tc>
          <w:tcPr>
            <w:tcW w:w="937" w:type="dxa"/>
            <w:tcBorders>
              <w:top w:val="nil"/>
              <w:left w:val="nil"/>
              <w:bottom w:val="single" w:sz="8" w:space="0" w:color="auto"/>
              <w:right w:val="nil"/>
            </w:tcBorders>
            <w:noWrap/>
            <w:vAlign w:val="center"/>
            <w:hideMark/>
          </w:tcPr>
          <w:p w14:paraId="32AD2541"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0.3675</w:t>
            </w:r>
          </w:p>
        </w:tc>
        <w:tc>
          <w:tcPr>
            <w:tcW w:w="937" w:type="dxa"/>
            <w:tcBorders>
              <w:top w:val="nil"/>
              <w:left w:val="nil"/>
              <w:bottom w:val="single" w:sz="8" w:space="0" w:color="auto"/>
              <w:right w:val="nil"/>
            </w:tcBorders>
            <w:noWrap/>
            <w:vAlign w:val="center"/>
            <w:hideMark/>
          </w:tcPr>
          <w:p w14:paraId="377AF62C"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369" w:type="dxa"/>
            <w:tcBorders>
              <w:top w:val="nil"/>
              <w:left w:val="nil"/>
              <w:bottom w:val="single" w:sz="8" w:space="0" w:color="auto"/>
              <w:right w:val="nil"/>
            </w:tcBorders>
            <w:noWrap/>
            <w:vAlign w:val="center"/>
            <w:hideMark/>
          </w:tcPr>
          <w:p w14:paraId="0342BB5F"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0.2771</w:t>
            </w:r>
          </w:p>
        </w:tc>
        <w:tc>
          <w:tcPr>
            <w:tcW w:w="1369" w:type="dxa"/>
            <w:tcBorders>
              <w:top w:val="nil"/>
              <w:left w:val="nil"/>
              <w:bottom w:val="single" w:sz="8" w:space="0" w:color="auto"/>
              <w:right w:val="nil"/>
            </w:tcBorders>
            <w:noWrap/>
            <w:vAlign w:val="center"/>
            <w:hideMark/>
          </w:tcPr>
          <w:p w14:paraId="321AE6A2"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lang w:val="en-PH"/>
                <w14:ligatures w14:val="none"/>
              </w:rPr>
              <w:t>Average</w:t>
            </w:r>
          </w:p>
        </w:tc>
        <w:tc>
          <w:tcPr>
            <w:tcW w:w="1107" w:type="dxa"/>
            <w:tcBorders>
              <w:top w:val="nil"/>
              <w:left w:val="nil"/>
              <w:bottom w:val="single" w:sz="8" w:space="0" w:color="auto"/>
              <w:right w:val="nil"/>
            </w:tcBorders>
            <w:noWrap/>
            <w:vAlign w:val="center"/>
            <w:hideMark/>
          </w:tcPr>
          <w:p w14:paraId="4D0E9465"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0.2146</w:t>
            </w:r>
          </w:p>
        </w:tc>
        <w:tc>
          <w:tcPr>
            <w:tcW w:w="1134" w:type="dxa"/>
            <w:tcBorders>
              <w:top w:val="nil"/>
              <w:left w:val="nil"/>
              <w:bottom w:val="single" w:sz="8" w:space="0" w:color="auto"/>
              <w:right w:val="nil"/>
            </w:tcBorders>
            <w:noWrap/>
            <w:vAlign w:val="center"/>
            <w:hideMark/>
          </w:tcPr>
          <w:p w14:paraId="435FB25E" w14:textId="77777777" w:rsidR="00510E80" w:rsidRPr="009E6E63" w:rsidRDefault="00510E80" w:rsidP="00C010D0">
            <w:pPr>
              <w:spacing w:after="0" w:line="240" w:lineRule="auto"/>
              <w:jc w:val="center"/>
              <w:rPr>
                <w:rFonts w:ascii="Arial" w:eastAsia="Times New Roman" w:hAnsi="Arial" w:cs="Arial"/>
                <w:color w:val="000000"/>
                <w:kern w:val="0"/>
                <w:sz w:val="18"/>
                <w:szCs w:val="18"/>
                <w14:ligatures w14:val="none"/>
              </w:rPr>
            </w:pPr>
            <w:r w:rsidRPr="009E6E63">
              <w:rPr>
                <w:rFonts w:ascii="Arial" w:eastAsia="Times New Roman" w:hAnsi="Arial" w:cs="Arial"/>
                <w:color w:val="000000"/>
                <w:kern w:val="0"/>
                <w:sz w:val="18"/>
                <w:szCs w:val="18"/>
                <w14:ligatures w14:val="none"/>
              </w:rPr>
              <w:t>Marginal</w:t>
            </w:r>
          </w:p>
        </w:tc>
        <w:tc>
          <w:tcPr>
            <w:tcW w:w="1841" w:type="dxa"/>
            <w:tcBorders>
              <w:top w:val="nil"/>
              <w:left w:val="nil"/>
              <w:bottom w:val="single" w:sz="8" w:space="0" w:color="auto"/>
              <w:right w:val="nil"/>
            </w:tcBorders>
            <w:vAlign w:val="center"/>
            <w:hideMark/>
          </w:tcPr>
          <w:p w14:paraId="494AAB85" w14:textId="77777777" w:rsidR="00510E80" w:rsidRPr="009E6E63" w:rsidRDefault="00510E80" w:rsidP="00C010D0">
            <w:pPr>
              <w:spacing w:after="0" w:line="240" w:lineRule="auto"/>
              <w:jc w:val="center"/>
              <w:rPr>
                <w:rFonts w:ascii="Aptos" w:eastAsia="Times New Roman" w:hAnsi="Aptos" w:cs="Times New Roman"/>
                <w:color w:val="000000"/>
                <w:kern w:val="0"/>
                <w:sz w:val="18"/>
                <w:szCs w:val="18"/>
                <w14:ligatures w14:val="none"/>
              </w:rPr>
            </w:pPr>
            <w:r w:rsidRPr="009E6E63">
              <w:rPr>
                <w:rFonts w:ascii="Aptos" w:eastAsia="Times New Roman" w:hAnsi="Aptos" w:cs="Times New Roman"/>
                <w:color w:val="000000"/>
                <w:kern w:val="0"/>
                <w:sz w:val="18"/>
                <w:szCs w:val="18"/>
                <w14:ligatures w14:val="none"/>
              </w:rPr>
              <w:t>Retained</w:t>
            </w:r>
          </w:p>
        </w:tc>
        <w:tc>
          <w:tcPr>
            <w:tcW w:w="266" w:type="dxa"/>
            <w:vAlign w:val="center"/>
            <w:hideMark/>
          </w:tcPr>
          <w:p w14:paraId="50A2F252" w14:textId="77777777" w:rsidR="00510E80" w:rsidRPr="009E6E63" w:rsidRDefault="00510E80" w:rsidP="00C010D0">
            <w:pPr>
              <w:spacing w:after="0" w:line="240" w:lineRule="auto"/>
              <w:rPr>
                <w:rFonts w:ascii="Times New Roman" w:eastAsia="Times New Roman" w:hAnsi="Times New Roman" w:cs="Times New Roman"/>
                <w:kern w:val="0"/>
                <w:sz w:val="18"/>
                <w:szCs w:val="18"/>
                <w14:ligatures w14:val="none"/>
              </w:rPr>
            </w:pPr>
          </w:p>
        </w:tc>
      </w:tr>
    </w:tbl>
    <w:p w14:paraId="583834FD" w14:textId="77777777" w:rsidR="00510E80" w:rsidRPr="00CB4787" w:rsidRDefault="00510E80" w:rsidP="00CB4787">
      <w:pPr>
        <w:pStyle w:val="NormalWeb"/>
        <w:spacing w:beforeLines="240" w:before="576" w:beforeAutospacing="0" w:after="240" w:afterAutospacing="0"/>
        <w:jc w:val="both"/>
      </w:pPr>
      <w:r w:rsidRPr="00CB4787">
        <w:rPr>
          <w:i/>
          <w:iCs/>
        </w:rPr>
        <w:t>Note: Item quality was evaluated using three psychometric standards: Difficulty Index [Hard (0.00–0.20), Average (0.21–0.80), Easy (0.81–1.00)]; Discrimination Index [Excellent (≥0.40), Average (0.20–0.39), Poor (&lt;0.20)]; and Point-Biserial Correlation [Good/Excellent (≥0.30)]. Items were accepted, rehabilitated, or discarded based on these metrics. Item 16 was specifically excluded due to negative indices (Discrimination: -0.0723; Point-Biserial: -0.0521), indicating a flaw in item-to-total score consistency.</w:t>
      </w:r>
    </w:p>
    <w:p w14:paraId="7F55AD97" w14:textId="77777777" w:rsidR="00510E80" w:rsidRPr="00CB4787" w:rsidRDefault="00510E80" w:rsidP="00CB4787">
      <w:pPr>
        <w:pStyle w:val="NormalWeb"/>
        <w:spacing w:beforeLines="240" w:before="576" w:beforeAutospacing="0" w:after="240" w:afterAutospacing="0"/>
        <w:jc w:val="both"/>
      </w:pPr>
      <w:r w:rsidRPr="00CB4787">
        <w:rPr>
          <w:b/>
          <w:bCs/>
        </w:rPr>
        <w:t>Summary of the Item Analysis of the Contextualized Numeracy Test</w:t>
      </w:r>
    </w:p>
    <w:p w14:paraId="14F17856" w14:textId="77777777" w:rsidR="00510E80" w:rsidRPr="00CB4787" w:rsidRDefault="00510E80" w:rsidP="00CB4787">
      <w:pPr>
        <w:pStyle w:val="NormalWeb"/>
        <w:spacing w:beforeLines="240" w:before="576" w:beforeAutospacing="0" w:after="240" w:afterAutospacing="0"/>
        <w:ind w:firstLine="720"/>
        <w:jc w:val="both"/>
      </w:pPr>
      <w:r w:rsidRPr="00CB4787">
        <w:t>To provide a comprehensive view of the pilot test results, a summary of the item analysis is presented. This overview captures the overall performance of the 35 items in terms of their difficulty levels, power to discriminate between learner abilities, and the resulting recommendations for their inclusion in the final test.</w:t>
      </w:r>
    </w:p>
    <w:p w14:paraId="0EA24619" w14:textId="77777777" w:rsidR="00510E80" w:rsidRPr="00CB4787" w:rsidRDefault="00510E80" w:rsidP="00CB4787">
      <w:pPr>
        <w:pStyle w:val="NormalWeb"/>
        <w:spacing w:beforeLines="240" w:before="576" w:beforeAutospacing="0" w:after="240" w:afterAutospacing="0"/>
        <w:ind w:firstLine="720"/>
        <w:jc w:val="both"/>
        <w:rPr>
          <w:lang w:val="en-PH"/>
        </w:rPr>
      </w:pPr>
      <w:r w:rsidRPr="00CB4787">
        <w:rPr>
          <w:lang w:val="en-PH"/>
        </w:rPr>
        <w:t>The summary of the item analysis shows that the 35-item pool is predominantly composed of Average Difficulty items (77.14%). The overall mean difficulty of 0.5083 indicates that the test is well-balanced—neither too easy nor too difficult for the target Grade 7 learners.</w:t>
      </w:r>
    </w:p>
    <w:p w14:paraId="0267F22C" w14:textId="77777777" w:rsidR="00510E80" w:rsidRPr="00CB4787" w:rsidRDefault="00510E80" w:rsidP="00CB4787">
      <w:pPr>
        <w:pStyle w:val="NormalWeb"/>
        <w:spacing w:beforeLines="240" w:before="576" w:beforeAutospacing="0" w:after="240" w:afterAutospacing="0"/>
        <w:ind w:firstLine="720"/>
        <w:jc w:val="both"/>
        <w:rPr>
          <w:lang w:val="en-PH"/>
        </w:rPr>
      </w:pPr>
      <w:r w:rsidRPr="00CB4787">
        <w:rPr>
          <w:lang w:val="en-PH"/>
        </w:rPr>
        <w:t>In terms of Discrimination, the majority of the items are categorized as either Discriminating (34.29%) or Average (62.86%), with an overall mean of 0.3432. This confirms that the test is effective in distinguishing between learners with high and low numeracy proficiency.</w:t>
      </w:r>
    </w:p>
    <w:p w14:paraId="3CF4589B" w14:textId="4B7CE281" w:rsidR="00510E80" w:rsidRPr="00CB4787" w:rsidRDefault="00510E80" w:rsidP="00CB4787">
      <w:pPr>
        <w:pStyle w:val="NormalWeb"/>
        <w:spacing w:beforeLines="240" w:before="576" w:beforeAutospacing="0" w:after="240" w:afterAutospacing="0"/>
        <w:ind w:firstLine="720"/>
        <w:jc w:val="both"/>
        <w:rPr>
          <w:lang w:val="en-PH"/>
        </w:rPr>
      </w:pPr>
      <w:r w:rsidRPr="00CB4787">
        <w:rPr>
          <w:lang w:val="en-PH"/>
        </w:rPr>
        <w:t>Regarding the final status of the items, 12 items (34.29%) were immediately accepted for the final version. While 22 items (62.85%) were identified as needing some level of revision (either "May Need Revision" or "Needs Revision"), only one item (2.86%) was recommended for total discarding. This high retention rate—with 34 out of 35 items being usable after refinement—provides a robust pool from which the final 30 items were selected.</w:t>
      </w:r>
    </w:p>
    <w:p w14:paraId="04F80495" w14:textId="77777777" w:rsidR="00510E80" w:rsidRPr="00CB4787" w:rsidRDefault="00510E80" w:rsidP="00CB4787">
      <w:pPr>
        <w:pStyle w:val="NormalWeb"/>
        <w:spacing w:beforeLines="240" w:before="576" w:beforeAutospacing="0" w:after="240" w:afterAutospacing="0"/>
        <w:jc w:val="both"/>
      </w:pPr>
      <w:r w:rsidRPr="00CB4787">
        <w:rPr>
          <w:b/>
          <w:bCs/>
        </w:rPr>
        <w:t>Table 10</w:t>
      </w:r>
      <w:r w:rsidRPr="00CB4787">
        <w:t xml:space="preserve">: </w:t>
      </w:r>
    </w:p>
    <w:p w14:paraId="39D48C8A" w14:textId="77777777" w:rsidR="00510E80" w:rsidRPr="00CB4787" w:rsidRDefault="00510E80" w:rsidP="00CB4787">
      <w:pPr>
        <w:pStyle w:val="NormalWeb"/>
        <w:spacing w:beforeLines="240" w:before="576" w:beforeAutospacing="0" w:after="240" w:afterAutospacing="0"/>
        <w:jc w:val="both"/>
        <w:rPr>
          <w:i/>
          <w:iCs/>
        </w:rPr>
      </w:pPr>
      <w:r w:rsidRPr="00CB4787">
        <w:rPr>
          <w:i/>
          <w:iCs/>
        </w:rPr>
        <w:t>Summary of Item Difficulty, Discrimination, and Point-Biserial Correlation</w:t>
      </w:r>
    </w:p>
    <w:tbl>
      <w:tblPr>
        <w:tblW w:w="8170" w:type="dxa"/>
        <w:tblInd w:w="1268" w:type="dxa"/>
        <w:tblLook w:val="04A0" w:firstRow="1" w:lastRow="0" w:firstColumn="1" w:lastColumn="0" w:noHBand="0" w:noVBand="1"/>
      </w:tblPr>
      <w:tblGrid>
        <w:gridCol w:w="2658"/>
        <w:gridCol w:w="2602"/>
        <w:gridCol w:w="2910"/>
      </w:tblGrid>
      <w:tr w:rsidR="00510E80" w:rsidRPr="00CB4787" w14:paraId="7766B6A1" w14:textId="77777777" w:rsidTr="00CB4787">
        <w:trPr>
          <w:trHeight w:val="615"/>
        </w:trPr>
        <w:tc>
          <w:tcPr>
            <w:tcW w:w="2658" w:type="dxa"/>
            <w:tcBorders>
              <w:top w:val="single" w:sz="4" w:space="0" w:color="auto"/>
              <w:left w:val="nil"/>
              <w:bottom w:val="single" w:sz="8" w:space="0" w:color="auto"/>
              <w:right w:val="nil"/>
            </w:tcBorders>
            <w:vAlign w:val="center"/>
            <w:hideMark/>
          </w:tcPr>
          <w:p w14:paraId="2A205DC1"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Psychometric Property</w:t>
            </w:r>
          </w:p>
        </w:tc>
        <w:tc>
          <w:tcPr>
            <w:tcW w:w="2602" w:type="dxa"/>
            <w:tcBorders>
              <w:top w:val="single" w:sz="4" w:space="0" w:color="auto"/>
              <w:left w:val="nil"/>
              <w:bottom w:val="single" w:sz="8" w:space="0" w:color="auto"/>
              <w:right w:val="nil"/>
            </w:tcBorders>
            <w:vAlign w:val="center"/>
            <w:hideMark/>
          </w:tcPr>
          <w:p w14:paraId="36B983D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Average Value</w:t>
            </w:r>
          </w:p>
        </w:tc>
        <w:tc>
          <w:tcPr>
            <w:tcW w:w="2910" w:type="dxa"/>
            <w:tcBorders>
              <w:top w:val="single" w:sz="4" w:space="0" w:color="auto"/>
              <w:left w:val="nil"/>
              <w:bottom w:val="single" w:sz="8" w:space="0" w:color="auto"/>
              <w:right w:val="nil"/>
            </w:tcBorders>
            <w:vAlign w:val="center"/>
            <w:hideMark/>
          </w:tcPr>
          <w:p w14:paraId="06048B75"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Interpretation</w:t>
            </w:r>
          </w:p>
        </w:tc>
      </w:tr>
      <w:tr w:rsidR="00510E80" w:rsidRPr="00CB4787" w14:paraId="54DD2737" w14:textId="77777777" w:rsidTr="00CB4787">
        <w:trPr>
          <w:trHeight w:val="300"/>
        </w:trPr>
        <w:tc>
          <w:tcPr>
            <w:tcW w:w="2658" w:type="dxa"/>
            <w:tcBorders>
              <w:top w:val="nil"/>
              <w:left w:val="nil"/>
              <w:bottom w:val="nil"/>
              <w:right w:val="nil"/>
            </w:tcBorders>
            <w:vAlign w:val="center"/>
            <w:hideMark/>
          </w:tcPr>
          <w:p w14:paraId="3A79485B"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Difficulty Index (p)</w:t>
            </w:r>
          </w:p>
        </w:tc>
        <w:tc>
          <w:tcPr>
            <w:tcW w:w="2602" w:type="dxa"/>
            <w:tcBorders>
              <w:top w:val="nil"/>
              <w:left w:val="nil"/>
              <w:bottom w:val="nil"/>
              <w:right w:val="nil"/>
            </w:tcBorders>
            <w:vAlign w:val="center"/>
            <w:hideMark/>
          </w:tcPr>
          <w:p w14:paraId="59D9AD4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0.5083</w:t>
            </w:r>
          </w:p>
        </w:tc>
        <w:tc>
          <w:tcPr>
            <w:tcW w:w="2910" w:type="dxa"/>
            <w:tcBorders>
              <w:top w:val="nil"/>
              <w:left w:val="nil"/>
              <w:bottom w:val="nil"/>
              <w:right w:val="nil"/>
            </w:tcBorders>
            <w:vAlign w:val="center"/>
            <w:hideMark/>
          </w:tcPr>
          <w:p w14:paraId="0ED9CEBF"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Average</w:t>
            </w:r>
          </w:p>
        </w:tc>
      </w:tr>
      <w:tr w:rsidR="00510E80" w:rsidRPr="00CB4787" w14:paraId="14A11402" w14:textId="77777777" w:rsidTr="00CB4787">
        <w:trPr>
          <w:trHeight w:val="570"/>
        </w:trPr>
        <w:tc>
          <w:tcPr>
            <w:tcW w:w="2658" w:type="dxa"/>
            <w:tcBorders>
              <w:top w:val="nil"/>
              <w:left w:val="nil"/>
              <w:bottom w:val="nil"/>
              <w:right w:val="nil"/>
            </w:tcBorders>
            <w:vAlign w:val="center"/>
            <w:hideMark/>
          </w:tcPr>
          <w:p w14:paraId="43363ACD"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Discrimination Index (D)</w:t>
            </w:r>
          </w:p>
        </w:tc>
        <w:tc>
          <w:tcPr>
            <w:tcW w:w="2602" w:type="dxa"/>
            <w:tcBorders>
              <w:top w:val="nil"/>
              <w:left w:val="nil"/>
              <w:bottom w:val="nil"/>
              <w:right w:val="nil"/>
            </w:tcBorders>
            <w:vAlign w:val="center"/>
            <w:hideMark/>
          </w:tcPr>
          <w:p w14:paraId="127AB1C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0.3432</w:t>
            </w:r>
          </w:p>
        </w:tc>
        <w:tc>
          <w:tcPr>
            <w:tcW w:w="2910" w:type="dxa"/>
            <w:tcBorders>
              <w:top w:val="nil"/>
              <w:left w:val="nil"/>
              <w:bottom w:val="nil"/>
              <w:right w:val="nil"/>
            </w:tcBorders>
            <w:vAlign w:val="center"/>
            <w:hideMark/>
          </w:tcPr>
          <w:p w14:paraId="0803CB76"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Average</w:t>
            </w:r>
          </w:p>
        </w:tc>
      </w:tr>
      <w:tr w:rsidR="00510E80" w:rsidRPr="00CB4787" w14:paraId="477546DD" w14:textId="77777777" w:rsidTr="00CB4787">
        <w:trPr>
          <w:trHeight w:val="585"/>
        </w:trPr>
        <w:tc>
          <w:tcPr>
            <w:tcW w:w="2658" w:type="dxa"/>
            <w:tcBorders>
              <w:top w:val="nil"/>
              <w:left w:val="nil"/>
              <w:bottom w:val="single" w:sz="8" w:space="0" w:color="auto"/>
              <w:right w:val="nil"/>
            </w:tcBorders>
            <w:vAlign w:val="center"/>
            <w:hideMark/>
          </w:tcPr>
          <w:p w14:paraId="028955AA" w14:textId="77777777" w:rsidR="00510E80" w:rsidRPr="00CB4787" w:rsidRDefault="00510E80" w:rsidP="00C010D0">
            <w:pPr>
              <w:spacing w:after="0" w:line="240" w:lineRule="auto"/>
              <w:jc w:val="center"/>
              <w:rPr>
                <w:rFonts w:ascii="Times New Roman" w:eastAsia="Times New Roman" w:hAnsi="Times New Roman" w:cs="Times New Roman"/>
                <w:color w:val="000000"/>
                <w:kern w:val="0"/>
                <w:sz w:val="22"/>
                <w:szCs w:val="22"/>
                <w14:ligatures w14:val="none"/>
              </w:rPr>
            </w:pPr>
            <w:r w:rsidRPr="00CB4787">
              <w:rPr>
                <w:rFonts w:ascii="Times New Roman" w:eastAsia="Times New Roman" w:hAnsi="Times New Roman" w:cs="Times New Roman"/>
                <w:color w:val="000000"/>
                <w:kern w:val="0"/>
                <w:sz w:val="22"/>
                <w:szCs w:val="22"/>
                <w14:ligatures w14:val="none"/>
              </w:rPr>
              <w:t>Point-Biserial Correlation</w:t>
            </w:r>
          </w:p>
        </w:tc>
        <w:tc>
          <w:tcPr>
            <w:tcW w:w="2602" w:type="dxa"/>
            <w:tcBorders>
              <w:top w:val="nil"/>
              <w:left w:val="nil"/>
              <w:bottom w:val="single" w:sz="8" w:space="0" w:color="auto"/>
              <w:right w:val="nil"/>
            </w:tcBorders>
            <w:vAlign w:val="center"/>
            <w:hideMark/>
          </w:tcPr>
          <w:p w14:paraId="69A8126D"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0.3032</w:t>
            </w:r>
          </w:p>
        </w:tc>
        <w:tc>
          <w:tcPr>
            <w:tcW w:w="2910" w:type="dxa"/>
            <w:tcBorders>
              <w:top w:val="nil"/>
              <w:left w:val="nil"/>
              <w:bottom w:val="single" w:sz="8" w:space="0" w:color="auto"/>
              <w:right w:val="nil"/>
            </w:tcBorders>
            <w:vAlign w:val="center"/>
            <w:hideMark/>
          </w:tcPr>
          <w:p w14:paraId="6FD7DE3A" w14:textId="77777777" w:rsidR="00510E80" w:rsidRPr="00CB4787" w:rsidRDefault="00510E80" w:rsidP="00C010D0">
            <w:pPr>
              <w:spacing w:after="0" w:line="240" w:lineRule="auto"/>
              <w:jc w:val="center"/>
              <w:rPr>
                <w:rFonts w:ascii="Times New Roman" w:eastAsia="Times New Roman" w:hAnsi="Times New Roman" w:cs="Times New Roman"/>
                <w:b/>
                <w:bCs/>
                <w:color w:val="000000"/>
                <w:kern w:val="0"/>
                <w:sz w:val="22"/>
                <w:szCs w:val="22"/>
                <w14:ligatures w14:val="none"/>
              </w:rPr>
            </w:pPr>
            <w:r w:rsidRPr="00CB4787">
              <w:rPr>
                <w:rFonts w:ascii="Times New Roman" w:eastAsia="Times New Roman" w:hAnsi="Times New Roman" w:cs="Times New Roman"/>
                <w:b/>
                <w:bCs/>
                <w:color w:val="000000"/>
                <w:kern w:val="0"/>
                <w:sz w:val="22"/>
                <w:szCs w:val="22"/>
                <w14:ligatures w14:val="none"/>
              </w:rPr>
              <w:t xml:space="preserve">Good </w:t>
            </w:r>
          </w:p>
        </w:tc>
      </w:tr>
    </w:tbl>
    <w:p w14:paraId="4C1003B6" w14:textId="77777777" w:rsidR="00510E80" w:rsidRPr="00CB4787" w:rsidRDefault="00510E80" w:rsidP="00CB4787">
      <w:pPr>
        <w:pStyle w:val="NormalWeb"/>
        <w:spacing w:before="240" w:beforeAutospacing="0" w:after="240" w:afterAutospacing="0"/>
        <w:jc w:val="both"/>
        <w:rPr>
          <w:b/>
          <w:bCs/>
        </w:rPr>
      </w:pPr>
      <w:r w:rsidRPr="00CB4787">
        <w:rPr>
          <w:b/>
          <w:bCs/>
        </w:rPr>
        <w:lastRenderedPageBreak/>
        <w:t>Refinement of the Contextualized Numeracy Test (CNT)</w:t>
      </w:r>
    </w:p>
    <w:p w14:paraId="1D6B3AC8" w14:textId="77777777" w:rsidR="00510E80" w:rsidRPr="00CB4787" w:rsidRDefault="00510E80" w:rsidP="00CB4787">
      <w:pPr>
        <w:pStyle w:val="NormalWeb"/>
        <w:spacing w:before="240" w:beforeAutospacing="0" w:after="240" w:afterAutospacing="0"/>
        <w:ind w:firstLine="720"/>
        <w:jc w:val="both"/>
      </w:pPr>
      <w:r w:rsidRPr="00CB4787">
        <w:t>The researcher implemented a stratified item selection and exclusion policy to ensure the technical integrity and curricular alignment of the Contextualized Numeracy Test (CNT). Instead of a generic reduction, the researcher evaluated the items within their specific content domains to preserve the structural balance originally established in the Table of Specifications (TOS).</w:t>
      </w:r>
    </w:p>
    <w:p w14:paraId="35BAC015" w14:textId="77777777" w:rsidR="00510E80" w:rsidRPr="00CB4787" w:rsidRDefault="00510E80" w:rsidP="00CB4787">
      <w:pPr>
        <w:pStyle w:val="NormalWeb"/>
        <w:spacing w:before="240" w:beforeAutospacing="0" w:after="240" w:afterAutospacing="0"/>
        <w:ind w:firstLine="360"/>
        <w:jc w:val="both"/>
      </w:pPr>
      <w:r w:rsidRPr="00CB4787">
        <w:t>Table 11 shows the transition from the 35-item pilot version to the final 30-item instrument. The researcher executed the following psychometric refinements:</w:t>
      </w:r>
    </w:p>
    <w:p w14:paraId="5867ACA9" w14:textId="77777777" w:rsidR="00510E80" w:rsidRPr="00CB4787" w:rsidRDefault="00510E80" w:rsidP="00CB4787">
      <w:pPr>
        <w:pStyle w:val="NormalWeb"/>
        <w:numPr>
          <w:ilvl w:val="0"/>
          <w:numId w:val="14"/>
        </w:numPr>
        <w:spacing w:before="240" w:beforeAutospacing="0" w:after="240" w:afterAutospacing="0"/>
        <w:jc w:val="both"/>
      </w:pPr>
      <w:r w:rsidRPr="00CB4787">
        <w:t>Elimination of Flawed Items: The researcher prioritized the removal of Item 16 from the first domain (Items 1-20). The analysis revealed that Item 16 exhibited a negative point-biserial correlation = -0.0521, identifying it as a "flawed item." Such a result indicates that the item misled proficient learners and failed to function as a valid diagnostic tool.</w:t>
      </w:r>
    </w:p>
    <w:p w14:paraId="1C57B0BB" w14:textId="77777777" w:rsidR="00510E80" w:rsidRPr="00CB4787" w:rsidRDefault="00510E80" w:rsidP="00CB4787">
      <w:pPr>
        <w:pStyle w:val="NormalWeb"/>
        <w:numPr>
          <w:ilvl w:val="0"/>
          <w:numId w:val="14"/>
        </w:numPr>
        <w:spacing w:before="240" w:beforeAutospacing="0" w:after="240" w:afterAutospacing="0"/>
        <w:jc w:val="both"/>
      </w:pPr>
      <w:r w:rsidRPr="00CB4787">
        <w:t>Domain-Specific Pruning: To maintain the required percentage of questions per competency, the researcher discarded the weakest performing items within the remaining clusters. In the second domain (Items 21-28), the researcher removed Item 26 due to its exceptionally low internal consistency (Point-Biserial Correlation = 0.0652). Furthermore, the researcher discarded Items 31, 34, and 35 from the final domain (Items 29-35), as these items yielded the lowest discrimination values within that specific set.</w:t>
      </w:r>
    </w:p>
    <w:p w14:paraId="6B23A789" w14:textId="77777777" w:rsidR="00510E80" w:rsidRPr="00CB4787" w:rsidRDefault="00510E80" w:rsidP="00CB4787">
      <w:pPr>
        <w:pStyle w:val="NormalWeb"/>
        <w:numPr>
          <w:ilvl w:val="0"/>
          <w:numId w:val="14"/>
        </w:numPr>
        <w:spacing w:before="240" w:beforeAutospacing="0" w:after="240" w:afterAutospacing="0"/>
        <w:jc w:val="both"/>
      </w:pPr>
      <w:r w:rsidRPr="00CB4787">
        <w:t>Distractor Rehabilitation: For the items that the researcher retained despite marginal discrimination results (e.g., Items 1, 5, and 8), the researcher performed distractor rehabilitation. The researcher analyzed the response patterns and modified non-functional distractors to ensure they effectively capture common learner misconceptions, thereby enhancing the items' diagnostic power.</w:t>
      </w:r>
    </w:p>
    <w:p w14:paraId="51DF160C" w14:textId="77777777" w:rsidR="00510E80" w:rsidRPr="00CB4787" w:rsidRDefault="00510E80" w:rsidP="00CB4787">
      <w:pPr>
        <w:pStyle w:val="NormalWeb"/>
        <w:spacing w:before="240" w:beforeAutospacing="0" w:after="240" w:afterAutospacing="0"/>
        <w:ind w:firstLine="360"/>
        <w:jc w:val="both"/>
      </w:pPr>
      <w:r w:rsidRPr="00CB4787">
        <w:t>By removing these five specific items (16, 26, 31, 34, and 35) based on their respective content domains, the researcher maintained the structural symmetry of the TOS while simultaneously 'cleaning' the instrument of statistical noise. This systematic refinement process allowed the researcher to produce a more precise, balanced, and reliable final version of the CNT. The final 30-item test reflects a higher degree of internal consistency, ensuring that the tool can accurately measure and categorize the numeracy proficiency levels of Grade 7 learners.</w:t>
      </w:r>
    </w:p>
    <w:p w14:paraId="05539D75" w14:textId="77777777" w:rsidR="00510E80" w:rsidRPr="00CB4787" w:rsidRDefault="00510E80" w:rsidP="00CB4787">
      <w:pPr>
        <w:pStyle w:val="NormalWeb"/>
        <w:spacing w:before="240" w:beforeAutospacing="0" w:after="240" w:afterAutospacing="0"/>
        <w:jc w:val="both"/>
      </w:pPr>
    </w:p>
    <w:p w14:paraId="73CC3E15" w14:textId="77777777" w:rsidR="00510E80" w:rsidRPr="00CB4787" w:rsidRDefault="00510E80" w:rsidP="00CB4787">
      <w:pPr>
        <w:pStyle w:val="NormalWeb"/>
        <w:spacing w:before="240" w:beforeAutospacing="0" w:after="240" w:afterAutospacing="0"/>
        <w:jc w:val="both"/>
      </w:pPr>
      <w:r w:rsidRPr="00CB4787">
        <w:rPr>
          <w:b/>
          <w:bCs/>
        </w:rPr>
        <w:t>Table 11</w:t>
      </w:r>
      <w:r w:rsidRPr="00CB4787">
        <w:t xml:space="preserve">: </w:t>
      </w:r>
    </w:p>
    <w:p w14:paraId="7D76AEC0" w14:textId="77777777" w:rsidR="00510E80" w:rsidRPr="00CB4787" w:rsidRDefault="00510E80" w:rsidP="00CB4787">
      <w:pPr>
        <w:pStyle w:val="NormalWeb"/>
        <w:spacing w:before="240" w:beforeAutospacing="0" w:after="240" w:afterAutospacing="0"/>
        <w:jc w:val="both"/>
        <w:rPr>
          <w:i/>
          <w:iCs/>
        </w:rPr>
      </w:pPr>
      <w:r w:rsidRPr="00CB4787">
        <w:rPr>
          <w:i/>
          <w:iCs/>
        </w:rPr>
        <w:t>Item Traceability after Pilot-Testing</w:t>
      </w:r>
    </w:p>
    <w:tbl>
      <w:tblPr>
        <w:tblW w:w="8712" w:type="dxa"/>
        <w:tblLook w:val="04A0" w:firstRow="1" w:lastRow="0" w:firstColumn="1" w:lastColumn="0" w:noHBand="0" w:noVBand="1"/>
      </w:tblPr>
      <w:tblGrid>
        <w:gridCol w:w="1080"/>
        <w:gridCol w:w="1080"/>
        <w:gridCol w:w="1628"/>
        <w:gridCol w:w="1522"/>
        <w:gridCol w:w="2442"/>
        <w:gridCol w:w="960"/>
      </w:tblGrid>
      <w:tr w:rsidR="00510E80" w:rsidRPr="00CA414D" w14:paraId="676C85FC" w14:textId="77777777" w:rsidTr="00C010D0">
        <w:trPr>
          <w:trHeight w:val="615"/>
        </w:trPr>
        <w:tc>
          <w:tcPr>
            <w:tcW w:w="1080" w:type="dxa"/>
            <w:tcBorders>
              <w:top w:val="single" w:sz="4" w:space="0" w:color="auto"/>
              <w:left w:val="nil"/>
              <w:bottom w:val="single" w:sz="8" w:space="0" w:color="auto"/>
              <w:right w:val="nil"/>
            </w:tcBorders>
            <w:vAlign w:val="center"/>
            <w:hideMark/>
          </w:tcPr>
          <w:p w14:paraId="4D1AF728"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r w:rsidRPr="00CA414D">
              <w:rPr>
                <w:rFonts w:ascii="Aptos Narrow" w:eastAsia="Times New Roman" w:hAnsi="Aptos Narrow" w:cs="Times New Roman"/>
                <w:b/>
                <w:bCs/>
                <w:color w:val="000000"/>
                <w:kern w:val="0"/>
                <w:sz w:val="22"/>
                <w:szCs w:val="22"/>
                <w14:ligatures w14:val="none"/>
              </w:rPr>
              <w:t>Pilot Item #</w:t>
            </w:r>
          </w:p>
        </w:tc>
        <w:tc>
          <w:tcPr>
            <w:tcW w:w="1080" w:type="dxa"/>
            <w:tcBorders>
              <w:top w:val="single" w:sz="4" w:space="0" w:color="auto"/>
              <w:left w:val="nil"/>
              <w:bottom w:val="single" w:sz="8" w:space="0" w:color="auto"/>
              <w:right w:val="nil"/>
            </w:tcBorders>
            <w:vAlign w:val="center"/>
            <w:hideMark/>
          </w:tcPr>
          <w:p w14:paraId="1E8899AB"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r w:rsidRPr="00CA414D">
              <w:rPr>
                <w:rFonts w:ascii="Aptos Narrow" w:eastAsia="Times New Roman" w:hAnsi="Aptos Narrow" w:cs="Times New Roman"/>
                <w:b/>
                <w:bCs/>
                <w:color w:val="000000"/>
                <w:kern w:val="0"/>
                <w:sz w:val="22"/>
                <w:szCs w:val="22"/>
                <w14:ligatures w14:val="none"/>
              </w:rPr>
              <w:t>Final Item #</w:t>
            </w:r>
          </w:p>
        </w:tc>
        <w:tc>
          <w:tcPr>
            <w:tcW w:w="1080" w:type="dxa"/>
            <w:tcBorders>
              <w:top w:val="single" w:sz="4" w:space="0" w:color="auto"/>
              <w:left w:val="nil"/>
              <w:bottom w:val="single" w:sz="8" w:space="0" w:color="auto"/>
              <w:right w:val="nil"/>
            </w:tcBorders>
            <w:vAlign w:val="center"/>
            <w:hideMark/>
          </w:tcPr>
          <w:p w14:paraId="797BEA51"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r w:rsidRPr="00CA414D">
              <w:rPr>
                <w:rFonts w:ascii="Aptos Narrow" w:eastAsia="Times New Roman" w:hAnsi="Aptos Narrow" w:cs="Times New Roman"/>
                <w:b/>
                <w:bCs/>
                <w:color w:val="000000"/>
                <w:kern w:val="0"/>
                <w:sz w:val="22"/>
                <w:szCs w:val="22"/>
                <w14:ligatures w14:val="none"/>
              </w:rPr>
              <w:t>Status</w:t>
            </w:r>
          </w:p>
        </w:tc>
        <w:tc>
          <w:tcPr>
            <w:tcW w:w="1736" w:type="dxa"/>
            <w:tcBorders>
              <w:top w:val="single" w:sz="4" w:space="0" w:color="auto"/>
              <w:left w:val="nil"/>
              <w:bottom w:val="single" w:sz="8" w:space="0" w:color="auto"/>
              <w:right w:val="nil"/>
            </w:tcBorders>
            <w:vAlign w:val="center"/>
            <w:hideMark/>
          </w:tcPr>
          <w:p w14:paraId="21D92448"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r w:rsidRPr="00CA414D">
              <w:rPr>
                <w:rFonts w:ascii="Aptos Narrow" w:eastAsia="Times New Roman" w:hAnsi="Aptos Narrow" w:cs="Times New Roman"/>
                <w:b/>
                <w:bCs/>
                <w:color w:val="000000"/>
                <w:kern w:val="0"/>
                <w:sz w:val="22"/>
                <w:szCs w:val="22"/>
                <w14:ligatures w14:val="none"/>
              </w:rPr>
              <w:t>Domain /Cluster</w:t>
            </w:r>
          </w:p>
        </w:tc>
        <w:tc>
          <w:tcPr>
            <w:tcW w:w="2776" w:type="dxa"/>
            <w:tcBorders>
              <w:top w:val="single" w:sz="4" w:space="0" w:color="auto"/>
              <w:left w:val="nil"/>
              <w:bottom w:val="single" w:sz="8" w:space="0" w:color="auto"/>
              <w:right w:val="nil"/>
            </w:tcBorders>
            <w:vAlign w:val="center"/>
            <w:hideMark/>
          </w:tcPr>
          <w:p w14:paraId="2251A591"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r w:rsidRPr="00CA414D">
              <w:rPr>
                <w:rFonts w:ascii="Aptos Narrow" w:eastAsia="Times New Roman" w:hAnsi="Aptos Narrow" w:cs="Times New Roman"/>
                <w:b/>
                <w:bCs/>
                <w:color w:val="000000"/>
                <w:kern w:val="0"/>
                <w:sz w:val="22"/>
                <w:szCs w:val="22"/>
                <w14:ligatures w14:val="none"/>
              </w:rPr>
              <w:t>Reason for Action</w:t>
            </w:r>
          </w:p>
        </w:tc>
        <w:tc>
          <w:tcPr>
            <w:tcW w:w="960" w:type="dxa"/>
            <w:tcBorders>
              <w:top w:val="single" w:sz="4" w:space="0" w:color="auto"/>
              <w:left w:val="nil"/>
              <w:bottom w:val="single" w:sz="8" w:space="0" w:color="auto"/>
              <w:right w:val="nil"/>
            </w:tcBorders>
            <w:vAlign w:val="center"/>
            <w:hideMark/>
          </w:tcPr>
          <w:p w14:paraId="31496320" w14:textId="77777777" w:rsidR="00510E80" w:rsidRPr="00CA414D" w:rsidRDefault="00510E80" w:rsidP="00C010D0">
            <w:pPr>
              <w:spacing w:after="0" w:line="240" w:lineRule="auto"/>
              <w:jc w:val="center"/>
              <w:rPr>
                <w:rFonts w:ascii="Aptos Narrow" w:eastAsia="Times New Roman" w:hAnsi="Aptos Narrow" w:cs="Times New Roman"/>
                <w:b/>
                <w:bCs/>
                <w:color w:val="000000"/>
                <w:kern w:val="0"/>
                <w:sz w:val="22"/>
                <w:szCs w:val="22"/>
                <w14:ligatures w14:val="none"/>
              </w:rPr>
            </w:pPr>
            <w:proofErr w:type="spellStart"/>
            <w:r w:rsidRPr="00CA414D">
              <w:rPr>
                <w:rFonts w:ascii="Aptos Narrow" w:eastAsia="Times New Roman" w:hAnsi="Aptos Narrow" w:cs="Times New Roman"/>
                <w:b/>
                <w:bCs/>
                <w:color w:val="000000"/>
                <w:kern w:val="0"/>
                <w:sz w:val="22"/>
                <w:szCs w:val="22"/>
                <w14:ligatures w14:val="none"/>
              </w:rPr>
              <w:t>rpb</w:t>
            </w:r>
            <w:proofErr w:type="spellEnd"/>
            <w:r w:rsidRPr="00CA414D">
              <w:rPr>
                <w:rFonts w:ascii="Arial" w:eastAsia="Times New Roman" w:hAnsi="Arial" w:cs="Arial"/>
                <w:b/>
                <w:bCs/>
                <w:color w:val="000000"/>
                <w:kern w:val="0"/>
                <w:sz w:val="22"/>
                <w:szCs w:val="22"/>
                <w14:ligatures w14:val="none"/>
              </w:rPr>
              <w:t>​</w:t>
            </w:r>
            <w:r w:rsidRPr="00CA414D">
              <w:rPr>
                <w:rFonts w:ascii="Aptos Narrow" w:eastAsia="Times New Roman" w:hAnsi="Aptos Narrow" w:cs="Times New Roman"/>
                <w:b/>
                <w:bCs/>
                <w:color w:val="000000"/>
                <w:kern w:val="0"/>
                <w:sz w:val="22"/>
                <w:szCs w:val="22"/>
                <w14:ligatures w14:val="none"/>
              </w:rPr>
              <w:t xml:space="preserve"> Value</w:t>
            </w:r>
          </w:p>
        </w:tc>
      </w:tr>
      <w:tr w:rsidR="00510E80" w:rsidRPr="00CA414D" w14:paraId="2E48D6FB" w14:textId="77777777" w:rsidTr="00C010D0">
        <w:trPr>
          <w:trHeight w:val="600"/>
        </w:trPr>
        <w:tc>
          <w:tcPr>
            <w:tcW w:w="1080" w:type="dxa"/>
            <w:tcBorders>
              <w:top w:val="nil"/>
              <w:left w:val="nil"/>
              <w:bottom w:val="nil"/>
              <w:right w:val="nil"/>
            </w:tcBorders>
            <w:noWrap/>
            <w:vAlign w:val="center"/>
            <w:hideMark/>
          </w:tcPr>
          <w:p w14:paraId="495CF9B3"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1- 15</w:t>
            </w:r>
          </w:p>
        </w:tc>
        <w:tc>
          <w:tcPr>
            <w:tcW w:w="1080" w:type="dxa"/>
            <w:tcBorders>
              <w:top w:val="nil"/>
              <w:left w:val="nil"/>
              <w:bottom w:val="nil"/>
              <w:right w:val="nil"/>
            </w:tcBorders>
            <w:noWrap/>
            <w:vAlign w:val="center"/>
            <w:hideMark/>
          </w:tcPr>
          <w:p w14:paraId="0EE42A1D"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1- 15</w:t>
            </w:r>
          </w:p>
        </w:tc>
        <w:tc>
          <w:tcPr>
            <w:tcW w:w="1080" w:type="dxa"/>
            <w:tcBorders>
              <w:top w:val="nil"/>
              <w:left w:val="nil"/>
              <w:bottom w:val="nil"/>
              <w:right w:val="nil"/>
            </w:tcBorders>
            <w:noWrap/>
            <w:vAlign w:val="center"/>
            <w:hideMark/>
          </w:tcPr>
          <w:p w14:paraId="6230451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Retained/Rehab</w:t>
            </w:r>
          </w:p>
        </w:tc>
        <w:tc>
          <w:tcPr>
            <w:tcW w:w="1736" w:type="dxa"/>
            <w:tcBorders>
              <w:top w:val="nil"/>
              <w:left w:val="nil"/>
              <w:bottom w:val="nil"/>
              <w:right w:val="nil"/>
            </w:tcBorders>
            <w:vAlign w:val="center"/>
            <w:hideMark/>
          </w:tcPr>
          <w:p w14:paraId="70D78A2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Numbers &amp; Algebra</w:t>
            </w:r>
          </w:p>
        </w:tc>
        <w:tc>
          <w:tcPr>
            <w:tcW w:w="2776" w:type="dxa"/>
            <w:tcBorders>
              <w:top w:val="nil"/>
              <w:left w:val="nil"/>
              <w:bottom w:val="nil"/>
              <w:right w:val="nil"/>
            </w:tcBorders>
            <w:vAlign w:val="center"/>
            <w:hideMark/>
          </w:tcPr>
          <w:p w14:paraId="17DBCB3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Met threshold for retention/rehab.</w:t>
            </w:r>
          </w:p>
        </w:tc>
        <w:tc>
          <w:tcPr>
            <w:tcW w:w="960" w:type="dxa"/>
            <w:tcBorders>
              <w:top w:val="nil"/>
              <w:left w:val="nil"/>
              <w:bottom w:val="nil"/>
              <w:right w:val="nil"/>
            </w:tcBorders>
            <w:noWrap/>
            <w:vAlign w:val="center"/>
            <w:hideMark/>
          </w:tcPr>
          <w:p w14:paraId="6610D1AD"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&gt;0.18</w:t>
            </w:r>
          </w:p>
        </w:tc>
      </w:tr>
      <w:tr w:rsidR="00510E80" w:rsidRPr="00CA414D" w14:paraId="13BE3569" w14:textId="77777777" w:rsidTr="00C010D0">
        <w:trPr>
          <w:trHeight w:val="600"/>
        </w:trPr>
        <w:tc>
          <w:tcPr>
            <w:tcW w:w="1080" w:type="dxa"/>
            <w:tcBorders>
              <w:top w:val="nil"/>
              <w:left w:val="nil"/>
              <w:bottom w:val="nil"/>
              <w:right w:val="nil"/>
            </w:tcBorders>
            <w:noWrap/>
            <w:vAlign w:val="center"/>
            <w:hideMark/>
          </w:tcPr>
          <w:p w14:paraId="3B6C1BB3"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16</w:t>
            </w:r>
          </w:p>
        </w:tc>
        <w:tc>
          <w:tcPr>
            <w:tcW w:w="1080" w:type="dxa"/>
            <w:tcBorders>
              <w:top w:val="nil"/>
              <w:left w:val="nil"/>
              <w:bottom w:val="nil"/>
              <w:right w:val="nil"/>
            </w:tcBorders>
            <w:noWrap/>
            <w:vAlign w:val="center"/>
            <w:hideMark/>
          </w:tcPr>
          <w:p w14:paraId="3D6F6490"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w:t>
            </w:r>
          </w:p>
        </w:tc>
        <w:tc>
          <w:tcPr>
            <w:tcW w:w="1080" w:type="dxa"/>
            <w:tcBorders>
              <w:top w:val="nil"/>
              <w:left w:val="nil"/>
              <w:bottom w:val="nil"/>
              <w:right w:val="nil"/>
            </w:tcBorders>
            <w:noWrap/>
            <w:vAlign w:val="center"/>
            <w:hideMark/>
          </w:tcPr>
          <w:p w14:paraId="7571CD8A"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Discarded</w:t>
            </w:r>
          </w:p>
        </w:tc>
        <w:tc>
          <w:tcPr>
            <w:tcW w:w="1736" w:type="dxa"/>
            <w:tcBorders>
              <w:top w:val="nil"/>
              <w:left w:val="nil"/>
              <w:bottom w:val="nil"/>
              <w:right w:val="nil"/>
            </w:tcBorders>
            <w:vAlign w:val="center"/>
            <w:hideMark/>
          </w:tcPr>
          <w:p w14:paraId="29E7102F"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Numbers &amp; Algebra</w:t>
            </w:r>
          </w:p>
        </w:tc>
        <w:tc>
          <w:tcPr>
            <w:tcW w:w="2776" w:type="dxa"/>
            <w:tcBorders>
              <w:top w:val="nil"/>
              <w:left w:val="nil"/>
              <w:bottom w:val="nil"/>
              <w:right w:val="nil"/>
            </w:tcBorders>
            <w:vAlign w:val="center"/>
            <w:hideMark/>
          </w:tcPr>
          <w:p w14:paraId="2064A807"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Negative Discrimination. Flawed/Confusing.</w:t>
            </w:r>
          </w:p>
        </w:tc>
        <w:tc>
          <w:tcPr>
            <w:tcW w:w="960" w:type="dxa"/>
            <w:tcBorders>
              <w:top w:val="nil"/>
              <w:left w:val="nil"/>
              <w:bottom w:val="nil"/>
              <w:right w:val="nil"/>
            </w:tcBorders>
            <w:noWrap/>
            <w:vAlign w:val="center"/>
            <w:hideMark/>
          </w:tcPr>
          <w:p w14:paraId="508EDCE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-0.0451</w:t>
            </w:r>
          </w:p>
        </w:tc>
      </w:tr>
      <w:tr w:rsidR="00510E80" w:rsidRPr="00CA414D" w14:paraId="371D4749" w14:textId="77777777" w:rsidTr="00C010D0">
        <w:trPr>
          <w:trHeight w:val="600"/>
        </w:trPr>
        <w:tc>
          <w:tcPr>
            <w:tcW w:w="1080" w:type="dxa"/>
            <w:tcBorders>
              <w:top w:val="nil"/>
              <w:left w:val="nil"/>
              <w:bottom w:val="nil"/>
              <w:right w:val="nil"/>
            </w:tcBorders>
            <w:noWrap/>
            <w:vAlign w:val="center"/>
            <w:hideMark/>
          </w:tcPr>
          <w:p w14:paraId="0313B14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17 - 20</w:t>
            </w:r>
          </w:p>
        </w:tc>
        <w:tc>
          <w:tcPr>
            <w:tcW w:w="1080" w:type="dxa"/>
            <w:tcBorders>
              <w:top w:val="nil"/>
              <w:left w:val="nil"/>
              <w:bottom w:val="nil"/>
              <w:right w:val="nil"/>
            </w:tcBorders>
            <w:noWrap/>
            <w:vAlign w:val="center"/>
            <w:hideMark/>
          </w:tcPr>
          <w:p w14:paraId="2585744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16 - 19</w:t>
            </w:r>
          </w:p>
        </w:tc>
        <w:tc>
          <w:tcPr>
            <w:tcW w:w="1080" w:type="dxa"/>
            <w:tcBorders>
              <w:top w:val="nil"/>
              <w:left w:val="nil"/>
              <w:bottom w:val="nil"/>
              <w:right w:val="nil"/>
            </w:tcBorders>
            <w:noWrap/>
            <w:vAlign w:val="center"/>
            <w:hideMark/>
          </w:tcPr>
          <w:p w14:paraId="0BCA55B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w:t>
            </w:r>
          </w:p>
        </w:tc>
        <w:tc>
          <w:tcPr>
            <w:tcW w:w="1736" w:type="dxa"/>
            <w:tcBorders>
              <w:top w:val="nil"/>
              <w:left w:val="nil"/>
              <w:bottom w:val="nil"/>
              <w:right w:val="nil"/>
            </w:tcBorders>
            <w:vAlign w:val="center"/>
            <w:hideMark/>
          </w:tcPr>
          <w:p w14:paraId="6C47CF8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Numbers &amp; Algebra</w:t>
            </w:r>
          </w:p>
        </w:tc>
        <w:tc>
          <w:tcPr>
            <w:tcW w:w="2776" w:type="dxa"/>
            <w:tcBorders>
              <w:top w:val="nil"/>
              <w:left w:val="nil"/>
              <w:bottom w:val="nil"/>
              <w:right w:val="nil"/>
            </w:tcBorders>
            <w:vAlign w:val="center"/>
            <w:hideMark/>
          </w:tcPr>
          <w:p w14:paraId="19F18421"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High diagnostic value and consistency.</w:t>
            </w:r>
          </w:p>
        </w:tc>
        <w:tc>
          <w:tcPr>
            <w:tcW w:w="960" w:type="dxa"/>
            <w:tcBorders>
              <w:top w:val="nil"/>
              <w:left w:val="nil"/>
              <w:bottom w:val="nil"/>
              <w:right w:val="nil"/>
            </w:tcBorders>
            <w:noWrap/>
            <w:vAlign w:val="center"/>
            <w:hideMark/>
          </w:tcPr>
          <w:p w14:paraId="616692D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&gt;0.30</w:t>
            </w:r>
          </w:p>
        </w:tc>
      </w:tr>
      <w:tr w:rsidR="00510E80" w:rsidRPr="00CA414D" w14:paraId="247DB20F" w14:textId="77777777" w:rsidTr="00C010D0">
        <w:trPr>
          <w:trHeight w:val="600"/>
        </w:trPr>
        <w:tc>
          <w:tcPr>
            <w:tcW w:w="1080" w:type="dxa"/>
            <w:tcBorders>
              <w:top w:val="nil"/>
              <w:left w:val="nil"/>
              <w:bottom w:val="nil"/>
              <w:right w:val="nil"/>
            </w:tcBorders>
            <w:noWrap/>
            <w:vAlign w:val="center"/>
            <w:hideMark/>
          </w:tcPr>
          <w:p w14:paraId="79447FED"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21 - 25</w:t>
            </w:r>
          </w:p>
        </w:tc>
        <w:tc>
          <w:tcPr>
            <w:tcW w:w="1080" w:type="dxa"/>
            <w:tcBorders>
              <w:top w:val="nil"/>
              <w:left w:val="nil"/>
              <w:bottom w:val="nil"/>
              <w:right w:val="nil"/>
            </w:tcBorders>
            <w:noWrap/>
            <w:vAlign w:val="center"/>
            <w:hideMark/>
          </w:tcPr>
          <w:p w14:paraId="53ECA114"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20 - 24</w:t>
            </w:r>
          </w:p>
        </w:tc>
        <w:tc>
          <w:tcPr>
            <w:tcW w:w="1080" w:type="dxa"/>
            <w:tcBorders>
              <w:top w:val="nil"/>
              <w:left w:val="nil"/>
              <w:bottom w:val="nil"/>
              <w:right w:val="nil"/>
            </w:tcBorders>
            <w:noWrap/>
            <w:vAlign w:val="center"/>
            <w:hideMark/>
          </w:tcPr>
          <w:p w14:paraId="37EC7161"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Retained/Rehab</w:t>
            </w:r>
          </w:p>
        </w:tc>
        <w:tc>
          <w:tcPr>
            <w:tcW w:w="1736" w:type="dxa"/>
            <w:tcBorders>
              <w:top w:val="nil"/>
              <w:left w:val="nil"/>
              <w:bottom w:val="nil"/>
              <w:right w:val="nil"/>
            </w:tcBorders>
            <w:vAlign w:val="center"/>
            <w:hideMark/>
          </w:tcPr>
          <w:p w14:paraId="04C66C6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Measures &amp; Geometry</w:t>
            </w:r>
          </w:p>
        </w:tc>
        <w:tc>
          <w:tcPr>
            <w:tcW w:w="2776" w:type="dxa"/>
            <w:tcBorders>
              <w:top w:val="nil"/>
              <w:left w:val="nil"/>
              <w:bottom w:val="nil"/>
              <w:right w:val="nil"/>
            </w:tcBorders>
            <w:vAlign w:val="center"/>
            <w:hideMark/>
          </w:tcPr>
          <w:p w14:paraId="4B39A74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Sufficient internal consistency.</w:t>
            </w:r>
          </w:p>
        </w:tc>
        <w:tc>
          <w:tcPr>
            <w:tcW w:w="960" w:type="dxa"/>
            <w:tcBorders>
              <w:top w:val="nil"/>
              <w:left w:val="nil"/>
              <w:bottom w:val="nil"/>
              <w:right w:val="nil"/>
            </w:tcBorders>
            <w:noWrap/>
            <w:vAlign w:val="center"/>
            <w:hideMark/>
          </w:tcPr>
          <w:p w14:paraId="7DD30BE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&gt;0.15</w:t>
            </w:r>
          </w:p>
        </w:tc>
      </w:tr>
      <w:tr w:rsidR="00510E80" w:rsidRPr="00CA414D" w14:paraId="008AF5E6" w14:textId="77777777" w:rsidTr="00C010D0">
        <w:trPr>
          <w:trHeight w:val="600"/>
        </w:trPr>
        <w:tc>
          <w:tcPr>
            <w:tcW w:w="1080" w:type="dxa"/>
            <w:tcBorders>
              <w:top w:val="nil"/>
              <w:left w:val="nil"/>
              <w:bottom w:val="nil"/>
              <w:right w:val="nil"/>
            </w:tcBorders>
            <w:noWrap/>
            <w:vAlign w:val="center"/>
            <w:hideMark/>
          </w:tcPr>
          <w:p w14:paraId="0524A20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26</w:t>
            </w:r>
          </w:p>
        </w:tc>
        <w:tc>
          <w:tcPr>
            <w:tcW w:w="1080" w:type="dxa"/>
            <w:tcBorders>
              <w:top w:val="nil"/>
              <w:left w:val="nil"/>
              <w:bottom w:val="nil"/>
              <w:right w:val="nil"/>
            </w:tcBorders>
            <w:noWrap/>
            <w:vAlign w:val="center"/>
            <w:hideMark/>
          </w:tcPr>
          <w:p w14:paraId="696878F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w:t>
            </w:r>
          </w:p>
        </w:tc>
        <w:tc>
          <w:tcPr>
            <w:tcW w:w="1080" w:type="dxa"/>
            <w:tcBorders>
              <w:top w:val="nil"/>
              <w:left w:val="nil"/>
              <w:bottom w:val="nil"/>
              <w:right w:val="nil"/>
            </w:tcBorders>
            <w:noWrap/>
            <w:vAlign w:val="center"/>
            <w:hideMark/>
          </w:tcPr>
          <w:p w14:paraId="67F5DC85"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Discarded</w:t>
            </w:r>
          </w:p>
        </w:tc>
        <w:tc>
          <w:tcPr>
            <w:tcW w:w="1736" w:type="dxa"/>
            <w:tcBorders>
              <w:top w:val="nil"/>
              <w:left w:val="nil"/>
              <w:bottom w:val="nil"/>
              <w:right w:val="nil"/>
            </w:tcBorders>
            <w:vAlign w:val="center"/>
            <w:hideMark/>
          </w:tcPr>
          <w:p w14:paraId="5E19C204"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Measures &amp; Geometry</w:t>
            </w:r>
          </w:p>
        </w:tc>
        <w:tc>
          <w:tcPr>
            <w:tcW w:w="2776" w:type="dxa"/>
            <w:tcBorders>
              <w:top w:val="nil"/>
              <w:left w:val="nil"/>
              <w:bottom w:val="nil"/>
              <w:right w:val="nil"/>
            </w:tcBorders>
            <w:vAlign w:val="center"/>
            <w:hideMark/>
          </w:tcPr>
          <w:p w14:paraId="1D34FC4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Very Poor Discrimination. Dead weight.</w:t>
            </w:r>
          </w:p>
        </w:tc>
        <w:tc>
          <w:tcPr>
            <w:tcW w:w="960" w:type="dxa"/>
            <w:tcBorders>
              <w:top w:val="nil"/>
              <w:left w:val="nil"/>
              <w:bottom w:val="nil"/>
              <w:right w:val="nil"/>
            </w:tcBorders>
            <w:noWrap/>
            <w:vAlign w:val="center"/>
            <w:hideMark/>
          </w:tcPr>
          <w:p w14:paraId="14BF0E0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0.0652</w:t>
            </w:r>
          </w:p>
        </w:tc>
      </w:tr>
      <w:tr w:rsidR="00510E80" w:rsidRPr="00CA414D" w14:paraId="426DDF93" w14:textId="77777777" w:rsidTr="00C010D0">
        <w:trPr>
          <w:trHeight w:val="600"/>
        </w:trPr>
        <w:tc>
          <w:tcPr>
            <w:tcW w:w="1080" w:type="dxa"/>
            <w:tcBorders>
              <w:top w:val="nil"/>
              <w:left w:val="nil"/>
              <w:bottom w:val="nil"/>
              <w:right w:val="nil"/>
            </w:tcBorders>
            <w:noWrap/>
            <w:vAlign w:val="center"/>
            <w:hideMark/>
          </w:tcPr>
          <w:p w14:paraId="6E081E9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27 - 28</w:t>
            </w:r>
          </w:p>
        </w:tc>
        <w:tc>
          <w:tcPr>
            <w:tcW w:w="1080" w:type="dxa"/>
            <w:tcBorders>
              <w:top w:val="nil"/>
              <w:left w:val="nil"/>
              <w:bottom w:val="nil"/>
              <w:right w:val="nil"/>
            </w:tcBorders>
            <w:noWrap/>
            <w:vAlign w:val="center"/>
            <w:hideMark/>
          </w:tcPr>
          <w:p w14:paraId="488B77BA"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25 - 26</w:t>
            </w:r>
          </w:p>
        </w:tc>
        <w:tc>
          <w:tcPr>
            <w:tcW w:w="1080" w:type="dxa"/>
            <w:tcBorders>
              <w:top w:val="nil"/>
              <w:left w:val="nil"/>
              <w:bottom w:val="nil"/>
              <w:right w:val="nil"/>
            </w:tcBorders>
            <w:noWrap/>
            <w:vAlign w:val="center"/>
            <w:hideMark/>
          </w:tcPr>
          <w:p w14:paraId="297D085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w:t>
            </w:r>
          </w:p>
        </w:tc>
        <w:tc>
          <w:tcPr>
            <w:tcW w:w="1736" w:type="dxa"/>
            <w:tcBorders>
              <w:top w:val="nil"/>
              <w:left w:val="nil"/>
              <w:bottom w:val="nil"/>
              <w:right w:val="nil"/>
            </w:tcBorders>
            <w:vAlign w:val="center"/>
            <w:hideMark/>
          </w:tcPr>
          <w:p w14:paraId="3CB5CF6B"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Measures &amp; Geometry</w:t>
            </w:r>
          </w:p>
        </w:tc>
        <w:tc>
          <w:tcPr>
            <w:tcW w:w="2776" w:type="dxa"/>
            <w:tcBorders>
              <w:top w:val="nil"/>
              <w:left w:val="nil"/>
              <w:bottom w:val="nil"/>
              <w:right w:val="nil"/>
            </w:tcBorders>
            <w:vAlign w:val="center"/>
            <w:hideMark/>
          </w:tcPr>
          <w:p w14:paraId="25E2FF3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Strong alignment with domain skills.</w:t>
            </w:r>
          </w:p>
        </w:tc>
        <w:tc>
          <w:tcPr>
            <w:tcW w:w="960" w:type="dxa"/>
            <w:tcBorders>
              <w:top w:val="nil"/>
              <w:left w:val="nil"/>
              <w:bottom w:val="nil"/>
              <w:right w:val="nil"/>
            </w:tcBorders>
            <w:noWrap/>
            <w:vAlign w:val="center"/>
            <w:hideMark/>
          </w:tcPr>
          <w:p w14:paraId="10665F97"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&gt;0.30</w:t>
            </w:r>
          </w:p>
        </w:tc>
      </w:tr>
      <w:tr w:rsidR="00510E80" w:rsidRPr="00CA414D" w14:paraId="3AA25FEC" w14:textId="77777777" w:rsidTr="00C010D0">
        <w:trPr>
          <w:trHeight w:val="600"/>
        </w:trPr>
        <w:tc>
          <w:tcPr>
            <w:tcW w:w="1080" w:type="dxa"/>
            <w:tcBorders>
              <w:top w:val="nil"/>
              <w:left w:val="nil"/>
              <w:bottom w:val="nil"/>
              <w:right w:val="nil"/>
            </w:tcBorders>
            <w:noWrap/>
            <w:vAlign w:val="center"/>
            <w:hideMark/>
          </w:tcPr>
          <w:p w14:paraId="0C26DB54"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lastRenderedPageBreak/>
              <w:t>29 - 30</w:t>
            </w:r>
          </w:p>
        </w:tc>
        <w:tc>
          <w:tcPr>
            <w:tcW w:w="1080" w:type="dxa"/>
            <w:tcBorders>
              <w:top w:val="nil"/>
              <w:left w:val="nil"/>
              <w:bottom w:val="nil"/>
              <w:right w:val="nil"/>
            </w:tcBorders>
            <w:noWrap/>
            <w:vAlign w:val="center"/>
            <w:hideMark/>
          </w:tcPr>
          <w:p w14:paraId="49B8DF9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27 - 28</w:t>
            </w:r>
          </w:p>
        </w:tc>
        <w:tc>
          <w:tcPr>
            <w:tcW w:w="1080" w:type="dxa"/>
            <w:tcBorders>
              <w:top w:val="nil"/>
              <w:left w:val="nil"/>
              <w:bottom w:val="nil"/>
              <w:right w:val="nil"/>
            </w:tcBorders>
            <w:noWrap/>
            <w:vAlign w:val="center"/>
            <w:hideMark/>
          </w:tcPr>
          <w:p w14:paraId="54664E90"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w:t>
            </w:r>
          </w:p>
        </w:tc>
        <w:tc>
          <w:tcPr>
            <w:tcW w:w="1736" w:type="dxa"/>
            <w:tcBorders>
              <w:top w:val="nil"/>
              <w:left w:val="nil"/>
              <w:bottom w:val="nil"/>
              <w:right w:val="nil"/>
            </w:tcBorders>
            <w:vAlign w:val="center"/>
            <w:hideMark/>
          </w:tcPr>
          <w:p w14:paraId="73E0D8AE"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Data &amp; Probability</w:t>
            </w:r>
          </w:p>
        </w:tc>
        <w:tc>
          <w:tcPr>
            <w:tcW w:w="2776" w:type="dxa"/>
            <w:tcBorders>
              <w:top w:val="nil"/>
              <w:left w:val="nil"/>
              <w:bottom w:val="nil"/>
              <w:right w:val="nil"/>
            </w:tcBorders>
            <w:vAlign w:val="center"/>
            <w:hideMark/>
          </w:tcPr>
          <w:p w14:paraId="13E57A6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Acceptable psychometric performance.</w:t>
            </w:r>
          </w:p>
        </w:tc>
        <w:tc>
          <w:tcPr>
            <w:tcW w:w="960" w:type="dxa"/>
            <w:tcBorders>
              <w:top w:val="nil"/>
              <w:left w:val="nil"/>
              <w:bottom w:val="nil"/>
              <w:right w:val="nil"/>
            </w:tcBorders>
            <w:noWrap/>
            <w:vAlign w:val="center"/>
            <w:hideMark/>
          </w:tcPr>
          <w:p w14:paraId="6595B08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&gt;0.25</w:t>
            </w:r>
          </w:p>
        </w:tc>
      </w:tr>
      <w:tr w:rsidR="00510E80" w:rsidRPr="00CA414D" w14:paraId="7FA635D6" w14:textId="77777777" w:rsidTr="00C010D0">
        <w:trPr>
          <w:trHeight w:val="600"/>
        </w:trPr>
        <w:tc>
          <w:tcPr>
            <w:tcW w:w="1080" w:type="dxa"/>
            <w:tcBorders>
              <w:top w:val="nil"/>
              <w:left w:val="nil"/>
              <w:bottom w:val="nil"/>
              <w:right w:val="nil"/>
            </w:tcBorders>
            <w:noWrap/>
            <w:vAlign w:val="center"/>
            <w:hideMark/>
          </w:tcPr>
          <w:p w14:paraId="0246A6A6"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31</w:t>
            </w:r>
          </w:p>
        </w:tc>
        <w:tc>
          <w:tcPr>
            <w:tcW w:w="1080" w:type="dxa"/>
            <w:tcBorders>
              <w:top w:val="nil"/>
              <w:left w:val="nil"/>
              <w:bottom w:val="nil"/>
              <w:right w:val="nil"/>
            </w:tcBorders>
            <w:noWrap/>
            <w:vAlign w:val="center"/>
            <w:hideMark/>
          </w:tcPr>
          <w:p w14:paraId="6B73CD7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w:t>
            </w:r>
          </w:p>
        </w:tc>
        <w:tc>
          <w:tcPr>
            <w:tcW w:w="1080" w:type="dxa"/>
            <w:tcBorders>
              <w:top w:val="nil"/>
              <w:left w:val="nil"/>
              <w:bottom w:val="nil"/>
              <w:right w:val="nil"/>
            </w:tcBorders>
            <w:noWrap/>
            <w:vAlign w:val="center"/>
            <w:hideMark/>
          </w:tcPr>
          <w:p w14:paraId="549E8A60"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Discarded</w:t>
            </w:r>
          </w:p>
        </w:tc>
        <w:tc>
          <w:tcPr>
            <w:tcW w:w="1736" w:type="dxa"/>
            <w:tcBorders>
              <w:top w:val="nil"/>
              <w:left w:val="nil"/>
              <w:bottom w:val="nil"/>
              <w:right w:val="nil"/>
            </w:tcBorders>
            <w:vAlign w:val="center"/>
            <w:hideMark/>
          </w:tcPr>
          <w:p w14:paraId="612F798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Data &amp; Probability</w:t>
            </w:r>
          </w:p>
        </w:tc>
        <w:tc>
          <w:tcPr>
            <w:tcW w:w="2776" w:type="dxa"/>
            <w:tcBorders>
              <w:top w:val="nil"/>
              <w:left w:val="nil"/>
              <w:bottom w:val="nil"/>
              <w:right w:val="nil"/>
            </w:tcBorders>
            <w:vAlign w:val="center"/>
            <w:hideMark/>
          </w:tcPr>
          <w:p w14:paraId="755675DA"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Poor Discrimination. Weak correlation.</w:t>
            </w:r>
          </w:p>
        </w:tc>
        <w:tc>
          <w:tcPr>
            <w:tcW w:w="960" w:type="dxa"/>
            <w:tcBorders>
              <w:top w:val="nil"/>
              <w:left w:val="nil"/>
              <w:bottom w:val="nil"/>
              <w:right w:val="nil"/>
            </w:tcBorders>
            <w:noWrap/>
            <w:vAlign w:val="center"/>
            <w:hideMark/>
          </w:tcPr>
          <w:p w14:paraId="10F41A6B"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0.1481</w:t>
            </w:r>
          </w:p>
        </w:tc>
      </w:tr>
      <w:tr w:rsidR="00510E80" w:rsidRPr="00CA414D" w14:paraId="6B4B83E7" w14:textId="77777777" w:rsidTr="00C010D0">
        <w:trPr>
          <w:trHeight w:val="300"/>
        </w:trPr>
        <w:tc>
          <w:tcPr>
            <w:tcW w:w="1080" w:type="dxa"/>
            <w:tcBorders>
              <w:top w:val="nil"/>
              <w:left w:val="nil"/>
              <w:bottom w:val="nil"/>
              <w:right w:val="nil"/>
            </w:tcBorders>
            <w:noWrap/>
            <w:vAlign w:val="center"/>
            <w:hideMark/>
          </w:tcPr>
          <w:p w14:paraId="266C5113"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32 - 33</w:t>
            </w:r>
          </w:p>
        </w:tc>
        <w:tc>
          <w:tcPr>
            <w:tcW w:w="1080" w:type="dxa"/>
            <w:tcBorders>
              <w:top w:val="nil"/>
              <w:left w:val="nil"/>
              <w:bottom w:val="nil"/>
              <w:right w:val="nil"/>
            </w:tcBorders>
            <w:noWrap/>
            <w:vAlign w:val="center"/>
            <w:hideMark/>
          </w:tcPr>
          <w:p w14:paraId="246F02F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29 - 30</w:t>
            </w:r>
          </w:p>
        </w:tc>
        <w:tc>
          <w:tcPr>
            <w:tcW w:w="1080" w:type="dxa"/>
            <w:tcBorders>
              <w:top w:val="nil"/>
              <w:left w:val="nil"/>
              <w:bottom w:val="nil"/>
              <w:right w:val="nil"/>
            </w:tcBorders>
            <w:noWrap/>
            <w:vAlign w:val="center"/>
            <w:hideMark/>
          </w:tcPr>
          <w:p w14:paraId="51D1BF5B"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Retained</w:t>
            </w:r>
          </w:p>
        </w:tc>
        <w:tc>
          <w:tcPr>
            <w:tcW w:w="1736" w:type="dxa"/>
            <w:tcBorders>
              <w:top w:val="nil"/>
              <w:left w:val="nil"/>
              <w:bottom w:val="nil"/>
              <w:right w:val="nil"/>
            </w:tcBorders>
            <w:vAlign w:val="center"/>
            <w:hideMark/>
          </w:tcPr>
          <w:p w14:paraId="76A6E909"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Data &amp; Probability</w:t>
            </w:r>
          </w:p>
        </w:tc>
        <w:tc>
          <w:tcPr>
            <w:tcW w:w="2776" w:type="dxa"/>
            <w:tcBorders>
              <w:top w:val="nil"/>
              <w:left w:val="nil"/>
              <w:bottom w:val="nil"/>
              <w:right w:val="nil"/>
            </w:tcBorders>
            <w:vAlign w:val="center"/>
            <w:hideMark/>
          </w:tcPr>
          <w:p w14:paraId="7C46FC72"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High diagnostic contribution.</w:t>
            </w:r>
          </w:p>
        </w:tc>
        <w:tc>
          <w:tcPr>
            <w:tcW w:w="960" w:type="dxa"/>
            <w:tcBorders>
              <w:top w:val="nil"/>
              <w:left w:val="nil"/>
              <w:bottom w:val="nil"/>
              <w:right w:val="nil"/>
            </w:tcBorders>
            <w:noWrap/>
            <w:vAlign w:val="center"/>
            <w:hideMark/>
          </w:tcPr>
          <w:p w14:paraId="4A4F9D1F"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0.3542</w:t>
            </w:r>
          </w:p>
        </w:tc>
      </w:tr>
      <w:tr w:rsidR="00510E80" w:rsidRPr="00CA414D" w14:paraId="52810FBB" w14:textId="77777777" w:rsidTr="00C010D0">
        <w:trPr>
          <w:trHeight w:val="615"/>
        </w:trPr>
        <w:tc>
          <w:tcPr>
            <w:tcW w:w="1080" w:type="dxa"/>
            <w:tcBorders>
              <w:top w:val="nil"/>
              <w:left w:val="nil"/>
              <w:bottom w:val="single" w:sz="8" w:space="0" w:color="auto"/>
              <w:right w:val="nil"/>
            </w:tcBorders>
            <w:noWrap/>
            <w:vAlign w:val="center"/>
            <w:hideMark/>
          </w:tcPr>
          <w:p w14:paraId="4B10265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34 - 35</w:t>
            </w:r>
          </w:p>
        </w:tc>
        <w:tc>
          <w:tcPr>
            <w:tcW w:w="1080" w:type="dxa"/>
            <w:tcBorders>
              <w:top w:val="nil"/>
              <w:left w:val="nil"/>
              <w:bottom w:val="single" w:sz="8" w:space="0" w:color="auto"/>
              <w:right w:val="nil"/>
            </w:tcBorders>
            <w:noWrap/>
            <w:vAlign w:val="center"/>
            <w:hideMark/>
          </w:tcPr>
          <w:p w14:paraId="459C7190"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w:t>
            </w:r>
          </w:p>
        </w:tc>
        <w:tc>
          <w:tcPr>
            <w:tcW w:w="1080" w:type="dxa"/>
            <w:tcBorders>
              <w:top w:val="nil"/>
              <w:left w:val="nil"/>
              <w:bottom w:val="single" w:sz="8" w:space="0" w:color="auto"/>
              <w:right w:val="nil"/>
            </w:tcBorders>
            <w:noWrap/>
            <w:vAlign w:val="center"/>
            <w:hideMark/>
          </w:tcPr>
          <w:p w14:paraId="1DBD687F"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Discarded</w:t>
            </w:r>
          </w:p>
        </w:tc>
        <w:tc>
          <w:tcPr>
            <w:tcW w:w="1736" w:type="dxa"/>
            <w:tcBorders>
              <w:top w:val="nil"/>
              <w:left w:val="nil"/>
              <w:bottom w:val="single" w:sz="8" w:space="0" w:color="auto"/>
              <w:right w:val="nil"/>
            </w:tcBorders>
            <w:vAlign w:val="center"/>
            <w:hideMark/>
          </w:tcPr>
          <w:p w14:paraId="065E990C"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Data &amp; Probability</w:t>
            </w:r>
          </w:p>
        </w:tc>
        <w:tc>
          <w:tcPr>
            <w:tcW w:w="2776" w:type="dxa"/>
            <w:tcBorders>
              <w:top w:val="nil"/>
              <w:left w:val="nil"/>
              <w:bottom w:val="single" w:sz="8" w:space="0" w:color="auto"/>
              <w:right w:val="nil"/>
            </w:tcBorders>
            <w:vAlign w:val="center"/>
            <w:hideMark/>
          </w:tcPr>
          <w:p w14:paraId="76220AB8"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Weak Consistency. Removed for domain quota.</w:t>
            </w:r>
          </w:p>
        </w:tc>
        <w:tc>
          <w:tcPr>
            <w:tcW w:w="960" w:type="dxa"/>
            <w:tcBorders>
              <w:top w:val="nil"/>
              <w:left w:val="nil"/>
              <w:bottom w:val="single" w:sz="8" w:space="0" w:color="auto"/>
              <w:right w:val="nil"/>
            </w:tcBorders>
            <w:noWrap/>
            <w:vAlign w:val="center"/>
            <w:hideMark/>
          </w:tcPr>
          <w:p w14:paraId="130218E0" w14:textId="77777777" w:rsidR="00510E80" w:rsidRPr="00CA414D" w:rsidRDefault="00510E80" w:rsidP="00C010D0">
            <w:pPr>
              <w:spacing w:after="0" w:line="240" w:lineRule="auto"/>
              <w:jc w:val="center"/>
              <w:rPr>
                <w:rFonts w:ascii="Aptos Narrow" w:eastAsia="Times New Roman" w:hAnsi="Aptos Narrow" w:cs="Times New Roman"/>
                <w:color w:val="000000"/>
                <w:kern w:val="0"/>
                <w:sz w:val="22"/>
                <w:szCs w:val="22"/>
                <w14:ligatures w14:val="none"/>
              </w:rPr>
            </w:pPr>
            <w:r w:rsidRPr="00CA414D">
              <w:rPr>
                <w:rFonts w:ascii="Aptos Narrow" w:eastAsia="Times New Roman" w:hAnsi="Aptos Narrow" w:cs="Times New Roman"/>
                <w:color w:val="000000"/>
                <w:kern w:val="0"/>
                <w:sz w:val="22"/>
                <w:szCs w:val="22"/>
                <w14:ligatures w14:val="none"/>
              </w:rPr>
              <w:t>0.2146</w:t>
            </w:r>
          </w:p>
        </w:tc>
      </w:tr>
    </w:tbl>
    <w:p w14:paraId="3C456847" w14:textId="77777777" w:rsidR="00510E80" w:rsidRDefault="00510E80" w:rsidP="00510E80">
      <w:pPr>
        <w:pStyle w:val="NormalWeb"/>
        <w:spacing w:before="0" w:beforeAutospacing="0" w:after="0" w:afterAutospacing="0" w:line="276" w:lineRule="auto"/>
        <w:jc w:val="both"/>
        <w:rPr>
          <w:rFonts w:ascii="Arial" w:hAnsi="Arial" w:cs="Arial"/>
          <w:i/>
          <w:iCs/>
        </w:rPr>
      </w:pPr>
    </w:p>
    <w:p w14:paraId="17096EF5" w14:textId="5D54EEA2" w:rsidR="00510E80" w:rsidRPr="00CB4787" w:rsidRDefault="00510E80" w:rsidP="00CB4787">
      <w:pPr>
        <w:pStyle w:val="NormalWeb"/>
        <w:spacing w:beforeLines="240" w:before="576" w:beforeAutospacing="0" w:after="240" w:afterAutospacing="0"/>
        <w:jc w:val="both"/>
        <w:rPr>
          <w:i/>
          <w:iCs/>
        </w:rPr>
      </w:pPr>
      <w:r w:rsidRPr="00CB4787">
        <w:rPr>
          <w:b/>
          <w:bCs/>
          <w:i/>
          <w:iCs/>
        </w:rPr>
        <w:t>Note:</w:t>
      </w:r>
      <w:r w:rsidRPr="00CB4787">
        <w:rPr>
          <w:i/>
          <w:iCs/>
        </w:rPr>
        <w:t xml:space="preserve"> Summary of item selection and exclusion. Five items (16, 26, 31, 34, 35) were discarded based on point-biserial correlation and discrimination indices. Distractor rehabilitation was applied to marginal items to achieve the finalized 30-item scale.</w:t>
      </w:r>
    </w:p>
    <w:p w14:paraId="5FF273A9" w14:textId="77777777" w:rsidR="00510E80" w:rsidRPr="00CB4787" w:rsidRDefault="00510E80" w:rsidP="00CB4787">
      <w:pPr>
        <w:pStyle w:val="NormalWeb"/>
        <w:spacing w:beforeLines="240" w:before="576" w:beforeAutospacing="0" w:after="240" w:afterAutospacing="0"/>
        <w:jc w:val="both"/>
        <w:rPr>
          <w:b/>
          <w:bCs/>
          <w:lang w:val="en-PH"/>
        </w:rPr>
      </w:pPr>
      <w:r w:rsidRPr="00CB4787">
        <w:rPr>
          <w:b/>
          <w:bCs/>
          <w:lang w:val="en-PH"/>
        </w:rPr>
        <w:t>Reliability of the 30 Item Contextualized Numeracy Test</w:t>
      </w:r>
    </w:p>
    <w:p w14:paraId="458C0075" w14:textId="051090AD" w:rsidR="00510E80" w:rsidRPr="00CB4787" w:rsidRDefault="00510E80" w:rsidP="00CB4787">
      <w:pPr>
        <w:pStyle w:val="NormalWeb"/>
        <w:spacing w:beforeLines="240" w:before="576" w:beforeAutospacing="0" w:after="240" w:afterAutospacing="0"/>
        <w:ind w:firstLine="720"/>
        <w:jc w:val="both"/>
      </w:pPr>
      <w:r w:rsidRPr="00CB4787">
        <w:t xml:space="preserve">The researcher established the internal consistency of the Contextualized Numeracy Test (CNT) as the final stage of its development. To ensure the instrument produces stable and consistent results, the researcher computed reliability measurements based on the performance of the 307 pilot test </w:t>
      </w:r>
      <w:proofErr w:type="spellStart"/>
      <w:proofErr w:type="gramStart"/>
      <w:r w:rsidRPr="00CB4787">
        <w:t>respondents.As</w:t>
      </w:r>
      <w:proofErr w:type="spellEnd"/>
      <w:proofErr w:type="gramEnd"/>
      <w:r w:rsidRPr="00CB4787">
        <w:t xml:space="preserve"> presented in Table 12, the statistical analysis confirms the High Reliability of the refined 30-item instrument. The researcher obtained a Kuder-Richardson Formula 20 (KR-20) value of 0.7138 and a Cronbach’s Coefficient Alpha of 0.7128. Both coefficients exceed the generally accepted threshold of 0.70 for teacher-made diagnostic tests. These results indicate that the researcher successfully developed an instrument where the items are internally consistent and reliable for assessing foundational numeracy.</w:t>
      </w:r>
    </w:p>
    <w:p w14:paraId="34D5DC14" w14:textId="63A326B3" w:rsidR="00510E80" w:rsidRPr="00CB4787" w:rsidRDefault="00510E80" w:rsidP="00CB4787">
      <w:pPr>
        <w:pStyle w:val="NormalWeb"/>
        <w:spacing w:beforeLines="240" w:before="576" w:beforeAutospacing="0" w:after="240" w:afterAutospacing="0"/>
        <w:ind w:firstLine="720"/>
        <w:jc w:val="both"/>
      </w:pPr>
      <w:r w:rsidRPr="00CB4787">
        <w:t>Furthermore, the researcher analyzed the central tendency of the scores to describe the test’s performance. The researcher recorded a Mean score of 17.65 and a Standard Deviation of 4.87. These figures suggest a normal distribution of scores, confirming that the test successfully captured a wide range of learner proficiencies without being skewed toward extreme ease or difficulty.</w:t>
      </w:r>
      <w:r w:rsidR="00CB4787">
        <w:t xml:space="preserve"> </w:t>
      </w:r>
      <w:r w:rsidRPr="00CB4787">
        <w:t>Ultimately, the researcher validated the CNT through a combination of a high Content Validity Index (CVI = 1.00), favorable difficulty and discrimination indices, and a strong reliability coefficient. These findings confirm that the Contextualized Numeracy Test is a valid, reliable, and technically sound diagnostic tool for Grade 7 learners.</w:t>
      </w:r>
    </w:p>
    <w:p w14:paraId="2F7702CC" w14:textId="77777777" w:rsidR="00510E80" w:rsidRPr="00CB4787" w:rsidRDefault="00510E80" w:rsidP="00CB4787">
      <w:pPr>
        <w:pStyle w:val="NormalWeb"/>
        <w:spacing w:beforeLines="240" w:before="576" w:beforeAutospacing="0" w:after="240" w:afterAutospacing="0"/>
        <w:jc w:val="both"/>
      </w:pPr>
      <w:r w:rsidRPr="00CB4787">
        <w:rPr>
          <w:b/>
          <w:bCs/>
        </w:rPr>
        <w:t>Table 12:</w:t>
      </w:r>
    </w:p>
    <w:p w14:paraId="03B32427" w14:textId="77777777" w:rsidR="00510E80" w:rsidRPr="00CB4787" w:rsidRDefault="00510E80" w:rsidP="00CB4787">
      <w:pPr>
        <w:pStyle w:val="NormalWeb"/>
        <w:spacing w:beforeLines="240" w:before="576" w:beforeAutospacing="0" w:after="240" w:afterAutospacing="0"/>
        <w:jc w:val="both"/>
        <w:rPr>
          <w:i/>
          <w:iCs/>
        </w:rPr>
      </w:pPr>
      <w:r w:rsidRPr="00CB4787">
        <w:rPr>
          <w:b/>
          <w:bCs/>
        </w:rPr>
        <w:t xml:space="preserve"> </w:t>
      </w:r>
      <w:r w:rsidRPr="00CB4787">
        <w:rPr>
          <w:i/>
          <w:iCs/>
        </w:rPr>
        <w:t>Reliability Coefficients and Central Tendency of Scores</w:t>
      </w:r>
    </w:p>
    <w:tbl>
      <w:tblPr>
        <w:tblW w:w="9072" w:type="dxa"/>
        <w:tblInd w:w="818" w:type="dxa"/>
        <w:tblBorders>
          <w:top w:val="single" w:sz="4" w:space="0" w:color="auto"/>
          <w:bottom w:val="single" w:sz="4" w:space="0" w:color="auto"/>
        </w:tblBorders>
        <w:tblLook w:val="04A0" w:firstRow="1" w:lastRow="0" w:firstColumn="1" w:lastColumn="0" w:noHBand="0" w:noVBand="1"/>
      </w:tblPr>
      <w:tblGrid>
        <w:gridCol w:w="1701"/>
        <w:gridCol w:w="1701"/>
        <w:gridCol w:w="3402"/>
        <w:gridCol w:w="1134"/>
        <w:gridCol w:w="1134"/>
      </w:tblGrid>
      <w:tr w:rsidR="00510E80" w:rsidRPr="0091620B" w14:paraId="3A744C7B" w14:textId="77777777" w:rsidTr="00CB4787">
        <w:trPr>
          <w:trHeight w:val="300"/>
        </w:trPr>
        <w:tc>
          <w:tcPr>
            <w:tcW w:w="3402" w:type="dxa"/>
            <w:gridSpan w:val="2"/>
            <w:tcBorders>
              <w:top w:val="single" w:sz="4" w:space="0" w:color="auto"/>
              <w:bottom w:val="single" w:sz="4" w:space="0" w:color="auto"/>
            </w:tcBorders>
            <w:noWrap/>
            <w:vAlign w:val="center"/>
            <w:hideMark/>
          </w:tcPr>
          <w:p w14:paraId="0A7EB00E" w14:textId="77777777" w:rsidR="00510E80" w:rsidRPr="0091620B" w:rsidRDefault="00510E80" w:rsidP="00C010D0">
            <w:pPr>
              <w:spacing w:after="0" w:line="240" w:lineRule="auto"/>
              <w:jc w:val="center"/>
              <w:rPr>
                <w:rFonts w:ascii="Arial" w:eastAsia="Times New Roman" w:hAnsi="Arial" w:cs="Arial"/>
                <w:b/>
                <w:bCs/>
                <w:color w:val="000000"/>
                <w:kern w:val="0"/>
                <w:sz w:val="22"/>
                <w:szCs w:val="22"/>
                <w:lang w:val="en-PH" w:eastAsia="en-PH"/>
                <w14:ligatures w14:val="none"/>
              </w:rPr>
            </w:pPr>
            <w:r w:rsidRPr="0091620B">
              <w:rPr>
                <w:rFonts w:ascii="Arial" w:eastAsia="Times New Roman" w:hAnsi="Arial" w:cs="Arial"/>
                <w:b/>
                <w:bCs/>
                <w:color w:val="000000"/>
                <w:kern w:val="0"/>
                <w:sz w:val="22"/>
                <w:szCs w:val="22"/>
                <w:lang w:val="en-PH" w:eastAsia="en-PH"/>
                <w14:ligatures w14:val="none"/>
              </w:rPr>
              <w:t>Central Tendency of Scores</w:t>
            </w:r>
          </w:p>
        </w:tc>
        <w:tc>
          <w:tcPr>
            <w:tcW w:w="5670" w:type="dxa"/>
            <w:gridSpan w:val="3"/>
            <w:tcBorders>
              <w:top w:val="single" w:sz="4" w:space="0" w:color="auto"/>
              <w:bottom w:val="single" w:sz="4" w:space="0" w:color="auto"/>
            </w:tcBorders>
            <w:noWrap/>
            <w:vAlign w:val="center"/>
            <w:hideMark/>
          </w:tcPr>
          <w:p w14:paraId="3934D24B" w14:textId="77777777" w:rsidR="00510E80" w:rsidRPr="0091620B" w:rsidRDefault="00510E80" w:rsidP="00C010D0">
            <w:pPr>
              <w:spacing w:after="0" w:line="240" w:lineRule="auto"/>
              <w:jc w:val="center"/>
              <w:rPr>
                <w:rFonts w:ascii="Arial" w:eastAsia="Times New Roman" w:hAnsi="Arial" w:cs="Arial"/>
                <w:b/>
                <w:bCs/>
                <w:color w:val="000000"/>
                <w:kern w:val="0"/>
                <w:sz w:val="22"/>
                <w:szCs w:val="22"/>
                <w:lang w:val="en-PH" w:eastAsia="en-PH"/>
                <w14:ligatures w14:val="none"/>
              </w:rPr>
            </w:pPr>
            <w:r w:rsidRPr="0091620B">
              <w:rPr>
                <w:rFonts w:ascii="Arial" w:eastAsia="Times New Roman" w:hAnsi="Arial" w:cs="Arial"/>
                <w:b/>
                <w:bCs/>
                <w:color w:val="000000"/>
                <w:kern w:val="0"/>
                <w:sz w:val="22"/>
                <w:szCs w:val="22"/>
                <w:lang w:val="en-PH" w:eastAsia="en-PH"/>
                <w14:ligatures w14:val="none"/>
              </w:rPr>
              <w:t>Test Reliability Measurements</w:t>
            </w:r>
          </w:p>
        </w:tc>
      </w:tr>
      <w:tr w:rsidR="00510E80" w:rsidRPr="0091620B" w14:paraId="3135F8EB" w14:textId="77777777" w:rsidTr="00CB4787">
        <w:trPr>
          <w:trHeight w:val="300"/>
        </w:trPr>
        <w:tc>
          <w:tcPr>
            <w:tcW w:w="1701" w:type="dxa"/>
            <w:tcBorders>
              <w:top w:val="single" w:sz="4" w:space="0" w:color="auto"/>
            </w:tcBorders>
            <w:noWrap/>
            <w:vAlign w:val="center"/>
            <w:hideMark/>
          </w:tcPr>
          <w:p w14:paraId="1AA6DE3B"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Range</w:t>
            </w:r>
          </w:p>
        </w:tc>
        <w:tc>
          <w:tcPr>
            <w:tcW w:w="1701" w:type="dxa"/>
            <w:tcBorders>
              <w:top w:val="single" w:sz="4" w:space="0" w:color="auto"/>
            </w:tcBorders>
            <w:noWrap/>
            <w:vAlign w:val="center"/>
            <w:hideMark/>
          </w:tcPr>
          <w:p w14:paraId="0EA84538"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 xml:space="preserve">6 </w:t>
            </w:r>
            <w:r>
              <w:rPr>
                <w:rFonts w:ascii="Arial" w:eastAsia="Times New Roman" w:hAnsi="Arial" w:cs="Arial"/>
                <w:color w:val="000000"/>
                <w:kern w:val="0"/>
                <w:sz w:val="22"/>
                <w:szCs w:val="22"/>
                <w:lang w:val="en-PH" w:eastAsia="en-PH"/>
                <w14:ligatures w14:val="none"/>
              </w:rPr>
              <w:t>–</w:t>
            </w:r>
            <w:r w:rsidRPr="0091620B">
              <w:rPr>
                <w:rFonts w:ascii="Arial" w:eastAsia="Times New Roman" w:hAnsi="Arial" w:cs="Arial"/>
                <w:color w:val="000000"/>
                <w:kern w:val="0"/>
                <w:sz w:val="22"/>
                <w:szCs w:val="22"/>
                <w:lang w:val="en-PH" w:eastAsia="en-PH"/>
                <w14:ligatures w14:val="none"/>
              </w:rPr>
              <w:t xml:space="preserve"> 30</w:t>
            </w:r>
          </w:p>
        </w:tc>
        <w:tc>
          <w:tcPr>
            <w:tcW w:w="3402" w:type="dxa"/>
            <w:tcBorders>
              <w:top w:val="single" w:sz="4" w:space="0" w:color="auto"/>
            </w:tcBorders>
            <w:noWrap/>
            <w:vAlign w:val="center"/>
            <w:hideMark/>
          </w:tcPr>
          <w:p w14:paraId="68742944"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Kuder-Richardson's Formula 20</w:t>
            </w:r>
          </w:p>
        </w:tc>
        <w:tc>
          <w:tcPr>
            <w:tcW w:w="1134" w:type="dxa"/>
            <w:tcBorders>
              <w:top w:val="single" w:sz="4" w:space="0" w:color="auto"/>
            </w:tcBorders>
            <w:noWrap/>
            <w:vAlign w:val="center"/>
            <w:hideMark/>
          </w:tcPr>
          <w:p w14:paraId="4B60112F"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0.7138</w:t>
            </w:r>
          </w:p>
        </w:tc>
        <w:tc>
          <w:tcPr>
            <w:tcW w:w="1134" w:type="dxa"/>
            <w:tcBorders>
              <w:top w:val="single" w:sz="4" w:space="0" w:color="auto"/>
            </w:tcBorders>
            <w:noWrap/>
            <w:vAlign w:val="center"/>
            <w:hideMark/>
          </w:tcPr>
          <w:p w14:paraId="3F801F1A"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Reliable</w:t>
            </w:r>
          </w:p>
        </w:tc>
      </w:tr>
      <w:tr w:rsidR="00510E80" w:rsidRPr="0091620B" w14:paraId="1EBFBE12" w14:textId="77777777" w:rsidTr="00CB4787">
        <w:trPr>
          <w:trHeight w:val="300"/>
        </w:trPr>
        <w:tc>
          <w:tcPr>
            <w:tcW w:w="1701" w:type="dxa"/>
            <w:noWrap/>
            <w:vAlign w:val="center"/>
            <w:hideMark/>
          </w:tcPr>
          <w:p w14:paraId="7E9B2C5B"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Mean</w:t>
            </w:r>
          </w:p>
        </w:tc>
        <w:tc>
          <w:tcPr>
            <w:tcW w:w="1701" w:type="dxa"/>
            <w:noWrap/>
            <w:vAlign w:val="center"/>
            <w:hideMark/>
          </w:tcPr>
          <w:p w14:paraId="220188DC"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17.6514658</w:t>
            </w:r>
          </w:p>
        </w:tc>
        <w:tc>
          <w:tcPr>
            <w:tcW w:w="3402" w:type="dxa"/>
            <w:noWrap/>
            <w:vAlign w:val="center"/>
            <w:hideMark/>
          </w:tcPr>
          <w:p w14:paraId="2FEC25AE"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Kuder-Richardson's Formula 21</w:t>
            </w:r>
          </w:p>
        </w:tc>
        <w:tc>
          <w:tcPr>
            <w:tcW w:w="1134" w:type="dxa"/>
            <w:noWrap/>
            <w:vAlign w:val="center"/>
            <w:hideMark/>
          </w:tcPr>
          <w:p w14:paraId="116E622D"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0.6501</w:t>
            </w:r>
          </w:p>
        </w:tc>
        <w:tc>
          <w:tcPr>
            <w:tcW w:w="1134" w:type="dxa"/>
            <w:noWrap/>
            <w:vAlign w:val="center"/>
            <w:hideMark/>
          </w:tcPr>
          <w:p w14:paraId="52B90348"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Reliable</w:t>
            </w:r>
          </w:p>
        </w:tc>
      </w:tr>
      <w:tr w:rsidR="00510E80" w:rsidRPr="0091620B" w14:paraId="0549417C" w14:textId="77777777" w:rsidTr="00CB4787">
        <w:trPr>
          <w:trHeight w:val="300"/>
        </w:trPr>
        <w:tc>
          <w:tcPr>
            <w:tcW w:w="1701" w:type="dxa"/>
            <w:noWrap/>
            <w:vAlign w:val="center"/>
            <w:hideMark/>
          </w:tcPr>
          <w:p w14:paraId="3CEB7502"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Standard Deviation</w:t>
            </w:r>
          </w:p>
        </w:tc>
        <w:tc>
          <w:tcPr>
            <w:tcW w:w="1701" w:type="dxa"/>
            <w:noWrap/>
            <w:vAlign w:val="center"/>
            <w:hideMark/>
          </w:tcPr>
          <w:p w14:paraId="2FF4979B"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4.87</w:t>
            </w:r>
          </w:p>
        </w:tc>
        <w:tc>
          <w:tcPr>
            <w:tcW w:w="3402" w:type="dxa"/>
            <w:noWrap/>
            <w:vAlign w:val="center"/>
            <w:hideMark/>
          </w:tcPr>
          <w:p w14:paraId="5568F2E5"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Cronbach's Coefficient Alpha</w:t>
            </w:r>
          </w:p>
        </w:tc>
        <w:tc>
          <w:tcPr>
            <w:tcW w:w="1134" w:type="dxa"/>
            <w:noWrap/>
            <w:vAlign w:val="center"/>
            <w:hideMark/>
          </w:tcPr>
          <w:p w14:paraId="363B1003"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0.7128</w:t>
            </w:r>
          </w:p>
        </w:tc>
        <w:tc>
          <w:tcPr>
            <w:tcW w:w="1134" w:type="dxa"/>
            <w:noWrap/>
            <w:vAlign w:val="center"/>
            <w:hideMark/>
          </w:tcPr>
          <w:p w14:paraId="12E20E3F" w14:textId="77777777" w:rsidR="00510E80" w:rsidRPr="0091620B" w:rsidRDefault="00510E80" w:rsidP="00C010D0">
            <w:pPr>
              <w:spacing w:after="0" w:line="240" w:lineRule="auto"/>
              <w:jc w:val="center"/>
              <w:rPr>
                <w:rFonts w:ascii="Arial" w:eastAsia="Times New Roman" w:hAnsi="Arial" w:cs="Arial"/>
                <w:color w:val="000000"/>
                <w:kern w:val="0"/>
                <w:sz w:val="22"/>
                <w:szCs w:val="22"/>
                <w:lang w:val="en-PH" w:eastAsia="en-PH"/>
                <w14:ligatures w14:val="none"/>
              </w:rPr>
            </w:pPr>
            <w:r w:rsidRPr="0091620B">
              <w:rPr>
                <w:rFonts w:ascii="Arial" w:eastAsia="Times New Roman" w:hAnsi="Arial" w:cs="Arial"/>
                <w:color w:val="000000"/>
                <w:kern w:val="0"/>
                <w:sz w:val="22"/>
                <w:szCs w:val="22"/>
                <w:lang w:val="en-PH" w:eastAsia="en-PH"/>
                <w14:ligatures w14:val="none"/>
              </w:rPr>
              <w:t>Reliable</w:t>
            </w:r>
          </w:p>
        </w:tc>
      </w:tr>
    </w:tbl>
    <w:p w14:paraId="6661E72B" w14:textId="77777777" w:rsidR="00510E80" w:rsidRPr="00CB4787" w:rsidRDefault="00510E80" w:rsidP="00510E80">
      <w:pPr>
        <w:pStyle w:val="NormalWeb"/>
        <w:spacing w:line="276" w:lineRule="auto"/>
        <w:jc w:val="both"/>
        <w:rPr>
          <w:i/>
          <w:iCs/>
        </w:rPr>
      </w:pPr>
      <w:r w:rsidRPr="00CB4787">
        <w:rPr>
          <w:b/>
          <w:bCs/>
          <w:i/>
          <w:iCs/>
        </w:rPr>
        <w:t>Note:</w:t>
      </w:r>
      <w:r w:rsidRPr="00CB4787">
        <w:rPr>
          <w:i/>
          <w:iCs/>
        </w:rPr>
        <w:t xml:space="preserve"> Benchmark for reliability is ≥0.70. KR-20 (0.7138) is used as the definitive measure of internal consistency to accommodate the varied difficulty indices of the contextualized items. Mean = 17.65; SD = 4.87.</w:t>
      </w:r>
    </w:p>
    <w:p w14:paraId="562CCAAE" w14:textId="77777777" w:rsidR="00510E80" w:rsidRPr="00CB4787" w:rsidRDefault="00510E80" w:rsidP="00CB4787">
      <w:pPr>
        <w:pStyle w:val="NormalWeb"/>
        <w:spacing w:before="240" w:beforeAutospacing="0" w:after="240" w:afterAutospacing="0"/>
        <w:jc w:val="both"/>
        <w:rPr>
          <w:b/>
          <w:bCs/>
          <w:lang w:val="en-PH"/>
        </w:rPr>
      </w:pPr>
      <w:r w:rsidRPr="00CB4787">
        <w:rPr>
          <w:b/>
          <w:bCs/>
          <w:lang w:val="en-PH"/>
        </w:rPr>
        <w:lastRenderedPageBreak/>
        <w:t>The Final Blueprint of the Contextualized Numeracy Test</w:t>
      </w:r>
    </w:p>
    <w:p w14:paraId="0F684BAE" w14:textId="77777777" w:rsidR="00510E80" w:rsidRPr="00CB4787" w:rsidRDefault="00510E80" w:rsidP="00CB4787">
      <w:pPr>
        <w:pStyle w:val="NormalWeb"/>
        <w:spacing w:before="240" w:beforeAutospacing="0" w:after="240" w:afterAutospacing="0"/>
        <w:ind w:firstLine="720"/>
        <w:jc w:val="both"/>
      </w:pPr>
      <w:r w:rsidRPr="00CB4787">
        <w:t>The researcher established the final design of the Contextualized Numeracy Test (CNT) using 30 high-quality items. The researcher carefully distributed these items across three curricular domains to maintain strict alignment with the MATATAG Grade 7 Mathematics Curriculum.</w:t>
      </w:r>
    </w:p>
    <w:p w14:paraId="2F2C1D37" w14:textId="77777777" w:rsidR="00510E80" w:rsidRPr="00CB4787" w:rsidRDefault="00510E80" w:rsidP="00CB4787">
      <w:pPr>
        <w:pStyle w:val="NormalWeb"/>
        <w:spacing w:before="240" w:beforeAutospacing="0" w:after="240" w:afterAutospacing="0"/>
        <w:ind w:firstLine="720"/>
        <w:jc w:val="both"/>
      </w:pPr>
      <w:r w:rsidRPr="00CB4787">
        <w:t>As shown in the final Table of Specifications (Table 13), the researcher allocated the largest share of the test to Numbers and Algebra with 19 items (62%). The researcher assigned 7 items (24%) to Measures and Geometry, and the remaining 4 items (14%) to Data and Probability.</w:t>
      </w:r>
    </w:p>
    <w:p w14:paraId="4A699A00" w14:textId="77777777" w:rsidR="00510E80" w:rsidRPr="00CB4787" w:rsidRDefault="00510E80" w:rsidP="00CB4787">
      <w:pPr>
        <w:pStyle w:val="NormalWeb"/>
        <w:spacing w:before="240" w:beforeAutospacing="0" w:after="240" w:afterAutospacing="0"/>
        <w:ind w:firstLine="720"/>
        <w:jc w:val="both"/>
      </w:pPr>
      <w:r w:rsidRPr="00CB4787">
        <w:t>To ensure a comprehensive assessment of cognitive depth, the researcher strategically mapped the items using the SOLO (Structure of Observed Learning Outcome) Taxonomy. The researcher categorized the items into four hierarchical levels to measure the learners' cognitive progression:</w:t>
      </w:r>
    </w:p>
    <w:p w14:paraId="5045D5BB" w14:textId="77777777" w:rsidR="00510E80" w:rsidRPr="00CB4787" w:rsidRDefault="00510E80" w:rsidP="00CB4787">
      <w:pPr>
        <w:pStyle w:val="NormalWeb"/>
        <w:numPr>
          <w:ilvl w:val="0"/>
          <w:numId w:val="15"/>
        </w:numPr>
        <w:spacing w:before="240" w:beforeAutospacing="0" w:after="240" w:afterAutospacing="0"/>
        <w:jc w:val="both"/>
      </w:pPr>
      <w:r w:rsidRPr="00CB4787">
        <w:t>Unistructural Level: The researcher designed these items to focus on a single relevant aspect or the simple recall of mathematical facts and terminology.</w:t>
      </w:r>
    </w:p>
    <w:p w14:paraId="222537B5" w14:textId="77777777" w:rsidR="00510E80" w:rsidRPr="00CB4787" w:rsidRDefault="00510E80" w:rsidP="00CB4787">
      <w:pPr>
        <w:pStyle w:val="NormalWeb"/>
        <w:numPr>
          <w:ilvl w:val="0"/>
          <w:numId w:val="15"/>
        </w:numPr>
        <w:spacing w:before="240" w:beforeAutospacing="0" w:after="240" w:afterAutospacing="0"/>
        <w:jc w:val="both"/>
      </w:pPr>
      <w:proofErr w:type="spellStart"/>
      <w:r w:rsidRPr="00CB4787">
        <w:t>Multistructural</w:t>
      </w:r>
      <w:proofErr w:type="spellEnd"/>
      <w:r w:rsidRPr="00CB4787">
        <w:t xml:space="preserve"> Level: The researcher developed these items to require the mastery of several discrete skills or the execution of multiple steps in a calculation.</w:t>
      </w:r>
    </w:p>
    <w:p w14:paraId="08D6ED41" w14:textId="77777777" w:rsidR="00510E80" w:rsidRPr="00CB4787" w:rsidRDefault="00510E80" w:rsidP="00CB4787">
      <w:pPr>
        <w:pStyle w:val="NormalWeb"/>
        <w:numPr>
          <w:ilvl w:val="0"/>
          <w:numId w:val="15"/>
        </w:numPr>
        <w:spacing w:before="240" w:beforeAutospacing="0" w:after="240" w:afterAutospacing="0"/>
        <w:jc w:val="both"/>
      </w:pPr>
      <w:r w:rsidRPr="00CB4787">
        <w:t>Relational Level: The researcher crafted these items to evaluate the learners' ability to integrate different concepts and apply mathematical rules to contextualized problems.</w:t>
      </w:r>
    </w:p>
    <w:p w14:paraId="38588991" w14:textId="77777777" w:rsidR="00510E80" w:rsidRPr="00CB4787" w:rsidRDefault="00510E80" w:rsidP="00CB4787">
      <w:pPr>
        <w:pStyle w:val="NormalWeb"/>
        <w:numPr>
          <w:ilvl w:val="0"/>
          <w:numId w:val="15"/>
        </w:numPr>
        <w:spacing w:before="240" w:beforeAutospacing="0" w:after="240" w:afterAutospacing="0"/>
        <w:jc w:val="both"/>
      </w:pPr>
      <w:r w:rsidRPr="00CB4787">
        <w:t>Extended Abstract Level: The researcher designed these items to test higher-order thinking, requiring learners to generalize concepts or apply principles to new and unfamiliar situational contexts.</w:t>
      </w:r>
    </w:p>
    <w:p w14:paraId="4492DBF4" w14:textId="403A4169" w:rsidR="00510E80" w:rsidRPr="00067712" w:rsidRDefault="00510E80" w:rsidP="00067712">
      <w:pPr>
        <w:pStyle w:val="NormalWeb"/>
        <w:spacing w:before="240" w:beforeAutospacing="0" w:after="240" w:afterAutospacing="0"/>
        <w:ind w:firstLine="720"/>
        <w:jc w:val="both"/>
      </w:pPr>
      <w:r w:rsidRPr="00CB4787">
        <w:t xml:space="preserve">Under this framework, the researcher designated 21 items for the Foundational Levels (Unistructural and </w:t>
      </w:r>
      <w:proofErr w:type="spellStart"/>
      <w:r w:rsidRPr="00CB4787">
        <w:t>Multistructural</w:t>
      </w:r>
      <w:proofErr w:type="spellEnd"/>
      <w:r w:rsidRPr="00CB4787">
        <w:t>) to evaluate basic recall and computation. Meanwhile, the researcher targeted the Higher-Order Thinking Levels (Relational and Extended Abstract) with 9 items to measure the learners' ability to analyze and synthesize information within contextualized scenarios. This balanced distribution ensures that the CNT functions as both a diagnostic and an analytical tool for assessing Grade 7 numeracy proficiency.</w:t>
      </w:r>
    </w:p>
    <w:p w14:paraId="510CF369" w14:textId="77777777" w:rsidR="00510E80" w:rsidRPr="00CB4787" w:rsidRDefault="00510E80" w:rsidP="00CB4787">
      <w:pPr>
        <w:pStyle w:val="NormalWeb"/>
        <w:spacing w:before="240" w:beforeAutospacing="0" w:after="240" w:afterAutospacing="0"/>
        <w:jc w:val="both"/>
        <w:rPr>
          <w:b/>
          <w:bCs/>
          <w:lang w:val="en-PH"/>
        </w:rPr>
      </w:pPr>
      <w:r w:rsidRPr="00CB4787">
        <w:rPr>
          <w:b/>
          <w:bCs/>
          <w:lang w:val="en-PH"/>
        </w:rPr>
        <w:t>Table 13:</w:t>
      </w:r>
    </w:p>
    <w:p w14:paraId="78E2DFD4" w14:textId="77777777" w:rsidR="00510E80" w:rsidRPr="00CB4787" w:rsidRDefault="00510E80" w:rsidP="00CB4787">
      <w:pPr>
        <w:pStyle w:val="NormalWeb"/>
        <w:spacing w:before="240" w:beforeAutospacing="0" w:after="240" w:afterAutospacing="0"/>
        <w:jc w:val="both"/>
        <w:rPr>
          <w:b/>
          <w:bCs/>
          <w:i/>
          <w:iCs/>
          <w:lang w:val="en-PH"/>
        </w:rPr>
      </w:pPr>
      <w:r w:rsidRPr="00CB4787">
        <w:rPr>
          <w:b/>
          <w:bCs/>
          <w:lang w:val="en-PH"/>
        </w:rPr>
        <w:t xml:space="preserve"> </w:t>
      </w:r>
      <w:r w:rsidRPr="00CB4787">
        <w:rPr>
          <w:i/>
          <w:iCs/>
          <w:lang w:val="en-PH"/>
        </w:rPr>
        <w:t>Final Table of Specifications (TOS) of the Contextualized Numeracy Test (CNT)</w:t>
      </w:r>
    </w:p>
    <w:tbl>
      <w:tblPr>
        <w:tblW w:w="9703" w:type="dxa"/>
        <w:jc w:val="center"/>
        <w:tblBorders>
          <w:top w:val="single" w:sz="4" w:space="0" w:color="auto"/>
          <w:bottom w:val="single" w:sz="4" w:space="0" w:color="auto"/>
        </w:tblBorders>
        <w:tblLayout w:type="fixed"/>
        <w:tblLook w:val="04A0" w:firstRow="1" w:lastRow="0" w:firstColumn="1" w:lastColumn="0" w:noHBand="0" w:noVBand="1"/>
      </w:tblPr>
      <w:tblGrid>
        <w:gridCol w:w="1266"/>
        <w:gridCol w:w="1276"/>
        <w:gridCol w:w="1208"/>
        <w:gridCol w:w="1343"/>
        <w:gridCol w:w="1276"/>
        <w:gridCol w:w="1276"/>
        <w:gridCol w:w="992"/>
        <w:gridCol w:w="1066"/>
      </w:tblGrid>
      <w:tr w:rsidR="00510E80" w:rsidRPr="00067712" w14:paraId="128E35CB" w14:textId="77777777" w:rsidTr="00C010D0">
        <w:trPr>
          <w:trHeight w:val="1310"/>
          <w:jc w:val="center"/>
        </w:trPr>
        <w:tc>
          <w:tcPr>
            <w:tcW w:w="1266" w:type="dxa"/>
            <w:tcBorders>
              <w:top w:val="single" w:sz="4" w:space="0" w:color="auto"/>
              <w:bottom w:val="single" w:sz="4" w:space="0" w:color="auto"/>
            </w:tcBorders>
            <w:vAlign w:val="center"/>
            <w:hideMark/>
          </w:tcPr>
          <w:p w14:paraId="32B1BC4E"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CONTENT DOMAIN</w:t>
            </w:r>
          </w:p>
        </w:tc>
        <w:tc>
          <w:tcPr>
            <w:tcW w:w="1276" w:type="dxa"/>
            <w:tcBorders>
              <w:top w:val="single" w:sz="4" w:space="0" w:color="auto"/>
              <w:bottom w:val="single" w:sz="4" w:space="0" w:color="auto"/>
            </w:tcBorders>
            <w:vAlign w:val="center"/>
            <w:hideMark/>
          </w:tcPr>
          <w:p w14:paraId="6791D294"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Weight in Grade 7 Competencies</w:t>
            </w:r>
          </w:p>
        </w:tc>
        <w:tc>
          <w:tcPr>
            <w:tcW w:w="1208" w:type="dxa"/>
            <w:tcBorders>
              <w:top w:val="single" w:sz="4" w:space="0" w:color="auto"/>
              <w:bottom w:val="single" w:sz="4" w:space="0" w:color="auto"/>
            </w:tcBorders>
            <w:vAlign w:val="center"/>
            <w:hideMark/>
          </w:tcPr>
          <w:p w14:paraId="6048543A"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Uni-structural</w:t>
            </w:r>
          </w:p>
        </w:tc>
        <w:tc>
          <w:tcPr>
            <w:tcW w:w="1343" w:type="dxa"/>
            <w:tcBorders>
              <w:top w:val="single" w:sz="4" w:space="0" w:color="auto"/>
              <w:bottom w:val="single" w:sz="4" w:space="0" w:color="auto"/>
            </w:tcBorders>
            <w:vAlign w:val="center"/>
            <w:hideMark/>
          </w:tcPr>
          <w:p w14:paraId="51D41474"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Multi-structural</w:t>
            </w:r>
          </w:p>
        </w:tc>
        <w:tc>
          <w:tcPr>
            <w:tcW w:w="1276" w:type="dxa"/>
            <w:tcBorders>
              <w:top w:val="single" w:sz="4" w:space="0" w:color="auto"/>
              <w:bottom w:val="single" w:sz="4" w:space="0" w:color="auto"/>
            </w:tcBorders>
            <w:vAlign w:val="center"/>
            <w:hideMark/>
          </w:tcPr>
          <w:p w14:paraId="502188BF"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Relational</w:t>
            </w:r>
          </w:p>
        </w:tc>
        <w:tc>
          <w:tcPr>
            <w:tcW w:w="1276" w:type="dxa"/>
            <w:tcBorders>
              <w:top w:val="single" w:sz="4" w:space="0" w:color="auto"/>
              <w:bottom w:val="single" w:sz="4" w:space="0" w:color="auto"/>
            </w:tcBorders>
            <w:vAlign w:val="center"/>
            <w:hideMark/>
          </w:tcPr>
          <w:p w14:paraId="3187E2BA"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Extended Abstract</w:t>
            </w:r>
          </w:p>
        </w:tc>
        <w:tc>
          <w:tcPr>
            <w:tcW w:w="992" w:type="dxa"/>
            <w:tcBorders>
              <w:top w:val="single" w:sz="4" w:space="0" w:color="auto"/>
              <w:bottom w:val="single" w:sz="4" w:space="0" w:color="auto"/>
            </w:tcBorders>
            <w:vAlign w:val="center"/>
            <w:hideMark/>
          </w:tcPr>
          <w:p w14:paraId="4511BD28"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Total Points</w:t>
            </w:r>
          </w:p>
        </w:tc>
        <w:tc>
          <w:tcPr>
            <w:tcW w:w="1066" w:type="dxa"/>
            <w:tcBorders>
              <w:top w:val="single" w:sz="4" w:space="0" w:color="auto"/>
              <w:bottom w:val="single" w:sz="4" w:space="0" w:color="auto"/>
            </w:tcBorders>
            <w:vAlign w:val="center"/>
            <w:hideMark/>
          </w:tcPr>
          <w:p w14:paraId="54927B3A"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themeColor="text1"/>
                <w:kern w:val="0"/>
                <w:sz w:val="20"/>
                <w:szCs w:val="20"/>
                <w:lang w:eastAsia="en-PH"/>
                <w14:ligatures w14:val="none"/>
              </w:rPr>
              <w:t>% Weight</w:t>
            </w:r>
          </w:p>
        </w:tc>
      </w:tr>
      <w:tr w:rsidR="00510E80" w:rsidRPr="00067712" w14:paraId="070CC898" w14:textId="77777777" w:rsidTr="00C010D0">
        <w:trPr>
          <w:trHeight w:val="700"/>
          <w:jc w:val="center"/>
        </w:trPr>
        <w:tc>
          <w:tcPr>
            <w:tcW w:w="1266" w:type="dxa"/>
            <w:vMerge w:val="restart"/>
            <w:tcBorders>
              <w:top w:val="single" w:sz="4" w:space="0" w:color="auto"/>
            </w:tcBorders>
            <w:vAlign w:val="center"/>
            <w:hideMark/>
          </w:tcPr>
          <w:p w14:paraId="74B2586D"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eastAsia="en-PH"/>
                <w14:ligatures w14:val="none"/>
              </w:rPr>
              <w:t>Numbers and Algebra</w:t>
            </w:r>
          </w:p>
        </w:tc>
        <w:tc>
          <w:tcPr>
            <w:tcW w:w="1276" w:type="dxa"/>
            <w:vMerge w:val="restart"/>
            <w:tcBorders>
              <w:top w:val="single" w:sz="4" w:space="0" w:color="auto"/>
            </w:tcBorders>
            <w:vAlign w:val="center"/>
            <w:hideMark/>
          </w:tcPr>
          <w:p w14:paraId="78F749D3"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themeColor="text1"/>
                <w:kern w:val="0"/>
                <w:sz w:val="20"/>
                <w:szCs w:val="20"/>
                <w:lang w:eastAsia="en-PH"/>
                <w14:ligatures w14:val="none"/>
              </w:rPr>
              <w:t>62%</w:t>
            </w:r>
          </w:p>
        </w:tc>
        <w:tc>
          <w:tcPr>
            <w:tcW w:w="1208" w:type="dxa"/>
            <w:vMerge w:val="restart"/>
            <w:tcBorders>
              <w:top w:val="single" w:sz="4" w:space="0" w:color="auto"/>
            </w:tcBorders>
            <w:vAlign w:val="center"/>
            <w:hideMark/>
          </w:tcPr>
          <w:p w14:paraId="41D82A26"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1,2,3,4,5,6</w:t>
            </w:r>
          </w:p>
        </w:tc>
        <w:tc>
          <w:tcPr>
            <w:tcW w:w="1343" w:type="dxa"/>
            <w:vMerge w:val="restart"/>
            <w:tcBorders>
              <w:top w:val="single" w:sz="4" w:space="0" w:color="auto"/>
            </w:tcBorders>
            <w:vAlign w:val="center"/>
            <w:hideMark/>
          </w:tcPr>
          <w:p w14:paraId="1CD5CF72"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7,8,9,11,12,13,18,19</w:t>
            </w:r>
          </w:p>
        </w:tc>
        <w:tc>
          <w:tcPr>
            <w:tcW w:w="1276" w:type="dxa"/>
            <w:vMerge w:val="restart"/>
            <w:tcBorders>
              <w:top w:val="single" w:sz="4" w:space="0" w:color="auto"/>
            </w:tcBorders>
            <w:vAlign w:val="center"/>
            <w:hideMark/>
          </w:tcPr>
          <w:p w14:paraId="51840182" w14:textId="77777777" w:rsidR="00510E80" w:rsidRPr="00067712" w:rsidRDefault="00510E80" w:rsidP="00067712">
            <w:pPr>
              <w:spacing w:after="0" w:line="240" w:lineRule="auto"/>
              <w:jc w:val="center"/>
              <w:rPr>
                <w:rFonts w:ascii="Aptos" w:eastAsia="Times New Roman" w:hAnsi="Aptos" w:cs="Times New Roman"/>
                <w:color w:val="000000"/>
                <w:kern w:val="0"/>
                <w:sz w:val="20"/>
                <w:szCs w:val="20"/>
                <w:lang w:val="en-PH" w:eastAsia="en-PH"/>
                <w14:ligatures w14:val="none"/>
              </w:rPr>
            </w:pPr>
            <w:r w:rsidRPr="00067712">
              <w:rPr>
                <w:rFonts w:ascii="Aptos" w:eastAsia="Times New Roman" w:hAnsi="Aptos" w:cs="Times New Roman"/>
                <w:color w:val="000000"/>
                <w:kern w:val="0"/>
                <w:sz w:val="20"/>
                <w:szCs w:val="20"/>
                <w:lang w:val="en-PH" w:eastAsia="en-PH"/>
                <w14:ligatures w14:val="none"/>
              </w:rPr>
              <w:t>10,14,15,16,17</w:t>
            </w:r>
          </w:p>
        </w:tc>
        <w:tc>
          <w:tcPr>
            <w:tcW w:w="1276" w:type="dxa"/>
            <w:vMerge w:val="restart"/>
            <w:tcBorders>
              <w:top w:val="single" w:sz="4" w:space="0" w:color="auto"/>
            </w:tcBorders>
            <w:vAlign w:val="center"/>
            <w:hideMark/>
          </w:tcPr>
          <w:p w14:paraId="503AC1CD"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 </w:t>
            </w:r>
          </w:p>
        </w:tc>
        <w:tc>
          <w:tcPr>
            <w:tcW w:w="992" w:type="dxa"/>
            <w:vMerge w:val="restart"/>
            <w:tcBorders>
              <w:top w:val="single" w:sz="4" w:space="0" w:color="auto"/>
            </w:tcBorders>
            <w:vAlign w:val="center"/>
            <w:hideMark/>
          </w:tcPr>
          <w:p w14:paraId="7929ACB0"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19</w:t>
            </w:r>
          </w:p>
        </w:tc>
        <w:tc>
          <w:tcPr>
            <w:tcW w:w="1066" w:type="dxa"/>
            <w:vMerge w:val="restart"/>
            <w:tcBorders>
              <w:top w:val="single" w:sz="4" w:space="0" w:color="auto"/>
            </w:tcBorders>
            <w:vAlign w:val="center"/>
            <w:hideMark/>
          </w:tcPr>
          <w:p w14:paraId="4ED2C643"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62%</w:t>
            </w:r>
          </w:p>
        </w:tc>
      </w:tr>
      <w:tr w:rsidR="00510E80" w:rsidRPr="00067712" w14:paraId="36C00849" w14:textId="77777777" w:rsidTr="00C010D0">
        <w:trPr>
          <w:trHeight w:val="499"/>
          <w:jc w:val="center"/>
        </w:trPr>
        <w:tc>
          <w:tcPr>
            <w:tcW w:w="1266" w:type="dxa"/>
            <w:vMerge/>
            <w:vAlign w:val="center"/>
            <w:hideMark/>
          </w:tcPr>
          <w:p w14:paraId="107810F1"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692E96F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08" w:type="dxa"/>
            <w:vMerge/>
            <w:vAlign w:val="center"/>
            <w:hideMark/>
          </w:tcPr>
          <w:p w14:paraId="3B632C8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343" w:type="dxa"/>
            <w:vMerge/>
            <w:vAlign w:val="center"/>
            <w:hideMark/>
          </w:tcPr>
          <w:p w14:paraId="66B0B905"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24B6DD91" w14:textId="77777777" w:rsidR="00510E80" w:rsidRPr="00067712" w:rsidRDefault="00510E80" w:rsidP="00067712">
            <w:pPr>
              <w:spacing w:after="0" w:line="240" w:lineRule="auto"/>
              <w:rPr>
                <w:rFonts w:ascii="Aptos" w:eastAsia="Times New Roman" w:hAnsi="Aptos" w:cs="Times New Roman"/>
                <w:color w:val="000000"/>
                <w:kern w:val="0"/>
                <w:sz w:val="20"/>
                <w:szCs w:val="20"/>
                <w:lang w:val="en-PH" w:eastAsia="en-PH"/>
                <w14:ligatures w14:val="none"/>
              </w:rPr>
            </w:pPr>
          </w:p>
        </w:tc>
        <w:tc>
          <w:tcPr>
            <w:tcW w:w="1276" w:type="dxa"/>
            <w:vMerge/>
            <w:vAlign w:val="center"/>
            <w:hideMark/>
          </w:tcPr>
          <w:p w14:paraId="165EDAF8"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992" w:type="dxa"/>
            <w:vMerge/>
            <w:vAlign w:val="center"/>
            <w:hideMark/>
          </w:tcPr>
          <w:p w14:paraId="50032705"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066" w:type="dxa"/>
            <w:vMerge/>
            <w:vAlign w:val="center"/>
            <w:hideMark/>
          </w:tcPr>
          <w:p w14:paraId="23FCDD3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r>
      <w:tr w:rsidR="00510E80" w:rsidRPr="00067712" w14:paraId="1C3906BB" w14:textId="77777777" w:rsidTr="00067712">
        <w:trPr>
          <w:trHeight w:val="443"/>
          <w:jc w:val="center"/>
        </w:trPr>
        <w:tc>
          <w:tcPr>
            <w:tcW w:w="1266" w:type="dxa"/>
            <w:vMerge/>
            <w:vAlign w:val="center"/>
            <w:hideMark/>
          </w:tcPr>
          <w:p w14:paraId="000AA8E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33FF1564"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08" w:type="dxa"/>
            <w:vMerge/>
            <w:vAlign w:val="center"/>
            <w:hideMark/>
          </w:tcPr>
          <w:p w14:paraId="5BE464E2"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343" w:type="dxa"/>
            <w:vMerge/>
            <w:vAlign w:val="center"/>
            <w:hideMark/>
          </w:tcPr>
          <w:p w14:paraId="63FF2B7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4F3417C7" w14:textId="77777777" w:rsidR="00510E80" w:rsidRPr="00067712" w:rsidRDefault="00510E80" w:rsidP="00067712">
            <w:pPr>
              <w:spacing w:after="0" w:line="240" w:lineRule="auto"/>
              <w:rPr>
                <w:rFonts w:ascii="Aptos" w:eastAsia="Times New Roman" w:hAnsi="Aptos" w:cs="Times New Roman"/>
                <w:color w:val="000000"/>
                <w:kern w:val="0"/>
                <w:sz w:val="20"/>
                <w:szCs w:val="20"/>
                <w:lang w:val="en-PH" w:eastAsia="en-PH"/>
                <w14:ligatures w14:val="none"/>
              </w:rPr>
            </w:pPr>
          </w:p>
        </w:tc>
        <w:tc>
          <w:tcPr>
            <w:tcW w:w="1276" w:type="dxa"/>
            <w:vMerge/>
            <w:vAlign w:val="center"/>
            <w:hideMark/>
          </w:tcPr>
          <w:p w14:paraId="1C80FE11"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992" w:type="dxa"/>
            <w:vMerge/>
            <w:vAlign w:val="center"/>
            <w:hideMark/>
          </w:tcPr>
          <w:p w14:paraId="1B9FA4AD"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066" w:type="dxa"/>
            <w:vMerge/>
            <w:vAlign w:val="center"/>
            <w:hideMark/>
          </w:tcPr>
          <w:p w14:paraId="567D33C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r>
      <w:tr w:rsidR="00510E80" w:rsidRPr="00067712" w14:paraId="02891AD7" w14:textId="77777777" w:rsidTr="00067712">
        <w:trPr>
          <w:trHeight w:val="443"/>
          <w:jc w:val="center"/>
        </w:trPr>
        <w:tc>
          <w:tcPr>
            <w:tcW w:w="1266" w:type="dxa"/>
            <w:vMerge w:val="restart"/>
            <w:vAlign w:val="center"/>
            <w:hideMark/>
          </w:tcPr>
          <w:p w14:paraId="52C403CE"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eastAsia="en-PH"/>
                <w14:ligatures w14:val="none"/>
              </w:rPr>
              <w:t>Measure and Geometry</w:t>
            </w:r>
          </w:p>
        </w:tc>
        <w:tc>
          <w:tcPr>
            <w:tcW w:w="1276" w:type="dxa"/>
            <w:vMerge w:val="restart"/>
            <w:vAlign w:val="center"/>
            <w:hideMark/>
          </w:tcPr>
          <w:p w14:paraId="44D2E7CD"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themeColor="text1"/>
                <w:kern w:val="0"/>
                <w:sz w:val="20"/>
                <w:szCs w:val="20"/>
                <w:lang w:eastAsia="en-PH"/>
                <w14:ligatures w14:val="none"/>
              </w:rPr>
              <w:t>24%</w:t>
            </w:r>
          </w:p>
        </w:tc>
        <w:tc>
          <w:tcPr>
            <w:tcW w:w="1208" w:type="dxa"/>
            <w:vMerge w:val="restart"/>
            <w:vAlign w:val="center"/>
            <w:hideMark/>
          </w:tcPr>
          <w:p w14:paraId="6A1387E0" w14:textId="77777777" w:rsidR="00510E80" w:rsidRPr="00067712" w:rsidRDefault="00510E80" w:rsidP="00067712">
            <w:pPr>
              <w:spacing w:after="0" w:line="240" w:lineRule="auto"/>
              <w:jc w:val="center"/>
              <w:rPr>
                <w:rFonts w:ascii="Aptos" w:eastAsia="Times New Roman" w:hAnsi="Aptos" w:cs="Times New Roman"/>
                <w:color w:val="000000"/>
                <w:kern w:val="0"/>
                <w:sz w:val="20"/>
                <w:szCs w:val="20"/>
                <w:lang w:val="en-PH" w:eastAsia="en-PH"/>
                <w14:ligatures w14:val="none"/>
              </w:rPr>
            </w:pPr>
            <w:r w:rsidRPr="00067712">
              <w:rPr>
                <w:rFonts w:ascii="Aptos" w:eastAsia="Times New Roman" w:hAnsi="Aptos" w:cs="Times New Roman"/>
                <w:color w:val="000000"/>
                <w:kern w:val="0"/>
                <w:sz w:val="20"/>
                <w:szCs w:val="20"/>
                <w:lang w:val="en-PH" w:eastAsia="en-PH"/>
                <w14:ligatures w14:val="none"/>
              </w:rPr>
              <w:t>20,21,22</w:t>
            </w:r>
          </w:p>
        </w:tc>
        <w:tc>
          <w:tcPr>
            <w:tcW w:w="1343" w:type="dxa"/>
            <w:vMerge w:val="restart"/>
            <w:vAlign w:val="center"/>
            <w:hideMark/>
          </w:tcPr>
          <w:p w14:paraId="0A508581"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23,24,25,26</w:t>
            </w:r>
          </w:p>
        </w:tc>
        <w:tc>
          <w:tcPr>
            <w:tcW w:w="1276" w:type="dxa"/>
            <w:vMerge w:val="restart"/>
            <w:vAlign w:val="center"/>
            <w:hideMark/>
          </w:tcPr>
          <w:p w14:paraId="4E1E5345"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 </w:t>
            </w:r>
          </w:p>
        </w:tc>
        <w:tc>
          <w:tcPr>
            <w:tcW w:w="1276" w:type="dxa"/>
            <w:vMerge w:val="restart"/>
            <w:vAlign w:val="center"/>
            <w:hideMark/>
          </w:tcPr>
          <w:p w14:paraId="7C6D5AC0"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 </w:t>
            </w:r>
          </w:p>
        </w:tc>
        <w:tc>
          <w:tcPr>
            <w:tcW w:w="992" w:type="dxa"/>
            <w:vMerge w:val="restart"/>
            <w:vAlign w:val="center"/>
            <w:hideMark/>
          </w:tcPr>
          <w:p w14:paraId="0A3F6C0B"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7</w:t>
            </w:r>
          </w:p>
        </w:tc>
        <w:tc>
          <w:tcPr>
            <w:tcW w:w="1066" w:type="dxa"/>
            <w:vMerge w:val="restart"/>
            <w:vAlign w:val="center"/>
            <w:hideMark/>
          </w:tcPr>
          <w:p w14:paraId="3E2091E0"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24%</w:t>
            </w:r>
          </w:p>
        </w:tc>
      </w:tr>
      <w:tr w:rsidR="00510E80" w:rsidRPr="00067712" w14:paraId="4B9FEAE7" w14:textId="77777777" w:rsidTr="00C010D0">
        <w:trPr>
          <w:trHeight w:val="499"/>
          <w:jc w:val="center"/>
        </w:trPr>
        <w:tc>
          <w:tcPr>
            <w:tcW w:w="1266" w:type="dxa"/>
            <w:vMerge/>
            <w:vAlign w:val="center"/>
            <w:hideMark/>
          </w:tcPr>
          <w:p w14:paraId="60D76320"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4202A53C"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08" w:type="dxa"/>
            <w:vMerge/>
            <w:vAlign w:val="center"/>
            <w:hideMark/>
          </w:tcPr>
          <w:p w14:paraId="7A89BAC5" w14:textId="77777777" w:rsidR="00510E80" w:rsidRPr="00067712" w:rsidRDefault="00510E80" w:rsidP="00067712">
            <w:pPr>
              <w:spacing w:after="0" w:line="240" w:lineRule="auto"/>
              <w:rPr>
                <w:rFonts w:ascii="Aptos" w:eastAsia="Times New Roman" w:hAnsi="Aptos" w:cs="Times New Roman"/>
                <w:color w:val="000000"/>
                <w:kern w:val="0"/>
                <w:sz w:val="20"/>
                <w:szCs w:val="20"/>
                <w:lang w:val="en-PH" w:eastAsia="en-PH"/>
                <w14:ligatures w14:val="none"/>
              </w:rPr>
            </w:pPr>
          </w:p>
        </w:tc>
        <w:tc>
          <w:tcPr>
            <w:tcW w:w="1343" w:type="dxa"/>
            <w:vMerge/>
            <w:vAlign w:val="center"/>
            <w:hideMark/>
          </w:tcPr>
          <w:p w14:paraId="10CF1ED1"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74DDE627"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7FD36924"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992" w:type="dxa"/>
            <w:vMerge/>
            <w:vAlign w:val="center"/>
            <w:hideMark/>
          </w:tcPr>
          <w:p w14:paraId="6C757765"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066" w:type="dxa"/>
            <w:vMerge/>
            <w:vAlign w:val="center"/>
            <w:hideMark/>
          </w:tcPr>
          <w:p w14:paraId="71725E7E"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r>
      <w:tr w:rsidR="00510E80" w:rsidRPr="00067712" w14:paraId="5C77A715" w14:textId="77777777" w:rsidTr="00067712">
        <w:trPr>
          <w:trHeight w:val="443"/>
          <w:jc w:val="center"/>
        </w:trPr>
        <w:tc>
          <w:tcPr>
            <w:tcW w:w="1266" w:type="dxa"/>
            <w:vMerge/>
            <w:vAlign w:val="center"/>
            <w:hideMark/>
          </w:tcPr>
          <w:p w14:paraId="510385BF"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0F2EC476"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08" w:type="dxa"/>
            <w:vMerge/>
            <w:vAlign w:val="center"/>
            <w:hideMark/>
          </w:tcPr>
          <w:p w14:paraId="10338EB4" w14:textId="77777777" w:rsidR="00510E80" w:rsidRPr="00067712" w:rsidRDefault="00510E80" w:rsidP="00067712">
            <w:pPr>
              <w:spacing w:after="0" w:line="240" w:lineRule="auto"/>
              <w:rPr>
                <w:rFonts w:ascii="Aptos" w:eastAsia="Times New Roman" w:hAnsi="Aptos" w:cs="Times New Roman"/>
                <w:color w:val="000000"/>
                <w:kern w:val="0"/>
                <w:sz w:val="20"/>
                <w:szCs w:val="20"/>
                <w:lang w:val="en-PH" w:eastAsia="en-PH"/>
                <w14:ligatures w14:val="none"/>
              </w:rPr>
            </w:pPr>
          </w:p>
        </w:tc>
        <w:tc>
          <w:tcPr>
            <w:tcW w:w="1343" w:type="dxa"/>
            <w:vMerge/>
            <w:vAlign w:val="center"/>
            <w:hideMark/>
          </w:tcPr>
          <w:p w14:paraId="24F64CD5"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17EE5F1F"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276" w:type="dxa"/>
            <w:vMerge/>
            <w:vAlign w:val="center"/>
            <w:hideMark/>
          </w:tcPr>
          <w:p w14:paraId="2EC3F6A3"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992" w:type="dxa"/>
            <w:vMerge/>
            <w:vAlign w:val="center"/>
            <w:hideMark/>
          </w:tcPr>
          <w:p w14:paraId="2ED9A4E8"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c>
          <w:tcPr>
            <w:tcW w:w="1066" w:type="dxa"/>
            <w:vMerge/>
            <w:vAlign w:val="center"/>
            <w:hideMark/>
          </w:tcPr>
          <w:p w14:paraId="6E981C04" w14:textId="77777777" w:rsidR="00510E80" w:rsidRPr="00067712" w:rsidRDefault="00510E80" w:rsidP="00067712">
            <w:pPr>
              <w:spacing w:after="0" w:line="240" w:lineRule="auto"/>
              <w:rPr>
                <w:rFonts w:ascii="Arial" w:eastAsia="Times New Roman" w:hAnsi="Arial" w:cs="Arial"/>
                <w:color w:val="000000"/>
                <w:kern w:val="0"/>
                <w:sz w:val="20"/>
                <w:szCs w:val="20"/>
                <w:lang w:val="en-PH" w:eastAsia="en-PH"/>
                <w14:ligatures w14:val="none"/>
              </w:rPr>
            </w:pPr>
          </w:p>
        </w:tc>
      </w:tr>
      <w:tr w:rsidR="00510E80" w:rsidRPr="00067712" w14:paraId="7E661BD8" w14:textId="77777777" w:rsidTr="00C010D0">
        <w:trPr>
          <w:trHeight w:val="760"/>
          <w:jc w:val="center"/>
        </w:trPr>
        <w:tc>
          <w:tcPr>
            <w:tcW w:w="1266" w:type="dxa"/>
            <w:tcBorders>
              <w:bottom w:val="single" w:sz="4" w:space="0" w:color="auto"/>
            </w:tcBorders>
            <w:vAlign w:val="center"/>
            <w:hideMark/>
          </w:tcPr>
          <w:p w14:paraId="7551C48A"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eastAsia="en-PH"/>
                <w14:ligatures w14:val="none"/>
              </w:rPr>
              <w:t>Data and Probability</w:t>
            </w:r>
          </w:p>
        </w:tc>
        <w:tc>
          <w:tcPr>
            <w:tcW w:w="1276" w:type="dxa"/>
            <w:tcBorders>
              <w:bottom w:val="single" w:sz="4" w:space="0" w:color="auto"/>
            </w:tcBorders>
            <w:vAlign w:val="center"/>
            <w:hideMark/>
          </w:tcPr>
          <w:p w14:paraId="5CEDE242"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themeColor="text1"/>
                <w:kern w:val="0"/>
                <w:sz w:val="20"/>
                <w:szCs w:val="20"/>
                <w:lang w:eastAsia="en-PH"/>
                <w14:ligatures w14:val="none"/>
              </w:rPr>
              <w:t>14%</w:t>
            </w:r>
          </w:p>
        </w:tc>
        <w:tc>
          <w:tcPr>
            <w:tcW w:w="1208" w:type="dxa"/>
            <w:tcBorders>
              <w:bottom w:val="single" w:sz="4" w:space="0" w:color="auto"/>
            </w:tcBorders>
            <w:vAlign w:val="center"/>
            <w:hideMark/>
          </w:tcPr>
          <w:p w14:paraId="2D0DEF32"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 </w:t>
            </w:r>
          </w:p>
        </w:tc>
        <w:tc>
          <w:tcPr>
            <w:tcW w:w="1343" w:type="dxa"/>
            <w:tcBorders>
              <w:bottom w:val="single" w:sz="4" w:space="0" w:color="auto"/>
            </w:tcBorders>
            <w:vAlign w:val="center"/>
            <w:hideMark/>
          </w:tcPr>
          <w:p w14:paraId="0A9E1640"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 </w:t>
            </w:r>
          </w:p>
        </w:tc>
        <w:tc>
          <w:tcPr>
            <w:tcW w:w="1276" w:type="dxa"/>
            <w:tcBorders>
              <w:bottom w:val="single" w:sz="4" w:space="0" w:color="auto"/>
            </w:tcBorders>
            <w:vAlign w:val="center"/>
            <w:hideMark/>
          </w:tcPr>
          <w:p w14:paraId="6DC85ADB"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27,29</w:t>
            </w:r>
          </w:p>
        </w:tc>
        <w:tc>
          <w:tcPr>
            <w:tcW w:w="1276" w:type="dxa"/>
            <w:tcBorders>
              <w:bottom w:val="single" w:sz="4" w:space="0" w:color="auto"/>
            </w:tcBorders>
            <w:vAlign w:val="center"/>
            <w:hideMark/>
          </w:tcPr>
          <w:p w14:paraId="3A5279F2"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28,30</w:t>
            </w:r>
          </w:p>
        </w:tc>
        <w:tc>
          <w:tcPr>
            <w:tcW w:w="992" w:type="dxa"/>
            <w:tcBorders>
              <w:bottom w:val="single" w:sz="4" w:space="0" w:color="auto"/>
            </w:tcBorders>
            <w:vAlign w:val="center"/>
            <w:hideMark/>
          </w:tcPr>
          <w:p w14:paraId="091D1275"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kern w:val="0"/>
                <w:sz w:val="20"/>
                <w:szCs w:val="20"/>
                <w:lang w:val="en-PH" w:eastAsia="en-PH"/>
                <w14:ligatures w14:val="none"/>
              </w:rPr>
              <w:t>4</w:t>
            </w:r>
          </w:p>
        </w:tc>
        <w:tc>
          <w:tcPr>
            <w:tcW w:w="1066" w:type="dxa"/>
            <w:tcBorders>
              <w:bottom w:val="single" w:sz="4" w:space="0" w:color="auto"/>
            </w:tcBorders>
            <w:vAlign w:val="center"/>
            <w:hideMark/>
          </w:tcPr>
          <w:p w14:paraId="3B59C84E" w14:textId="77777777" w:rsidR="00510E80" w:rsidRPr="00067712" w:rsidRDefault="00510E80" w:rsidP="00067712">
            <w:pPr>
              <w:spacing w:after="0" w:line="240" w:lineRule="auto"/>
              <w:jc w:val="center"/>
              <w:rPr>
                <w:rFonts w:ascii="Arial" w:eastAsia="Times New Roman" w:hAnsi="Arial" w:cs="Arial"/>
                <w:color w:val="000000"/>
                <w:kern w:val="0"/>
                <w:sz w:val="20"/>
                <w:szCs w:val="20"/>
                <w:lang w:val="en-PH" w:eastAsia="en-PH"/>
                <w14:ligatures w14:val="none"/>
              </w:rPr>
            </w:pPr>
            <w:r w:rsidRPr="00067712">
              <w:rPr>
                <w:rFonts w:ascii="Arial" w:eastAsia="Times New Roman" w:hAnsi="Arial" w:cs="Arial"/>
                <w:color w:val="000000" w:themeColor="text1"/>
                <w:kern w:val="0"/>
                <w:sz w:val="20"/>
                <w:szCs w:val="20"/>
                <w:lang w:eastAsia="en-PH"/>
                <w14:ligatures w14:val="none"/>
              </w:rPr>
              <w:t>14%</w:t>
            </w:r>
          </w:p>
        </w:tc>
      </w:tr>
      <w:tr w:rsidR="00510E80" w:rsidRPr="00067712" w14:paraId="356F0CCA" w14:textId="77777777" w:rsidTr="00C010D0">
        <w:trPr>
          <w:trHeight w:val="300"/>
          <w:jc w:val="center"/>
        </w:trPr>
        <w:tc>
          <w:tcPr>
            <w:tcW w:w="1266" w:type="dxa"/>
            <w:tcBorders>
              <w:top w:val="single" w:sz="4" w:space="0" w:color="auto"/>
              <w:bottom w:val="nil"/>
            </w:tcBorders>
            <w:vAlign w:val="center"/>
            <w:hideMark/>
          </w:tcPr>
          <w:p w14:paraId="2E47208F"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TOTAL</w:t>
            </w:r>
          </w:p>
        </w:tc>
        <w:tc>
          <w:tcPr>
            <w:tcW w:w="1276" w:type="dxa"/>
            <w:tcBorders>
              <w:top w:val="single" w:sz="4" w:space="0" w:color="auto"/>
              <w:bottom w:val="nil"/>
            </w:tcBorders>
            <w:vAlign w:val="center"/>
            <w:hideMark/>
          </w:tcPr>
          <w:p w14:paraId="79B8E7C9"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100%</w:t>
            </w:r>
          </w:p>
        </w:tc>
        <w:tc>
          <w:tcPr>
            <w:tcW w:w="1208" w:type="dxa"/>
            <w:tcBorders>
              <w:top w:val="single" w:sz="4" w:space="0" w:color="auto"/>
              <w:bottom w:val="nil"/>
            </w:tcBorders>
            <w:vAlign w:val="center"/>
            <w:hideMark/>
          </w:tcPr>
          <w:p w14:paraId="45A1020E"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9</w:t>
            </w:r>
          </w:p>
        </w:tc>
        <w:tc>
          <w:tcPr>
            <w:tcW w:w="1343" w:type="dxa"/>
            <w:tcBorders>
              <w:top w:val="single" w:sz="4" w:space="0" w:color="auto"/>
              <w:bottom w:val="nil"/>
            </w:tcBorders>
            <w:vAlign w:val="center"/>
            <w:hideMark/>
          </w:tcPr>
          <w:p w14:paraId="4CD8ACA0"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12</w:t>
            </w:r>
          </w:p>
        </w:tc>
        <w:tc>
          <w:tcPr>
            <w:tcW w:w="1276" w:type="dxa"/>
            <w:tcBorders>
              <w:top w:val="single" w:sz="4" w:space="0" w:color="auto"/>
              <w:bottom w:val="nil"/>
            </w:tcBorders>
            <w:vAlign w:val="center"/>
            <w:hideMark/>
          </w:tcPr>
          <w:p w14:paraId="2F63524A"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7</w:t>
            </w:r>
          </w:p>
        </w:tc>
        <w:tc>
          <w:tcPr>
            <w:tcW w:w="1276" w:type="dxa"/>
            <w:tcBorders>
              <w:top w:val="single" w:sz="4" w:space="0" w:color="auto"/>
              <w:bottom w:val="nil"/>
            </w:tcBorders>
            <w:vAlign w:val="center"/>
            <w:hideMark/>
          </w:tcPr>
          <w:p w14:paraId="1058A465"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2</w:t>
            </w:r>
          </w:p>
        </w:tc>
        <w:tc>
          <w:tcPr>
            <w:tcW w:w="992" w:type="dxa"/>
            <w:tcBorders>
              <w:top w:val="single" w:sz="4" w:space="0" w:color="auto"/>
              <w:bottom w:val="nil"/>
            </w:tcBorders>
            <w:vAlign w:val="center"/>
            <w:hideMark/>
          </w:tcPr>
          <w:p w14:paraId="33A7836B"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30</w:t>
            </w:r>
          </w:p>
        </w:tc>
        <w:tc>
          <w:tcPr>
            <w:tcW w:w="1066" w:type="dxa"/>
            <w:tcBorders>
              <w:top w:val="single" w:sz="4" w:space="0" w:color="auto"/>
              <w:bottom w:val="nil"/>
            </w:tcBorders>
            <w:vAlign w:val="center"/>
            <w:hideMark/>
          </w:tcPr>
          <w:p w14:paraId="3C6979B6" w14:textId="77777777" w:rsidR="00510E80" w:rsidRPr="00067712" w:rsidRDefault="00510E80" w:rsidP="00067712">
            <w:pPr>
              <w:spacing w:after="0" w:line="240" w:lineRule="auto"/>
              <w:jc w:val="center"/>
              <w:rPr>
                <w:rFonts w:ascii="Arial" w:eastAsia="Times New Roman" w:hAnsi="Arial" w:cs="Arial"/>
                <w:b/>
                <w:bCs/>
                <w:color w:val="000000"/>
                <w:kern w:val="0"/>
                <w:sz w:val="20"/>
                <w:szCs w:val="20"/>
                <w:lang w:val="en-PH" w:eastAsia="en-PH"/>
                <w14:ligatures w14:val="none"/>
              </w:rPr>
            </w:pPr>
            <w:r w:rsidRPr="00067712">
              <w:rPr>
                <w:rFonts w:ascii="Arial" w:eastAsia="Times New Roman" w:hAnsi="Arial" w:cs="Arial"/>
                <w:b/>
                <w:bCs/>
                <w:color w:val="000000"/>
                <w:kern w:val="0"/>
                <w:sz w:val="20"/>
                <w:szCs w:val="20"/>
                <w:lang w:eastAsia="en-PH"/>
                <w14:ligatures w14:val="none"/>
              </w:rPr>
              <w:t>100%</w:t>
            </w:r>
          </w:p>
        </w:tc>
      </w:tr>
    </w:tbl>
    <w:p w14:paraId="41C40517" w14:textId="6091DA78" w:rsidR="00510E80" w:rsidRPr="00067712" w:rsidRDefault="00067712" w:rsidP="00067712">
      <w:pPr>
        <w:pStyle w:val="ListParagraph"/>
        <w:numPr>
          <w:ilvl w:val="0"/>
          <w:numId w:val="1"/>
        </w:numPr>
        <w:spacing w:before="240" w:afterLines="240" w:after="576"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DISCUSSION</w:t>
      </w:r>
    </w:p>
    <w:p w14:paraId="5BB0C46D" w14:textId="77777777" w:rsidR="00067712" w:rsidRDefault="00067712" w:rsidP="00067712">
      <w:pPr>
        <w:pStyle w:val="NormalWeb"/>
        <w:spacing w:beforeLines="240" w:before="576" w:beforeAutospacing="0" w:after="240" w:afterAutospacing="0"/>
        <w:ind w:left="360"/>
        <w:jc w:val="both"/>
        <w:rPr>
          <w:b/>
          <w:bCs/>
        </w:rPr>
      </w:pPr>
      <w:r w:rsidRPr="00067712">
        <w:rPr>
          <w:b/>
          <w:bCs/>
        </w:rPr>
        <w:t>Identifying Foundational Competencies</w:t>
      </w:r>
    </w:p>
    <w:p w14:paraId="36234E5A" w14:textId="286F94EB" w:rsidR="00067712" w:rsidRPr="00067712" w:rsidRDefault="00067712" w:rsidP="00067712">
      <w:pPr>
        <w:pStyle w:val="NormalWeb"/>
        <w:spacing w:beforeLines="240" w:before="576" w:beforeAutospacing="0" w:after="240" w:afterAutospacing="0"/>
        <w:ind w:firstLine="720"/>
        <w:jc w:val="both"/>
        <w:rPr>
          <w:b/>
          <w:bCs/>
        </w:rPr>
      </w:pPr>
      <w:r w:rsidRPr="00067712">
        <w:t>The analysis of the curriculum revealed a persistent issue of "content congestion," where students are often overwhelmed by a vast number of competencies without mastering the essentials. For years, the Philippine basic education system was characterized by a curriculum where students were overwhelmed by a vast number of competencies without mastering the essentials. The results of this study directly align with the overarching goal of the MATATAG framework, which is to de-clutter the curriculum and focus on foundational skills.</w:t>
      </w:r>
    </w:p>
    <w:p w14:paraId="03819CCE" w14:textId="77777777" w:rsidR="00067712" w:rsidRPr="00067712" w:rsidRDefault="00067712" w:rsidP="00067712">
      <w:pPr>
        <w:pStyle w:val="NormalWeb"/>
        <w:spacing w:beforeLines="240" w:before="576" w:beforeAutospacing="0" w:after="240" w:afterAutospacing="0"/>
        <w:ind w:firstLine="720"/>
        <w:jc w:val="both"/>
      </w:pPr>
      <w:r w:rsidRPr="00067712">
        <w:t>The structure of the developed instrument is not an arbitrary design but a direct reflection of the curriculum’s priorities. Based on the weighted frequency of competencies in the Grade 7 MATATAG Mathematics Curriculum, 62% of the total weight is concentrated in Numbers and Algebra. This heavy emphasis highlights that these domains are the primary cognitive building blocks for secondary education. The remaining weight is distributed among Measurement &amp; Geometry (24%), and Statistics &amp; Probability (14%), mirroring the curriculum's architectural design.</w:t>
      </w:r>
    </w:p>
    <w:p w14:paraId="1E69309A" w14:textId="77777777" w:rsidR="00067712" w:rsidRPr="00067712" w:rsidRDefault="00067712" w:rsidP="00067712">
      <w:pPr>
        <w:pStyle w:val="NormalWeb"/>
        <w:spacing w:beforeLines="240" w:before="576" w:beforeAutospacing="0" w:after="240" w:afterAutospacing="0"/>
        <w:ind w:firstLine="720"/>
        <w:jc w:val="both"/>
      </w:pPr>
      <w:r w:rsidRPr="00067712">
        <w:t>The implication for educators is profound; this weighted distribution confirms that the way to higher-order mathematical success is paved through numerical and algebraic literacy. If we do not prioritize these foundational skills at the beginning of Grade 7, any subsequent attempt to teach complex geometry or statistics will likely fail because the underlying cognitive architecture which is the foundational operations is not yet solidified. By mirroring these curriculum weights in the CNT, the study ensures that the assessment actually measures what the Department of Education deems most critical for a Grade 7 learner to master.</w:t>
      </w:r>
    </w:p>
    <w:p w14:paraId="22D1D7B2" w14:textId="77777777" w:rsidR="00067712" w:rsidRPr="00067712" w:rsidRDefault="00067712" w:rsidP="00067712">
      <w:pPr>
        <w:pStyle w:val="NormalWeb"/>
        <w:spacing w:beforeLines="240" w:before="576" w:beforeAutospacing="0" w:after="240" w:afterAutospacing="0"/>
        <w:jc w:val="both"/>
      </w:pPr>
      <w:r w:rsidRPr="00067712">
        <w:rPr>
          <w:b/>
          <w:bCs/>
        </w:rPr>
        <w:t>The Blueprint of Cognitive Complexity</w:t>
      </w:r>
    </w:p>
    <w:p w14:paraId="674C9E0E" w14:textId="77777777" w:rsidR="00067712" w:rsidRPr="00067712" w:rsidRDefault="00067712" w:rsidP="00067712">
      <w:pPr>
        <w:pStyle w:val="NormalWeb"/>
        <w:spacing w:beforeLines="240" w:before="576" w:beforeAutospacing="0" w:after="240" w:afterAutospacing="0"/>
        <w:ind w:firstLine="720"/>
        <w:jc w:val="both"/>
      </w:pPr>
      <w:r w:rsidRPr="00067712">
        <w:t xml:space="preserve">The researcher utilized the Structure of Observed Learning Outcome (SOLO) Taxonomy to establish a hierarchical framework for the initial assessment. The cognitive blueprint for the initial 50-item pool was strategically distributed across the SOLO levels to provide a high-resolution diagnostic map of learner proficiency. The instrument comprises 28 Unistructural items, 8 </w:t>
      </w:r>
      <w:proofErr w:type="spellStart"/>
      <w:r w:rsidRPr="00067712">
        <w:t>Multistructural</w:t>
      </w:r>
      <w:proofErr w:type="spellEnd"/>
      <w:r w:rsidRPr="00067712">
        <w:t xml:space="preserve"> items, 11 Relational items, and 3 Extended Abstract items. By assigning higher weights to Relational and Extended Abstract items, the scoring system ensures that a student’s final proficiency level reflects their actual cognitive depth. For instance, a student who successfully integrates multiple concepts to solve a relational problem demonstrates a higher level of numeracy readiness than one who merely identifies isolated facts in a unistructural task.</w:t>
      </w:r>
    </w:p>
    <w:p w14:paraId="0158697D" w14:textId="77777777" w:rsidR="00067712" w:rsidRPr="00067712" w:rsidRDefault="00067712" w:rsidP="00067712">
      <w:pPr>
        <w:pStyle w:val="NormalWeb"/>
        <w:spacing w:beforeLines="240" w:before="576" w:beforeAutospacing="0" w:after="240" w:afterAutospacing="0"/>
        <w:ind w:firstLine="720"/>
        <w:jc w:val="both"/>
      </w:pPr>
      <w:r w:rsidRPr="00067712">
        <w:t>Crucially, this cognitive blueprint was mapped directly onto the content domains identified in the first objective. Since the curriculum analysis revealed that Numbers and Algebra represent the vast majority of the foundational weight at 62%, the researcher ensured that the higher-order SOLO items were predominantly situated within these critical domains. This alignment ensures that the "weight" of the student’s score is concentrated in the areas the MATATAG Curriculum deems most essential for Grade 7 success.</w:t>
      </w:r>
    </w:p>
    <w:p w14:paraId="37D39130" w14:textId="77777777" w:rsidR="00067712" w:rsidRPr="00067712" w:rsidRDefault="00067712" w:rsidP="00067712">
      <w:pPr>
        <w:pStyle w:val="NormalWeb"/>
        <w:spacing w:beforeLines="240" w:before="576" w:beforeAutospacing="0" w:after="240" w:afterAutospacing="0"/>
        <w:ind w:firstLine="720"/>
        <w:jc w:val="both"/>
      </w:pPr>
      <w:r w:rsidRPr="00067712">
        <w:t xml:space="preserve">From an educational standpoint, this nuanced scoring prevents data flattening. It allows teachers to move beyond general labels of "pass" or "fail" and instead perform a "gap analysis" of a student’s thinking process. For example, if a class performs well on unistructural items but struggles with relational tasks in Algebra, the teacher knows that the instruction must shift from rote memorization to conceptual integration. However, it is </w:t>
      </w:r>
      <w:r w:rsidRPr="00067712">
        <w:lastRenderedPageBreak/>
        <w:t>important to note that while this system provides a detailed diagnostic snapshot, it serves as a specialized tool within the scope of this study and should be seen as a supplement to, rather than a total replacement for, diverse classroom assessment strategies.</w:t>
      </w:r>
    </w:p>
    <w:p w14:paraId="22986882" w14:textId="77777777" w:rsidR="00067712" w:rsidRPr="00067712" w:rsidRDefault="00067712" w:rsidP="00067712">
      <w:pPr>
        <w:pStyle w:val="NormalWeb"/>
        <w:spacing w:beforeLines="240" w:before="576" w:beforeAutospacing="0" w:after="240" w:afterAutospacing="0"/>
        <w:jc w:val="both"/>
      </w:pPr>
      <w:r w:rsidRPr="00067712">
        <w:rPr>
          <w:b/>
          <w:bCs/>
        </w:rPr>
        <w:t>Instrument Development and Validation</w:t>
      </w:r>
    </w:p>
    <w:p w14:paraId="4BEDFBF2" w14:textId="77777777" w:rsidR="00067712" w:rsidRPr="00067712" w:rsidRDefault="00067712" w:rsidP="00067712">
      <w:pPr>
        <w:pStyle w:val="NormalWeb"/>
        <w:spacing w:beforeLines="240" w:before="576" w:beforeAutospacing="0" w:after="240" w:afterAutospacing="0"/>
        <w:ind w:firstLine="720"/>
        <w:jc w:val="both"/>
      </w:pPr>
      <w:r w:rsidRPr="00067712">
        <w:t>The development of the Contextualized Numeracy Test (CNT) followed a rigorous evaluation process to ensure technical quality before pilot testing. Based on the DepEd Evaluation Rating Sheet for Printed Resources, the instrument received high ratings in the areas of Content, Format, and Presentation and Organization. These high scores indicate that the CNT adheres to the Department of Education’s standards for instructional materials, ensuring that the layout and design are conducive to student learning. In terms of Accuracy, the instrument passed the evaluation after revisions were made based on the experts' feedback, ensuring that all mathematical concepts and information are correct and error-free.</w:t>
      </w:r>
    </w:p>
    <w:p w14:paraId="03E76003" w14:textId="77777777" w:rsidR="00067712" w:rsidRPr="00067712" w:rsidRDefault="00067712" w:rsidP="00067712">
      <w:pPr>
        <w:pStyle w:val="NormalWeb"/>
        <w:spacing w:beforeLines="240" w:before="576" w:beforeAutospacing="0" w:after="240" w:afterAutospacing="0"/>
        <w:ind w:firstLine="720"/>
        <w:jc w:val="both"/>
      </w:pPr>
      <w:r w:rsidRPr="00067712">
        <w:t xml:space="preserve">The validation process was further strengthened using Lawshe’s Content Validity Ratio (CVR) involving seven (7) expert validators. During the initial review, specific items were identified as "not essential" for the target objectives. Following the strategic removal of these items, the instrument achieved a Content Validity Index (CVI) of 1.00, representing a perfect score. This indicates that all remaining items are highly relevant and perfectly aligned with the competencies intended to be measured. These results support the findings of Lawshe (1975) and Megawati and </w:t>
      </w:r>
      <w:proofErr w:type="spellStart"/>
      <w:r w:rsidRPr="00067712">
        <w:t>Sutarto</w:t>
      </w:r>
      <w:proofErr w:type="spellEnd"/>
      <w:r w:rsidRPr="00067712">
        <w:t xml:space="preserve"> (2021), who emphasize that the validity of a test relies on the careful scrutiny of content by subject matter experts.</w:t>
      </w:r>
    </w:p>
    <w:p w14:paraId="5E5B188C" w14:textId="77777777" w:rsidR="00067712" w:rsidRPr="00067712" w:rsidRDefault="00067712" w:rsidP="00067712">
      <w:pPr>
        <w:pStyle w:val="NormalWeb"/>
        <w:spacing w:beforeLines="240" w:before="576" w:beforeAutospacing="0" w:after="240" w:afterAutospacing="0"/>
        <w:ind w:firstLine="720"/>
        <w:jc w:val="both"/>
      </w:pPr>
      <w:r w:rsidRPr="00067712">
        <w:t>In addition to technical validation, the study indicates that the use of local context and familiar language plays a significant role in making the assessment accessible. By embedding mathematical problems in scenarios familiar to the Ocampo District and using a Filipino-dominant, code-switched format, the CNT reduces the cognitive load often associated with testing in a second language. This approach aligns with Rubel and McCloskey (2021), who suggest that placing mathematics within real-world contexts helps clarify the reasoning required to solve problems.</w:t>
      </w:r>
    </w:p>
    <w:p w14:paraId="67C99B4F" w14:textId="77777777" w:rsidR="00067712" w:rsidRPr="00067712" w:rsidRDefault="00067712" w:rsidP="00067712">
      <w:pPr>
        <w:pStyle w:val="NormalWeb"/>
        <w:spacing w:beforeLines="240" w:before="576" w:beforeAutospacing="0" w:after="240" w:afterAutospacing="0"/>
        <w:ind w:firstLine="720"/>
        <w:jc w:val="both"/>
      </w:pPr>
      <w:r w:rsidRPr="00067712">
        <w:t>Furthermore, the integration of these features addresses the requirements of the MATATAG Curriculum. As noted by Estrellado (2024), current curriculum reforms prioritize learner-centered approaches that make education more relevant to the 21st-century learner. By bridging abstract mathematical symbols with local realities, the CNT functions as a practical tool for diagnostic assessment. It ensures that students are evaluated on their numerical logic rather than their ability to decode complex English instructions. While effective for the target population, it should be recognized that these linguistic and validation results are specific to the Ocampo District and would require adaptation for use in other regions with different linguistic or cultural backgrounds.</w:t>
      </w:r>
    </w:p>
    <w:p w14:paraId="1823D519" w14:textId="77777777" w:rsidR="00067712" w:rsidRPr="00067712" w:rsidRDefault="00067712" w:rsidP="00067712">
      <w:pPr>
        <w:pStyle w:val="NormalWeb"/>
        <w:spacing w:beforeLines="240" w:before="576" w:beforeAutospacing="0" w:after="240" w:afterAutospacing="0"/>
        <w:jc w:val="both"/>
      </w:pPr>
      <w:r w:rsidRPr="00067712">
        <w:rPr>
          <w:b/>
          <w:bCs/>
        </w:rPr>
        <w:t>Psychometric Soundness and Technical Quality</w:t>
      </w:r>
    </w:p>
    <w:p w14:paraId="31B2EAA3" w14:textId="77777777" w:rsidR="00067712" w:rsidRPr="00067712" w:rsidRDefault="00067712" w:rsidP="00067712">
      <w:pPr>
        <w:pStyle w:val="NormalWeb"/>
        <w:spacing w:beforeLines="240" w:before="576" w:beforeAutospacing="0" w:after="240" w:afterAutospacing="0"/>
        <w:ind w:firstLine="720"/>
        <w:jc w:val="both"/>
      </w:pPr>
      <w:r w:rsidRPr="00067712">
        <w:t>The pilot testing phase, involving 307 respondents across the Ocampo District, served as the empirical validation of the instrument. The results of the item analysis provide a detailed look at the technical quality of the test, ensuring that each item contributes effectively to measuring learner numeracy.</w:t>
      </w:r>
    </w:p>
    <w:p w14:paraId="37E03ECA" w14:textId="77777777" w:rsidR="00067712" w:rsidRPr="00067712" w:rsidRDefault="00067712" w:rsidP="00067712">
      <w:pPr>
        <w:pStyle w:val="NormalWeb"/>
        <w:spacing w:beforeLines="240" w:before="576" w:beforeAutospacing="0" w:after="240" w:afterAutospacing="0"/>
        <w:ind w:firstLine="720"/>
        <w:jc w:val="both"/>
      </w:pPr>
      <w:r w:rsidRPr="00067712">
        <w:t xml:space="preserve">The average difficulty index of 0.5083 suggests that the instrument has achieved an optimal balance; it is rigorous enough to challenge learners but remains accessible enough to prevent immediate discouragement. Furthermore, the average discrimination index of 0.3432 indicates that the items can effectively distinguish </w:t>
      </w:r>
      <w:r w:rsidRPr="00067712">
        <w:lastRenderedPageBreak/>
        <w:t>between high-performing and low-performing students. To ensure the internal validity of each item, the Point-biserial Correlation was also calculated, yielding an average of 0.3032. This confirms that the individual items are positively and strongly correlated with the total test score, meaning that those who performed well on the overall test were also likely to answer specific items correctly.</w:t>
      </w:r>
    </w:p>
    <w:p w14:paraId="30D5A17A" w14:textId="77777777" w:rsidR="00067712" w:rsidRPr="00067712" w:rsidRDefault="00067712" w:rsidP="00067712">
      <w:pPr>
        <w:pStyle w:val="NormalWeb"/>
        <w:spacing w:beforeLines="240" w:before="576" w:beforeAutospacing="0" w:after="240" w:afterAutospacing="0"/>
        <w:ind w:firstLine="720"/>
        <w:jc w:val="both"/>
      </w:pPr>
      <w:r w:rsidRPr="00067712">
        <w:t>The average discrimination index of 0.3432 is particularly significant when viewed alongside the localized context of the Ocampo District. While a value above 0.30 is technically classified as "good" for distinguishing between high and low achievers, this specific score reflects the extreme performance gap within the pilot group. Analysis of the raw data reveals that students found the Numbers and Algebra domain the most challenging, particularly those items requiring Relational and Extended Abstract thinking under the SOLO Taxonomy. For instance, while learners could perform isolated operations (Unistructural), they struggled to apply these operations to multi-step algebraic word problems.</w:t>
      </w:r>
    </w:p>
    <w:p w14:paraId="0EA093D9" w14:textId="77777777" w:rsidR="00067712" w:rsidRPr="00067712" w:rsidRDefault="00067712" w:rsidP="00067712">
      <w:pPr>
        <w:pStyle w:val="NormalWeb"/>
        <w:spacing w:beforeLines="240" w:before="576" w:beforeAutospacing="0" w:after="240" w:afterAutospacing="0"/>
        <w:ind w:firstLine="720"/>
        <w:jc w:val="both"/>
      </w:pPr>
      <w:r w:rsidRPr="00067712">
        <w:t>This difficulty in the dominant domain (Numbers and Algebra) directly correlates with the identified 91.94% non-proficiency rate in the locale. The "good" discrimination index confirms that the test is accurately identifying the very small percentage of "proficient" learners (the remaining 8.06%) while effectively grouping the vast majority of non-proficient learners together. This creates a "floor effect" where the high non-proficiency rate makes it harder for items to discriminate between the "middle" and "bottom" groups because both groups are struggling with the same foundational algebraic concepts. Essentially, the test has successfully mapped a local educational reality: the struggle is not with complex geometry, but with the foundational numerical logic required to even begin Grade 7 math.</w:t>
      </w:r>
    </w:p>
    <w:p w14:paraId="4154AD18" w14:textId="77777777" w:rsidR="00067712" w:rsidRPr="00067712" w:rsidRDefault="00067712" w:rsidP="00067712">
      <w:pPr>
        <w:pStyle w:val="NormalWeb"/>
        <w:spacing w:beforeLines="240" w:before="576" w:beforeAutospacing="0" w:after="240" w:afterAutospacing="0"/>
        <w:ind w:firstLine="720"/>
        <w:jc w:val="both"/>
      </w:pPr>
      <w:r w:rsidRPr="00067712">
        <w:t>In terms of reliability, the instrument demonstrated strong internal consistency. The Kuder-Richardson Formula 20 (KR-20) resulted in a coefficient of 0.7138, while the Cronbach’s Alpha yielded a score of 0.7128. These values exceed the standard threshold for classroom assessments, proving that the Contextualized Numeracy Test (CNT) produces stable and consistent results across the testing population.</w:t>
      </w:r>
    </w:p>
    <w:p w14:paraId="68815393" w14:textId="77777777" w:rsidR="00067712" w:rsidRPr="00067712" w:rsidRDefault="00067712" w:rsidP="00067712">
      <w:pPr>
        <w:pStyle w:val="NormalWeb"/>
        <w:spacing w:beforeLines="240" w:before="576" w:beforeAutospacing="0" w:after="240" w:afterAutospacing="0"/>
        <w:ind w:firstLine="720"/>
        <w:jc w:val="both"/>
      </w:pPr>
      <w:r w:rsidRPr="00067712">
        <w:t>However, it is vital to approach these results with academic humility. While the 307 students represent a solid sample of the Ocampo District, their performance might be influenced by local factors. Therefore, while the CNT is a viable tool for Ocampo, it should be viewed as a localized solution that invites others to consider their own cultural contexts. Furthermore, the strategic removal of items such as Item 16, which exhibited poor discrimination highlights the necessity of psychometric cleaning. It serves as a reminder to educators that if a student fails a question, the issue may occasionally lie in the item's construction rather than the student's actual ability. This rigorous refinement ensures that the final 30-item test is a statistically sound instrument for assessing Grade 7 readiness.</w:t>
      </w:r>
    </w:p>
    <w:p w14:paraId="1A40B574" w14:textId="77777777" w:rsidR="00067712" w:rsidRPr="00067712" w:rsidRDefault="00067712" w:rsidP="00067712">
      <w:pPr>
        <w:pStyle w:val="NormalWeb"/>
        <w:spacing w:beforeLines="240" w:before="576" w:beforeAutospacing="0" w:after="240" w:afterAutospacing="0"/>
        <w:jc w:val="both"/>
      </w:pPr>
      <w:r w:rsidRPr="00067712">
        <w:rPr>
          <w:b/>
          <w:bCs/>
        </w:rPr>
        <w:t>Final Features and Practical Utility</w:t>
      </w:r>
    </w:p>
    <w:p w14:paraId="3F7DF317" w14:textId="77777777" w:rsidR="00067712" w:rsidRPr="00067712" w:rsidRDefault="00067712" w:rsidP="00067712">
      <w:pPr>
        <w:pStyle w:val="NormalWeb"/>
        <w:spacing w:beforeLines="240" w:before="576" w:beforeAutospacing="0" w:after="240" w:afterAutospacing="0"/>
        <w:ind w:firstLine="720"/>
        <w:jc w:val="both"/>
      </w:pPr>
      <w:r w:rsidRPr="00067712">
        <w:t>The culmination of this research is the final version of the Contextualized Numeracy Test (CNT), which serves as a validated roadmap for instructional recovery rather than a mere assessment tool. The final instrument consists of 30 high-quality items that have undergone rigorous psychometric refinement. These items are distributed across the core domains of the MATATAG Curriculum based on the previously established weights: 19 items in Numbers and Algebra (62%), 7 items in Measurement &amp; Geometry (24%) and 4 items in Statistics and Probability (14%). This distribution ensures that the test remains focused on the competencies most critical for Grade 7 readiness.</w:t>
      </w:r>
    </w:p>
    <w:p w14:paraId="5DE38BED" w14:textId="77777777" w:rsidR="00067712" w:rsidRPr="00067712" w:rsidRDefault="00067712" w:rsidP="00067712">
      <w:pPr>
        <w:pStyle w:val="NormalWeb"/>
        <w:spacing w:beforeLines="240" w:before="576" w:beforeAutospacing="0" w:after="240" w:afterAutospacing="0"/>
        <w:ind w:firstLine="720"/>
        <w:jc w:val="both"/>
      </w:pPr>
      <w:r w:rsidRPr="00067712">
        <w:lastRenderedPageBreak/>
        <w:t xml:space="preserve">A defining feature of the CNT is its specialized scoring mechanism. By identifying where a learner falls on the SOLO proficiency scale, the test provides teachers with data necessary for targeted, evidence-based interventions. The instrument employs a hierarchical scoring system of 1, 2, 3, and 4 points, corresponding to the Unistructural, </w:t>
      </w:r>
      <w:proofErr w:type="spellStart"/>
      <w:r w:rsidRPr="00067712">
        <w:t>Multistructural</w:t>
      </w:r>
      <w:proofErr w:type="spellEnd"/>
      <w:r w:rsidRPr="00067712">
        <w:t>, Relational, and Extended Abstract levels, respectively. With a total perfect score of 62 points, this system allows for a more granular interpretation of student ability. Instead of simply counting correct answers, educators can determine the "cognitive ceiling" of a student distinguishing those who can perform basic operations from those who can synthesize complex mathematical relationships.</w:t>
      </w:r>
    </w:p>
    <w:p w14:paraId="42312990" w14:textId="40F35D69" w:rsidR="00F37FC6" w:rsidRDefault="00067712" w:rsidP="00067712">
      <w:pPr>
        <w:pStyle w:val="NormalWeb"/>
        <w:spacing w:beforeLines="240" w:before="576" w:beforeAutospacing="0" w:after="240" w:afterAutospacing="0"/>
        <w:ind w:firstLine="720"/>
        <w:jc w:val="both"/>
      </w:pPr>
      <w:r w:rsidRPr="00067712">
        <w:t>This tool empowers educators to move from general remediation to precise, data-driven instruction. Instead of a general review where everyone repeats every topic, teachers can focus on the specific structural gaps such as a lack of relational thinking in Algebra that prevent students from progressing. This ensures that Grade 7 learners are not just memorizing procedures but are developing the functional numeracy required to meaningfully apply mathematical ideas to their everyday lives. While the results are optimized for the Ocampo District, the framework of the CNT offers a scalable model for other educators seeking to align their assessments with the cognitive and contextual demands of the MATATAG Curriculum.</w:t>
      </w:r>
    </w:p>
    <w:p w14:paraId="4138F22B" w14:textId="77777777" w:rsidR="00067712" w:rsidRPr="00067712" w:rsidRDefault="00067712" w:rsidP="00067712">
      <w:pPr>
        <w:pStyle w:val="NormalWeb"/>
        <w:spacing w:beforeLines="240" w:before="576" w:beforeAutospacing="0" w:after="240" w:afterAutospacing="0"/>
        <w:ind w:firstLine="720"/>
        <w:jc w:val="both"/>
      </w:pPr>
    </w:p>
    <w:p w14:paraId="1B6D3B52" w14:textId="77777777" w:rsidR="00067712" w:rsidRPr="00067712" w:rsidRDefault="00067712" w:rsidP="00067712">
      <w:pPr>
        <w:pStyle w:val="NormalWeb"/>
        <w:spacing w:before="240" w:beforeAutospacing="0" w:after="240" w:afterAutospacing="0"/>
        <w:jc w:val="both"/>
        <w:rPr>
          <w:b/>
          <w:bCs/>
          <w:color w:val="000000" w:themeColor="text1"/>
        </w:rPr>
      </w:pPr>
      <w:r w:rsidRPr="00067712">
        <w:rPr>
          <w:b/>
          <w:bCs/>
          <w:color w:val="000000" w:themeColor="text1"/>
        </w:rPr>
        <w:t xml:space="preserve">Summary of Findings </w:t>
      </w:r>
    </w:p>
    <w:p w14:paraId="4889843E" w14:textId="77777777" w:rsidR="00067712" w:rsidRPr="00067712" w:rsidRDefault="00067712" w:rsidP="00067712">
      <w:pPr>
        <w:pStyle w:val="NormalWeb"/>
        <w:spacing w:before="240" w:beforeAutospacing="0" w:after="240" w:afterAutospacing="0"/>
        <w:ind w:firstLine="720"/>
        <w:jc w:val="both"/>
        <w:rPr>
          <w:color w:val="000000" w:themeColor="text1"/>
        </w:rPr>
      </w:pPr>
      <w:r w:rsidRPr="00067712">
        <w:rPr>
          <w:color w:val="000000" w:themeColor="text1"/>
        </w:rPr>
        <w:t>The development and validation of the Contextualized Numeracy Test (CNT) yielded several salient findings that underscore its readiness for academic use. Primarily, the instrument achieved rigorous curricular alignment by anchoring its items on the MATATAG Grade 7 Mathematics Curriculum, with a strategic 62% emphasis on the Numbers and Algebra domain to address foundational readiness. Following an iterative validation process, the instrument attained a perfect Content Validity Index (CVI) of 1.00, confirming the essentiality and technical accuracy of the final 30 items. Psychometric evaluation via pilot testing with 307 respondents demonstrated the instrument's integrity, recording a mean difficulty index of 0.5083 and a mean discrimination index of 0.3432. By utilizing Point-Biserial Correlation to eliminate flawed items, the researcher ensured the test effectively distinguishes between learner proficiency levels. Furthermore, the instrument demonstrated internal consistency with a KR-20 coefficient of 0.7138, establishing the CNT as a stable and reliable diagnostic tool for classroom implementation.</w:t>
      </w:r>
    </w:p>
    <w:p w14:paraId="31691F47" w14:textId="77777777" w:rsidR="00067712" w:rsidRPr="00067712" w:rsidRDefault="00067712" w:rsidP="00067712">
      <w:pPr>
        <w:pStyle w:val="NormalWeb"/>
        <w:spacing w:before="240" w:beforeAutospacing="0" w:after="240" w:afterAutospacing="0"/>
        <w:jc w:val="both"/>
        <w:rPr>
          <w:color w:val="000000" w:themeColor="text1"/>
        </w:rPr>
      </w:pPr>
    </w:p>
    <w:p w14:paraId="28E1B9D1" w14:textId="77777777" w:rsidR="00067712" w:rsidRPr="00067712" w:rsidRDefault="00067712" w:rsidP="00067712">
      <w:pPr>
        <w:pStyle w:val="NormalWeb"/>
        <w:spacing w:before="240" w:beforeAutospacing="0" w:after="240" w:afterAutospacing="0"/>
        <w:jc w:val="both"/>
        <w:rPr>
          <w:b/>
          <w:bCs/>
          <w:color w:val="000000" w:themeColor="text1"/>
        </w:rPr>
      </w:pPr>
      <w:r w:rsidRPr="00067712">
        <w:rPr>
          <w:b/>
          <w:bCs/>
          <w:color w:val="000000" w:themeColor="text1"/>
        </w:rPr>
        <w:t xml:space="preserve">Conclusions </w:t>
      </w:r>
    </w:p>
    <w:p w14:paraId="76A2444A" w14:textId="77777777" w:rsidR="00067712" w:rsidRPr="00067712" w:rsidRDefault="00067712" w:rsidP="00067712">
      <w:pPr>
        <w:pStyle w:val="NormalWeb"/>
        <w:spacing w:before="240" w:beforeAutospacing="0" w:after="240" w:afterAutospacing="0"/>
        <w:ind w:firstLine="720"/>
        <w:jc w:val="both"/>
        <w:rPr>
          <w:color w:val="000000" w:themeColor="text1"/>
        </w:rPr>
      </w:pPr>
      <w:r w:rsidRPr="00067712">
        <w:rPr>
          <w:color w:val="000000" w:themeColor="text1"/>
        </w:rPr>
        <w:t>In light of these findings, several significant conclusions are drawn regarding the utility of the developed instrument. The Contextualized Numeracy Test (CNT) stands as a statistically sound and valid diagnostic instrument that accurately maps the prerequisite skills necessitated by the MATATAG Grade 7 framework. Beyond mere correctness, the integration of the SOLO Taxonomy coupled with a hierarchical scoring system (1-2-3-4) provides a sophisticated diagnostic profile. This structure allows educators to move beyond binary "pass/fail" results and instead identify the specific cognitive depth—distinguishing between Surface and Deep Learning—of a learner's mathematical reasoning. Ultimately, the study concludes that contextualizing mathematical problems within real-life scenarios enhances the instrument's functional utility, effectively bridging the gap between abstract numeracy concepts and the relatable experiences of Grade 7 learners.</w:t>
      </w:r>
    </w:p>
    <w:p w14:paraId="4A22C205" w14:textId="77777777" w:rsidR="00067712" w:rsidRDefault="00067712" w:rsidP="00067712">
      <w:pPr>
        <w:pStyle w:val="NormalWeb"/>
        <w:spacing w:before="240" w:beforeAutospacing="0" w:after="240" w:afterAutospacing="0"/>
        <w:ind w:firstLine="720"/>
        <w:jc w:val="both"/>
        <w:rPr>
          <w:color w:val="000000" w:themeColor="text1"/>
        </w:rPr>
      </w:pPr>
    </w:p>
    <w:p w14:paraId="1994E4B8" w14:textId="77777777" w:rsidR="00067712" w:rsidRDefault="00067712" w:rsidP="00067712">
      <w:pPr>
        <w:pStyle w:val="NormalWeb"/>
        <w:spacing w:before="240" w:beforeAutospacing="0" w:after="240" w:afterAutospacing="0"/>
        <w:ind w:firstLine="720"/>
        <w:jc w:val="both"/>
        <w:rPr>
          <w:color w:val="000000" w:themeColor="text1"/>
        </w:rPr>
      </w:pPr>
    </w:p>
    <w:p w14:paraId="128A3FC1" w14:textId="77777777" w:rsidR="00067712" w:rsidRDefault="00067712" w:rsidP="00067712">
      <w:pPr>
        <w:pStyle w:val="NormalWeb"/>
        <w:spacing w:before="240" w:beforeAutospacing="0" w:after="240" w:afterAutospacing="0"/>
        <w:ind w:firstLine="720"/>
        <w:jc w:val="both"/>
        <w:rPr>
          <w:color w:val="000000" w:themeColor="text1"/>
        </w:rPr>
      </w:pPr>
    </w:p>
    <w:p w14:paraId="4A60125A" w14:textId="77777777" w:rsidR="00067712" w:rsidRPr="00067712" w:rsidRDefault="00067712" w:rsidP="00067712">
      <w:pPr>
        <w:pStyle w:val="NormalWeb"/>
        <w:spacing w:before="240" w:beforeAutospacing="0" w:after="240" w:afterAutospacing="0"/>
        <w:ind w:firstLine="720"/>
        <w:jc w:val="both"/>
        <w:rPr>
          <w:color w:val="000000" w:themeColor="text1"/>
        </w:rPr>
      </w:pPr>
    </w:p>
    <w:p w14:paraId="327A0C77" w14:textId="77777777" w:rsidR="00067712" w:rsidRPr="00067712" w:rsidRDefault="00067712" w:rsidP="00067712">
      <w:pPr>
        <w:pStyle w:val="NormalWeb"/>
        <w:spacing w:before="240" w:beforeAutospacing="0" w:after="240" w:afterAutospacing="0"/>
        <w:jc w:val="both"/>
        <w:rPr>
          <w:b/>
          <w:bCs/>
          <w:color w:val="000000" w:themeColor="text1"/>
        </w:rPr>
      </w:pPr>
      <w:r w:rsidRPr="00067712">
        <w:rPr>
          <w:b/>
          <w:bCs/>
          <w:color w:val="000000" w:themeColor="text1"/>
        </w:rPr>
        <w:lastRenderedPageBreak/>
        <w:t xml:space="preserve">Recommendations </w:t>
      </w:r>
    </w:p>
    <w:p w14:paraId="0F3CF21F" w14:textId="77777777" w:rsidR="00067712" w:rsidRPr="00067712" w:rsidRDefault="00067712" w:rsidP="00067712">
      <w:pPr>
        <w:pStyle w:val="NormalWeb"/>
        <w:spacing w:before="240" w:beforeAutospacing="0" w:after="240" w:afterAutospacing="0"/>
        <w:ind w:firstLine="720"/>
        <w:jc w:val="both"/>
        <w:rPr>
          <w:color w:val="000000" w:themeColor="text1"/>
        </w:rPr>
      </w:pPr>
      <w:r w:rsidRPr="00067712">
        <w:rPr>
          <w:color w:val="000000" w:themeColor="text1"/>
        </w:rPr>
        <w:t>To maximize the impact of this study, several strategic recommendations are proposed for educational stakeholders. First, it is recommended that school administrators and the Department of Education institutionalize the Contextualized Numeracy Test (CNT) as a standard diagnostic tool to be administered at the beginning of the academic year. This institutionalization would facilitate data-driven instructional planning by providing a clear baseline of learner readiness before the introduction of Grade 7 competencies. To ensure the efficiency of this system, the development of an automated digital scoring portal is highly encouraged. Such a mechanism would streamline the hierarchical 1-2-3-4 scoring process, providing teachers with immediate feedback and automatically categorizing learners into their respective SOLO proficiency levels for timely intervention.</w:t>
      </w:r>
    </w:p>
    <w:p w14:paraId="30214E47" w14:textId="77777777" w:rsidR="00067712" w:rsidRPr="00067712" w:rsidRDefault="00067712" w:rsidP="00067712">
      <w:pPr>
        <w:pStyle w:val="NormalWeb"/>
        <w:spacing w:before="240" w:beforeAutospacing="0" w:after="240" w:afterAutospacing="0"/>
        <w:ind w:firstLine="720"/>
        <w:jc w:val="both"/>
        <w:rPr>
          <w:color w:val="000000" w:themeColor="text1"/>
        </w:rPr>
      </w:pPr>
      <w:r w:rsidRPr="00067712">
        <w:rPr>
          <w:color w:val="000000" w:themeColor="text1"/>
        </w:rPr>
        <w:t xml:space="preserve">Furthermore, mathematics teachers are encouraged to utilize the resulting diagnostic data to design differentiated intervention programs. This involves providing foundational, drill-based support for learners at the unistructural and </w:t>
      </w:r>
      <w:proofErr w:type="spellStart"/>
      <w:r w:rsidRPr="00067712">
        <w:rPr>
          <w:color w:val="000000" w:themeColor="text1"/>
        </w:rPr>
        <w:t>multistructural</w:t>
      </w:r>
      <w:proofErr w:type="spellEnd"/>
      <w:r w:rsidRPr="00067712">
        <w:rPr>
          <w:color w:val="000000" w:themeColor="text1"/>
        </w:rPr>
        <w:t xml:space="preserve"> levels while simultaneously challenging advanced learners with relational and extended abstract tasks to promote higher-order thinking. Beyond Grade 7, it is suggested that this model of contextualized assessment be expanded to cover other grade levels within Key Stages 3 and 4 (Grades 8 to 12) to ensure a vertically aligned numeracy tracking system. For larger-scale implementation, future researchers and testing coordinators should consider transitioning from Classical Test Theory (CTT) to Item Response Theory (IRT) to obtain more precise, sample-independent estimates of item difficulty and student ability.</w:t>
      </w:r>
    </w:p>
    <w:p w14:paraId="08C4CA6B" w14:textId="77777777" w:rsidR="00067712" w:rsidRPr="00067712" w:rsidRDefault="00067712" w:rsidP="00067712">
      <w:pPr>
        <w:pStyle w:val="NormalWeb"/>
        <w:spacing w:before="240" w:beforeAutospacing="0" w:after="240" w:afterAutospacing="0"/>
        <w:ind w:firstLine="720"/>
        <w:jc w:val="both"/>
        <w:rPr>
          <w:color w:val="000000" w:themeColor="text1"/>
        </w:rPr>
      </w:pPr>
      <w:r w:rsidRPr="00067712">
        <w:rPr>
          <w:color w:val="000000" w:themeColor="text1"/>
        </w:rPr>
        <w:t>The modernization of these assessments could further be enhanced through the adoption of AI-based adaptive numeracy tools. By utilizing Computerized Adaptive Testing (CAT), the difficulty of the items can be adjusted in real-time based on the student's responses, offering a more personalized and efficient measurement of their cognitive ceiling. On a broader scale, the Department of Education should work towards the nationwide standardization of contextualized diagnostic tools. While the content of the problems should remain local and culturally relevant, a standardized national framework would ensure that psychometric rigor and proficiency benchmarks remain consistent across all regions. Finally, further research is suggested to establish the predictive validity of the CNT by correlating diagnostic results with long-term academic performance, thereby confirming its role as a reliable forecaster of student success in secondary mathematics.</w:t>
      </w:r>
    </w:p>
    <w:p w14:paraId="71927A5D" w14:textId="77777777" w:rsidR="00067712" w:rsidRDefault="00067712" w:rsidP="00067712">
      <w:pPr>
        <w:spacing w:before="240" w:afterLines="240" w:after="576" w:line="240" w:lineRule="auto"/>
        <w:rPr>
          <w:rFonts w:ascii="Times New Roman" w:hAnsi="Times New Roman" w:cs="Times New Roman"/>
          <w:b/>
          <w:bCs/>
        </w:rPr>
      </w:pPr>
    </w:p>
    <w:p w14:paraId="63866DF8" w14:textId="77777777" w:rsidR="00067712" w:rsidRPr="00067712" w:rsidRDefault="00067712" w:rsidP="00067712">
      <w:pPr>
        <w:pStyle w:val="NormalWeb"/>
        <w:spacing w:before="240" w:beforeAutospacing="0" w:afterLines="240" w:after="576" w:afterAutospacing="0"/>
        <w:jc w:val="center"/>
        <w:rPr>
          <w:b/>
          <w:bCs/>
        </w:rPr>
      </w:pPr>
      <w:r w:rsidRPr="00067712">
        <w:rPr>
          <w:b/>
          <w:bCs/>
        </w:rPr>
        <w:t>REFERENCES</w:t>
      </w:r>
    </w:p>
    <w:p w14:paraId="3735A853"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Abenes, R. D., &amp; </w:t>
      </w:r>
      <w:proofErr w:type="spellStart"/>
      <w:r w:rsidRPr="00067712">
        <w:rPr>
          <w:rFonts w:ascii="Times New Roman" w:hAnsi="Times New Roman" w:cs="Times New Roman"/>
        </w:rPr>
        <w:t>Esperancilla</w:t>
      </w:r>
      <w:proofErr w:type="spellEnd"/>
      <w:r w:rsidRPr="00067712">
        <w:rPr>
          <w:rFonts w:ascii="Times New Roman" w:hAnsi="Times New Roman" w:cs="Times New Roman"/>
        </w:rPr>
        <w:t>, E. J. D. (2025). From Theory to Practice: Gert Biesta’s Educational Telos in the Philippines' MATATAG Curriculum. </w:t>
      </w:r>
      <w:proofErr w:type="spellStart"/>
      <w:r w:rsidRPr="00067712">
        <w:rPr>
          <w:rFonts w:ascii="Times New Roman" w:hAnsi="Times New Roman" w:cs="Times New Roman"/>
          <w:i/>
          <w:iCs/>
        </w:rPr>
        <w:t>Lukad</w:t>
      </w:r>
      <w:proofErr w:type="spellEnd"/>
      <w:r w:rsidRPr="00067712">
        <w:rPr>
          <w:rFonts w:ascii="Times New Roman" w:hAnsi="Times New Roman" w:cs="Times New Roman"/>
          <w:i/>
          <w:iCs/>
        </w:rPr>
        <w:t>: An Online Journal of Pedagogy</w:t>
      </w:r>
      <w:r w:rsidRPr="00067712">
        <w:rPr>
          <w:rFonts w:ascii="Times New Roman" w:hAnsi="Times New Roman" w:cs="Times New Roman"/>
        </w:rPr>
        <w:t>, 20-44. https://www.researchgate.net/profile/Rodrigo-Abenes/publication/390998010</w:t>
      </w:r>
    </w:p>
    <w:p w14:paraId="20873AD7"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Abuan, </w:t>
      </w:r>
      <w:proofErr w:type="spellStart"/>
      <w:r w:rsidRPr="00067712">
        <w:rPr>
          <w:rFonts w:ascii="Times New Roman" w:hAnsi="Times New Roman" w:cs="Times New Roman"/>
        </w:rPr>
        <w:t>Johmar</w:t>
      </w:r>
      <w:proofErr w:type="spellEnd"/>
      <w:r w:rsidRPr="00067712">
        <w:rPr>
          <w:rFonts w:ascii="Times New Roman" w:hAnsi="Times New Roman" w:cs="Times New Roman"/>
        </w:rPr>
        <w:t xml:space="preserve"> &amp; </w:t>
      </w:r>
      <w:proofErr w:type="spellStart"/>
      <w:r w:rsidRPr="00067712">
        <w:rPr>
          <w:rFonts w:ascii="Times New Roman" w:hAnsi="Times New Roman" w:cs="Times New Roman"/>
        </w:rPr>
        <w:t>Taganap</w:t>
      </w:r>
      <w:proofErr w:type="spellEnd"/>
      <w:r w:rsidRPr="00067712">
        <w:rPr>
          <w:rFonts w:ascii="Times New Roman" w:hAnsi="Times New Roman" w:cs="Times New Roman"/>
        </w:rPr>
        <w:t>, Eduard. (2025). Predicting mathematics teaching anxiety from mathematics performance and mathematics anxiety. Journal of Education and Learning (</w:t>
      </w:r>
      <w:proofErr w:type="spellStart"/>
      <w:r w:rsidRPr="00067712">
        <w:rPr>
          <w:rFonts w:ascii="Times New Roman" w:hAnsi="Times New Roman" w:cs="Times New Roman"/>
        </w:rPr>
        <w:t>EduLearn</w:t>
      </w:r>
      <w:proofErr w:type="spellEnd"/>
      <w:r w:rsidRPr="00067712">
        <w:rPr>
          <w:rFonts w:ascii="Times New Roman" w:hAnsi="Times New Roman" w:cs="Times New Roman"/>
        </w:rPr>
        <w:t>). 19. 2107-2116. 10.11591/</w:t>
      </w:r>
      <w:proofErr w:type="gramStart"/>
      <w:r w:rsidRPr="00067712">
        <w:rPr>
          <w:rFonts w:ascii="Times New Roman" w:hAnsi="Times New Roman" w:cs="Times New Roman"/>
        </w:rPr>
        <w:t>edulearn.v</w:t>
      </w:r>
      <w:proofErr w:type="gramEnd"/>
      <w:r w:rsidRPr="00067712">
        <w:rPr>
          <w:rFonts w:ascii="Times New Roman" w:hAnsi="Times New Roman" w:cs="Times New Roman"/>
        </w:rPr>
        <w:t>19i4.21962.</w:t>
      </w:r>
    </w:p>
    <w:p w14:paraId="7EE916E7"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color w:val="000000" w:themeColor="text1"/>
        </w:rPr>
        <w:t>Astriani</w:t>
      </w:r>
      <w:proofErr w:type="spellEnd"/>
      <w:r w:rsidRPr="00067712">
        <w:rPr>
          <w:rFonts w:ascii="Times New Roman" w:hAnsi="Times New Roman" w:cs="Times New Roman"/>
          <w:color w:val="000000" w:themeColor="text1"/>
        </w:rPr>
        <w:t xml:space="preserve">, L., &amp; </w:t>
      </w:r>
      <w:proofErr w:type="spellStart"/>
      <w:r w:rsidRPr="00067712">
        <w:rPr>
          <w:rFonts w:ascii="Times New Roman" w:hAnsi="Times New Roman" w:cs="Times New Roman"/>
          <w:color w:val="000000" w:themeColor="text1"/>
        </w:rPr>
        <w:t>Akyuni</w:t>
      </w:r>
      <w:proofErr w:type="spellEnd"/>
      <w:r w:rsidRPr="00067712">
        <w:rPr>
          <w:rFonts w:ascii="Times New Roman" w:hAnsi="Times New Roman" w:cs="Times New Roman"/>
          <w:color w:val="000000" w:themeColor="text1"/>
        </w:rPr>
        <w:t>, N. I. (2024). Analysis of Numeracy Skills in Grade Vi Elementary School Learners in Solving Minimum Competency Assessment Questions. </w:t>
      </w:r>
      <w:proofErr w:type="spellStart"/>
      <w:r w:rsidRPr="00067712">
        <w:rPr>
          <w:rFonts w:ascii="Times New Roman" w:hAnsi="Times New Roman" w:cs="Times New Roman"/>
          <w:i/>
          <w:iCs/>
          <w:color w:val="000000" w:themeColor="text1"/>
        </w:rPr>
        <w:t>Kalamatika</w:t>
      </w:r>
      <w:proofErr w:type="spellEnd"/>
      <w:r w:rsidRPr="00067712">
        <w:rPr>
          <w:rFonts w:ascii="Times New Roman" w:hAnsi="Times New Roman" w:cs="Times New Roman"/>
          <w:i/>
          <w:iCs/>
          <w:color w:val="000000" w:themeColor="text1"/>
        </w:rPr>
        <w:t xml:space="preserve">: </w:t>
      </w:r>
      <w:proofErr w:type="spellStart"/>
      <w:r w:rsidRPr="00067712">
        <w:rPr>
          <w:rFonts w:ascii="Times New Roman" w:hAnsi="Times New Roman" w:cs="Times New Roman"/>
          <w:i/>
          <w:iCs/>
          <w:color w:val="000000" w:themeColor="text1"/>
        </w:rPr>
        <w:t>Jurnal</w:t>
      </w:r>
      <w:proofErr w:type="spellEnd"/>
      <w:r w:rsidRPr="00067712">
        <w:rPr>
          <w:rFonts w:ascii="Times New Roman" w:hAnsi="Times New Roman" w:cs="Times New Roman"/>
          <w:i/>
          <w:iCs/>
          <w:color w:val="000000" w:themeColor="text1"/>
        </w:rPr>
        <w:t xml:space="preserve"> Pendidikan </w:t>
      </w:r>
      <w:proofErr w:type="spellStart"/>
      <w:r w:rsidRPr="00067712">
        <w:rPr>
          <w:rFonts w:ascii="Times New Roman" w:hAnsi="Times New Roman" w:cs="Times New Roman"/>
          <w:i/>
          <w:iCs/>
          <w:color w:val="000000" w:themeColor="text1"/>
        </w:rPr>
        <w:t>Matematika</w:t>
      </w:r>
      <w:proofErr w:type="spellEnd"/>
      <w:r w:rsidRPr="00067712">
        <w:rPr>
          <w:rFonts w:ascii="Times New Roman" w:hAnsi="Times New Roman" w:cs="Times New Roman"/>
          <w:color w:val="000000" w:themeColor="text1"/>
        </w:rPr>
        <w:t>, </w:t>
      </w:r>
      <w:r w:rsidRPr="00067712">
        <w:rPr>
          <w:rFonts w:ascii="Times New Roman" w:hAnsi="Times New Roman" w:cs="Times New Roman"/>
          <w:i/>
          <w:iCs/>
          <w:color w:val="000000" w:themeColor="text1"/>
        </w:rPr>
        <w:t>9</w:t>
      </w:r>
      <w:r w:rsidRPr="00067712">
        <w:rPr>
          <w:rFonts w:ascii="Times New Roman" w:hAnsi="Times New Roman" w:cs="Times New Roman"/>
          <w:color w:val="000000" w:themeColor="text1"/>
        </w:rPr>
        <w:t xml:space="preserve">(1), 15-30. </w:t>
      </w:r>
      <w:hyperlink r:id="rId10" w:history="1">
        <w:r w:rsidRPr="00067712">
          <w:rPr>
            <w:rStyle w:val="Hyperlink"/>
            <w:rFonts w:ascii="Times New Roman" w:hAnsi="Times New Roman" w:cs="Times New Roman"/>
          </w:rPr>
          <w:t>https://doi.org/10.22236/KALAMATIKA.vol9no1.2024pp15-30</w:t>
        </w:r>
      </w:hyperlink>
    </w:p>
    <w:p w14:paraId="4F20A317"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lastRenderedPageBreak/>
        <w:t>Bang, H. J., Li, L., &amp; Flynn, K. (2023). Efficacy of an adaptive game-based math learning app to support personalized learning and improve early elementary school learners’ learning. </w:t>
      </w:r>
      <w:r w:rsidRPr="00067712">
        <w:rPr>
          <w:rFonts w:ascii="Times New Roman" w:hAnsi="Times New Roman" w:cs="Times New Roman"/>
          <w:i/>
          <w:iCs/>
        </w:rPr>
        <w:t>Early Childhood Education Journal</w:t>
      </w:r>
      <w:r w:rsidRPr="00067712">
        <w:rPr>
          <w:rFonts w:ascii="Times New Roman" w:hAnsi="Times New Roman" w:cs="Times New Roman"/>
        </w:rPr>
        <w:t>, </w:t>
      </w:r>
      <w:r w:rsidRPr="00067712">
        <w:rPr>
          <w:rFonts w:ascii="Times New Roman" w:hAnsi="Times New Roman" w:cs="Times New Roman"/>
          <w:i/>
          <w:iCs/>
        </w:rPr>
        <w:t>51</w:t>
      </w:r>
      <w:r w:rsidRPr="00067712">
        <w:rPr>
          <w:rFonts w:ascii="Times New Roman" w:hAnsi="Times New Roman" w:cs="Times New Roman"/>
        </w:rPr>
        <w:t>(4), 717-732. https://link.springer.com/article/10.1007/s10643-022-01332-3</w:t>
      </w:r>
    </w:p>
    <w:p w14:paraId="321D76E8"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Bihag</w:t>
      </w:r>
      <w:proofErr w:type="spellEnd"/>
      <w:r w:rsidRPr="00067712">
        <w:rPr>
          <w:rFonts w:ascii="Times New Roman" w:hAnsi="Times New Roman" w:cs="Times New Roman"/>
        </w:rPr>
        <w:t xml:space="preserve">, A. M., </w:t>
      </w:r>
      <w:proofErr w:type="spellStart"/>
      <w:r w:rsidRPr="00067712">
        <w:rPr>
          <w:rFonts w:ascii="Times New Roman" w:hAnsi="Times New Roman" w:cs="Times New Roman"/>
        </w:rPr>
        <w:t>Aclao</w:t>
      </w:r>
      <w:proofErr w:type="spellEnd"/>
      <w:r w:rsidRPr="00067712">
        <w:rPr>
          <w:rFonts w:ascii="Times New Roman" w:hAnsi="Times New Roman" w:cs="Times New Roman"/>
        </w:rPr>
        <w:t xml:space="preserve">, J. T., &amp; </w:t>
      </w:r>
      <w:proofErr w:type="spellStart"/>
      <w:r w:rsidRPr="00067712">
        <w:rPr>
          <w:rFonts w:ascii="Times New Roman" w:hAnsi="Times New Roman" w:cs="Times New Roman"/>
        </w:rPr>
        <w:t>Dagondon</w:t>
      </w:r>
      <w:proofErr w:type="spellEnd"/>
      <w:r w:rsidRPr="00067712">
        <w:rPr>
          <w:rFonts w:ascii="Times New Roman" w:hAnsi="Times New Roman" w:cs="Times New Roman"/>
        </w:rPr>
        <w:t xml:space="preserve">, L. M. B. (2025). </w:t>
      </w:r>
      <w:proofErr w:type="spellStart"/>
      <w:r w:rsidRPr="00067712">
        <w:rPr>
          <w:rFonts w:ascii="Times New Roman" w:hAnsi="Times New Roman" w:cs="Times New Roman"/>
          <w:i/>
          <w:iCs/>
        </w:rPr>
        <w:t>Matatag</w:t>
      </w:r>
      <w:proofErr w:type="spellEnd"/>
      <w:r w:rsidRPr="00067712">
        <w:rPr>
          <w:rFonts w:ascii="Times New Roman" w:hAnsi="Times New Roman" w:cs="Times New Roman"/>
          <w:i/>
          <w:iCs/>
        </w:rPr>
        <w:t xml:space="preserve"> Curriculum insights: A mixed methods analysis of Filipino 7 lesson exemplars</w:t>
      </w:r>
      <w:r w:rsidRPr="00067712">
        <w:rPr>
          <w:rFonts w:ascii="Times New Roman" w:hAnsi="Times New Roman" w:cs="Times New Roman"/>
        </w:rPr>
        <w:t xml:space="preserve">. </w:t>
      </w:r>
      <w:proofErr w:type="spellStart"/>
      <w:r w:rsidRPr="00067712">
        <w:rPr>
          <w:rFonts w:ascii="Times New Roman" w:hAnsi="Times New Roman" w:cs="Times New Roman"/>
          <w:i/>
          <w:iCs/>
        </w:rPr>
        <w:t>Ennoia</w:t>
      </w:r>
      <w:proofErr w:type="spellEnd"/>
      <w:r w:rsidRPr="00067712">
        <w:rPr>
          <w:rFonts w:ascii="Times New Roman" w:hAnsi="Times New Roman" w:cs="Times New Roman"/>
          <w:i/>
          <w:iCs/>
        </w:rPr>
        <w:t xml:space="preserve"> Advances in Social Science, Technology and Education</w:t>
      </w:r>
      <w:r w:rsidRPr="00067712">
        <w:rPr>
          <w:rFonts w:ascii="Times New Roman" w:hAnsi="Times New Roman" w:cs="Times New Roman"/>
        </w:rPr>
        <w:t xml:space="preserve">, 01(02), 23–37. https://doi.org/10.5281/zenodo.16393255 </w:t>
      </w:r>
    </w:p>
    <w:p w14:paraId="2F677C0C"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Bondoc, B. B. S. (2025). </w:t>
      </w:r>
      <w:r w:rsidRPr="00067712">
        <w:rPr>
          <w:rFonts w:ascii="Times New Roman" w:hAnsi="Times New Roman" w:cs="Times New Roman"/>
          <w:i/>
          <w:iCs/>
        </w:rPr>
        <w:t>The readiness of Philippine schools for the MATATAG Curriculum in preparing future Food and Nutrition professionals</w:t>
      </w:r>
      <w:r w:rsidRPr="00067712">
        <w:rPr>
          <w:rFonts w:ascii="Times New Roman" w:hAnsi="Times New Roman" w:cs="Times New Roman"/>
        </w:rPr>
        <w:t xml:space="preserve">. </w:t>
      </w:r>
      <w:r w:rsidRPr="00067712">
        <w:rPr>
          <w:rFonts w:ascii="Times New Roman" w:hAnsi="Times New Roman" w:cs="Times New Roman"/>
          <w:i/>
          <w:iCs/>
        </w:rPr>
        <w:t>ARTICULATOR GAZETTE</w:t>
      </w:r>
      <w:r w:rsidRPr="00067712">
        <w:rPr>
          <w:rFonts w:ascii="Times New Roman" w:hAnsi="Times New Roman" w:cs="Times New Roman"/>
        </w:rPr>
        <w:t xml:space="preserve">, 1(1). https://doi.org/10.62596/art.pj0v0v10 </w:t>
      </w:r>
    </w:p>
    <w:p w14:paraId="300EA310"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Bravo-Sotelo, K. P. (2020). </w:t>
      </w:r>
      <w:r w:rsidRPr="00067712">
        <w:rPr>
          <w:rFonts w:ascii="Times New Roman" w:hAnsi="Times New Roman" w:cs="Times New Roman"/>
          <w:i/>
          <w:iCs/>
        </w:rPr>
        <w:t>Exploring the Tagalog-English code-switching types used for mathematics classroom instruction</w:t>
      </w:r>
      <w:r w:rsidRPr="00067712">
        <w:rPr>
          <w:rFonts w:ascii="Times New Roman" w:hAnsi="Times New Roman" w:cs="Times New Roman"/>
        </w:rPr>
        <w:t xml:space="preserve">. IAFOR Journal of Education: Language Learning in Education, 8(1). https://doi.org/10.22492/ije.8.1.03 </w:t>
      </w:r>
    </w:p>
    <w:p w14:paraId="3C927A53"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Burgmanis</w:t>
      </w:r>
      <w:proofErr w:type="spellEnd"/>
      <w:r w:rsidRPr="00067712">
        <w:rPr>
          <w:rFonts w:ascii="Times New Roman" w:hAnsi="Times New Roman" w:cs="Times New Roman"/>
        </w:rPr>
        <w:t xml:space="preserve">, G., France, I., </w:t>
      </w:r>
      <w:proofErr w:type="spellStart"/>
      <w:r w:rsidRPr="00067712">
        <w:rPr>
          <w:rFonts w:ascii="Times New Roman" w:hAnsi="Times New Roman" w:cs="Times New Roman"/>
        </w:rPr>
        <w:t>Namsone</w:t>
      </w:r>
      <w:proofErr w:type="spellEnd"/>
      <w:r w:rsidRPr="00067712">
        <w:rPr>
          <w:rFonts w:ascii="Times New Roman" w:hAnsi="Times New Roman" w:cs="Times New Roman"/>
        </w:rPr>
        <w:t xml:space="preserve">, D., &amp; </w:t>
      </w:r>
      <w:proofErr w:type="spellStart"/>
      <w:r w:rsidRPr="00067712">
        <w:rPr>
          <w:rFonts w:ascii="Times New Roman" w:hAnsi="Times New Roman" w:cs="Times New Roman"/>
        </w:rPr>
        <w:t>Čakāne</w:t>
      </w:r>
      <w:proofErr w:type="spellEnd"/>
      <w:r w:rsidRPr="00067712">
        <w:rPr>
          <w:rFonts w:ascii="Times New Roman" w:hAnsi="Times New Roman" w:cs="Times New Roman"/>
        </w:rPr>
        <w:t xml:space="preserve">, L. (2021). Development and validation of Diagnostic Assessment Instrument for numeracy skills in 7th grade. </w:t>
      </w:r>
      <w:r w:rsidRPr="00067712">
        <w:rPr>
          <w:rFonts w:ascii="Times New Roman" w:hAnsi="Times New Roman" w:cs="Times New Roman"/>
          <w:i/>
          <w:iCs/>
        </w:rPr>
        <w:t>ICERI Proceedings</w:t>
      </w:r>
      <w:r w:rsidRPr="00067712">
        <w:rPr>
          <w:rFonts w:ascii="Times New Roman" w:hAnsi="Times New Roman" w:cs="Times New Roman"/>
        </w:rPr>
        <w:t xml:space="preserve">, </w:t>
      </w:r>
      <w:r w:rsidRPr="00067712">
        <w:rPr>
          <w:rFonts w:ascii="Times New Roman" w:hAnsi="Times New Roman" w:cs="Times New Roman"/>
          <w:i/>
          <w:iCs/>
        </w:rPr>
        <w:t>1</w:t>
      </w:r>
      <w:r w:rsidRPr="00067712">
        <w:rPr>
          <w:rFonts w:ascii="Times New Roman" w:hAnsi="Times New Roman" w:cs="Times New Roman"/>
        </w:rPr>
        <w:t xml:space="preserve">, 7781–7791. https://doi.org/10.21125/iceri.2021.1747 </w:t>
      </w:r>
    </w:p>
    <w:p w14:paraId="5A6B9000"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Cabaya, J. D., </w:t>
      </w:r>
      <w:proofErr w:type="spellStart"/>
      <w:r w:rsidRPr="00067712">
        <w:rPr>
          <w:rFonts w:ascii="Times New Roman" w:hAnsi="Times New Roman" w:cs="Times New Roman"/>
        </w:rPr>
        <w:t>Gerios</w:t>
      </w:r>
      <w:proofErr w:type="spellEnd"/>
      <w:r w:rsidRPr="00067712">
        <w:rPr>
          <w:rFonts w:ascii="Times New Roman" w:hAnsi="Times New Roman" w:cs="Times New Roman"/>
        </w:rPr>
        <w:t>, C. Q., Lano, J. B., Valenzuela, E. B., &amp; Sumayo, G. S. (2025). From K-12 to MATATAG: A Systematic Review of the Factors Driving Curriculum Transition. </w:t>
      </w:r>
      <w:r w:rsidRPr="00067712">
        <w:rPr>
          <w:rFonts w:ascii="Times New Roman" w:hAnsi="Times New Roman" w:cs="Times New Roman"/>
          <w:i/>
          <w:iCs/>
        </w:rPr>
        <w:t>Indonesian Journal of Education Research (</w:t>
      </w:r>
      <w:proofErr w:type="spellStart"/>
      <w:r w:rsidRPr="00067712">
        <w:rPr>
          <w:rFonts w:ascii="Times New Roman" w:hAnsi="Times New Roman" w:cs="Times New Roman"/>
          <w:i/>
          <w:iCs/>
        </w:rPr>
        <w:t>IJoER</w:t>
      </w:r>
      <w:proofErr w:type="spellEnd"/>
      <w:r w:rsidRPr="00067712">
        <w:rPr>
          <w:rFonts w:ascii="Times New Roman" w:hAnsi="Times New Roman" w:cs="Times New Roman"/>
          <w:i/>
          <w:iCs/>
        </w:rPr>
        <w:t>)</w:t>
      </w:r>
      <w:r w:rsidRPr="00067712">
        <w:rPr>
          <w:rFonts w:ascii="Times New Roman" w:hAnsi="Times New Roman" w:cs="Times New Roman"/>
        </w:rPr>
        <w:t>, </w:t>
      </w:r>
      <w:r w:rsidRPr="00067712">
        <w:rPr>
          <w:rFonts w:ascii="Times New Roman" w:hAnsi="Times New Roman" w:cs="Times New Roman"/>
          <w:i/>
          <w:iCs/>
        </w:rPr>
        <w:t>6</w:t>
      </w:r>
      <w:r w:rsidRPr="00067712">
        <w:rPr>
          <w:rFonts w:ascii="Times New Roman" w:hAnsi="Times New Roman" w:cs="Times New Roman"/>
        </w:rPr>
        <w:t>(4), 444-455https://www.researchgate.net/profile/Gideon-Sumayo-2/publication/396181004</w:t>
      </w:r>
    </w:p>
    <w:p w14:paraId="6B8045A3"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Cadenas-</w:t>
      </w:r>
      <w:proofErr w:type="spellStart"/>
      <w:r w:rsidRPr="00067712">
        <w:rPr>
          <w:rFonts w:ascii="Times New Roman" w:hAnsi="Times New Roman" w:cs="Times New Roman"/>
        </w:rPr>
        <w:t>Ascarez</w:t>
      </w:r>
      <w:proofErr w:type="spellEnd"/>
      <w:r w:rsidRPr="00067712">
        <w:rPr>
          <w:rFonts w:ascii="Times New Roman" w:hAnsi="Times New Roman" w:cs="Times New Roman"/>
        </w:rPr>
        <w:t xml:space="preserve">, V. A., &amp; Chua, E. V. (2023). </w:t>
      </w:r>
      <w:r w:rsidRPr="00067712">
        <w:rPr>
          <w:rFonts w:ascii="Times New Roman" w:hAnsi="Times New Roman" w:cs="Times New Roman"/>
          <w:i/>
          <w:iCs/>
        </w:rPr>
        <w:t>Exploring the code-switching functions in Grade 7 mathematics classrooms: Implications to teaching and learning</w:t>
      </w:r>
      <w:r w:rsidRPr="00067712">
        <w:rPr>
          <w:rFonts w:ascii="Times New Roman" w:hAnsi="Times New Roman" w:cs="Times New Roman"/>
        </w:rPr>
        <w:t xml:space="preserve">. Multicultural Education Journal. https://doi.org/10.63186/mej.vi.22 </w:t>
      </w:r>
    </w:p>
    <w:p w14:paraId="32FC5ECC"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Conica, M., Nixon, E., &amp; Quigley, J. (2023). Talk outside the box: Parents’ decontextualized language during preschool years relates to child numeracy and literacy skills in middle childhood. </w:t>
      </w:r>
      <w:r w:rsidRPr="00067712">
        <w:rPr>
          <w:rFonts w:ascii="Times New Roman" w:hAnsi="Times New Roman" w:cs="Times New Roman"/>
          <w:i/>
          <w:iCs/>
        </w:rPr>
        <w:t>Journal of Experimental Child Psychology</w:t>
      </w:r>
      <w:r w:rsidRPr="00067712">
        <w:rPr>
          <w:rFonts w:ascii="Times New Roman" w:hAnsi="Times New Roman" w:cs="Times New Roman"/>
        </w:rPr>
        <w:t>, </w:t>
      </w:r>
      <w:r w:rsidRPr="00067712">
        <w:rPr>
          <w:rFonts w:ascii="Times New Roman" w:hAnsi="Times New Roman" w:cs="Times New Roman"/>
          <w:i/>
          <w:iCs/>
        </w:rPr>
        <w:t>236</w:t>
      </w:r>
      <w:r w:rsidRPr="00067712">
        <w:rPr>
          <w:rFonts w:ascii="Times New Roman" w:hAnsi="Times New Roman" w:cs="Times New Roman"/>
        </w:rPr>
        <w:t xml:space="preserve">, 105746. </w:t>
      </w:r>
      <w:hyperlink r:id="rId11" w:history="1">
        <w:r w:rsidRPr="00067712">
          <w:rPr>
            <w:rStyle w:val="Hyperlink"/>
            <w:rFonts w:ascii="Times New Roman" w:hAnsi="Times New Roman" w:cs="Times New Roman"/>
          </w:rPr>
          <w:t>https://doi.org/10.1016/j.jecp.2023.105746</w:t>
        </w:r>
      </w:hyperlink>
    </w:p>
    <w:p w14:paraId="16CD9732"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Cosso</w:t>
      </w:r>
      <w:proofErr w:type="spellEnd"/>
      <w:r w:rsidRPr="00067712">
        <w:rPr>
          <w:rFonts w:ascii="Times New Roman" w:hAnsi="Times New Roman" w:cs="Times New Roman"/>
        </w:rPr>
        <w:t>, J. (2025). Validation of a culture-contextualized measure of the home numeracy environment in Latine families. </w:t>
      </w:r>
      <w:r w:rsidRPr="00067712">
        <w:rPr>
          <w:rFonts w:ascii="Times New Roman" w:hAnsi="Times New Roman" w:cs="Times New Roman"/>
          <w:i/>
          <w:iCs/>
        </w:rPr>
        <w:t>Journal of Family Psychology, 39</w:t>
      </w:r>
      <w:r w:rsidRPr="00067712">
        <w:rPr>
          <w:rFonts w:ascii="Times New Roman" w:hAnsi="Times New Roman" w:cs="Times New Roman"/>
        </w:rPr>
        <w:t>(5), 717–722. </w:t>
      </w:r>
      <w:hyperlink r:id="rId12" w:tgtFrame="_blank" w:history="1">
        <w:r w:rsidRPr="00067712">
          <w:rPr>
            <w:rStyle w:val="Hyperlink"/>
            <w:rFonts w:ascii="Times New Roman" w:hAnsi="Times New Roman" w:cs="Times New Roman"/>
          </w:rPr>
          <w:t>https://doi.org/10.1037/fam0001342</w:t>
        </w:r>
      </w:hyperlink>
    </w:p>
    <w:p w14:paraId="682E1FE5"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Deda, Y. N., </w:t>
      </w:r>
      <w:proofErr w:type="spellStart"/>
      <w:r w:rsidRPr="00067712">
        <w:rPr>
          <w:rFonts w:ascii="Times New Roman" w:hAnsi="Times New Roman" w:cs="Times New Roman"/>
        </w:rPr>
        <w:t>Disnawati</w:t>
      </w:r>
      <w:proofErr w:type="spellEnd"/>
      <w:r w:rsidRPr="00067712">
        <w:rPr>
          <w:rFonts w:ascii="Times New Roman" w:hAnsi="Times New Roman" w:cs="Times New Roman"/>
        </w:rPr>
        <w:t>, H., &amp; Daniel, O. (2023). How important of learners' literacy and numeracy skills in facing 21st-century challenges: A systematic literature review. </w:t>
      </w:r>
      <w:r w:rsidRPr="00067712">
        <w:rPr>
          <w:rFonts w:ascii="Times New Roman" w:hAnsi="Times New Roman" w:cs="Times New Roman"/>
          <w:i/>
          <w:iCs/>
        </w:rPr>
        <w:t>Indonesian Journal of Educational Research and Review</w:t>
      </w:r>
      <w:r w:rsidRPr="00067712">
        <w:rPr>
          <w:rFonts w:ascii="Times New Roman" w:hAnsi="Times New Roman" w:cs="Times New Roman"/>
        </w:rPr>
        <w:t>, </w:t>
      </w:r>
      <w:r w:rsidRPr="00067712">
        <w:rPr>
          <w:rFonts w:ascii="Times New Roman" w:hAnsi="Times New Roman" w:cs="Times New Roman"/>
          <w:i/>
          <w:iCs/>
        </w:rPr>
        <w:t>6</w:t>
      </w:r>
      <w:r w:rsidRPr="00067712">
        <w:rPr>
          <w:rFonts w:ascii="Times New Roman" w:hAnsi="Times New Roman" w:cs="Times New Roman"/>
        </w:rPr>
        <w:t xml:space="preserve">(3), 563-572. </w:t>
      </w:r>
      <w:hyperlink r:id="rId13" w:history="1">
        <w:r w:rsidRPr="00067712">
          <w:rPr>
            <w:rStyle w:val="Hyperlink"/>
            <w:rFonts w:ascii="Times New Roman" w:hAnsi="Times New Roman" w:cs="Times New Roman"/>
          </w:rPr>
          <w:t>https://doi.org/10.23887/ijerr.v6i3.62206</w:t>
        </w:r>
      </w:hyperlink>
    </w:p>
    <w:p w14:paraId="4C8A8003"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Demate</w:t>
      </w:r>
      <w:proofErr w:type="spellEnd"/>
      <w:r w:rsidRPr="00067712">
        <w:rPr>
          <w:rFonts w:ascii="Times New Roman" w:hAnsi="Times New Roman" w:cs="Times New Roman"/>
        </w:rPr>
        <w:t xml:space="preserve">, D. R. B., </w:t>
      </w:r>
      <w:proofErr w:type="spellStart"/>
      <w:r w:rsidRPr="00067712">
        <w:rPr>
          <w:rFonts w:ascii="Times New Roman" w:hAnsi="Times New Roman" w:cs="Times New Roman"/>
        </w:rPr>
        <w:t>Aclis</w:t>
      </w:r>
      <w:proofErr w:type="spellEnd"/>
      <w:r w:rsidRPr="00067712">
        <w:rPr>
          <w:rFonts w:ascii="Times New Roman" w:hAnsi="Times New Roman" w:cs="Times New Roman"/>
        </w:rPr>
        <w:t>, M. S., Catbagan, F. C. P., Molina, G. G., Ramos, N. U., &amp; Patacsil, F. (2025). Teacher perspectives on MATATAG curriculum: Challenges and collaborative solutions. </w:t>
      </w:r>
      <w:r w:rsidRPr="00067712">
        <w:rPr>
          <w:rFonts w:ascii="Times New Roman" w:hAnsi="Times New Roman" w:cs="Times New Roman"/>
          <w:i/>
          <w:iCs/>
        </w:rPr>
        <w:t>Multidisciplinary Reviews</w:t>
      </w:r>
      <w:r w:rsidRPr="00067712">
        <w:rPr>
          <w:rFonts w:ascii="Times New Roman" w:hAnsi="Times New Roman" w:cs="Times New Roman"/>
        </w:rPr>
        <w:t>, </w:t>
      </w:r>
      <w:r w:rsidRPr="00067712">
        <w:rPr>
          <w:rFonts w:ascii="Times New Roman" w:hAnsi="Times New Roman" w:cs="Times New Roman"/>
          <w:i/>
          <w:iCs/>
        </w:rPr>
        <w:t>8</w:t>
      </w:r>
      <w:r w:rsidRPr="00067712">
        <w:rPr>
          <w:rFonts w:ascii="Times New Roman" w:hAnsi="Times New Roman" w:cs="Times New Roman"/>
        </w:rPr>
        <w:t>(11), 2025351-2025351. </w:t>
      </w:r>
      <w:hyperlink r:id="rId14" w:history="1">
        <w:r w:rsidRPr="00067712">
          <w:rPr>
            <w:rStyle w:val="Hyperlink"/>
            <w:rFonts w:ascii="Times New Roman" w:hAnsi="Times New Roman" w:cs="Times New Roman"/>
          </w:rPr>
          <w:t>https://10.31893/multirev.2025351</w:t>
        </w:r>
      </w:hyperlink>
    </w:p>
    <w:p w14:paraId="785DDB89" w14:textId="77777777" w:rsidR="00067712" w:rsidRPr="00067712" w:rsidRDefault="00067712" w:rsidP="00067712">
      <w:pPr>
        <w:spacing w:before="240" w:afterLines="240" w:after="576" w:line="240" w:lineRule="auto"/>
        <w:ind w:left="720" w:hanging="720"/>
        <w:jc w:val="both"/>
        <w:rPr>
          <w:rStyle w:val="Hyperlink"/>
          <w:rFonts w:ascii="Times New Roman" w:hAnsi="Times New Roman" w:cs="Times New Roman"/>
          <w:color w:val="auto"/>
          <w:u w:val="none"/>
        </w:rPr>
      </w:pPr>
      <w:r w:rsidRPr="00067712">
        <w:rPr>
          <w:rFonts w:ascii="Times New Roman" w:hAnsi="Times New Roman" w:cs="Times New Roman"/>
        </w:rPr>
        <w:lastRenderedPageBreak/>
        <w:t>Díez-Palomar, J., Ramis-Salas, M., Močnik, I., Simonič, M., &amp; Hoogland, K. (2023, November). Challenges for numeracy awareness in the 21st century: making visible the invisible. In </w:t>
      </w:r>
      <w:r w:rsidRPr="00067712">
        <w:rPr>
          <w:rFonts w:ascii="Times New Roman" w:hAnsi="Times New Roman" w:cs="Times New Roman"/>
          <w:i/>
          <w:iCs/>
        </w:rPr>
        <w:t>Frontiers in education</w:t>
      </w:r>
      <w:r w:rsidRPr="00067712">
        <w:rPr>
          <w:rFonts w:ascii="Times New Roman" w:hAnsi="Times New Roman" w:cs="Times New Roman"/>
        </w:rPr>
        <w:t xml:space="preserve"> (Vol. 8, p. 1295781). Frontiers Media </w:t>
      </w:r>
      <w:proofErr w:type="gramStart"/>
      <w:r w:rsidRPr="00067712">
        <w:rPr>
          <w:rFonts w:ascii="Times New Roman" w:hAnsi="Times New Roman" w:cs="Times New Roman"/>
        </w:rPr>
        <w:t>SA.https://www.frontiersin.org/journals/education/articles/10.3389/feduc.2023.1295781/full</w:t>
      </w:r>
      <w:proofErr w:type="gramEnd"/>
    </w:p>
    <w:p w14:paraId="43BC1EEA" w14:textId="77777777" w:rsidR="00067712" w:rsidRPr="00067712" w:rsidRDefault="00067712" w:rsidP="00067712">
      <w:pPr>
        <w:spacing w:before="240" w:afterLines="240" w:after="576" w:line="240" w:lineRule="auto"/>
        <w:ind w:left="720" w:hanging="720"/>
        <w:jc w:val="both"/>
        <w:rPr>
          <w:rFonts w:ascii="Times New Roman" w:hAnsi="Times New Roman" w:cs="Times New Roman"/>
          <w:i/>
          <w:iCs/>
        </w:rPr>
      </w:pPr>
      <w:proofErr w:type="spellStart"/>
      <w:r w:rsidRPr="00067712">
        <w:rPr>
          <w:rFonts w:ascii="Times New Roman" w:hAnsi="Times New Roman" w:cs="Times New Roman"/>
          <w:i/>
          <w:iCs/>
        </w:rPr>
        <w:t>Diquito</w:t>
      </w:r>
      <w:proofErr w:type="spellEnd"/>
      <w:r w:rsidRPr="00067712">
        <w:rPr>
          <w:rFonts w:ascii="Times New Roman" w:hAnsi="Times New Roman" w:cs="Times New Roman"/>
          <w:i/>
          <w:iCs/>
        </w:rPr>
        <w:t xml:space="preserve">, T. (2024). Basic education curriculum under the newly implemented K to 10 (MATATAG) </w:t>
      </w:r>
      <w:proofErr w:type="gramStart"/>
      <w:r w:rsidRPr="00067712">
        <w:rPr>
          <w:rFonts w:ascii="Times New Roman" w:hAnsi="Times New Roman" w:cs="Times New Roman"/>
          <w:i/>
          <w:iCs/>
        </w:rPr>
        <w:t>curriculum</w:t>
      </w:r>
      <w:proofErr w:type="gramEnd"/>
      <w:r w:rsidRPr="00067712">
        <w:rPr>
          <w:rFonts w:ascii="Times New Roman" w:hAnsi="Times New Roman" w:cs="Times New Roman"/>
          <w:i/>
          <w:iCs/>
        </w:rPr>
        <w:t xml:space="preserve"> in the Philippines: The case of science education. American Journal of Education and Technology (AJET), 3(3), 123-132. https://doi.org/10.54536/ajet.v3i3.3396</w:t>
      </w:r>
    </w:p>
    <w:p w14:paraId="22FAD27F" w14:textId="77777777" w:rsidR="00067712" w:rsidRPr="00067712" w:rsidRDefault="00067712" w:rsidP="00067712">
      <w:pPr>
        <w:spacing w:before="240" w:afterLines="240" w:after="576" w:line="240" w:lineRule="auto"/>
        <w:ind w:left="720" w:hanging="720"/>
        <w:jc w:val="both"/>
        <w:rPr>
          <w:rStyle w:val="Hyperlink"/>
          <w:rFonts w:ascii="Times New Roman" w:hAnsi="Times New Roman" w:cs="Times New Roman"/>
        </w:rPr>
      </w:pPr>
      <w:r w:rsidRPr="00067712">
        <w:rPr>
          <w:rFonts w:ascii="Times New Roman" w:hAnsi="Times New Roman" w:cs="Times New Roman"/>
        </w:rPr>
        <w:t xml:space="preserve">Dobrescu, </w:t>
      </w:r>
      <w:proofErr w:type="spellStart"/>
      <w:r w:rsidRPr="00067712">
        <w:rPr>
          <w:rFonts w:ascii="Times New Roman" w:hAnsi="Times New Roman" w:cs="Times New Roman"/>
        </w:rPr>
        <w:t>Loretti</w:t>
      </w:r>
      <w:proofErr w:type="spellEnd"/>
      <w:r w:rsidRPr="00067712">
        <w:rPr>
          <w:rFonts w:ascii="Times New Roman" w:hAnsi="Times New Roman" w:cs="Times New Roman"/>
        </w:rPr>
        <w:t xml:space="preserve"> Isabella and Holden, Richard and Motta, Alberto and Piccoli, Adrian and Roberts, Philip and Walker, Sarah, Cultural Context in Standardized Tests (December 13, 2021). UNSW Economics Working Paper 2021-08. </w:t>
      </w:r>
      <w:hyperlink r:id="rId15" w:tgtFrame="_blank" w:history="1">
        <w:r w:rsidRPr="00067712">
          <w:rPr>
            <w:rStyle w:val="Hyperlink"/>
            <w:rFonts w:ascii="Times New Roman" w:hAnsi="Times New Roman" w:cs="Times New Roman"/>
          </w:rPr>
          <w:t>https://ssrn.com/abstract=3983663</w:t>
        </w:r>
      </w:hyperlink>
      <w:r w:rsidRPr="00067712">
        <w:rPr>
          <w:rFonts w:ascii="Times New Roman" w:hAnsi="Times New Roman" w:cs="Times New Roman"/>
        </w:rPr>
        <w:t> or </w:t>
      </w:r>
      <w:hyperlink r:id="rId16" w:tgtFrame="_blank" w:history="1">
        <w:r w:rsidRPr="00067712">
          <w:rPr>
            <w:rStyle w:val="Hyperlink"/>
            <w:rFonts w:ascii="Times New Roman" w:hAnsi="Times New Roman" w:cs="Times New Roman"/>
          </w:rPr>
          <w:t>http://dx.doi.org/10.2139/ssrn.3983663</w:t>
        </w:r>
      </w:hyperlink>
    </w:p>
    <w:p w14:paraId="0B6A23AA" w14:textId="77777777" w:rsidR="00067712" w:rsidRPr="00067712" w:rsidRDefault="00067712" w:rsidP="00067712">
      <w:pPr>
        <w:spacing w:before="240" w:afterLines="240" w:after="576" w:line="240" w:lineRule="auto"/>
        <w:ind w:left="720" w:hanging="720"/>
        <w:jc w:val="both"/>
        <w:rPr>
          <w:rFonts w:ascii="Times New Roman" w:hAnsi="Times New Roman" w:cs="Times New Roman"/>
          <w:i/>
          <w:iCs/>
        </w:rPr>
      </w:pPr>
      <w:r w:rsidRPr="00067712">
        <w:rPr>
          <w:rFonts w:ascii="Times New Roman" w:hAnsi="Times New Roman" w:cs="Times New Roman"/>
        </w:rPr>
        <w:t xml:space="preserve">Estrellado, C. J. (2024). MATATAG Curriculum: Why Curriculum [must] </w:t>
      </w:r>
      <w:proofErr w:type="gramStart"/>
      <w:r w:rsidRPr="00067712">
        <w:rPr>
          <w:rFonts w:ascii="Times New Roman" w:hAnsi="Times New Roman" w:cs="Times New Roman"/>
        </w:rPr>
        <w:t>Change?.</w:t>
      </w:r>
      <w:proofErr w:type="gramEnd"/>
      <w:r w:rsidRPr="00067712">
        <w:rPr>
          <w:rFonts w:ascii="Times New Roman" w:hAnsi="Times New Roman" w:cs="Times New Roman"/>
        </w:rPr>
        <w:t> </w:t>
      </w:r>
      <w:r w:rsidRPr="00067712">
        <w:rPr>
          <w:rFonts w:ascii="Times New Roman" w:hAnsi="Times New Roman" w:cs="Times New Roman"/>
          <w:i/>
          <w:iCs/>
        </w:rPr>
        <w:t>Journal of Interdisciplinary Perspectives</w:t>
      </w:r>
      <w:r w:rsidRPr="00067712">
        <w:rPr>
          <w:rFonts w:ascii="Times New Roman" w:hAnsi="Times New Roman" w:cs="Times New Roman"/>
        </w:rPr>
        <w:t>, </w:t>
      </w:r>
      <w:r w:rsidRPr="00067712">
        <w:rPr>
          <w:rFonts w:ascii="Times New Roman" w:hAnsi="Times New Roman" w:cs="Times New Roman"/>
          <w:i/>
          <w:iCs/>
        </w:rPr>
        <w:t>2</w:t>
      </w:r>
      <w:r w:rsidRPr="00067712">
        <w:rPr>
          <w:rFonts w:ascii="Times New Roman" w:hAnsi="Times New Roman" w:cs="Times New Roman"/>
        </w:rPr>
        <w:t xml:space="preserve">(1), 6-10. </w:t>
      </w:r>
      <w:hyperlink r:id="rId17" w:history="1">
        <w:r w:rsidRPr="00067712">
          <w:rPr>
            <w:rStyle w:val="Hyperlink"/>
            <w:rFonts w:ascii="Times New Roman" w:hAnsi="Times New Roman" w:cs="Times New Roman"/>
          </w:rPr>
          <w:t>https://doi.org/10.69569/jip.2024.0001</w:t>
        </w:r>
      </w:hyperlink>
    </w:p>
    <w:p w14:paraId="01E6D5DA"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Iswara</w:t>
      </w:r>
      <w:proofErr w:type="spellEnd"/>
      <w:r w:rsidRPr="00067712">
        <w:rPr>
          <w:rFonts w:ascii="Times New Roman" w:hAnsi="Times New Roman" w:cs="Times New Roman"/>
        </w:rPr>
        <w:t>, H. S., Ahmadi, F., &amp; Da Ary, D. (2022). Numeracy literacy skills of elementary school learners through ethnomathematics-based problem solving. </w:t>
      </w:r>
      <w:r w:rsidRPr="00067712">
        <w:rPr>
          <w:rFonts w:ascii="Times New Roman" w:hAnsi="Times New Roman" w:cs="Times New Roman"/>
          <w:i/>
          <w:iCs/>
        </w:rPr>
        <w:t>Interdisciplinary Social Studies</w:t>
      </w:r>
      <w:r w:rsidRPr="00067712">
        <w:rPr>
          <w:rFonts w:ascii="Times New Roman" w:hAnsi="Times New Roman" w:cs="Times New Roman"/>
        </w:rPr>
        <w:t>, </w:t>
      </w:r>
      <w:r w:rsidRPr="00067712">
        <w:rPr>
          <w:rFonts w:ascii="Times New Roman" w:hAnsi="Times New Roman" w:cs="Times New Roman"/>
          <w:i/>
          <w:iCs/>
        </w:rPr>
        <w:t>2</w:t>
      </w:r>
      <w:r w:rsidRPr="00067712">
        <w:rPr>
          <w:rFonts w:ascii="Times New Roman" w:hAnsi="Times New Roman" w:cs="Times New Roman"/>
        </w:rPr>
        <w:t xml:space="preserve">(2), 1604-1616. </w:t>
      </w:r>
      <w:hyperlink r:id="rId18" w:history="1">
        <w:r w:rsidRPr="00067712">
          <w:rPr>
            <w:rStyle w:val="Hyperlink"/>
            <w:rFonts w:ascii="Times New Roman" w:hAnsi="Times New Roman" w:cs="Times New Roman"/>
          </w:rPr>
          <w:t>https://doi.org/10.55324/iss.v2i2.316</w:t>
        </w:r>
      </w:hyperlink>
    </w:p>
    <w:p w14:paraId="0FA6BC4D"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Karthik, P., &amp; Rama Devi, V. (2024). </w:t>
      </w:r>
      <w:r w:rsidRPr="00067712">
        <w:rPr>
          <w:rFonts w:ascii="Times New Roman" w:hAnsi="Times New Roman" w:cs="Times New Roman"/>
          <w:i/>
          <w:iCs/>
        </w:rPr>
        <w:t>Content validity of assessment instrument for high-performance work systems in health care industry</w:t>
      </w:r>
      <w:r w:rsidRPr="00067712">
        <w:rPr>
          <w:rFonts w:ascii="Times New Roman" w:hAnsi="Times New Roman" w:cs="Times New Roman"/>
        </w:rPr>
        <w:t xml:space="preserve">. </w:t>
      </w:r>
      <w:r w:rsidRPr="00067712">
        <w:rPr>
          <w:rFonts w:ascii="Times New Roman" w:hAnsi="Times New Roman" w:cs="Times New Roman"/>
          <w:i/>
          <w:iCs/>
        </w:rPr>
        <w:t>Journal of Nursing Measurement</w:t>
      </w:r>
      <w:r w:rsidRPr="00067712">
        <w:rPr>
          <w:rFonts w:ascii="Times New Roman" w:hAnsi="Times New Roman" w:cs="Times New Roman"/>
        </w:rPr>
        <w:t xml:space="preserve">, 32(1), 28–37. https://doi.org/10.1891/JNM-2022-0034 </w:t>
      </w:r>
    </w:p>
    <w:p w14:paraId="0A92A0FB"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Lastimosa, P. A. R., &amp; </w:t>
      </w:r>
      <w:proofErr w:type="spellStart"/>
      <w:r w:rsidRPr="00067712">
        <w:rPr>
          <w:rFonts w:ascii="Times New Roman" w:hAnsi="Times New Roman" w:cs="Times New Roman"/>
        </w:rPr>
        <w:t>Dagondon</w:t>
      </w:r>
      <w:proofErr w:type="spellEnd"/>
      <w:r w:rsidRPr="00067712">
        <w:rPr>
          <w:rFonts w:ascii="Times New Roman" w:hAnsi="Times New Roman" w:cs="Times New Roman"/>
        </w:rPr>
        <w:t xml:space="preserve">, L. M. B. (2025). </w:t>
      </w:r>
      <w:r w:rsidRPr="00067712">
        <w:rPr>
          <w:rFonts w:ascii="Times New Roman" w:hAnsi="Times New Roman" w:cs="Times New Roman"/>
          <w:i/>
          <w:iCs/>
        </w:rPr>
        <w:t>Transformative learning in the MATATAG English 7 curriculum: A content analysis with teacher perspectives</w:t>
      </w:r>
      <w:r w:rsidRPr="00067712">
        <w:rPr>
          <w:rFonts w:ascii="Times New Roman" w:hAnsi="Times New Roman" w:cs="Times New Roman"/>
        </w:rPr>
        <w:t xml:space="preserve">. </w:t>
      </w:r>
      <w:proofErr w:type="spellStart"/>
      <w:r w:rsidRPr="00067712">
        <w:rPr>
          <w:rFonts w:ascii="Times New Roman" w:hAnsi="Times New Roman" w:cs="Times New Roman"/>
          <w:i/>
          <w:iCs/>
        </w:rPr>
        <w:t>Ennoia</w:t>
      </w:r>
      <w:proofErr w:type="spellEnd"/>
      <w:r w:rsidRPr="00067712">
        <w:rPr>
          <w:rFonts w:ascii="Times New Roman" w:hAnsi="Times New Roman" w:cs="Times New Roman"/>
          <w:i/>
          <w:iCs/>
        </w:rPr>
        <w:t xml:space="preserve"> Advances in Social Science, Technology and Education</w:t>
      </w:r>
      <w:r w:rsidRPr="00067712">
        <w:rPr>
          <w:rFonts w:ascii="Times New Roman" w:hAnsi="Times New Roman" w:cs="Times New Roman"/>
        </w:rPr>
        <w:t xml:space="preserve">, 01(02), 123–134. https://doi.org/10.5281/zenodo.16946909 </w:t>
      </w:r>
    </w:p>
    <w:p w14:paraId="363680D8"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Machromah</w:t>
      </w:r>
      <w:proofErr w:type="spellEnd"/>
      <w:r w:rsidRPr="00067712">
        <w:rPr>
          <w:rFonts w:ascii="Times New Roman" w:hAnsi="Times New Roman" w:cs="Times New Roman"/>
        </w:rPr>
        <w:t xml:space="preserve">, I. U., Utami, N. S., </w:t>
      </w:r>
      <w:proofErr w:type="spellStart"/>
      <w:r w:rsidRPr="00067712">
        <w:rPr>
          <w:rFonts w:ascii="Times New Roman" w:hAnsi="Times New Roman" w:cs="Times New Roman"/>
        </w:rPr>
        <w:t>Setyaningsih</w:t>
      </w:r>
      <w:proofErr w:type="spellEnd"/>
      <w:r w:rsidRPr="00067712">
        <w:rPr>
          <w:rFonts w:ascii="Times New Roman" w:hAnsi="Times New Roman" w:cs="Times New Roman"/>
        </w:rPr>
        <w:t xml:space="preserve">, R., </w:t>
      </w:r>
      <w:proofErr w:type="spellStart"/>
      <w:r w:rsidRPr="00067712">
        <w:rPr>
          <w:rFonts w:ascii="Times New Roman" w:hAnsi="Times New Roman" w:cs="Times New Roman"/>
        </w:rPr>
        <w:t>Mardhiyana</w:t>
      </w:r>
      <w:proofErr w:type="spellEnd"/>
      <w:r w:rsidRPr="00067712">
        <w:rPr>
          <w:rFonts w:ascii="Times New Roman" w:hAnsi="Times New Roman" w:cs="Times New Roman"/>
        </w:rPr>
        <w:t xml:space="preserve">, D., &amp; </w:t>
      </w:r>
      <w:proofErr w:type="spellStart"/>
      <w:r w:rsidRPr="00067712">
        <w:rPr>
          <w:rFonts w:ascii="Times New Roman" w:hAnsi="Times New Roman" w:cs="Times New Roman"/>
        </w:rPr>
        <w:t>Fatmawati</w:t>
      </w:r>
      <w:proofErr w:type="spellEnd"/>
      <w:r w:rsidRPr="00067712">
        <w:rPr>
          <w:rFonts w:ascii="Times New Roman" w:hAnsi="Times New Roman" w:cs="Times New Roman"/>
        </w:rPr>
        <w:t>, L. W. S. (2021). Minimum competency assessment: Designing tasks to support learners' numeracy. </w:t>
      </w:r>
      <w:r w:rsidRPr="00067712">
        <w:rPr>
          <w:rFonts w:ascii="Times New Roman" w:hAnsi="Times New Roman" w:cs="Times New Roman"/>
          <w:i/>
          <w:iCs/>
        </w:rPr>
        <w:t>Turkish Journal of Computer and Mathematics Education</w:t>
      </w:r>
      <w:r w:rsidRPr="00067712">
        <w:rPr>
          <w:rFonts w:ascii="Times New Roman" w:hAnsi="Times New Roman" w:cs="Times New Roman"/>
        </w:rPr>
        <w:t>, </w:t>
      </w:r>
      <w:r w:rsidRPr="00067712">
        <w:rPr>
          <w:rFonts w:ascii="Times New Roman" w:hAnsi="Times New Roman" w:cs="Times New Roman"/>
          <w:i/>
          <w:iCs/>
        </w:rPr>
        <w:t>12</w:t>
      </w:r>
      <w:r w:rsidRPr="00067712">
        <w:rPr>
          <w:rFonts w:ascii="Times New Roman" w:hAnsi="Times New Roman" w:cs="Times New Roman"/>
        </w:rPr>
        <w:t>(14), 3268-3277.</w:t>
      </w:r>
    </w:p>
    <w:p w14:paraId="63F9B921"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Masfuah</w:t>
      </w:r>
      <w:proofErr w:type="spellEnd"/>
      <w:r w:rsidRPr="00067712">
        <w:rPr>
          <w:rFonts w:ascii="Times New Roman" w:hAnsi="Times New Roman" w:cs="Times New Roman"/>
        </w:rPr>
        <w:t xml:space="preserve">, S., Fakhriyah, F., Wilujeng, I., &amp; Rosana, D. (2021). </w:t>
      </w:r>
      <w:r w:rsidRPr="00067712">
        <w:rPr>
          <w:rFonts w:ascii="Times New Roman" w:hAnsi="Times New Roman" w:cs="Times New Roman"/>
          <w:i/>
          <w:iCs/>
        </w:rPr>
        <w:t>The content validity of scientific literacy-based diagnostic assessment</w:t>
      </w:r>
      <w:r w:rsidRPr="00067712">
        <w:rPr>
          <w:rFonts w:ascii="Times New Roman" w:hAnsi="Times New Roman" w:cs="Times New Roman"/>
        </w:rPr>
        <w:t xml:space="preserve">. In </w:t>
      </w:r>
      <w:r w:rsidRPr="00067712">
        <w:rPr>
          <w:rFonts w:ascii="Times New Roman" w:hAnsi="Times New Roman" w:cs="Times New Roman"/>
          <w:i/>
          <w:iCs/>
        </w:rPr>
        <w:t>Proceedings of the 7th International Conference on Research, Implementation, and Education of Mathematics and Sciences (ICRIEMS 2020)</w:t>
      </w:r>
      <w:r w:rsidRPr="00067712">
        <w:rPr>
          <w:rFonts w:ascii="Times New Roman" w:hAnsi="Times New Roman" w:cs="Times New Roman"/>
        </w:rPr>
        <w:t xml:space="preserve"> (pp. 684–691). Atlantis Press. https://doi.org/10.2991/assehr.k.210305.099 </w:t>
      </w:r>
    </w:p>
    <w:p w14:paraId="7E401EF2"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Mat Saberi, N. A., Mohd Radzi, N. M., &amp; Loy, C. L. (2023). </w:t>
      </w:r>
      <w:r w:rsidRPr="00067712">
        <w:rPr>
          <w:rFonts w:ascii="Times New Roman" w:hAnsi="Times New Roman" w:cs="Times New Roman"/>
          <w:i/>
          <w:iCs/>
        </w:rPr>
        <w:t>Assessing content validity of preschool teacher’s creative teaching instrument for children’s language arts: A study based on CFTI using the Content Validity Ratio</w:t>
      </w:r>
      <w:r w:rsidRPr="00067712">
        <w:rPr>
          <w:rFonts w:ascii="Times New Roman" w:hAnsi="Times New Roman" w:cs="Times New Roman"/>
        </w:rPr>
        <w:t xml:space="preserve">. </w:t>
      </w:r>
      <w:proofErr w:type="spellStart"/>
      <w:r w:rsidRPr="00067712">
        <w:rPr>
          <w:rFonts w:ascii="Times New Roman" w:hAnsi="Times New Roman" w:cs="Times New Roman"/>
          <w:i/>
          <w:iCs/>
        </w:rPr>
        <w:t>Jurnal</w:t>
      </w:r>
      <w:proofErr w:type="spellEnd"/>
      <w:r w:rsidRPr="00067712">
        <w:rPr>
          <w:rFonts w:ascii="Times New Roman" w:hAnsi="Times New Roman" w:cs="Times New Roman"/>
          <w:i/>
          <w:iCs/>
        </w:rPr>
        <w:t xml:space="preserve"> Pendidikan </w:t>
      </w:r>
      <w:proofErr w:type="spellStart"/>
      <w:r w:rsidRPr="00067712">
        <w:rPr>
          <w:rFonts w:ascii="Times New Roman" w:hAnsi="Times New Roman" w:cs="Times New Roman"/>
          <w:i/>
          <w:iCs/>
        </w:rPr>
        <w:t>Bitara</w:t>
      </w:r>
      <w:proofErr w:type="spellEnd"/>
      <w:r w:rsidRPr="00067712">
        <w:rPr>
          <w:rFonts w:ascii="Times New Roman" w:hAnsi="Times New Roman" w:cs="Times New Roman"/>
          <w:i/>
          <w:iCs/>
        </w:rPr>
        <w:t xml:space="preserve"> UPSI</w:t>
      </w:r>
      <w:r w:rsidRPr="00067712">
        <w:rPr>
          <w:rFonts w:ascii="Times New Roman" w:hAnsi="Times New Roman" w:cs="Times New Roman"/>
        </w:rPr>
        <w:t>, 16, 147–156. https://doi.org/10.37134/bitara.vol16.sp2.14.2023</w:t>
      </w:r>
    </w:p>
    <w:p w14:paraId="7CF022B2"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lastRenderedPageBreak/>
        <w:t xml:space="preserve">Megawati, L. A., &amp; </w:t>
      </w:r>
      <w:proofErr w:type="spellStart"/>
      <w:r w:rsidRPr="00067712">
        <w:rPr>
          <w:rFonts w:ascii="Times New Roman" w:hAnsi="Times New Roman" w:cs="Times New Roman"/>
        </w:rPr>
        <w:t>Sutarto</w:t>
      </w:r>
      <w:proofErr w:type="spellEnd"/>
      <w:r w:rsidRPr="00067712">
        <w:rPr>
          <w:rFonts w:ascii="Times New Roman" w:hAnsi="Times New Roman" w:cs="Times New Roman"/>
        </w:rPr>
        <w:t>, H. (2021). Analysis numeracy literacy skills in terms of standardized math problem on a minimum competency assessment. </w:t>
      </w:r>
      <w:proofErr w:type="spellStart"/>
      <w:r w:rsidRPr="00067712">
        <w:rPr>
          <w:rFonts w:ascii="Times New Roman" w:hAnsi="Times New Roman" w:cs="Times New Roman"/>
          <w:i/>
          <w:iCs/>
        </w:rPr>
        <w:t>Unnes</w:t>
      </w:r>
      <w:proofErr w:type="spellEnd"/>
      <w:r w:rsidRPr="00067712">
        <w:rPr>
          <w:rFonts w:ascii="Times New Roman" w:hAnsi="Times New Roman" w:cs="Times New Roman"/>
          <w:i/>
          <w:iCs/>
        </w:rPr>
        <w:t xml:space="preserve"> Journal of Mathematics Education</w:t>
      </w:r>
      <w:r w:rsidRPr="00067712">
        <w:rPr>
          <w:rFonts w:ascii="Times New Roman" w:hAnsi="Times New Roman" w:cs="Times New Roman"/>
        </w:rPr>
        <w:t>, </w:t>
      </w:r>
      <w:r w:rsidRPr="00067712">
        <w:rPr>
          <w:rFonts w:ascii="Times New Roman" w:hAnsi="Times New Roman" w:cs="Times New Roman"/>
          <w:i/>
          <w:iCs/>
        </w:rPr>
        <w:t>10</w:t>
      </w:r>
      <w:r w:rsidRPr="00067712">
        <w:rPr>
          <w:rFonts w:ascii="Times New Roman" w:hAnsi="Times New Roman" w:cs="Times New Roman"/>
        </w:rPr>
        <w:t>(2), 155-165. https://doi.org/10.15294/ujme.v10i2.49540</w:t>
      </w:r>
    </w:p>
    <w:p w14:paraId="236FFF60"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Mercado, K. A. (2010). </w:t>
      </w:r>
      <w:r w:rsidRPr="00067712">
        <w:rPr>
          <w:rFonts w:ascii="Times New Roman" w:hAnsi="Times New Roman" w:cs="Times New Roman"/>
          <w:i/>
          <w:iCs/>
        </w:rPr>
        <w:t>A descriptive study on code-switching among Grade 6 math and science teachers’ utterances</w:t>
      </w:r>
      <w:r w:rsidRPr="00067712">
        <w:rPr>
          <w:rFonts w:ascii="Times New Roman" w:hAnsi="Times New Roman" w:cs="Times New Roman"/>
        </w:rPr>
        <w:t xml:space="preserve"> (Master’s thesis). De La Salle University. Retrieved from </w:t>
      </w:r>
      <w:hyperlink r:id="rId19" w:tgtFrame="_new" w:history="1">
        <w:r w:rsidRPr="00067712">
          <w:rPr>
            <w:rStyle w:val="Hyperlink"/>
            <w:rFonts w:ascii="Times New Roman" w:hAnsi="Times New Roman" w:cs="Times New Roman"/>
          </w:rPr>
          <w:t>https://animorepository.dlsu.edu.ph/etd_masteral/6085</w:t>
        </w:r>
      </w:hyperlink>
    </w:p>
    <w:p w14:paraId="1AA4D155"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Multidisciplinary Reviews. (2025). </w:t>
      </w:r>
      <w:r w:rsidRPr="00067712">
        <w:rPr>
          <w:rFonts w:ascii="Times New Roman" w:hAnsi="Times New Roman" w:cs="Times New Roman"/>
          <w:i/>
          <w:iCs/>
        </w:rPr>
        <w:t>Teacher perspectives on MATATAG curriculum: Challenges and collaborative solutions</w:t>
      </w:r>
      <w:r w:rsidRPr="00067712">
        <w:rPr>
          <w:rFonts w:ascii="Times New Roman" w:hAnsi="Times New Roman" w:cs="Times New Roman"/>
        </w:rPr>
        <w:t xml:space="preserve">. </w:t>
      </w:r>
      <w:hyperlink r:id="rId20" w:tgtFrame="_new" w:history="1">
        <w:r w:rsidRPr="00067712">
          <w:rPr>
            <w:rStyle w:val="Hyperlink"/>
            <w:rFonts w:ascii="Times New Roman" w:hAnsi="Times New Roman" w:cs="Times New Roman"/>
          </w:rPr>
          <w:t>https://www.malque.pub/ojs/index.php/mr/article/view/8311</w:t>
        </w:r>
      </w:hyperlink>
      <w:r w:rsidRPr="00067712">
        <w:rPr>
          <w:rFonts w:ascii="Times New Roman" w:hAnsi="Times New Roman" w:cs="Times New Roman"/>
        </w:rPr>
        <w:t xml:space="preserve"> </w:t>
      </w:r>
    </w:p>
    <w:p w14:paraId="3FFF59FC"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roofErr w:type="spellStart"/>
      <w:r w:rsidRPr="00067712">
        <w:rPr>
          <w:rFonts w:ascii="Times New Roman" w:hAnsi="Times New Roman" w:cs="Times New Roman"/>
        </w:rPr>
        <w:t>Omongos</w:t>
      </w:r>
      <w:proofErr w:type="spellEnd"/>
      <w:r w:rsidRPr="00067712">
        <w:rPr>
          <w:rFonts w:ascii="Times New Roman" w:hAnsi="Times New Roman" w:cs="Times New Roman"/>
        </w:rPr>
        <w:t xml:space="preserve">, J. M., Pajo, J. M. D., Rico, R. M. P., Sayson, S. M. D., Vistal, I. P., &amp; </w:t>
      </w:r>
      <w:proofErr w:type="spellStart"/>
      <w:r w:rsidRPr="00067712">
        <w:rPr>
          <w:rFonts w:ascii="Times New Roman" w:hAnsi="Times New Roman" w:cs="Times New Roman"/>
        </w:rPr>
        <w:t>Tagaylo</w:t>
      </w:r>
      <w:proofErr w:type="spellEnd"/>
      <w:r w:rsidRPr="00067712">
        <w:rPr>
          <w:rFonts w:ascii="Times New Roman" w:hAnsi="Times New Roman" w:cs="Times New Roman"/>
        </w:rPr>
        <w:t xml:space="preserve">, C. (2025). </w:t>
      </w:r>
      <w:r w:rsidRPr="00067712">
        <w:rPr>
          <w:rFonts w:ascii="Times New Roman" w:hAnsi="Times New Roman" w:cs="Times New Roman"/>
          <w:i/>
          <w:iCs/>
        </w:rPr>
        <w:t>Code-switching in the teaching of mathematics and learners’ performance: A correlational study</w:t>
      </w:r>
      <w:r w:rsidRPr="00067712">
        <w:rPr>
          <w:rFonts w:ascii="Times New Roman" w:hAnsi="Times New Roman" w:cs="Times New Roman"/>
        </w:rPr>
        <w:t xml:space="preserve">. Asian Journal of Language, Literature and Culture Studies, 8(1), 194-209. https://doi.org/10.9734/ajl2c/2025/v8i1229 </w:t>
      </w:r>
    </w:p>
    <w:p w14:paraId="422BE38D"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Pilar, S. M. (2025). </w:t>
      </w:r>
      <w:r w:rsidRPr="00067712">
        <w:rPr>
          <w:rFonts w:ascii="Times New Roman" w:hAnsi="Times New Roman" w:cs="Times New Roman"/>
          <w:i/>
          <w:iCs/>
        </w:rPr>
        <w:t>Development, validation and summative evaluation of code-mixed localized instructional materials (CMLIMs) in Mathematics I</w:t>
      </w:r>
      <w:r w:rsidRPr="00067712">
        <w:rPr>
          <w:rFonts w:ascii="Times New Roman" w:hAnsi="Times New Roman" w:cs="Times New Roman"/>
        </w:rPr>
        <w:t xml:space="preserve">. Asian Journal of Education and Social Studies, 51(6), 1209-1220. https://doi.org/10.9734/ajess/2025/v51i62068 </w:t>
      </w:r>
    </w:p>
    <w:p w14:paraId="28C56B3F"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Purnomo, H., </w:t>
      </w:r>
      <w:proofErr w:type="spellStart"/>
      <w:r w:rsidRPr="00067712">
        <w:rPr>
          <w:rFonts w:ascii="Times New Roman" w:hAnsi="Times New Roman" w:cs="Times New Roman"/>
        </w:rPr>
        <w:t>Sa'dijah</w:t>
      </w:r>
      <w:proofErr w:type="spellEnd"/>
      <w:r w:rsidRPr="00067712">
        <w:rPr>
          <w:rFonts w:ascii="Times New Roman" w:hAnsi="Times New Roman" w:cs="Times New Roman"/>
        </w:rPr>
        <w:t xml:space="preserve">, C., </w:t>
      </w:r>
      <w:proofErr w:type="spellStart"/>
      <w:r w:rsidRPr="00067712">
        <w:rPr>
          <w:rFonts w:ascii="Times New Roman" w:hAnsi="Times New Roman" w:cs="Times New Roman"/>
        </w:rPr>
        <w:t>Hidayanto</w:t>
      </w:r>
      <w:proofErr w:type="spellEnd"/>
      <w:r w:rsidRPr="00067712">
        <w:rPr>
          <w:rFonts w:ascii="Times New Roman" w:hAnsi="Times New Roman" w:cs="Times New Roman"/>
        </w:rPr>
        <w:t xml:space="preserve">, E., </w:t>
      </w:r>
      <w:proofErr w:type="spellStart"/>
      <w:r w:rsidRPr="00067712">
        <w:rPr>
          <w:rFonts w:ascii="Times New Roman" w:hAnsi="Times New Roman" w:cs="Times New Roman"/>
        </w:rPr>
        <w:t>Permadi</w:t>
      </w:r>
      <w:proofErr w:type="spellEnd"/>
      <w:r w:rsidRPr="00067712">
        <w:rPr>
          <w:rFonts w:ascii="Times New Roman" w:hAnsi="Times New Roman" w:cs="Times New Roman"/>
        </w:rPr>
        <w:t>, H., &amp; Anwar, L. (2022). Development of Instrument Numeracy Skills Test of Minimum Competency Assessment (MCA) in Indonesia. </w:t>
      </w:r>
      <w:r w:rsidRPr="00067712">
        <w:rPr>
          <w:rFonts w:ascii="Times New Roman" w:hAnsi="Times New Roman" w:cs="Times New Roman"/>
          <w:i/>
          <w:iCs/>
        </w:rPr>
        <w:t>International Journal of Instruction</w:t>
      </w:r>
      <w:r w:rsidRPr="00067712">
        <w:rPr>
          <w:rFonts w:ascii="Times New Roman" w:hAnsi="Times New Roman" w:cs="Times New Roman"/>
        </w:rPr>
        <w:t>, </w:t>
      </w:r>
      <w:r w:rsidRPr="00067712">
        <w:rPr>
          <w:rFonts w:ascii="Times New Roman" w:hAnsi="Times New Roman" w:cs="Times New Roman"/>
          <w:i/>
          <w:iCs/>
        </w:rPr>
        <w:t>15</w:t>
      </w:r>
      <w:r w:rsidRPr="00067712">
        <w:rPr>
          <w:rFonts w:ascii="Times New Roman" w:hAnsi="Times New Roman" w:cs="Times New Roman"/>
        </w:rPr>
        <w:t>(3), 635-648. https://eric.ed.gov/?id=EJ1355574</w:t>
      </w:r>
    </w:p>
    <w:p w14:paraId="38B00D41"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Rahayu, W. N., &amp; Firdaus, F. M. (2025). Increased Motivation and Ability Learner Numeracy Through the Application of a Contextual Approach to Mathematics Learning. </w:t>
      </w:r>
      <w:proofErr w:type="spellStart"/>
      <w:r w:rsidRPr="00067712">
        <w:rPr>
          <w:rFonts w:ascii="Times New Roman" w:hAnsi="Times New Roman" w:cs="Times New Roman"/>
          <w:i/>
          <w:iCs/>
        </w:rPr>
        <w:t>Jurnal</w:t>
      </w:r>
      <w:proofErr w:type="spellEnd"/>
      <w:r w:rsidRPr="00067712">
        <w:rPr>
          <w:rFonts w:ascii="Times New Roman" w:hAnsi="Times New Roman" w:cs="Times New Roman"/>
          <w:i/>
          <w:iCs/>
        </w:rPr>
        <w:t xml:space="preserve"> Prima </w:t>
      </w:r>
      <w:proofErr w:type="spellStart"/>
      <w:r w:rsidRPr="00067712">
        <w:rPr>
          <w:rFonts w:ascii="Times New Roman" w:hAnsi="Times New Roman" w:cs="Times New Roman"/>
          <w:i/>
          <w:iCs/>
        </w:rPr>
        <w:t>Edukasia</w:t>
      </w:r>
      <w:proofErr w:type="spellEnd"/>
      <w:r w:rsidRPr="00067712">
        <w:rPr>
          <w:rFonts w:ascii="Times New Roman" w:hAnsi="Times New Roman" w:cs="Times New Roman"/>
        </w:rPr>
        <w:t>, </w:t>
      </w:r>
      <w:r w:rsidRPr="00067712">
        <w:rPr>
          <w:rFonts w:ascii="Times New Roman" w:hAnsi="Times New Roman" w:cs="Times New Roman"/>
          <w:i/>
          <w:iCs/>
        </w:rPr>
        <w:t>13</w:t>
      </w:r>
      <w:r w:rsidRPr="00067712">
        <w:rPr>
          <w:rFonts w:ascii="Times New Roman" w:hAnsi="Times New Roman" w:cs="Times New Roman"/>
        </w:rPr>
        <w:t xml:space="preserve">(2), 361-374.  </w:t>
      </w:r>
      <w:hyperlink r:id="rId21" w:history="1">
        <w:r w:rsidRPr="00067712">
          <w:rPr>
            <w:rStyle w:val="Hyperlink"/>
            <w:rFonts w:ascii="Times New Roman" w:hAnsi="Times New Roman" w:cs="Times New Roman"/>
          </w:rPr>
          <w:t> https://doi.org/10.21831/jpe.v13i2.75555</w:t>
        </w:r>
      </w:hyperlink>
    </w:p>
    <w:p w14:paraId="54F94763" w14:textId="77777777" w:rsidR="00067712" w:rsidRPr="00067712" w:rsidRDefault="00067712" w:rsidP="00067712">
      <w:pPr>
        <w:spacing w:before="240" w:afterLines="240" w:after="576" w:line="240" w:lineRule="auto"/>
        <w:ind w:left="720" w:hanging="720"/>
        <w:jc w:val="both"/>
        <w:rPr>
          <w:rFonts w:ascii="Times New Roman" w:hAnsi="Times New Roman" w:cs="Times New Roman"/>
          <w:i/>
          <w:iCs/>
        </w:rPr>
      </w:pPr>
      <w:proofErr w:type="spellStart"/>
      <w:r w:rsidRPr="00067712">
        <w:rPr>
          <w:rFonts w:ascii="Times New Roman" w:hAnsi="Times New Roman" w:cs="Times New Roman"/>
        </w:rPr>
        <w:t>Ristiana</w:t>
      </w:r>
      <w:proofErr w:type="spellEnd"/>
      <w:r w:rsidRPr="00067712">
        <w:rPr>
          <w:rFonts w:ascii="Times New Roman" w:hAnsi="Times New Roman" w:cs="Times New Roman"/>
        </w:rPr>
        <w:t>, P. A. (2023). Independent Curriculum Learning Management to Improve Learners' Literacy and Numerical Competence in Schools. </w:t>
      </w:r>
      <w:r w:rsidRPr="00067712">
        <w:rPr>
          <w:rFonts w:ascii="Times New Roman" w:hAnsi="Times New Roman" w:cs="Times New Roman"/>
          <w:i/>
          <w:iCs/>
        </w:rPr>
        <w:t xml:space="preserve">International Journal of Education in M </w:t>
      </w:r>
      <w:proofErr w:type="spellStart"/>
      <w:r w:rsidRPr="00067712">
        <w:rPr>
          <w:rFonts w:ascii="Times New Roman" w:hAnsi="Times New Roman" w:cs="Times New Roman"/>
          <w:i/>
          <w:iCs/>
        </w:rPr>
        <w:t>athematics</w:t>
      </w:r>
      <w:proofErr w:type="spellEnd"/>
      <w:r w:rsidRPr="00067712">
        <w:rPr>
          <w:rFonts w:ascii="Times New Roman" w:hAnsi="Times New Roman" w:cs="Times New Roman"/>
          <w:i/>
          <w:iCs/>
        </w:rPr>
        <w:t>, Science and Technology</w:t>
      </w:r>
      <w:r w:rsidRPr="00067712">
        <w:rPr>
          <w:rFonts w:ascii="Times New Roman" w:hAnsi="Times New Roman" w:cs="Times New Roman"/>
        </w:rPr>
        <w:t>, </w:t>
      </w:r>
      <w:r w:rsidRPr="00067712">
        <w:rPr>
          <w:rFonts w:ascii="Times New Roman" w:hAnsi="Times New Roman" w:cs="Times New Roman"/>
          <w:i/>
          <w:iCs/>
        </w:rPr>
        <w:t>11</w:t>
      </w:r>
      <w:r w:rsidRPr="00067712">
        <w:rPr>
          <w:rFonts w:ascii="Times New Roman" w:hAnsi="Times New Roman" w:cs="Times New Roman"/>
        </w:rPr>
        <w:t>(4), 946-963. https://eric.ed.gov/?id=EJ1395654</w:t>
      </w:r>
    </w:p>
    <w:p w14:paraId="7A347375"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Romero Domingo, D. (2016). Content area effectiveness: English vs Filipino medium of instruction. </w:t>
      </w:r>
      <w:r w:rsidRPr="00067712">
        <w:rPr>
          <w:rFonts w:ascii="Times New Roman" w:hAnsi="Times New Roman" w:cs="Times New Roman"/>
          <w:i/>
          <w:iCs/>
        </w:rPr>
        <w:t>PEOPLE: International Journal of Social Sciences</w:t>
      </w:r>
      <w:r w:rsidRPr="00067712">
        <w:rPr>
          <w:rFonts w:ascii="Times New Roman" w:hAnsi="Times New Roman" w:cs="Times New Roman"/>
        </w:rPr>
        <w:t xml:space="preserve">, </w:t>
      </w:r>
      <w:r w:rsidRPr="00067712">
        <w:rPr>
          <w:rFonts w:ascii="Times New Roman" w:hAnsi="Times New Roman" w:cs="Times New Roman"/>
          <w:i/>
          <w:iCs/>
        </w:rPr>
        <w:t>2</w:t>
      </w:r>
      <w:r w:rsidRPr="00067712">
        <w:rPr>
          <w:rFonts w:ascii="Times New Roman" w:hAnsi="Times New Roman" w:cs="Times New Roman"/>
        </w:rPr>
        <w:t xml:space="preserve">(1), 1514–1529. https://doi.org/10.20319/pijss.2016.s21.15141529 </w:t>
      </w:r>
    </w:p>
    <w:p w14:paraId="493E4F2E"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Rubel, L. H., &amp; McCloskey, A. V. (2021). Contextualization of mathematics: which and whose </w:t>
      </w:r>
      <w:proofErr w:type="gramStart"/>
      <w:r w:rsidRPr="00067712">
        <w:rPr>
          <w:rFonts w:ascii="Times New Roman" w:hAnsi="Times New Roman" w:cs="Times New Roman"/>
        </w:rPr>
        <w:t>world?.</w:t>
      </w:r>
      <w:proofErr w:type="gramEnd"/>
      <w:r w:rsidRPr="00067712">
        <w:rPr>
          <w:rFonts w:ascii="Times New Roman" w:hAnsi="Times New Roman" w:cs="Times New Roman"/>
        </w:rPr>
        <w:t> </w:t>
      </w:r>
      <w:r w:rsidRPr="00067712">
        <w:rPr>
          <w:rFonts w:ascii="Times New Roman" w:hAnsi="Times New Roman" w:cs="Times New Roman"/>
          <w:i/>
          <w:iCs/>
        </w:rPr>
        <w:t>Educational Studies in Mathematics</w:t>
      </w:r>
      <w:r w:rsidRPr="00067712">
        <w:rPr>
          <w:rFonts w:ascii="Times New Roman" w:hAnsi="Times New Roman" w:cs="Times New Roman"/>
        </w:rPr>
        <w:t>, </w:t>
      </w:r>
      <w:r w:rsidRPr="00067712">
        <w:rPr>
          <w:rFonts w:ascii="Times New Roman" w:hAnsi="Times New Roman" w:cs="Times New Roman"/>
          <w:i/>
          <w:iCs/>
        </w:rPr>
        <w:t>107</w:t>
      </w:r>
      <w:r w:rsidRPr="00067712">
        <w:rPr>
          <w:rFonts w:ascii="Times New Roman" w:hAnsi="Times New Roman" w:cs="Times New Roman"/>
        </w:rPr>
        <w:t>(2), 383-404.  https://link.springer.com/article/10.1007/s10649-021-10041-4</w:t>
      </w:r>
    </w:p>
    <w:p w14:paraId="76708554"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Saro, J. M., Montejo, C. B., </w:t>
      </w:r>
      <w:proofErr w:type="spellStart"/>
      <w:r w:rsidRPr="00067712">
        <w:rPr>
          <w:rFonts w:ascii="Times New Roman" w:hAnsi="Times New Roman" w:cs="Times New Roman"/>
        </w:rPr>
        <w:t>Sucong</w:t>
      </w:r>
      <w:proofErr w:type="spellEnd"/>
      <w:r w:rsidRPr="00067712">
        <w:rPr>
          <w:rFonts w:ascii="Times New Roman" w:hAnsi="Times New Roman" w:cs="Times New Roman"/>
        </w:rPr>
        <w:t>, J. A., Bustamante, M. F. O., &amp; Perez, J. B. (2024). A qualitative exploration on the perceived impact of the MATATAG Curriculum on basic education teaching in the school year 2024-2025. </w:t>
      </w:r>
      <w:r w:rsidRPr="00067712">
        <w:rPr>
          <w:rFonts w:ascii="Times New Roman" w:hAnsi="Times New Roman" w:cs="Times New Roman"/>
          <w:i/>
          <w:iCs/>
        </w:rPr>
        <w:t>International Journal of Advanced Multidisciplinary Research and Studies</w:t>
      </w:r>
      <w:r w:rsidRPr="00067712">
        <w:rPr>
          <w:rFonts w:ascii="Times New Roman" w:hAnsi="Times New Roman" w:cs="Times New Roman"/>
        </w:rPr>
        <w:t>, </w:t>
      </w:r>
      <w:r w:rsidRPr="00067712">
        <w:rPr>
          <w:rFonts w:ascii="Times New Roman" w:hAnsi="Times New Roman" w:cs="Times New Roman"/>
          <w:i/>
          <w:iCs/>
        </w:rPr>
        <w:t>4</w:t>
      </w:r>
      <w:r w:rsidRPr="00067712">
        <w:rPr>
          <w:rFonts w:ascii="Times New Roman" w:hAnsi="Times New Roman" w:cs="Times New Roman"/>
        </w:rPr>
        <w:t>(4), 952-966. https://www.researchgate.net/profile/Jeffry-Saro-2/publication/383272918</w:t>
      </w:r>
    </w:p>
    <w:p w14:paraId="55B7DDC0"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lastRenderedPageBreak/>
        <w:t>Seitz, M., &amp; Weinert, S. (2022). Numeracy skills in young children as predictors of mathematical competence. </w:t>
      </w:r>
      <w:r w:rsidRPr="00067712">
        <w:rPr>
          <w:rFonts w:ascii="Times New Roman" w:hAnsi="Times New Roman" w:cs="Times New Roman"/>
          <w:i/>
          <w:iCs/>
        </w:rPr>
        <w:t>British Journal of Developmental Psychology</w:t>
      </w:r>
      <w:r w:rsidRPr="00067712">
        <w:rPr>
          <w:rFonts w:ascii="Times New Roman" w:hAnsi="Times New Roman" w:cs="Times New Roman"/>
        </w:rPr>
        <w:t>, </w:t>
      </w:r>
      <w:r w:rsidRPr="00067712">
        <w:rPr>
          <w:rFonts w:ascii="Times New Roman" w:hAnsi="Times New Roman" w:cs="Times New Roman"/>
          <w:i/>
          <w:iCs/>
        </w:rPr>
        <w:t>40</w:t>
      </w:r>
      <w:r w:rsidRPr="00067712">
        <w:rPr>
          <w:rFonts w:ascii="Times New Roman" w:hAnsi="Times New Roman" w:cs="Times New Roman"/>
        </w:rPr>
        <w:t>(2), 224-241.  https://doi.org/10.1111/bjdp.12408D</w:t>
      </w:r>
    </w:p>
    <w:p w14:paraId="09C300DF" w14:textId="77777777" w:rsidR="00067712" w:rsidRPr="00067712" w:rsidRDefault="00067712" w:rsidP="00067712">
      <w:pPr>
        <w:spacing w:before="240" w:afterLines="240" w:after="576" w:line="240" w:lineRule="auto"/>
        <w:ind w:left="720" w:hanging="720"/>
        <w:jc w:val="both"/>
        <w:rPr>
          <w:rFonts w:ascii="Times New Roman" w:hAnsi="Times New Roman" w:cs="Times New Roman"/>
          <w:i/>
          <w:iCs/>
        </w:rPr>
      </w:pPr>
      <w:proofErr w:type="spellStart"/>
      <w:r w:rsidRPr="00067712">
        <w:rPr>
          <w:rFonts w:ascii="Times New Roman" w:hAnsi="Times New Roman" w:cs="Times New Roman"/>
        </w:rPr>
        <w:t>Siswandari</w:t>
      </w:r>
      <w:proofErr w:type="spellEnd"/>
      <w:r w:rsidRPr="00067712">
        <w:rPr>
          <w:rFonts w:ascii="Times New Roman" w:hAnsi="Times New Roman" w:cs="Times New Roman"/>
        </w:rPr>
        <w:t>, P., Nais, M. K., &amp; Rahmawati, F. (2025). Understanding Science-Contextualized Numeracy: A Study of Grade XI Learners in the Bandung Area. </w:t>
      </w:r>
      <w:proofErr w:type="spellStart"/>
      <w:r w:rsidRPr="00067712">
        <w:rPr>
          <w:rFonts w:ascii="Times New Roman" w:hAnsi="Times New Roman" w:cs="Times New Roman"/>
          <w:i/>
          <w:iCs/>
        </w:rPr>
        <w:t>Jurnal</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Penelitian</w:t>
      </w:r>
      <w:proofErr w:type="spellEnd"/>
      <w:r w:rsidRPr="00067712">
        <w:rPr>
          <w:rFonts w:ascii="Times New Roman" w:hAnsi="Times New Roman" w:cs="Times New Roman"/>
          <w:i/>
          <w:iCs/>
        </w:rPr>
        <w:t xml:space="preserve"> Pendidikan IPA</w:t>
      </w:r>
      <w:r w:rsidRPr="00067712">
        <w:rPr>
          <w:rFonts w:ascii="Times New Roman" w:hAnsi="Times New Roman" w:cs="Times New Roman"/>
        </w:rPr>
        <w:t>, </w:t>
      </w:r>
      <w:r w:rsidRPr="00067712">
        <w:rPr>
          <w:rFonts w:ascii="Times New Roman" w:hAnsi="Times New Roman" w:cs="Times New Roman"/>
          <w:i/>
          <w:iCs/>
        </w:rPr>
        <w:t>11</w:t>
      </w:r>
      <w:r w:rsidRPr="00067712">
        <w:rPr>
          <w:rFonts w:ascii="Times New Roman" w:hAnsi="Times New Roman" w:cs="Times New Roman"/>
        </w:rPr>
        <w:t>(10), 471-478. https://jppipa.unram.ac.id/index.php/jppipa/article/view/12666</w:t>
      </w:r>
    </w:p>
    <w:p w14:paraId="190510A1"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Sujatha, S., &amp; Vinayakan, K. (2023). Integrating math and real-world applications: A review of practical approaches to teaching. </w:t>
      </w:r>
      <w:r w:rsidRPr="00067712">
        <w:rPr>
          <w:rFonts w:ascii="Times New Roman" w:hAnsi="Times New Roman" w:cs="Times New Roman"/>
          <w:i/>
          <w:iCs/>
        </w:rPr>
        <w:t>International Journal of Computational Research and Development</w:t>
      </w:r>
      <w:r w:rsidRPr="00067712">
        <w:rPr>
          <w:rFonts w:ascii="Times New Roman" w:hAnsi="Times New Roman" w:cs="Times New Roman"/>
        </w:rPr>
        <w:t>, </w:t>
      </w:r>
      <w:r w:rsidRPr="00067712">
        <w:rPr>
          <w:rFonts w:ascii="Times New Roman" w:hAnsi="Times New Roman" w:cs="Times New Roman"/>
          <w:i/>
          <w:iCs/>
        </w:rPr>
        <w:t>8</w:t>
      </w:r>
      <w:r w:rsidRPr="00067712">
        <w:rPr>
          <w:rFonts w:ascii="Times New Roman" w:hAnsi="Times New Roman" w:cs="Times New Roman"/>
        </w:rPr>
        <w:t>(2), 55-</w:t>
      </w:r>
      <w:proofErr w:type="gramStart"/>
      <w:r w:rsidRPr="00067712">
        <w:rPr>
          <w:rFonts w:ascii="Times New Roman" w:hAnsi="Times New Roman" w:cs="Times New Roman"/>
        </w:rPr>
        <w:t>60.https://www.researchgate.net/profile/Kasi-Vinayakan/publication/387401743_</w:t>
      </w:r>
      <w:proofErr w:type="gramEnd"/>
    </w:p>
    <w:p w14:paraId="725BAB01"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Sulaiman, N. A., Shaid, N. A. N., &amp; Kamaruzaman, F. M. (2021). </w:t>
      </w:r>
      <w:r w:rsidRPr="00067712">
        <w:rPr>
          <w:rFonts w:ascii="Times New Roman" w:hAnsi="Times New Roman" w:cs="Times New Roman"/>
          <w:i/>
          <w:iCs/>
        </w:rPr>
        <w:t>Content validity and reliability of questionnaire on learners’ perception towards online learning during COVID-19 pandemic</w:t>
      </w:r>
      <w:r w:rsidRPr="00067712">
        <w:rPr>
          <w:rFonts w:ascii="Times New Roman" w:hAnsi="Times New Roman" w:cs="Times New Roman"/>
        </w:rPr>
        <w:t xml:space="preserve">. </w:t>
      </w:r>
      <w:r w:rsidRPr="00067712">
        <w:rPr>
          <w:rFonts w:ascii="Times New Roman" w:hAnsi="Times New Roman" w:cs="Times New Roman"/>
          <w:i/>
          <w:iCs/>
        </w:rPr>
        <w:t>International Journal of Academic Research in Business and Social Sciences</w:t>
      </w:r>
      <w:r w:rsidRPr="00067712">
        <w:rPr>
          <w:rFonts w:ascii="Times New Roman" w:hAnsi="Times New Roman" w:cs="Times New Roman"/>
        </w:rPr>
        <w:t xml:space="preserve">, 11(7), 519–528. http://dx.doi.org/10.6007/IJARBSS/v11-i7/10234 </w:t>
      </w:r>
    </w:p>
    <w:p w14:paraId="41BC403F" w14:textId="77777777" w:rsidR="00067712" w:rsidRPr="00067712" w:rsidRDefault="00067712" w:rsidP="00067712">
      <w:pPr>
        <w:spacing w:before="240" w:afterLines="240" w:after="576" w:line="240" w:lineRule="auto"/>
        <w:ind w:left="720" w:hanging="720"/>
        <w:jc w:val="both"/>
        <w:rPr>
          <w:rStyle w:val="Hyperlink"/>
          <w:rFonts w:ascii="Times New Roman" w:hAnsi="Times New Roman" w:cs="Times New Roman"/>
        </w:rPr>
      </w:pPr>
      <w:r w:rsidRPr="00067712">
        <w:rPr>
          <w:rFonts w:ascii="Times New Roman" w:hAnsi="Times New Roman" w:cs="Times New Roman"/>
        </w:rPr>
        <w:t xml:space="preserve">Susanti, E., &amp; Aisyah, N. (2025). Interactive Digital Teaching Materials Based on Numeracy: Development Studies on Statistical Material with The Context of Musi </w:t>
      </w:r>
      <w:proofErr w:type="spellStart"/>
      <w:r w:rsidRPr="00067712">
        <w:rPr>
          <w:rFonts w:ascii="Times New Roman" w:hAnsi="Times New Roman" w:cs="Times New Roman"/>
        </w:rPr>
        <w:t>Banyuasin</w:t>
      </w:r>
      <w:proofErr w:type="spellEnd"/>
      <w:r w:rsidRPr="00067712">
        <w:rPr>
          <w:rFonts w:ascii="Times New Roman" w:hAnsi="Times New Roman" w:cs="Times New Roman"/>
        </w:rPr>
        <w:t>. </w:t>
      </w:r>
      <w:proofErr w:type="spellStart"/>
      <w:r w:rsidRPr="00067712">
        <w:rPr>
          <w:rFonts w:ascii="Times New Roman" w:hAnsi="Times New Roman" w:cs="Times New Roman"/>
          <w:i/>
          <w:iCs/>
        </w:rPr>
        <w:t>Kreano</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Jurnal</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Matematika</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Kreatif-Inovatif</w:t>
      </w:r>
      <w:proofErr w:type="spellEnd"/>
      <w:r w:rsidRPr="00067712">
        <w:rPr>
          <w:rFonts w:ascii="Times New Roman" w:hAnsi="Times New Roman" w:cs="Times New Roman"/>
        </w:rPr>
        <w:t>, </w:t>
      </w:r>
      <w:r w:rsidRPr="00067712">
        <w:rPr>
          <w:rFonts w:ascii="Times New Roman" w:hAnsi="Times New Roman" w:cs="Times New Roman"/>
          <w:i/>
          <w:iCs/>
        </w:rPr>
        <w:t>16</w:t>
      </w:r>
      <w:r w:rsidRPr="00067712">
        <w:rPr>
          <w:rFonts w:ascii="Times New Roman" w:hAnsi="Times New Roman" w:cs="Times New Roman"/>
        </w:rPr>
        <w:t xml:space="preserve">(2), 411-431. </w:t>
      </w:r>
      <w:hyperlink r:id="rId22" w:history="1">
        <w:r w:rsidRPr="00067712">
          <w:rPr>
            <w:rStyle w:val="Hyperlink"/>
            <w:rFonts w:ascii="Times New Roman" w:hAnsi="Times New Roman" w:cs="Times New Roman"/>
          </w:rPr>
          <w:t>https://doi.org/10.15294/kreano.v16i2.29600</w:t>
        </w:r>
      </w:hyperlink>
    </w:p>
    <w:p w14:paraId="6DF98687"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Uy, F. T., Kilag, O. K. T., Sasan, J. M. V., Dela Cerna, Y. M. T., </w:t>
      </w:r>
      <w:proofErr w:type="spellStart"/>
      <w:r w:rsidRPr="00067712">
        <w:rPr>
          <w:rFonts w:ascii="Times New Roman" w:hAnsi="Times New Roman" w:cs="Times New Roman"/>
        </w:rPr>
        <w:t>Doroy</w:t>
      </w:r>
      <w:proofErr w:type="spellEnd"/>
      <w:r w:rsidRPr="00067712">
        <w:rPr>
          <w:rFonts w:ascii="Times New Roman" w:hAnsi="Times New Roman" w:cs="Times New Roman"/>
        </w:rPr>
        <w:t xml:space="preserve">, E. G., &amp; Gier, R. A. (2024). </w:t>
      </w:r>
      <w:r w:rsidRPr="00067712">
        <w:rPr>
          <w:rFonts w:ascii="Times New Roman" w:hAnsi="Times New Roman" w:cs="Times New Roman"/>
          <w:i/>
          <w:iCs/>
        </w:rPr>
        <w:t>Learner-centered learning: Examining the new MATATAG Curriculum</w:t>
      </w:r>
      <w:r w:rsidRPr="00067712">
        <w:rPr>
          <w:rFonts w:ascii="Times New Roman" w:hAnsi="Times New Roman" w:cs="Times New Roman"/>
        </w:rPr>
        <w:t xml:space="preserve">. </w:t>
      </w:r>
      <w:hyperlink r:id="rId23" w:tgtFrame="_new" w:history="1">
        <w:r w:rsidRPr="00067712">
          <w:rPr>
            <w:rStyle w:val="Hyperlink"/>
            <w:rFonts w:ascii="Times New Roman" w:hAnsi="Times New Roman" w:cs="Times New Roman"/>
          </w:rPr>
          <w:t>https://zenodo.org/records/12492522</w:t>
        </w:r>
      </w:hyperlink>
      <w:r w:rsidRPr="00067712">
        <w:rPr>
          <w:rFonts w:ascii="Times New Roman" w:hAnsi="Times New Roman" w:cs="Times New Roman"/>
        </w:rPr>
        <w:t xml:space="preserve"> </w:t>
      </w:r>
    </w:p>
    <w:p w14:paraId="18AADA7D"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 xml:space="preserve">Wijaya, H., </w:t>
      </w:r>
      <w:proofErr w:type="spellStart"/>
      <w:r w:rsidRPr="00067712">
        <w:rPr>
          <w:rFonts w:ascii="Times New Roman" w:hAnsi="Times New Roman" w:cs="Times New Roman"/>
        </w:rPr>
        <w:t>Maryanti</w:t>
      </w:r>
      <w:proofErr w:type="spellEnd"/>
      <w:r w:rsidRPr="00067712">
        <w:rPr>
          <w:rFonts w:ascii="Times New Roman" w:hAnsi="Times New Roman" w:cs="Times New Roman"/>
        </w:rPr>
        <w:t xml:space="preserve">, R., </w:t>
      </w:r>
      <w:proofErr w:type="spellStart"/>
      <w:r w:rsidRPr="00067712">
        <w:rPr>
          <w:rFonts w:ascii="Times New Roman" w:hAnsi="Times New Roman" w:cs="Times New Roman"/>
        </w:rPr>
        <w:t>Wulandary</w:t>
      </w:r>
      <w:proofErr w:type="spellEnd"/>
      <w:r w:rsidRPr="00067712">
        <w:rPr>
          <w:rFonts w:ascii="Times New Roman" w:hAnsi="Times New Roman" w:cs="Times New Roman"/>
        </w:rPr>
        <w:t>, V., &amp; Irawan, A. R. (2022). Numerical minimum competence assessment for increasing learners’ interest in mathematics. </w:t>
      </w:r>
      <w:r w:rsidRPr="00067712">
        <w:rPr>
          <w:rFonts w:ascii="Times New Roman" w:hAnsi="Times New Roman" w:cs="Times New Roman"/>
          <w:i/>
          <w:iCs/>
        </w:rPr>
        <w:t>ASEAN Journal of Science and Engineering Education</w:t>
      </w:r>
      <w:r w:rsidRPr="00067712">
        <w:rPr>
          <w:rFonts w:ascii="Times New Roman" w:hAnsi="Times New Roman" w:cs="Times New Roman"/>
        </w:rPr>
        <w:t>, </w:t>
      </w:r>
      <w:r w:rsidRPr="00067712">
        <w:rPr>
          <w:rFonts w:ascii="Times New Roman" w:hAnsi="Times New Roman" w:cs="Times New Roman"/>
          <w:i/>
          <w:iCs/>
        </w:rPr>
        <w:t>2</w:t>
      </w:r>
      <w:r w:rsidRPr="00067712">
        <w:rPr>
          <w:rFonts w:ascii="Times New Roman" w:hAnsi="Times New Roman" w:cs="Times New Roman"/>
        </w:rPr>
        <w:t>(3), 183-192. https://ejournal.upi.edu/index.php/AJSEE/article/view/38660</w:t>
      </w:r>
    </w:p>
    <w:p w14:paraId="6D8CA12F"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r w:rsidRPr="00067712">
        <w:rPr>
          <w:rFonts w:ascii="Times New Roman" w:hAnsi="Times New Roman" w:cs="Times New Roman"/>
        </w:rPr>
        <w:t>Xu, C., Di Lonardo Burr, S., &amp; LeFevre, J.-A. (2023). The hierarchical relations among mathematical competencies: From fundamental numeracy to complex mathematical skills. </w:t>
      </w:r>
      <w:r w:rsidRPr="00067712">
        <w:rPr>
          <w:rFonts w:ascii="Times New Roman" w:hAnsi="Times New Roman" w:cs="Times New Roman"/>
          <w:i/>
          <w:iCs/>
        </w:rPr>
        <w:t xml:space="preserve">Canadian Journal of Experimental Psychology / Revue canadienne de </w:t>
      </w:r>
      <w:proofErr w:type="spellStart"/>
      <w:r w:rsidRPr="00067712">
        <w:rPr>
          <w:rFonts w:ascii="Times New Roman" w:hAnsi="Times New Roman" w:cs="Times New Roman"/>
          <w:i/>
          <w:iCs/>
        </w:rPr>
        <w:t>psychologie</w:t>
      </w:r>
      <w:proofErr w:type="spellEnd"/>
      <w:r w:rsidRPr="00067712">
        <w:rPr>
          <w:rFonts w:ascii="Times New Roman" w:hAnsi="Times New Roman" w:cs="Times New Roman"/>
          <w:i/>
          <w:iCs/>
        </w:rPr>
        <w:t xml:space="preserve"> </w:t>
      </w:r>
      <w:proofErr w:type="spellStart"/>
      <w:r w:rsidRPr="00067712">
        <w:rPr>
          <w:rFonts w:ascii="Times New Roman" w:hAnsi="Times New Roman" w:cs="Times New Roman"/>
          <w:i/>
          <w:iCs/>
        </w:rPr>
        <w:t>expérimentale</w:t>
      </w:r>
      <w:proofErr w:type="spellEnd"/>
      <w:r w:rsidRPr="00067712">
        <w:rPr>
          <w:rFonts w:ascii="Times New Roman" w:hAnsi="Times New Roman" w:cs="Times New Roman"/>
          <w:i/>
          <w:iCs/>
        </w:rPr>
        <w:t>, 77</w:t>
      </w:r>
      <w:r w:rsidRPr="00067712">
        <w:rPr>
          <w:rFonts w:ascii="Times New Roman" w:hAnsi="Times New Roman" w:cs="Times New Roman"/>
        </w:rPr>
        <w:t>(4), 284–295. </w:t>
      </w:r>
      <w:hyperlink r:id="rId24" w:tgtFrame="_blank" w:history="1">
        <w:r w:rsidRPr="00067712">
          <w:rPr>
            <w:rStyle w:val="Hyperlink"/>
            <w:rFonts w:ascii="Times New Roman" w:hAnsi="Times New Roman" w:cs="Times New Roman"/>
          </w:rPr>
          <w:t>https://doi.org/10.1037/cep0000311</w:t>
        </w:r>
      </w:hyperlink>
    </w:p>
    <w:p w14:paraId="4710759F" w14:textId="77777777" w:rsidR="00067712" w:rsidRPr="00067712" w:rsidRDefault="00067712" w:rsidP="00067712">
      <w:pPr>
        <w:spacing w:before="240" w:afterLines="240" w:after="576" w:line="240" w:lineRule="auto"/>
        <w:ind w:left="720" w:hanging="720"/>
        <w:jc w:val="both"/>
        <w:rPr>
          <w:rStyle w:val="Hyperlink"/>
          <w:rFonts w:ascii="Times New Roman" w:hAnsi="Times New Roman" w:cs="Times New Roman"/>
        </w:rPr>
      </w:pPr>
      <w:r w:rsidRPr="00067712">
        <w:rPr>
          <w:rFonts w:ascii="Times New Roman" w:hAnsi="Times New Roman" w:cs="Times New Roman"/>
        </w:rPr>
        <w:t>Zuo, H., &amp; Wang, L. (2023). The influences of mindfulness on high-stakes mathematics test achievement of middle school learners. </w:t>
      </w:r>
      <w:r w:rsidRPr="00067712">
        <w:rPr>
          <w:rFonts w:ascii="Times New Roman" w:hAnsi="Times New Roman" w:cs="Times New Roman"/>
          <w:i/>
          <w:iCs/>
        </w:rPr>
        <w:t>Frontiers in Psychology</w:t>
      </w:r>
      <w:r w:rsidRPr="00067712">
        <w:rPr>
          <w:rFonts w:ascii="Times New Roman" w:hAnsi="Times New Roman" w:cs="Times New Roman"/>
        </w:rPr>
        <w:t>, </w:t>
      </w:r>
      <w:r w:rsidRPr="00067712">
        <w:rPr>
          <w:rFonts w:ascii="Times New Roman" w:hAnsi="Times New Roman" w:cs="Times New Roman"/>
          <w:i/>
          <w:iCs/>
        </w:rPr>
        <w:t>14</w:t>
      </w:r>
      <w:r w:rsidRPr="00067712">
        <w:rPr>
          <w:rFonts w:ascii="Times New Roman" w:hAnsi="Times New Roman" w:cs="Times New Roman"/>
        </w:rPr>
        <w:t xml:space="preserve">, 1061027.  </w:t>
      </w:r>
      <w:hyperlink r:id="rId25" w:history="1">
        <w:r w:rsidRPr="00067712">
          <w:rPr>
            <w:rStyle w:val="Hyperlink"/>
            <w:rFonts w:ascii="Times New Roman" w:hAnsi="Times New Roman" w:cs="Times New Roman"/>
          </w:rPr>
          <w:t>https://doi.org/10.3389/fpsyg.2023.1061027</w:t>
        </w:r>
      </w:hyperlink>
    </w:p>
    <w:p w14:paraId="5D7D1DD1" w14:textId="77777777" w:rsidR="00067712" w:rsidRPr="00067712" w:rsidRDefault="00067712" w:rsidP="00067712">
      <w:pPr>
        <w:spacing w:before="240" w:afterLines="240" w:after="576" w:line="240" w:lineRule="auto"/>
        <w:ind w:left="720" w:hanging="720"/>
        <w:jc w:val="both"/>
        <w:rPr>
          <w:rFonts w:ascii="Times New Roman" w:hAnsi="Times New Roman" w:cs="Times New Roman"/>
        </w:rPr>
      </w:pPr>
    </w:p>
    <w:p w14:paraId="23EDB897" w14:textId="77777777" w:rsidR="00067712" w:rsidRPr="00B77124" w:rsidRDefault="00067712" w:rsidP="00067712">
      <w:pPr>
        <w:pStyle w:val="NormalWeb"/>
        <w:spacing w:before="0" w:beforeAutospacing="0" w:after="0" w:afterAutospacing="0" w:line="480" w:lineRule="auto"/>
        <w:rPr>
          <w:rFonts w:ascii="Arial" w:hAnsi="Arial" w:cs="Arial"/>
          <w:b/>
          <w:bCs/>
        </w:rPr>
      </w:pPr>
    </w:p>
    <w:p w14:paraId="545B5A2B" w14:textId="77777777" w:rsidR="00067712" w:rsidRPr="00067712" w:rsidRDefault="00067712" w:rsidP="00067712">
      <w:pPr>
        <w:spacing w:before="240" w:afterLines="240" w:after="576" w:line="240" w:lineRule="auto"/>
        <w:rPr>
          <w:rFonts w:ascii="Times New Roman" w:hAnsi="Times New Roman" w:cs="Times New Roman"/>
          <w:b/>
          <w:bCs/>
        </w:rPr>
      </w:pPr>
    </w:p>
    <w:sectPr w:rsidR="00067712" w:rsidRPr="00067712" w:rsidSect="00A2089E">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9766" w14:textId="77777777" w:rsidR="00327F11" w:rsidRDefault="00327F11" w:rsidP="00A2089E">
      <w:pPr>
        <w:spacing w:after="0" w:line="240" w:lineRule="auto"/>
      </w:pPr>
      <w:r>
        <w:separator/>
      </w:r>
    </w:p>
  </w:endnote>
  <w:endnote w:type="continuationSeparator" w:id="0">
    <w:p w14:paraId="5CC4AC80" w14:textId="77777777" w:rsidR="00327F11" w:rsidRDefault="00327F11" w:rsidP="00A2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E143" w14:textId="77777777" w:rsidR="00327F11" w:rsidRDefault="00327F11" w:rsidP="00A2089E">
      <w:pPr>
        <w:spacing w:after="0" w:line="240" w:lineRule="auto"/>
      </w:pPr>
      <w:r>
        <w:separator/>
      </w:r>
    </w:p>
  </w:footnote>
  <w:footnote w:type="continuationSeparator" w:id="0">
    <w:p w14:paraId="00E5D0C3" w14:textId="77777777" w:rsidR="00327F11" w:rsidRDefault="00327F11" w:rsidP="00A20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DAB"/>
    <w:multiLevelType w:val="multilevel"/>
    <w:tmpl w:val="347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87CBE"/>
    <w:multiLevelType w:val="hybridMultilevel"/>
    <w:tmpl w:val="C89C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C0114"/>
    <w:multiLevelType w:val="multilevel"/>
    <w:tmpl w:val="06D0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8571F"/>
    <w:multiLevelType w:val="multilevel"/>
    <w:tmpl w:val="2D46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4704A"/>
    <w:multiLevelType w:val="multilevel"/>
    <w:tmpl w:val="458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035A5"/>
    <w:multiLevelType w:val="hybridMultilevel"/>
    <w:tmpl w:val="854A0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FA3365E"/>
    <w:multiLevelType w:val="multilevel"/>
    <w:tmpl w:val="EA485E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53A3615"/>
    <w:multiLevelType w:val="multilevel"/>
    <w:tmpl w:val="14C411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61D352A"/>
    <w:multiLevelType w:val="multilevel"/>
    <w:tmpl w:val="8F58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67F11"/>
    <w:multiLevelType w:val="multilevel"/>
    <w:tmpl w:val="F206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754D8"/>
    <w:multiLevelType w:val="hybridMultilevel"/>
    <w:tmpl w:val="49523C9E"/>
    <w:lvl w:ilvl="0" w:tplc="150821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9435A"/>
    <w:multiLevelType w:val="hybridMultilevel"/>
    <w:tmpl w:val="2EAE237C"/>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12" w15:restartNumberingAfterBreak="0">
    <w:nsid w:val="49A16130"/>
    <w:multiLevelType w:val="multilevel"/>
    <w:tmpl w:val="714A93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DFB4E49"/>
    <w:multiLevelType w:val="multilevel"/>
    <w:tmpl w:val="1392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C4D07"/>
    <w:multiLevelType w:val="multilevel"/>
    <w:tmpl w:val="734A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5946"/>
    <w:multiLevelType w:val="multilevel"/>
    <w:tmpl w:val="3036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41248"/>
    <w:multiLevelType w:val="multilevel"/>
    <w:tmpl w:val="072CA2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66754D6"/>
    <w:multiLevelType w:val="hybridMultilevel"/>
    <w:tmpl w:val="BD2235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1613DF"/>
    <w:multiLevelType w:val="multilevel"/>
    <w:tmpl w:val="24449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E560E"/>
    <w:multiLevelType w:val="multilevel"/>
    <w:tmpl w:val="568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455BB"/>
    <w:multiLevelType w:val="hybridMultilevel"/>
    <w:tmpl w:val="839A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F2756"/>
    <w:multiLevelType w:val="hybridMultilevel"/>
    <w:tmpl w:val="49047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62095"/>
    <w:multiLevelType w:val="hybridMultilevel"/>
    <w:tmpl w:val="BD2235A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7B930A92"/>
    <w:multiLevelType w:val="hybridMultilevel"/>
    <w:tmpl w:val="55B2F3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C744ACD"/>
    <w:multiLevelType w:val="multilevel"/>
    <w:tmpl w:val="C49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260A1"/>
    <w:multiLevelType w:val="multilevel"/>
    <w:tmpl w:val="D18EDEB6"/>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7949344">
    <w:abstractNumId w:val="10"/>
  </w:num>
  <w:num w:numId="2" w16cid:durableId="314991937">
    <w:abstractNumId w:val="2"/>
  </w:num>
  <w:num w:numId="3" w16cid:durableId="1664358102">
    <w:abstractNumId w:val="13"/>
  </w:num>
  <w:num w:numId="4" w16cid:durableId="1779372069">
    <w:abstractNumId w:val="0"/>
  </w:num>
  <w:num w:numId="5" w16cid:durableId="1444570402">
    <w:abstractNumId w:val="24"/>
  </w:num>
  <w:num w:numId="6" w16cid:durableId="1795824404">
    <w:abstractNumId w:val="9"/>
  </w:num>
  <w:num w:numId="7" w16cid:durableId="749036333">
    <w:abstractNumId w:val="21"/>
  </w:num>
  <w:num w:numId="8" w16cid:durableId="326828825">
    <w:abstractNumId w:val="23"/>
  </w:num>
  <w:num w:numId="9" w16cid:durableId="12079910">
    <w:abstractNumId w:val="5"/>
  </w:num>
  <w:num w:numId="10" w16cid:durableId="1452358028">
    <w:abstractNumId w:val="15"/>
  </w:num>
  <w:num w:numId="11" w16cid:durableId="975791392">
    <w:abstractNumId w:val="25"/>
  </w:num>
  <w:num w:numId="12" w16cid:durableId="1802193248">
    <w:abstractNumId w:val="4"/>
  </w:num>
  <w:num w:numId="13" w16cid:durableId="1234314360">
    <w:abstractNumId w:val="3"/>
  </w:num>
  <w:num w:numId="14" w16cid:durableId="202403017">
    <w:abstractNumId w:val="8"/>
  </w:num>
  <w:num w:numId="15" w16cid:durableId="161168976">
    <w:abstractNumId w:val="19"/>
  </w:num>
  <w:num w:numId="16" w16cid:durableId="403383880">
    <w:abstractNumId w:val="14"/>
  </w:num>
  <w:num w:numId="17" w16cid:durableId="1054158034">
    <w:abstractNumId w:val="18"/>
  </w:num>
  <w:num w:numId="18" w16cid:durableId="1061632321">
    <w:abstractNumId w:val="6"/>
  </w:num>
  <w:num w:numId="19" w16cid:durableId="290476565">
    <w:abstractNumId w:val="7"/>
  </w:num>
  <w:num w:numId="20" w16cid:durableId="19479370">
    <w:abstractNumId w:val="12"/>
  </w:num>
  <w:num w:numId="21" w16cid:durableId="175536004">
    <w:abstractNumId w:val="22"/>
  </w:num>
  <w:num w:numId="22" w16cid:durableId="1534685569">
    <w:abstractNumId w:val="16"/>
  </w:num>
  <w:num w:numId="23" w16cid:durableId="1869681235">
    <w:abstractNumId w:val="17"/>
  </w:num>
  <w:num w:numId="24" w16cid:durableId="16586">
    <w:abstractNumId w:val="11"/>
  </w:num>
  <w:num w:numId="25" w16cid:durableId="994256584">
    <w:abstractNumId w:val="20"/>
  </w:num>
  <w:num w:numId="26" w16cid:durableId="1292831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C6"/>
    <w:rsid w:val="00014757"/>
    <w:rsid w:val="00067712"/>
    <w:rsid w:val="001C53FE"/>
    <w:rsid w:val="00327F11"/>
    <w:rsid w:val="003A79D8"/>
    <w:rsid w:val="004F79CF"/>
    <w:rsid w:val="00510E80"/>
    <w:rsid w:val="00534308"/>
    <w:rsid w:val="006348BE"/>
    <w:rsid w:val="007E1D49"/>
    <w:rsid w:val="00816C88"/>
    <w:rsid w:val="00A2089E"/>
    <w:rsid w:val="00AF1894"/>
    <w:rsid w:val="00B4039F"/>
    <w:rsid w:val="00CB4787"/>
    <w:rsid w:val="00D63C33"/>
    <w:rsid w:val="00D723ED"/>
    <w:rsid w:val="00F3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7589"/>
  <w15:chartTrackingRefBased/>
  <w15:docId w15:val="{3C3E41A0-D6EA-4662-A7E6-16AD2236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7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7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7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7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FC6"/>
    <w:rPr>
      <w:rFonts w:eastAsiaTheme="majorEastAsia" w:cstheme="majorBidi"/>
      <w:color w:val="272727" w:themeColor="text1" w:themeTint="D8"/>
    </w:rPr>
  </w:style>
  <w:style w:type="paragraph" w:styleId="Title">
    <w:name w:val="Title"/>
    <w:basedOn w:val="Normal"/>
    <w:next w:val="Normal"/>
    <w:link w:val="TitleChar"/>
    <w:uiPriority w:val="10"/>
    <w:qFormat/>
    <w:rsid w:val="00F37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FC6"/>
    <w:pPr>
      <w:spacing w:before="160"/>
      <w:jc w:val="center"/>
    </w:pPr>
    <w:rPr>
      <w:i/>
      <w:iCs/>
      <w:color w:val="404040" w:themeColor="text1" w:themeTint="BF"/>
    </w:rPr>
  </w:style>
  <w:style w:type="character" w:customStyle="1" w:styleId="QuoteChar">
    <w:name w:val="Quote Char"/>
    <w:basedOn w:val="DefaultParagraphFont"/>
    <w:link w:val="Quote"/>
    <w:uiPriority w:val="29"/>
    <w:rsid w:val="00F37FC6"/>
    <w:rPr>
      <w:i/>
      <w:iCs/>
      <w:color w:val="404040" w:themeColor="text1" w:themeTint="BF"/>
    </w:rPr>
  </w:style>
  <w:style w:type="paragraph" w:styleId="ListParagraph">
    <w:name w:val="List Paragraph"/>
    <w:basedOn w:val="Normal"/>
    <w:uiPriority w:val="34"/>
    <w:qFormat/>
    <w:rsid w:val="00F37FC6"/>
    <w:pPr>
      <w:ind w:left="720"/>
      <w:contextualSpacing/>
    </w:pPr>
  </w:style>
  <w:style w:type="character" w:styleId="IntenseEmphasis">
    <w:name w:val="Intense Emphasis"/>
    <w:basedOn w:val="DefaultParagraphFont"/>
    <w:uiPriority w:val="21"/>
    <w:qFormat/>
    <w:rsid w:val="00F37FC6"/>
    <w:rPr>
      <w:i/>
      <w:iCs/>
      <w:color w:val="0F4761" w:themeColor="accent1" w:themeShade="BF"/>
    </w:rPr>
  </w:style>
  <w:style w:type="paragraph" w:styleId="IntenseQuote">
    <w:name w:val="Intense Quote"/>
    <w:basedOn w:val="Normal"/>
    <w:next w:val="Normal"/>
    <w:link w:val="IntenseQuoteChar"/>
    <w:uiPriority w:val="30"/>
    <w:qFormat/>
    <w:rsid w:val="00F37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FC6"/>
    <w:rPr>
      <w:i/>
      <w:iCs/>
      <w:color w:val="0F4761" w:themeColor="accent1" w:themeShade="BF"/>
    </w:rPr>
  </w:style>
  <w:style w:type="character" w:styleId="IntenseReference">
    <w:name w:val="Intense Reference"/>
    <w:basedOn w:val="DefaultParagraphFont"/>
    <w:uiPriority w:val="32"/>
    <w:qFormat/>
    <w:rsid w:val="00F37FC6"/>
    <w:rPr>
      <w:b/>
      <w:bCs/>
      <w:smallCaps/>
      <w:color w:val="0F4761" w:themeColor="accent1" w:themeShade="BF"/>
      <w:spacing w:val="5"/>
    </w:rPr>
  </w:style>
  <w:style w:type="paragraph" w:styleId="Header">
    <w:name w:val="header"/>
    <w:basedOn w:val="Normal"/>
    <w:link w:val="HeaderChar"/>
    <w:uiPriority w:val="99"/>
    <w:unhideWhenUsed/>
    <w:rsid w:val="00A20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89E"/>
  </w:style>
  <w:style w:type="paragraph" w:styleId="Footer">
    <w:name w:val="footer"/>
    <w:basedOn w:val="Normal"/>
    <w:link w:val="FooterChar"/>
    <w:uiPriority w:val="99"/>
    <w:unhideWhenUsed/>
    <w:rsid w:val="00A20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89E"/>
  </w:style>
  <w:style w:type="table" w:styleId="TableGrid">
    <w:name w:val="Table Grid"/>
    <w:basedOn w:val="TableNormal"/>
    <w:uiPriority w:val="39"/>
    <w:rsid w:val="00B4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0E80"/>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1">
    <w:name w:val="Current List1"/>
    <w:uiPriority w:val="99"/>
    <w:rsid w:val="00510E80"/>
    <w:pPr>
      <w:numPr>
        <w:numId w:val="11"/>
      </w:numPr>
    </w:pPr>
  </w:style>
  <w:style w:type="paragraph" w:styleId="Revision">
    <w:name w:val="Revision"/>
    <w:hidden/>
    <w:uiPriority w:val="99"/>
    <w:semiHidden/>
    <w:rsid w:val="00510E80"/>
    <w:pPr>
      <w:spacing w:after="0" w:line="240" w:lineRule="auto"/>
    </w:pPr>
  </w:style>
  <w:style w:type="character" w:styleId="CommentReference">
    <w:name w:val="annotation reference"/>
    <w:basedOn w:val="DefaultParagraphFont"/>
    <w:uiPriority w:val="99"/>
    <w:semiHidden/>
    <w:unhideWhenUsed/>
    <w:rsid w:val="00510E80"/>
    <w:rPr>
      <w:sz w:val="16"/>
      <w:szCs w:val="16"/>
    </w:rPr>
  </w:style>
  <w:style w:type="paragraph" w:styleId="CommentText">
    <w:name w:val="annotation text"/>
    <w:basedOn w:val="Normal"/>
    <w:link w:val="CommentTextChar"/>
    <w:uiPriority w:val="99"/>
    <w:unhideWhenUsed/>
    <w:rsid w:val="00510E80"/>
    <w:pPr>
      <w:spacing w:line="240" w:lineRule="auto"/>
    </w:pPr>
    <w:rPr>
      <w:sz w:val="20"/>
      <w:szCs w:val="20"/>
    </w:rPr>
  </w:style>
  <w:style w:type="character" w:customStyle="1" w:styleId="CommentTextChar">
    <w:name w:val="Comment Text Char"/>
    <w:basedOn w:val="DefaultParagraphFont"/>
    <w:link w:val="CommentText"/>
    <w:uiPriority w:val="99"/>
    <w:rsid w:val="00510E80"/>
    <w:rPr>
      <w:sz w:val="20"/>
      <w:szCs w:val="20"/>
    </w:rPr>
  </w:style>
  <w:style w:type="paragraph" w:styleId="CommentSubject">
    <w:name w:val="annotation subject"/>
    <w:basedOn w:val="CommentText"/>
    <w:next w:val="CommentText"/>
    <w:link w:val="CommentSubjectChar"/>
    <w:uiPriority w:val="99"/>
    <w:semiHidden/>
    <w:unhideWhenUsed/>
    <w:rsid w:val="00510E80"/>
    <w:rPr>
      <w:b/>
      <w:bCs/>
    </w:rPr>
  </w:style>
  <w:style w:type="character" w:customStyle="1" w:styleId="CommentSubjectChar">
    <w:name w:val="Comment Subject Char"/>
    <w:basedOn w:val="CommentTextChar"/>
    <w:link w:val="CommentSubject"/>
    <w:uiPriority w:val="99"/>
    <w:semiHidden/>
    <w:rsid w:val="00510E80"/>
    <w:rPr>
      <w:b/>
      <w:bCs/>
      <w:sz w:val="20"/>
      <w:szCs w:val="20"/>
    </w:rPr>
  </w:style>
  <w:style w:type="character" w:styleId="Hyperlink">
    <w:name w:val="Hyperlink"/>
    <w:basedOn w:val="DefaultParagraphFont"/>
    <w:uiPriority w:val="99"/>
    <w:unhideWhenUsed/>
    <w:rsid w:val="00510E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23887/ijerr.v6i3.62206" TargetMode="External"/><Relationship Id="rId18" Type="http://schemas.openxmlformats.org/officeDocument/2006/relationships/hyperlink" Target="https://doi.org/10.55324/iss.v2i2.3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The%20Doctor\Downloads\&#160;https:\doi.org\10.21831\jpe.v13i2.75555" TargetMode="External"/><Relationship Id="rId7" Type="http://schemas.openxmlformats.org/officeDocument/2006/relationships/endnotes" Target="endnotes.xml"/><Relationship Id="rId12" Type="http://schemas.openxmlformats.org/officeDocument/2006/relationships/hyperlink" Target="https://psycnet.apa.org/doi/10.1037/fam0001342" TargetMode="External"/><Relationship Id="rId17" Type="http://schemas.openxmlformats.org/officeDocument/2006/relationships/hyperlink" Target="https://doi.org/10.69569/jip.2024.0001" TargetMode="External"/><Relationship Id="rId25" Type="http://schemas.openxmlformats.org/officeDocument/2006/relationships/hyperlink" Target="https://doi.org/10.3389/fpsyg.2023.1061027" TargetMode="External"/><Relationship Id="rId2" Type="http://schemas.openxmlformats.org/officeDocument/2006/relationships/numbering" Target="numbering.xml"/><Relationship Id="rId16" Type="http://schemas.openxmlformats.org/officeDocument/2006/relationships/hyperlink" Target="https://dx.doi.org/10.2139/ssrn.3983663" TargetMode="External"/><Relationship Id="rId20" Type="http://schemas.openxmlformats.org/officeDocument/2006/relationships/hyperlink" Target="https://www.malque.pub/ojs/index.php/mr/article/view/8311?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ecp.2023.105746" TargetMode="External"/><Relationship Id="rId24" Type="http://schemas.openxmlformats.org/officeDocument/2006/relationships/hyperlink" Target="https://psycnet.apa.org/doi/10.1037/cep0000311" TargetMode="External"/><Relationship Id="rId5" Type="http://schemas.openxmlformats.org/officeDocument/2006/relationships/webSettings" Target="webSettings.xml"/><Relationship Id="rId15" Type="http://schemas.openxmlformats.org/officeDocument/2006/relationships/hyperlink" Target="https://ssrn.com/abstract=3983663" TargetMode="External"/><Relationship Id="rId23" Type="http://schemas.openxmlformats.org/officeDocument/2006/relationships/hyperlink" Target="https://zenodo.org/records/12492522?utm_source=chatgpt.com" TargetMode="External"/><Relationship Id="rId10" Type="http://schemas.openxmlformats.org/officeDocument/2006/relationships/hyperlink" Target="https://doi.org/10.22236/KALAMATIKA.vol9no1.2024pp15-30" TargetMode="External"/><Relationship Id="rId19" Type="http://schemas.openxmlformats.org/officeDocument/2006/relationships/hyperlink" Target="https://animorepository.dlsu.edu.ph/etd_masteral/6085?utm_source=chatgpt.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31893/multirev.2025351" TargetMode="External"/><Relationship Id="rId22" Type="http://schemas.openxmlformats.org/officeDocument/2006/relationships/hyperlink" Target="https://doi.org/10.15294/kreano.v16i2.2960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92055-CFFD-4D4B-9233-1D4DF8A9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12437</Words>
  <Characters>70893</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dcterms:created xsi:type="dcterms:W3CDTF">2026-05-08T03:08:00Z</dcterms:created>
  <dcterms:modified xsi:type="dcterms:W3CDTF">2026-05-08T03:08:00Z</dcterms:modified>
</cp:coreProperties>
</file>