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F6F1F4">
      <w:pPr>
        <w:pStyle w:val="4"/>
        <w:keepNext w:val="0"/>
        <w:keepLines w:val="0"/>
        <w:spacing w:before="280" w:line="240" w:lineRule="auto"/>
        <w:jc w:val="center"/>
        <w:rPr>
          <w:rFonts w:ascii="Times New Roman" w:hAnsi="Times New Roman" w:cs="Times New Roman"/>
          <w:b/>
          <w:bCs/>
          <w:color w:val="000000"/>
          <w:sz w:val="36"/>
          <w:szCs w:val="36"/>
        </w:rPr>
      </w:pPr>
      <w:bookmarkStart w:id="0" w:name="_itmfywqbqgqk" w:colFirst="0" w:colLast="0"/>
      <w:bookmarkEnd w:id="0"/>
      <w:r>
        <w:rPr>
          <w:rFonts w:ascii="Times New Roman" w:hAnsi="Times New Roman" w:cs="Times New Roman"/>
          <w:b/>
          <w:bCs/>
          <w:color w:val="000000"/>
          <w:sz w:val="36"/>
          <w:szCs w:val="36"/>
        </w:rPr>
        <w:t>Architectural Requirements for Supply Chain Management (SCM) Systems in a Circular Economy</w:t>
      </w:r>
    </w:p>
    <w:p w14:paraId="45ACFB73">
      <w:pPr>
        <w:spacing w:before="240" w:after="160" w:line="240" w:lineRule="auto"/>
        <w:jc w:val="center"/>
        <w:rPr>
          <w:rFonts w:ascii="Times New Roman" w:hAnsi="Times New Roman" w:cs="Times New Roman"/>
          <w:b/>
          <w:bCs/>
          <w:sz w:val="24"/>
          <w:szCs w:val="24"/>
        </w:rPr>
      </w:pPr>
      <w:r>
        <w:rPr>
          <w:rFonts w:ascii="Times New Roman" w:hAnsi="Times New Roman" w:eastAsia="Times New Roman" w:cs="Times New Roman"/>
          <w:b/>
          <w:bCs/>
          <w:sz w:val="24"/>
          <w:szCs w:val="24"/>
        </w:rPr>
        <w:t/>
      </w:r>
    </w:p>
    <w:p w14:paraId="18375481">
      <w:pPr>
        <w:spacing w:before="240" w:after="160" w:line="240" w:lineRule="auto"/>
        <w:jc w:val="center"/>
        <w:rPr>
          <w:rFonts w:ascii="Times New Roman" w:hAnsi="Times New Roman" w:cs="Times New Roman"/>
          <w:b/>
          <w:bCs/>
          <w:sz w:val="24"/>
          <w:szCs w:val="24"/>
        </w:rPr>
      </w:pPr>
      <w:r>
        <w:rPr>
          <w:rFonts w:ascii="Times New Roman" w:hAnsi="Times New Roman" w:cs="Times New Roman"/>
          <w:b/>
          <w:bCs/>
          <w:sz w:val="24"/>
          <w:szCs w:val="24"/>
        </w:rPr>
        <w:t/>
      </w:r>
    </w:p>
    <w:p w14:paraId="1DB197A8">
      <w:pPr>
        <w:spacing w:before="240" w:after="160" w:line="240" w:lineRule="auto"/>
        <w:jc w:val="center"/>
        <w:rPr>
          <w:rFonts w:ascii="Times New Roman" w:hAnsi="Times New Roman" w:cs="Times New Roman"/>
          <w:b/>
          <w:bCs/>
          <w:sz w:val="24"/>
          <w:szCs w:val="24"/>
        </w:rPr>
      </w:pPr>
    </w:p>
    <w:p w14:paraId="4113C3C0">
      <w:pPr>
        <w:spacing w:before="240" w:after="240" w:line="240" w:lineRule="auto"/>
        <w:jc w:val="both"/>
        <w:rPr>
          <w:rFonts w:ascii="Times New Roman" w:hAnsi="Times New Roman" w:cs="Times New Roman"/>
          <w:b/>
          <w:bCs/>
          <w:sz w:val="28"/>
          <w:szCs w:val="28"/>
        </w:rPr>
      </w:pPr>
      <w:r>
        <w:rPr>
          <w:rFonts w:hint="eastAsia" w:ascii="Times New Roman" w:hAnsi="Times New Roman" w:cs="Times New Roman"/>
          <w:b/>
          <w:bCs/>
          <w:sz w:val="28"/>
          <w:szCs w:val="28"/>
        </w:rPr>
        <w:t>ABSTRACT</w:t>
      </w:r>
    </w:p>
    <w:p w14:paraId="2E496DAD">
      <w:pPr>
        <w:spacing w:before="240" w:after="24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 circular economy (CE) is a paradigm shift that has changed the way Supply Chain Management (SCM) systems should be operated, but the architecture needed to enable this shift has still not been well researched. The traditional SCM models, based on unidirectional, linear material flows, are structurally unable to handle the bi-directional flows, multi-lifecycles of resources and multi-stakeholder interactions that are required for circular operations. Although a number of previous studies have focused on individual enabling technologies (Blockchain, the Internet of Things (IoT), Building Information Modelling (BIM), and Artificial Intelligence (AI)), a comprehensive, integrated architectural framework that incorporates the technical, organisational, and governance aspects has not yet been developed. This gap is consequential because the transition from linear to circular supply chain is architecturally unguided without technological understanding on a systems level. To fill this gap, this study utilises a Model Based Systems Engineering (MBSE) methodology, synthesizes knowledge from 102 peer-reviewed sources, to identify and validate four architectural requirements: traceability and provenance, lifecycle visibility and resource reuse, interoperability and standards, and security and trust. The results show that the requirements are interdependent and have to be dealt with together instead of separately, and that they can only be implemented as a whole so that measurable operational benefits can be achieved. This study presents a baseline model for the design of resilient, transparent and truly sustainable systems of integrated architectural requirements for circular supply chains.</w:t>
      </w:r>
    </w:p>
    <w:p w14:paraId="52013FEB">
      <w:pPr>
        <w:spacing w:before="240" w:after="240" w:line="240" w:lineRule="auto"/>
        <w:jc w:val="both"/>
      </w:pPr>
      <w:r>
        <w:rPr>
          <w:rFonts w:ascii="Times New Roman" w:hAnsi="Times New Roman" w:eastAsia="Times New Roman" w:cs="Times New Roman"/>
          <w:b/>
          <w:bCs/>
          <w:sz w:val="24"/>
          <w:szCs w:val="24"/>
        </w:rPr>
        <w:t>Keywords</w:t>
      </w:r>
      <w:r>
        <w:rPr>
          <w:rFonts w:ascii="Times New Roman" w:hAnsi="Times New Roman" w:eastAsia="Times New Roman" w:cs="Times New Roman"/>
          <w:sz w:val="24"/>
          <w:szCs w:val="24"/>
        </w:rPr>
        <w:t>: Circular Economy, Supply Chain Management, Architectural Frameworks, Industry 4.0, Internet of Things (IoT), Building Information Modelling (BIM)</w:t>
      </w:r>
      <w:r>
        <w:pict>
          <v:rect id="_x0000_i1025" o:spt="1" style="height:1.5pt;width:0pt;" fillcolor="#A0A0A0" filled="t" stroked="f" coordsize="21600,21600" o:hr="t" o:hrstd="t" o:hralign="center">
            <v:path/>
            <v:fill on="t" focussize="0,0"/>
            <v:stroke on="f"/>
            <v:imagedata o:title=""/>
            <o:lock v:ext="edit"/>
            <w10:wrap type="none"/>
            <w10:anchorlock/>
          </v:rect>
        </w:pict>
      </w:r>
    </w:p>
    <w:p w14:paraId="14FDEB72">
      <w:pPr>
        <w:pStyle w:val="4"/>
        <w:keepNext w:val="0"/>
        <w:keepLines w:val="0"/>
        <w:spacing w:before="280" w:line="240" w:lineRule="auto"/>
        <w:rPr>
          <w:rFonts w:ascii="Times New Roman" w:hAnsi="Times New Roman" w:cs="Times New Roman"/>
          <w:b/>
          <w:bCs/>
          <w:color w:val="000000"/>
        </w:rPr>
      </w:pPr>
      <w:bookmarkStart w:id="1" w:name="_uiwrtff5kx45" w:colFirst="0" w:colLast="0"/>
      <w:bookmarkEnd w:id="1"/>
      <w:r>
        <w:rPr>
          <w:rFonts w:ascii="Times New Roman" w:hAnsi="Times New Roman" w:cs="Times New Roman"/>
          <w:b/>
          <w:bCs/>
          <w:color w:val="000000"/>
        </w:rPr>
        <w:t>INTRODUCTION</w:t>
      </w:r>
    </w:p>
    <w:p w14:paraId="6C3E3C6B">
      <w:pPr>
        <w:spacing w:before="240" w:after="24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success of Industry 4.0 has revolutionized the production and logistics worldwide. One of the key principles of the transition from the “take-make-dispose” economic model to the Circular Economy (CE): resource efficiency, waste minimization and continuous material recirculation (Alhamami et al., 2018; Erbel et al., 2020; Geissdoerfer et al., 2018).</w:t>
      </w:r>
    </w:p>
    <w:p w14:paraId="2AA0C411">
      <w:pPr>
        <w:spacing w:before="240" w:after="24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Traditional Supply Chain Management (SCM) deals with the management of a series of activities across an organization to ensure that all activities are optimized to achieve the very best procurement benefits, performance and customer satisfaction. The traditional SCM designs, however, use one way linear processes that are not suitable for reverse logistics and to reuse resources in a circular economy (Khedr &amp; Sheeja, 2024). While there may be some inaccuracies in systems that are so fragmented, those inaccuracies are going to be passed down the supply chain network leading to high end-user risks (Radivojevic et al., 2022) and further contributing to the construction and industrial waste streams (Alhamami et al., 2018; Toland &amp; Collery, 2023).</w:t>
      </w:r>
    </w:p>
    <w:p w14:paraId="748E88EE">
      <w:pPr>
        <w:spacing w:before="240" w:after="24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In addition, the idea of SCM needs to be reconsidered, and SCM should be “smart” systems, not only controlling the movement of products to the final consumer, but also the reverse process of product recycling, refurbishment, and deconstruction (Ali &amp; Badinelli, 2016; Erbel et al., 2020). CSCM, which comprises of five key circular strategies, translates them into practice: Closing the cycles through recycling; slowing the cycles through refurbishment or remanufacturing; intensifying the cycles through maximized usage; narrowing the cycles through minimised utilization of resources; and dematerializing the cycles through service substitution (Farooque et al., 2019; Geissdoerfer et al., 2018). Circular SCM systems, unlike linear SCM systems, are required to address the characteristics of multi-lifecycle and understated flow of material in the circular systems involving product, component and raw materials in various stages of life cycles (Rangga Primadasa et al., 2024). The bi-directionality poses multiple challenges to system architects to verify several requirements in different communication patterns and multi-level simulation processes (Erbel et al., 2020).</w:t>
      </w:r>
    </w:p>
    <w:p w14:paraId="1B27FA9D">
      <w:pPr>
        <w:spacing w:before="240" w:after="24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While the principles of CE have interest in both academia and industry, there are still gaps in the knowledge of how to operationalize the principles of CSCM at the system architecture level. The implementation of the circular economy (CE) is facing a number of cultural, technological, policy, knowledge and market barriers (Wang et al., 2020). One of the latest systematic reviews also reveal knowledge gaps and constraints in the existing knowledge on the digitalization of processes, specifically on handling return flows with a large number of relevant actors (Taddei et al., 2024). Reverse logistics, products' return with different attributes, and logistics complexity are among the most complex parts of moving towards circular value-preserving models (Perau et al., 2025). Farooque et al (2019) however noted that there was a gap in the literature in regard to the use of enabling technologies in CSCM, which is a focus of this study.</w:t>
      </w:r>
    </w:p>
    <w:p w14:paraId="67C61F17">
      <w:pPr>
        <w:spacing w:before="240" w:after="24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Past research revealed the potential of each technology but there is a need for evidence linking the convergence of the technologies (IoT, BIM, Blockchain and AI) to an integrated architectural framework with a technical, organisational and legal dimension. The aim of this study is to identify, validate and investigate the key design principles that can help on how linear supply chain systems can be transformed into resilient, transparent and sustainable circular supply chains, through the Application of Model Based Systems Engineering (MBSE) methodology and a systematic review of 102 peer reviewed sources. The lessons learnt can be applied by system architects, actors in the supply chain and policy makers to scale-up the concepts of circular economy into actual operations.</w:t>
      </w:r>
    </w:p>
    <w:p w14:paraId="36A3AF31">
      <w:pPr>
        <w:pStyle w:val="2"/>
        <w:keepNext w:val="0"/>
        <w:keepLines w:val="0"/>
        <w:spacing w:before="480" w:line="240" w:lineRule="auto"/>
        <w:jc w:val="both"/>
        <w:rPr>
          <w:rFonts w:ascii="Times New Roman" w:hAnsi="Times New Roman" w:eastAsia="Times New Roman" w:cs="Times New Roman"/>
          <w:b/>
          <w:bCs/>
          <w:color w:val="303030"/>
          <w:sz w:val="28"/>
          <w:szCs w:val="28"/>
        </w:rPr>
      </w:pPr>
      <w:bookmarkStart w:id="2" w:name="_c4ajb7nl4bhg" w:colFirst="0" w:colLast="0"/>
      <w:bookmarkEnd w:id="2"/>
      <w:r>
        <w:rPr>
          <w:rFonts w:ascii="Times New Roman" w:hAnsi="Times New Roman" w:eastAsia="Times New Roman" w:cs="Times New Roman"/>
          <w:b/>
          <w:bCs/>
          <w:color w:val="303030"/>
          <w:sz w:val="28"/>
          <w:szCs w:val="28"/>
        </w:rPr>
        <w:t>LITERATURE REVIEW: ENABLING TECHNOLOGIES AND ARCHITECTURAL REQUIREMENTS</w:t>
      </w:r>
    </w:p>
    <w:p w14:paraId="4084AB9D">
      <w:pPr>
        <w:spacing w:before="240" w:after="24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It is necessary to rethink technology infrastructure to implement circular supply chain architectures. But traditional SCM systems are not applicable on the circular economy systems due to the complexity of the bidirectional flow on the system. The present review is categorized in three thematic pillars, (1) enabling technologies like IoT, BIM, Blockchain and AI, (2) base architectural requirements for circular SCM and (3) research gaps and implementation challenges inspiring this research.</w:t>
      </w:r>
    </w:p>
    <w:p w14:paraId="3CB88472">
      <w:pPr>
        <w:pStyle w:val="3"/>
        <w:keepNext w:val="0"/>
        <w:keepLines w:val="0"/>
        <w:spacing w:line="240" w:lineRule="auto"/>
        <w:rPr>
          <w:rFonts w:ascii="Times New Roman" w:hAnsi="Times New Roman" w:cs="Times New Roman"/>
          <w:b/>
          <w:bCs/>
          <w:sz w:val="24"/>
          <w:szCs w:val="24"/>
        </w:rPr>
      </w:pPr>
      <w:bookmarkStart w:id="3" w:name="_r9y2pxng315n" w:colFirst="0" w:colLast="0"/>
      <w:bookmarkEnd w:id="3"/>
      <w:r>
        <w:rPr>
          <w:rFonts w:ascii="Times New Roman" w:hAnsi="Times New Roman" w:cs="Times New Roman"/>
          <w:b/>
          <w:bCs/>
          <w:sz w:val="24"/>
          <w:szCs w:val="24"/>
        </w:rPr>
        <w:t>Enabling Technologies for Circular Supply Chain Management</w:t>
      </w:r>
    </w:p>
    <w:p w14:paraId="0DBDDE29">
      <w:pPr>
        <w:pStyle w:val="3"/>
        <w:keepNext w:val="0"/>
        <w:keepLines w:val="0"/>
        <w:spacing w:before="280" w:line="240" w:lineRule="auto"/>
        <w:rPr>
          <w:rFonts w:ascii="Times New Roman" w:hAnsi="Times New Roman" w:cs="Times New Roman"/>
          <w:b/>
          <w:bCs/>
          <w:sz w:val="24"/>
          <w:szCs w:val="24"/>
        </w:rPr>
      </w:pPr>
      <w:bookmarkStart w:id="4" w:name="_i3qa5dv65ta9" w:colFirst="0" w:colLast="0"/>
      <w:bookmarkEnd w:id="4"/>
      <w:r>
        <w:rPr>
          <w:rFonts w:ascii="Times New Roman" w:hAnsi="Times New Roman" w:cs="Times New Roman"/>
          <w:b/>
          <w:bCs/>
          <w:sz w:val="24"/>
          <w:szCs w:val="24"/>
        </w:rPr>
        <w:t>Iot and Cyber-Physical Systems</w:t>
      </w:r>
    </w:p>
    <w:p w14:paraId="48008F14">
      <w:pPr>
        <w:spacing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IoT, which is the sensory layer of smart systems in the modern SCM systems, is a combination of physical and virtual space, where devices and smart sensors are connected to one another, providing a connectivity between physical space and virtual space (Sundmaeker et al., 2016). Through SCM, IoT can be applied to assets to track them in real time by using RFID and NFC and to monitor the performance of the asset and can be used to create smart construction objects (SCs) that help the flow of information over the asset's life cycle (Banerjee &amp; Nayaka, 2022). In circular supply chains in particular, IoT can help to gather detailed information about the product like its condition, location and usage, all of which are crucial for making decisions on the best end-of-life solution, including refurbishment, remanufacturing or recycling (Dave et al., 2016). In the case of public sector or industrial applications that have complicated requirements, there exists a need for scalable IoT architecture frameworks (Das et al., 2023). But, interoperability among devices, standardization of data, and the energy usage of the sensor networks are still unsolved issues which are able to jeopardise sustainability goals if not properly managed.</w:t>
      </w:r>
    </w:p>
    <w:p w14:paraId="587DD758">
      <w:pPr>
        <w:spacing w:line="240" w:lineRule="auto"/>
        <w:jc w:val="both"/>
        <w:rPr>
          <w:rFonts w:ascii="Times New Roman" w:hAnsi="Times New Roman" w:eastAsia="Times New Roman" w:cs="Times New Roman"/>
          <w:sz w:val="24"/>
          <w:szCs w:val="24"/>
        </w:rPr>
      </w:pPr>
    </w:p>
    <w:p w14:paraId="6EBB2614">
      <w:pPr>
        <w:spacing w:before="240" w:after="240" w:line="240" w:lineRule="auto"/>
        <w:jc w:val="both"/>
        <w:rPr>
          <w:rFonts w:ascii="Times New Roman" w:hAnsi="Times New Roman" w:cs="Times New Roman"/>
          <w:sz w:val="24"/>
          <w:szCs w:val="24"/>
        </w:rPr>
      </w:pPr>
      <w:r>
        <w:rPr>
          <w:rFonts w:ascii="Times New Roman" w:hAnsi="Times New Roman" w:eastAsia="Times New Roman" w:cs="Times New Roman"/>
          <w:sz w:val="24"/>
          <w:szCs w:val="24"/>
        </w:rPr>
        <w:t>Edge computing architectures are also crucial for integrating IoT into circular supply chains, as they handle data from sensors more near the source than just in the cloud. Further, the use of edge computing further reduces the bandwidth consumption and latency of the circular material tracking system, supporting capacities to make informed decisions about product recovery at end-of-life stages in real time. Besides, the LPWAN (low power wide area network) technologies such as LoRaWAN and NB-IoT also offer the opportunity of using sensor networks in scenarios where current networks are not available in industry. The developments cover a wide range of possibilities for implementing IoT on sites other than manufacturing where it has traditionally been the target for digitization of circular supply chains, such as management and recovery of construction waste and recovery of waste from agricultural processes (Dave et al., 2016; Das et al., 2023).</w:t>
      </w:r>
    </w:p>
    <w:p w14:paraId="1CB0C8AD">
      <w:pPr>
        <w:pStyle w:val="4"/>
        <w:keepNext w:val="0"/>
        <w:keepLines w:val="0"/>
        <w:spacing w:before="280" w:line="240" w:lineRule="auto"/>
        <w:jc w:val="both"/>
        <w:rPr>
          <w:rFonts w:ascii="Times New Roman" w:hAnsi="Times New Roman" w:cs="Times New Roman"/>
          <w:b/>
          <w:bCs/>
          <w:color w:val="000000"/>
          <w:sz w:val="24"/>
          <w:szCs w:val="24"/>
        </w:rPr>
      </w:pPr>
      <w:bookmarkStart w:id="5" w:name="_ybw0jxgax84h" w:colFirst="0" w:colLast="0"/>
      <w:bookmarkEnd w:id="5"/>
      <w:r>
        <w:rPr>
          <w:rFonts w:ascii="Times New Roman" w:hAnsi="Times New Roman" w:cs="Times New Roman"/>
          <w:b/>
          <w:bCs/>
          <w:color w:val="000000"/>
          <w:sz w:val="24"/>
          <w:szCs w:val="24"/>
        </w:rPr>
        <w:t>Building Information Modelling and Digital Twins</w:t>
      </w:r>
    </w:p>
    <w:p w14:paraId="450F4E9E">
      <w:pPr>
        <w:spacing w:before="240" w:after="240" w:line="240" w:lineRule="auto"/>
        <w:jc w:val="both"/>
        <w:rPr>
          <w:rFonts w:ascii="Times New Roman" w:hAnsi="Times New Roman" w:cs="Times New Roman"/>
          <w:sz w:val="24"/>
          <w:szCs w:val="24"/>
        </w:rPr>
      </w:pPr>
      <w:r>
        <w:rPr>
          <w:rFonts w:ascii="Times New Roman" w:hAnsi="Times New Roman" w:eastAsia="Times New Roman" w:cs="Times New Roman"/>
          <w:sz w:val="24"/>
          <w:szCs w:val="24"/>
        </w:rPr>
        <w:t>Building Information Modelling (BIM) has evolved from the 3D design world to the whole asset lifecycle management system for infrastructure and products. BIM-based IoT architecture systems have demonstrated capabilities for structural performance assessment, predictive facility maintenance and creation of digital twins to reduce rework and improve decision making for the management of ageing infrastructure (Robertshaw et al., 2023). Moreover, BIM is considered as a critical element for sustainability targets in terms of material environments and suppliers nears (Alhamami et al., 2018). Importantly, BIM systems capable of integration with look-ahead planning have been proven to be facilitating reduction of material flow process duration by 16.1% (Chen et al., 2020), which is directly applicable from the circular material operations, where time of material is critical during the process. Beyond the original design, the use of BIM can help to record the materials and assemblies for the entire life cycle thoroughly, and also support the decision-making process at the end of life, such as resource recovery, including material passports to follow circular design principles (Ali &amp; Badinelli, 2016). However, the adoption of BIM faces certain challenges including, implementation cost, lack of interoperability standards and the prevailing digital skills gap (Alhamami et al., 2018).</w:t>
      </w:r>
    </w:p>
    <w:p w14:paraId="7747DEF5">
      <w:pPr>
        <w:spacing w:before="240" w:after="24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This is a great advancement of BIM and Digital twin synergy in lifecycle visibility. However, BIM distinctions do not end there: a digital twin can continuously collect real-time data and simulate the course of structural decay over time and schedule maintenance tasks, unlike traditional BIM models (Robertshaw et al., 2023). For circular construction scenarios such materials can directly contribute to the design-for-disassembly approach: The project team can have a continuous digital record of the condition of each material throughout the life of the project, which enables them to plan for selective deconstruction and not destruction at the end-of-life, thereby enabling the recovery of higher value materials. Alhamani et al. (2018) also suggest that the implementation of sustainability performance indicators in BIM models helps project stakeholders to consider materials in view of the circular economy benchmarks in the design phase, moving the consideration of circular economy to the upstream of the project, not as an afterthought once the project is already built.</w:t>
      </w:r>
    </w:p>
    <w:p w14:paraId="1B415BDC">
      <w:pPr>
        <w:pStyle w:val="4"/>
        <w:keepNext w:val="0"/>
        <w:keepLines w:val="0"/>
        <w:spacing w:before="280" w:line="240" w:lineRule="auto"/>
        <w:rPr>
          <w:rFonts w:ascii="Times New Roman" w:hAnsi="Times New Roman" w:cs="Times New Roman"/>
          <w:b/>
          <w:bCs/>
          <w:color w:val="000000"/>
          <w:sz w:val="24"/>
          <w:szCs w:val="24"/>
        </w:rPr>
      </w:pPr>
      <w:bookmarkStart w:id="6" w:name="_9x318l60ip" w:colFirst="0" w:colLast="0"/>
      <w:bookmarkEnd w:id="6"/>
      <w:r>
        <w:rPr>
          <w:rFonts w:ascii="Times New Roman" w:hAnsi="Times New Roman" w:cs="Times New Roman"/>
          <w:b/>
          <w:bCs/>
          <w:color w:val="000000"/>
          <w:sz w:val="24"/>
          <w:szCs w:val="24"/>
        </w:rPr>
        <w:t>Blockchain and Decentralized Trust Mechanisms</w:t>
      </w:r>
    </w:p>
    <w:p w14:paraId="356DCE54">
      <w:pPr>
        <w:spacing w:before="240" w:after="24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One of the major issues with global supply chains is the lack of transparency, which blockchain technology can help remedy by offering a decentralized trust system. It facilitates the tracking and authentication of product origins and adherence to regulations throughout various production phases, helping organizations establish the traceability and security of their products. It ensures the traceability and security of the product, making it easier for organizations to prove its source and conformity to requirements at different stages of the production process (Salzano et al., 2024). Circular supply chains (CSCs) are of special importance in the context of blockchain, as it is essential to build trust in material qualities and origin for the functioning of secondary markets (Saberi et al., 2020). Shared business logic can be achieved through frameworks like Hyperledger Fabric and R3 Corda, which allows for an equitable multi-stakeholder collaboration (Solanki et al., 2025). Smart contracts and PKI also assist in further automating procedure streams in various industries (Azevedo et al., 2023). In spite of this, the engineering costs, scalability issues, and stakeholder resistance to the adoption of decentralized transparency models are still significant barriers (Taddei et al., 2024). The energy consumption of proof-of-work consensus mechanisms also poses sustainability concerns, but newer proof-of-stake methods hold potential.</w:t>
      </w:r>
    </w:p>
    <w:p w14:paraId="50914A53">
      <w:pPr>
        <w:spacing w:before="240" w:after="240" w:line="240" w:lineRule="auto"/>
        <w:jc w:val="both"/>
        <w:rPr>
          <w:rFonts w:ascii="Times New Roman" w:hAnsi="Times New Roman" w:eastAsia="Times New Roman" w:cs="Times New Roman"/>
          <w:sz w:val="24"/>
          <w:szCs w:val="24"/>
        </w:rPr>
      </w:pPr>
    </w:p>
    <w:p w14:paraId="70DD3BE0">
      <w:pPr>
        <w:spacing w:before="240" w:after="24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In addition to providing traceability of transactions, blockchain can be used in circular SCM to facilitate the automation of compliance verification via smart contracts. Smart contracts can automatically initiate actions in the downstream processes, such as releasing payments, allocating recycling facilities, or issuing customs clearance documents, when pre-defined conditions are met (Azevedo et al., 2023). This automation helps to eliminate administrative friction in multi-party circular loops and minimize the chances of fraudulent compliance reporting. In secondary raw material markets, where the adopters are wary of paying a premium price for recycled material without quality assurance information, blockchain-based provenance information has shown it can help overcome the lack of trust between material producers and industrial buyers, thus raising the demand for recycled material and increasing the economic feasibility of reverse logistics operations (Saberi et al., 2020; Solanki et al., 2025).</w:t>
      </w:r>
    </w:p>
    <w:p w14:paraId="724EE587">
      <w:pPr>
        <w:pStyle w:val="4"/>
        <w:keepNext w:val="0"/>
        <w:keepLines w:val="0"/>
        <w:spacing w:before="280" w:line="240" w:lineRule="auto"/>
        <w:jc w:val="both"/>
        <w:rPr>
          <w:rFonts w:ascii="Times New Roman" w:hAnsi="Times New Roman" w:cs="Times New Roman"/>
          <w:b/>
          <w:bCs/>
          <w:color w:val="000000"/>
          <w:sz w:val="24"/>
          <w:szCs w:val="24"/>
        </w:rPr>
      </w:pPr>
      <w:bookmarkStart w:id="7" w:name="_ecra4mbasbxb" w:colFirst="0" w:colLast="0"/>
      <w:bookmarkEnd w:id="7"/>
      <w:r>
        <w:rPr>
          <w:rFonts w:ascii="Times New Roman" w:hAnsi="Times New Roman" w:cs="Times New Roman"/>
          <w:b/>
          <w:bCs/>
          <w:color w:val="000000"/>
          <w:sz w:val="24"/>
          <w:szCs w:val="24"/>
        </w:rPr>
        <w:t>Artificial Intelligence and Advanced Analytics</w:t>
      </w:r>
    </w:p>
    <w:p w14:paraId="57C84E46">
      <w:pPr>
        <w:spacing w:before="240" w:after="240" w:line="240" w:lineRule="auto"/>
        <w:jc w:val="both"/>
        <w:rPr>
          <w:rFonts w:ascii="Times New Roman" w:hAnsi="Times New Roman" w:cs="Times New Roman"/>
          <w:sz w:val="24"/>
          <w:szCs w:val="24"/>
        </w:rPr>
      </w:pPr>
      <w:r>
        <w:rPr>
          <w:rFonts w:ascii="Times New Roman" w:hAnsi="Times New Roman" w:eastAsia="Times New Roman" w:cs="Times New Roman"/>
          <w:sz w:val="24"/>
          <w:szCs w:val="24"/>
        </w:rPr>
        <w:t>The functions of SCM that can directly benefit the objectives of circular economy are gaining importance in the use of AI and deep learning, such as automated quality assessment, predictive maintenance and optimal pathways for material recovery through intelligent sorting (Baskaran &amp; Nguyen, 2025). AI also plays a pivotal role in circular scenarios, addressing the uncertainty that exists in reverse logistics, where the condition, quality, and timing of returns are notoriously unpredictable. AI is also combined with Intent Based Networking (IBN) to support large, heterogeneous ICT supply chains by converting high-level requirements into dynamic access control policies (Amiri, 2025; Gupta, 2025). One challenge, however, is that the efficacy of the AI systems is strongly reliant on the quality of the training data; the less data available, the less effective the system will be, especially when considering that there is limited historical data on product returns and material recovery in developing circular supply chains.</w:t>
      </w:r>
    </w:p>
    <w:p w14:paraId="3A6FB25D">
      <w:pPr>
        <w:spacing w:before="240" w:after="24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relevance of reinforcement learning and generative AI in circular SCM goes beyond the quality classification. Predictive recirculation models, developed using information from the sensors, maintenance systems, and market demand data, will be able to predict the optimal redeployment time for each component, reducing the idle time of recovered components in reverse logistics holding facilities. SCM systems with the help of AI technology can significantly enhance the accuracy of forecasting and optimisation of resource allocation especially in the context of circular economy, where the variability in returns adds to the demand uncertainty. (Chen et al., 2020). Furthermore, AI-powered dynamic routing algorithms can optimize reverse logistics networks on the fly with changing product return flows, minimizing transportation costs and carbon emissions from inefficient reverse logistics directly addressing the carbon reduction needs of the circular economy (Khedr &amp; Sheeja, 2024; Baskaran &amp; Nguyen, 2025).</w:t>
      </w:r>
    </w:p>
    <w:p w14:paraId="6A1A78F1">
      <w:pPr>
        <w:pStyle w:val="3"/>
        <w:keepNext w:val="0"/>
        <w:keepLines w:val="0"/>
        <w:spacing w:line="240" w:lineRule="auto"/>
        <w:jc w:val="both"/>
        <w:rPr>
          <w:rFonts w:ascii="Times New Roman" w:hAnsi="Times New Roman" w:cs="Times New Roman"/>
          <w:b/>
          <w:bCs/>
          <w:sz w:val="24"/>
          <w:szCs w:val="24"/>
        </w:rPr>
      </w:pPr>
      <w:bookmarkStart w:id="8" w:name="_qn9trulwpy95" w:colFirst="0" w:colLast="0"/>
      <w:bookmarkEnd w:id="8"/>
      <w:r>
        <w:rPr>
          <w:rFonts w:ascii="Times New Roman" w:hAnsi="Times New Roman" w:cs="Times New Roman"/>
          <w:b/>
          <w:bCs/>
          <w:sz w:val="24"/>
          <w:szCs w:val="24"/>
        </w:rPr>
        <w:t>Core Architectural Requirements for Circular Supply Chain Management</w:t>
      </w:r>
    </w:p>
    <w:p w14:paraId="149EA99E">
      <w:pPr>
        <w:spacing w:before="240" w:after="24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real benefit of the technologies mentioned above is when they are combined in a coherent architectural context. The three key elements that support circular SCM systems are traceability and transparency, orchestration and coordination, and data ecosystems and interoperability.</w:t>
      </w:r>
    </w:p>
    <w:p w14:paraId="25DDD3BD">
      <w:pPr>
        <w:pStyle w:val="4"/>
        <w:keepNext w:val="0"/>
        <w:keepLines w:val="0"/>
        <w:spacing w:before="280" w:line="240" w:lineRule="auto"/>
        <w:jc w:val="both"/>
        <w:rPr>
          <w:rFonts w:ascii="Times New Roman" w:hAnsi="Times New Roman" w:cs="Times New Roman"/>
          <w:b/>
          <w:bCs/>
          <w:color w:val="000000"/>
          <w:sz w:val="24"/>
          <w:szCs w:val="24"/>
        </w:rPr>
      </w:pPr>
      <w:bookmarkStart w:id="9" w:name="_l0vss63iqtbe" w:colFirst="0" w:colLast="0"/>
      <w:bookmarkEnd w:id="9"/>
      <w:r>
        <w:rPr>
          <w:rFonts w:ascii="Times New Roman" w:hAnsi="Times New Roman" w:cs="Times New Roman"/>
          <w:b/>
          <w:bCs/>
          <w:color w:val="000000"/>
          <w:sz w:val="24"/>
          <w:szCs w:val="24"/>
        </w:rPr>
        <w:t>Traceability and Transparency through Blockchain and Digital Product Passports</w:t>
      </w:r>
    </w:p>
    <w:p w14:paraId="4A10BC1F">
      <w:pPr>
        <w:spacing w:before="240" w:after="240" w:line="240" w:lineRule="auto"/>
        <w:jc w:val="both"/>
        <w:rPr>
          <w:rFonts w:ascii="Times New Roman" w:hAnsi="Times New Roman" w:cs="Times New Roman"/>
          <w:sz w:val="24"/>
          <w:szCs w:val="24"/>
        </w:rPr>
      </w:pPr>
      <w:r>
        <w:rPr>
          <w:rFonts w:ascii="Times New Roman" w:hAnsi="Times New Roman" w:eastAsia="Times New Roman" w:cs="Times New Roman"/>
          <w:sz w:val="24"/>
          <w:szCs w:val="24"/>
        </w:rPr>
        <w:t>Traceability, which means tracking materials and products throughout their entire life cycle – is the foundation of circular SCM. The consensus of the researchers, including Azevedo et al. (2023), is that Blockchain is a key enabler, as it helps to improve the information symmetry among the stakeholders involved in the product lifecycle (manufacturers, logistics providers, recyclers, and auditors), and enhance the verification of product authenticity. With the introduction of Digital Product Passports (DPPs), circular economy considerations are now being integrated into lifecycle management and information regarding the materials and components are being recorded throughout multiple lifecycles, making it a part of the modern architectural design. Immutable records of provenance, quality certifications and histories of transformation can be added to DPPs, which allow decisions to be made on re-use and recycling at each lifecycle stage (Salzano et al., 2024). The real-time tracking comes from the integration of RFID and NFC components, and decentralized ledger frameworks enable the management of shared business logic without a central authority (Solanki et al., 2025). Therefore, architects' need for traceability can be presented as a two-fold demand: one that is physical (RFID, NFC, environmental sensors) and one that is digital (Distributed ledgers, smart contracts, cryptographic hashing).</w:t>
      </w:r>
    </w:p>
    <w:p w14:paraId="7F0DCF85">
      <w:pPr>
        <w:spacing w:before="240" w:after="240" w:line="240" w:lineRule="auto"/>
        <w:jc w:val="both"/>
        <w:rPr>
          <w:rFonts w:ascii="Times New Roman" w:hAnsi="Times New Roman" w:cs="Times New Roman"/>
          <w:sz w:val="24"/>
          <w:szCs w:val="24"/>
        </w:rPr>
      </w:pPr>
      <w:r>
        <w:rPr>
          <w:rFonts w:ascii="Times New Roman" w:hAnsi="Times New Roman" w:eastAsia="Times New Roman" w:cs="Times New Roman"/>
          <w:sz w:val="24"/>
          <w:szCs w:val="24"/>
        </w:rPr>
        <w:t>Implementing DPPs is a governance challenge and provides architectural opportunities. In terms of opportunities, DPPs can serve as long-term, digital representations of individual parts, which continue to link to ownership changes and transformation throughout the product lifecycle. For sectors like aviation, construction, and electronics where the provenance of the parts is specified by regulation, the verification infrastructure that DPPs offer can back up circularity claims to regulators, insurers and end customers alike. Governance is also fragmented by industry with the need for cross-industry coordination considered an important factor in resolving issues of data ownership and access rights and cost-sharing among supply chain participants, which technical architecture alone cannot provide (Salzano et al., 2024; Taddei et al., 2024). Architectural design, therefore, needs to include governance structures, as well as technical aspects, and need to ensure that DPP schemas are interoperable between sectors, while the costs associated with maintaining digital provenance records are shared equitably between the stakeholders who benefit from their use.</w:t>
      </w:r>
    </w:p>
    <w:p w14:paraId="4FDF0E7C">
      <w:pPr>
        <w:pStyle w:val="4"/>
        <w:keepNext w:val="0"/>
        <w:keepLines w:val="0"/>
        <w:spacing w:before="280" w:line="240" w:lineRule="auto"/>
        <w:jc w:val="both"/>
        <w:rPr>
          <w:rFonts w:ascii="Times New Roman" w:hAnsi="Times New Roman" w:cs="Times New Roman"/>
          <w:b/>
          <w:bCs/>
          <w:color w:val="000000"/>
          <w:sz w:val="24"/>
          <w:szCs w:val="24"/>
        </w:rPr>
      </w:pPr>
      <w:bookmarkStart w:id="10" w:name="_lk75qtxu8emd" w:colFirst="0" w:colLast="0"/>
      <w:bookmarkEnd w:id="10"/>
      <w:r>
        <w:rPr>
          <w:rFonts w:ascii="Times New Roman" w:hAnsi="Times New Roman" w:cs="Times New Roman"/>
          <w:b/>
          <w:bCs/>
          <w:color w:val="000000"/>
          <w:sz w:val="24"/>
          <w:szCs w:val="24"/>
        </w:rPr>
        <w:t>Orchestration and Coordination via Supply Chain Control Towers</w:t>
      </w:r>
    </w:p>
    <w:p w14:paraId="3B3B9DEA">
      <w:pPr>
        <w:spacing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SCM systems need to be able to orchestrate complexly to deal with the dynamism of the circular flows. Supply Chain Control Towers (SCCTs) are integrated platforms that offer visibility and coordination throughout complex supply chains. SCCTs are coupled with the latest analytics and use them as orchestration mechanisms to increase the visibility and responsiveness of forward and reverse logistics processes (Baskaran &amp; Nguyen, 2025). SCCTs are particularly important in circular contexts as they involve the bi-directional and non-linear nature of material flows products can re-enter the supply chain at different stages depending on condition and recovery infrastructure. The architectural challenge is to design flexible interfaces that are able to aggregate data from different streams and have data sovereignty and competitive sensitivities for several players such as manufacturers, logistics providers, recycling facilities, refurbishment centres and regulatory authorities. In medical device logistics, RFID integration has proven to be effective in reducing processing times by 75% (Baskaran &amp; Nguyen, 2025).</w:t>
      </w:r>
    </w:p>
    <w:p w14:paraId="7925DEF0">
      <w:pPr>
        <w:spacing w:line="240" w:lineRule="auto"/>
        <w:jc w:val="both"/>
        <w:rPr>
          <w:rFonts w:ascii="Times New Roman" w:hAnsi="Times New Roman" w:eastAsia="Times New Roman" w:cs="Times New Roman"/>
          <w:sz w:val="24"/>
          <w:szCs w:val="24"/>
        </w:rPr>
      </w:pPr>
    </w:p>
    <w:p w14:paraId="3CE6A196">
      <w:pPr>
        <w:spacing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As SCCTs become more AI-augmented, they offer greater benefit in a circular supply chain. Modern SCCTs can also evolve from reactive exception management to scenario planning, using machine learning models that continually learn from past disruption patterns and can predict bottlenecks in reverse logistics. Predictive models incorporated into an SCCT, for example, can be used to detect early warning signs of pressure on capacity at refurbishment centres, and automatically divert returned products to other recovery centers, ensuring material quality and reducing lead times. Khedr and Sheeja (2024) state that the application of deep learning architectures to data from SCM can greatly enhance supply chain resilience as it enables adaptive responses to demand volatility, which is particularly important in circular systems where the condition of the returned goods adds another layer of complexity and uncertainty on top of the variability of demand. These developments enable SCCTs to be more than a visibility instrument, but to also play an active role in orchestrating circular material flows.</w:t>
      </w:r>
    </w:p>
    <w:p w14:paraId="76D1CFD4">
      <w:pPr>
        <w:pStyle w:val="4"/>
        <w:keepNext w:val="0"/>
        <w:keepLines w:val="0"/>
        <w:spacing w:before="280" w:line="240" w:lineRule="auto"/>
        <w:jc w:val="both"/>
        <w:rPr>
          <w:rFonts w:ascii="Times New Roman" w:hAnsi="Times New Roman" w:cs="Times New Roman"/>
          <w:b/>
          <w:bCs/>
          <w:color w:val="000000"/>
          <w:sz w:val="24"/>
          <w:szCs w:val="24"/>
        </w:rPr>
      </w:pPr>
      <w:bookmarkStart w:id="11" w:name="_vpeojks3gmhv" w:colFirst="0" w:colLast="0"/>
      <w:bookmarkEnd w:id="11"/>
      <w:r>
        <w:rPr>
          <w:rFonts w:ascii="Times New Roman" w:hAnsi="Times New Roman" w:cs="Times New Roman"/>
          <w:b/>
          <w:bCs/>
          <w:color w:val="000000"/>
          <w:sz w:val="24"/>
          <w:szCs w:val="24"/>
        </w:rPr>
        <w:t>Data Ecosystems and Interoperability</w:t>
      </w:r>
    </w:p>
    <w:p w14:paraId="6A1EFE23">
      <w:pPr>
        <w:spacing w:before="240" w:after="240" w:line="240" w:lineRule="auto"/>
        <w:jc w:val="both"/>
        <w:rPr>
          <w:rFonts w:ascii="Times New Roman" w:hAnsi="Times New Roman" w:cs="Times New Roman"/>
          <w:sz w:val="24"/>
          <w:szCs w:val="24"/>
        </w:rPr>
      </w:pPr>
      <w:r>
        <w:rPr>
          <w:rFonts w:ascii="Times New Roman" w:hAnsi="Times New Roman" w:eastAsia="Times New Roman" w:cs="Times New Roman"/>
          <w:sz w:val="24"/>
          <w:szCs w:val="24"/>
        </w:rPr>
        <w:t>Data ecosystems are essential for circular supply chains, where they play a crucial role in handling a wide range of data, such as product specifications, usage data, maintenance histories, and end-of-life conditions. One of the biggest challenges is the lack of standardization in data exchange protocols, making it difficult to track materials effectively across various stages of design, construction, and operation (Banerjee &amp; Nayaka, 2022). To this end, an open network-model approach to data control is required, which offers a single point for data sovereignty management across multiple relationships, instead of hub-model architectures that create a bottleneck and single point of failure (SPF) (Sundmaeker et al., 2016). The architectural designs need to be compatible with automatic model checking according to standards like building</w:t>
      </w:r>
      <w:r>
        <w:rPr>
          <w:rFonts w:hint="eastAsia" w:ascii="Times New Roman" w:hAnsi="Times New Roman" w:cs="Times New Roman"/>
          <w:sz w:val="24"/>
          <w:szCs w:val="24"/>
        </w:rPr>
        <w:t xml:space="preserve"> </w:t>
      </w:r>
      <w:r>
        <w:rPr>
          <w:rFonts w:ascii="Times New Roman" w:hAnsi="Times New Roman" w:eastAsia="Times New Roman" w:cs="Times New Roman"/>
          <w:sz w:val="24"/>
          <w:szCs w:val="24"/>
        </w:rPr>
        <w:t>SMART's mvdXML 1.1, so that stakeholders will provide compatible data at the right moment during the architectural design process. The transition from hub-models to network-models promotes data sovereignty for organizations, thus giving them control over sensitive business data and the possibility to join collaborative circular ventures (Salzano et al., 2024). As a result of data flows being multi-organizational, security is an intrinsic architectural issue, which necessitates the use of cryptographic mechanisms and AI-based access control systems.</w:t>
      </w:r>
    </w:p>
    <w:p w14:paraId="420863F3">
      <w:pPr>
        <w:spacing w:before="240" w:after="240" w:line="240" w:lineRule="auto"/>
        <w:jc w:val="both"/>
        <w:rPr>
          <w:rFonts w:ascii="Times New Roman" w:hAnsi="Times New Roman" w:cs="Times New Roman"/>
          <w:sz w:val="24"/>
          <w:szCs w:val="24"/>
        </w:rPr>
      </w:pPr>
      <w:r>
        <w:rPr>
          <w:rFonts w:ascii="Times New Roman" w:hAnsi="Times New Roman" w:eastAsia="Times New Roman" w:cs="Times New Roman"/>
          <w:sz w:val="24"/>
          <w:szCs w:val="24"/>
        </w:rPr>
        <w:t>However, semantic alignment (not only syntactic) between the various data models of the actors is also necessary for true interoperability in circular SCM. For instance, if a temperature sensor is deployed on a reusable container, it can communicate using MQTT, a warehouse management system can expose REST APIs, and a blockchain ledger can use gRPC; without a shared semantic layer (achieved through ontologies like the Web Ontology Language (OWL) or the Sensor Things API), data becomes machine-unreadable across system boundaries (Banerjee &amp; Nayaka, 2022; Sundmaeker et al., 2016). Open-source middleware frameworks and sector-specific ontologies are therefore not just enhancements but essential architectural elements. Moreover, interoperability gaps in data can introduce systemic risk, raising the likelihood of cascading errors in multi-tier supply chains, as highlighted by Radivojevic et al. (2022). In addition to the technical architectural solutions identified above, these gaps need to be closed through a coordinated effort with industry consortia and regulatory bodies to invest in shared reference ontologies and API standardization projects.</w:t>
      </w:r>
    </w:p>
    <w:p w14:paraId="56EF35F2">
      <w:pPr>
        <w:pStyle w:val="3"/>
        <w:keepNext w:val="0"/>
        <w:keepLines w:val="0"/>
        <w:spacing w:before="240" w:after="240" w:line="240" w:lineRule="auto"/>
        <w:jc w:val="both"/>
        <w:rPr>
          <w:rFonts w:ascii="Times New Roman" w:hAnsi="Times New Roman" w:cs="Times New Roman"/>
          <w:b/>
          <w:bCs/>
          <w:sz w:val="24"/>
          <w:szCs w:val="24"/>
        </w:rPr>
      </w:pPr>
      <w:bookmarkStart w:id="12" w:name="_nj4s21zfjjce" w:colFirst="0" w:colLast="0"/>
      <w:bookmarkEnd w:id="12"/>
      <w:r>
        <w:rPr>
          <w:rFonts w:ascii="Times New Roman" w:hAnsi="Times New Roman" w:cs="Times New Roman"/>
          <w:b/>
          <w:bCs/>
          <w:sz w:val="24"/>
          <w:szCs w:val="24"/>
        </w:rPr>
        <w:t>Research Gaps and Implementation Challenges</w:t>
      </w:r>
    </w:p>
    <w:p w14:paraId="31F5687F">
      <w:pPr>
        <w:spacing w:before="240" w:after="240" w:line="240" w:lineRule="auto"/>
        <w:jc w:val="both"/>
        <w:rPr>
          <w:rFonts w:ascii="Times New Roman" w:hAnsi="Times New Roman" w:cs="Times New Roman"/>
          <w:sz w:val="24"/>
          <w:szCs w:val="24"/>
        </w:rPr>
      </w:pPr>
      <w:r>
        <w:rPr>
          <w:rFonts w:ascii="Times New Roman" w:hAnsi="Times New Roman" w:eastAsia="Times New Roman" w:cs="Times New Roman"/>
          <w:sz w:val="24"/>
          <w:szCs w:val="24"/>
        </w:rPr>
        <w:t>Although more and more literature has been written on each technology, there is still a lack of understanding on how to operationalize these in integrated architectural systems. Existing research is mostly centered on specific technologies/technical aspects or specific circular processes (e.g., blockchain for traceability or IoT for monitoring) without taking into account a comprehensive framework that addresses fundamental architectural needs across technical, organizational and legal aspects (Farooque et al., 2019; Taddei et al., 2024). An approach that considers technologies one by one is not particularly useful to the systems architect's problem of designing end-to-end circular SCM systems.</w:t>
      </w:r>
    </w:p>
    <w:p w14:paraId="2EB692F9">
      <w:pPr>
        <w:spacing w:before="240" w:after="240" w:line="240" w:lineRule="auto"/>
        <w:jc w:val="both"/>
        <w:rPr>
          <w:rFonts w:ascii="Times New Roman" w:hAnsi="Times New Roman" w:cs="Times New Roman"/>
          <w:sz w:val="24"/>
          <w:szCs w:val="24"/>
        </w:rPr>
      </w:pPr>
      <w:r>
        <w:rPr>
          <w:rFonts w:ascii="Times New Roman" w:hAnsi="Times New Roman" w:eastAsia="Times New Roman" w:cs="Times New Roman"/>
          <w:sz w:val="24"/>
          <w:szCs w:val="24"/>
        </w:rPr>
        <w:t>These knowledge gaps are compounded by a number of implementation barriers. The engineering expenses become high, posing financial challenges especially for small and medium enterprises (Solanki et al., 2025). A culture of adversarial relationships and risk avoidance is seen keenly in construction and manufacturing and is hampering the sharing of information that is needed to enable circular loops to occur (Toland &amp; Collery, 2023). Stakeholders' hesitation to engage with decentralized transparency measures is due to concerns regarding competitive intelligence and lack of perceived immediate value (Taddei et al., 2024). Last, yet not least, there is a significant gap between the expectation of the industry and the educational programmes with regard to BIM applications for energy efficiency and sustainability strategies (Alhamami et al., 2018).</w:t>
      </w:r>
    </w:p>
    <w:p w14:paraId="2D313532">
      <w:pPr>
        <w:spacing w:before="240" w:after="240" w:line="240" w:lineRule="auto"/>
        <w:jc w:val="both"/>
      </w:pPr>
      <w:r>
        <w:rPr>
          <w:rFonts w:ascii="Times New Roman" w:hAnsi="Times New Roman" w:eastAsia="Times New Roman" w:cs="Times New Roman"/>
          <w:sz w:val="24"/>
          <w:szCs w:val="24"/>
        </w:rPr>
        <w:t>The aim of this study is to answer the previous ones and explore the convergence of the enabling technologies (IoT, BIM, Blockchain, and AI) under an integrated architectural framework. This study uses MBSE and systematic literature analysis to uncover key principles in design that can help realize the theoretical vision for high-end supply chains of resilient, transparent, and sustainable circular supply chains in practice.</w:t>
      </w:r>
    </w:p>
    <w:p w14:paraId="53D297BA">
      <w:pPr>
        <w:pStyle w:val="4"/>
        <w:keepNext w:val="0"/>
        <w:keepLines w:val="0"/>
        <w:spacing w:before="280" w:line="240" w:lineRule="auto"/>
        <w:jc w:val="both"/>
        <w:rPr>
          <w:rFonts w:ascii="Times New Roman" w:hAnsi="Times New Roman" w:cs="Times New Roman"/>
          <w:b/>
          <w:bCs/>
          <w:color w:val="000000"/>
        </w:rPr>
      </w:pPr>
      <w:bookmarkStart w:id="13" w:name="_5ix2rconcfq" w:colFirst="0" w:colLast="0"/>
      <w:bookmarkEnd w:id="13"/>
      <w:r>
        <w:rPr>
          <w:rFonts w:ascii="Times New Roman" w:hAnsi="Times New Roman" w:cs="Times New Roman"/>
          <w:b/>
          <w:bCs/>
          <w:color w:val="000000"/>
        </w:rPr>
        <w:t>METHODOLOGY</w:t>
      </w:r>
    </w:p>
    <w:p w14:paraId="5113AF3C">
      <w:pPr>
        <w:rPr>
          <w:rFonts w:ascii="Times New Roman" w:hAnsi="Times New Roman" w:cs="Times New Roman"/>
          <w:b/>
          <w:bCs/>
          <w:color w:val="000000"/>
        </w:rPr>
      </w:pPr>
    </w:p>
    <w:p w14:paraId="7B366384">
      <w:pPr>
        <w:spacing w:line="240" w:lineRule="auto"/>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Research Design</w:t>
      </w:r>
    </w:p>
    <w:p w14:paraId="7094AD2C">
      <w:pPr>
        <w:spacing w:before="240" w:after="240" w:line="240" w:lineRule="auto"/>
        <w:jc w:val="both"/>
        <w:rPr>
          <w:rFonts w:ascii="Times New Roman" w:hAnsi="Times New Roman" w:eastAsia="Times New Roman" w:cs="Times New Roman"/>
          <w:sz w:val="24"/>
          <w:szCs w:val="24"/>
          <w:lang w:val="en-MY"/>
        </w:rPr>
      </w:pPr>
      <w:bookmarkStart w:id="14" w:name="_h0r2rwu6cuqr" w:colFirst="0" w:colLast="0"/>
      <w:bookmarkEnd w:id="14"/>
      <w:r>
        <w:rPr>
          <w:rFonts w:ascii="Times New Roman" w:hAnsi="Times New Roman" w:eastAsia="Times New Roman" w:cs="Times New Roman"/>
          <w:sz w:val="24"/>
          <w:szCs w:val="24"/>
          <w:lang w:val="en-MY"/>
        </w:rPr>
        <w:t>This study employs a Systematic Literature Review (SLR) integrated with a Model-Based Systems Engineering (MBSE) analytical framework to identify, analyse, and validate the architectural requirements of Supply Chain Management (SCM) systems operating within a Circular Economy (CE) environment. The research adopts a qualitative-interpretivist epistemology, where knowledge is understood as being constructed through the synthesis and interpretation of scholarly discourse rather than through direct measurement of observable phenomena. This epistemological position is appropriate for architectural requirement research because the objective is not to evaluate a single implemented system, but rather to determine the structural and functional conditions necessary for circular SCM systems to operate effectively (Amiri, 2025; Kizgin &amp; Vietor, 2025).</w:t>
      </w:r>
    </w:p>
    <w:p w14:paraId="12C45252">
      <w:pPr>
        <w:spacing w:before="240" w:after="240" w:line="240" w:lineRule="auto"/>
        <w:jc w:val="both"/>
        <w:rPr>
          <w:rFonts w:ascii="Times New Roman" w:hAnsi="Times New Roman" w:eastAsia="Times New Roman" w:cs="Times New Roman"/>
          <w:sz w:val="24"/>
          <w:szCs w:val="24"/>
          <w:lang w:val="en-MY"/>
        </w:rPr>
      </w:pPr>
      <w:r>
        <w:rPr>
          <w:rFonts w:ascii="Times New Roman" w:hAnsi="Times New Roman" w:eastAsia="Times New Roman" w:cs="Times New Roman"/>
          <w:sz w:val="24"/>
          <w:szCs w:val="24"/>
          <w:lang w:val="en-MY"/>
        </w:rPr>
        <w:t>The central research problem addressed in this study is the architectural mismatch between traditional linear SCM systems and the bidirectional, multi-stakeholder operational requirements of circular economies (Farooque et al., 2019). Conventional SCM architectures are primarily designed for forward logistics optimisation, whereas circular systems require integrated support for reverse logistics, lifecycle visibility, traceability, interoperability, and distributed stakeholder coordination. Addressing this complexity requires a methodology capable of modelling interdependent system behaviours, interfaces, and constraints in a coherent and traceable manner.</w:t>
      </w:r>
    </w:p>
    <w:p w14:paraId="1096C578">
      <w:pPr>
        <w:spacing w:before="240" w:after="240" w:line="240" w:lineRule="auto"/>
        <w:jc w:val="both"/>
        <w:rPr>
          <w:rFonts w:ascii="Times New Roman" w:hAnsi="Times New Roman" w:eastAsia="Times New Roman" w:cs="Times New Roman"/>
          <w:sz w:val="24"/>
          <w:szCs w:val="24"/>
          <w:lang w:val="en-MY"/>
        </w:rPr>
      </w:pPr>
      <w:r>
        <w:rPr>
          <w:rFonts w:ascii="Times New Roman" w:hAnsi="Times New Roman" w:eastAsia="Times New Roman" w:cs="Times New Roman"/>
          <w:sz w:val="24"/>
          <w:szCs w:val="24"/>
          <w:lang w:val="en-MY"/>
        </w:rPr>
        <w:t>MBSE was therefore selected as the primary analytical framework because it provides a model-centric approach for representing system structure, behaviour, requirements, and interactions within an integrated environment (Amiri, 2025). Unlike document-centric methodologies, MBSE supports continuous traceability between identified requirements and their associated architectural components, enabling validation and refinement across multiple abstraction layers. This capability is particularly important in circular SCM contexts, where operational effectiveness depends heavily on the interaction between digital technologies, organisational actors, and lifecycle management processes.</w:t>
      </w:r>
    </w:p>
    <w:p w14:paraId="0322507C">
      <w:pPr>
        <w:spacing w:before="240" w:after="240" w:line="240" w:lineRule="auto"/>
        <w:jc w:val="both"/>
        <w:rPr>
          <w:rFonts w:ascii="Times New Roman" w:hAnsi="Times New Roman" w:eastAsia="Times New Roman" w:cs="Times New Roman"/>
          <w:sz w:val="24"/>
          <w:szCs w:val="24"/>
          <w:lang w:val="en-MY"/>
        </w:rPr>
      </w:pPr>
      <w:r>
        <w:rPr>
          <w:rFonts w:ascii="Times New Roman" w:hAnsi="Times New Roman" w:eastAsia="Times New Roman" w:cs="Times New Roman"/>
          <w:sz w:val="24"/>
          <w:szCs w:val="24"/>
          <w:lang w:val="en-MY"/>
        </w:rPr>
        <w:t>Several alternative research design approaches were evaluated before selecting the SLR-MBSE strategy adopted in this study. Table 3.1 summarises the comparative strengths, limitations, and suitability of the major approaches considered.</w:t>
      </w:r>
    </w:p>
    <w:p w14:paraId="567647E3">
      <w:pPr>
        <w:spacing w:before="240" w:after="240" w:line="24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Table 3.1: Comparison of Research Design Approaches Considered</w:t>
      </w:r>
    </w:p>
    <w:tbl>
      <w:tblPr>
        <w:tblStyle w:val="14"/>
        <w:tblW w:w="107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5"/>
        <w:gridCol w:w="2977"/>
        <w:gridCol w:w="2551"/>
        <w:gridCol w:w="2835"/>
      </w:tblGrid>
      <w:tr w14:paraId="2ED87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2405" w:type="dxa"/>
          </w:tcPr>
          <w:p w14:paraId="12B0BB11">
            <w:pPr>
              <w:spacing w:line="240" w:lineRule="auto"/>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Design Approach</w:t>
            </w:r>
          </w:p>
        </w:tc>
        <w:tc>
          <w:tcPr>
            <w:tcW w:w="2977" w:type="dxa"/>
          </w:tcPr>
          <w:p w14:paraId="21053F5D">
            <w:pPr>
              <w:spacing w:line="240" w:lineRule="auto"/>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Strengths</w:t>
            </w:r>
          </w:p>
        </w:tc>
        <w:tc>
          <w:tcPr>
            <w:tcW w:w="2551" w:type="dxa"/>
          </w:tcPr>
          <w:p w14:paraId="615C9180">
            <w:pPr>
              <w:spacing w:line="240" w:lineRule="auto"/>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Limitations</w:t>
            </w:r>
          </w:p>
        </w:tc>
        <w:tc>
          <w:tcPr>
            <w:tcW w:w="2835" w:type="dxa"/>
          </w:tcPr>
          <w:p w14:paraId="3746B69D">
            <w:pPr>
              <w:spacing w:line="240" w:lineRule="auto"/>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Suitability for This Study</w:t>
            </w:r>
          </w:p>
        </w:tc>
      </w:tr>
      <w:tr w14:paraId="3BA53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2405" w:type="dxa"/>
          </w:tcPr>
          <w:p w14:paraId="41D03153">
            <w:p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Systematic Literature Review (SLR)</w:t>
            </w:r>
          </w:p>
        </w:tc>
        <w:tc>
          <w:tcPr>
            <w:tcW w:w="2977" w:type="dxa"/>
          </w:tcPr>
          <w:p w14:paraId="6B0111BE">
            <w:p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Reproducible; covers broad evidence base</w:t>
            </w:r>
          </w:p>
        </w:tc>
        <w:tc>
          <w:tcPr>
            <w:tcW w:w="2551" w:type="dxa"/>
          </w:tcPr>
          <w:p w14:paraId="2312A900">
            <w:p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No primary data collection</w:t>
            </w:r>
          </w:p>
        </w:tc>
        <w:tc>
          <w:tcPr>
            <w:tcW w:w="2835" w:type="dxa"/>
          </w:tcPr>
          <w:p w14:paraId="1DEA2BF6">
            <w:p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HIGH – selected</w:t>
            </w:r>
          </w:p>
        </w:tc>
      </w:tr>
      <w:tr w14:paraId="3C07B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2405" w:type="dxa"/>
          </w:tcPr>
          <w:p w14:paraId="4B3D623C">
            <w:p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Case Study</w:t>
            </w:r>
          </w:p>
        </w:tc>
        <w:tc>
          <w:tcPr>
            <w:tcW w:w="2977" w:type="dxa"/>
          </w:tcPr>
          <w:p w14:paraId="0CEE7AB5">
            <w:p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Rich contextual data</w:t>
            </w:r>
          </w:p>
        </w:tc>
        <w:tc>
          <w:tcPr>
            <w:tcW w:w="2551" w:type="dxa"/>
          </w:tcPr>
          <w:p w14:paraId="33E61C3D">
            <w:p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Limited generalisation</w:t>
            </w:r>
          </w:p>
        </w:tc>
        <w:tc>
          <w:tcPr>
            <w:tcW w:w="2835" w:type="dxa"/>
          </w:tcPr>
          <w:p w14:paraId="1DD629A0">
            <w:p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MEDIUM</w:t>
            </w:r>
          </w:p>
        </w:tc>
      </w:tr>
      <w:tr w14:paraId="02756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2405" w:type="dxa"/>
          </w:tcPr>
          <w:p w14:paraId="0E9D756D">
            <w:p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Survey/Questionnaire</w:t>
            </w:r>
          </w:p>
        </w:tc>
        <w:tc>
          <w:tcPr>
            <w:tcW w:w="2977" w:type="dxa"/>
          </w:tcPr>
          <w:p w14:paraId="49AE7C96">
            <w:p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Quantifiable responses</w:t>
            </w:r>
          </w:p>
        </w:tc>
        <w:tc>
          <w:tcPr>
            <w:tcW w:w="2551" w:type="dxa"/>
          </w:tcPr>
          <w:p w14:paraId="45EE63DA">
            <w:p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Requires defined population</w:t>
            </w:r>
          </w:p>
        </w:tc>
        <w:tc>
          <w:tcPr>
            <w:tcW w:w="2835" w:type="dxa"/>
          </w:tcPr>
          <w:p w14:paraId="65798878">
            <w:p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LOW – architectural scope is conceptual</w:t>
            </w:r>
          </w:p>
        </w:tc>
      </w:tr>
      <w:tr w14:paraId="62507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2405" w:type="dxa"/>
          </w:tcPr>
          <w:p w14:paraId="6C293ECA">
            <w:p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Experiment / Simulation</w:t>
            </w:r>
          </w:p>
        </w:tc>
        <w:tc>
          <w:tcPr>
            <w:tcW w:w="2977" w:type="dxa"/>
          </w:tcPr>
          <w:p w14:paraId="055AB171">
            <w:p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Causal inference</w:t>
            </w:r>
          </w:p>
        </w:tc>
        <w:tc>
          <w:tcPr>
            <w:tcW w:w="2551" w:type="dxa"/>
          </w:tcPr>
          <w:p w14:paraId="0355EF61">
            <w:p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Requires working prototype</w:t>
            </w:r>
          </w:p>
        </w:tc>
        <w:tc>
          <w:tcPr>
            <w:tcW w:w="2835" w:type="dxa"/>
          </w:tcPr>
          <w:p w14:paraId="12CD1FFA">
            <w:p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LOW – no implementation stage</w:t>
            </w:r>
          </w:p>
        </w:tc>
      </w:tr>
    </w:tbl>
    <w:p w14:paraId="43A8C0D5">
      <w:pPr>
        <w:spacing w:before="240" w:after="24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Source: Authors’ adaptation based on Bryman (2016) and Amiri (2025).</w:t>
      </w:r>
    </w:p>
    <w:p w14:paraId="3BFA7E2D">
      <w:pPr>
        <w:spacing w:before="240" w:after="24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comparison demonstrates that while case studies and surveys provide contextual or quantitative insights, they are less suitable for investigating broad architectural requirements spanning multiple technologies and industrial domains. Similarly, experimental approaches require implemented prototypes, which fall outside the conceptual scope of this research. In contrast, the SLR approach enables systematic synthesis across a large body of interdisciplinary literature, making it more appropriate for identifying recurring architectural patterns, technological relationships, and system-level requirements relevant to circular SCM environments.</w:t>
      </w:r>
    </w:p>
    <w:p w14:paraId="13C7532D">
      <w:pPr>
        <w:spacing w:before="240" w:after="240" w:line="240" w:lineRule="auto"/>
        <w:jc w:val="both"/>
        <w:rPr>
          <w:rFonts w:ascii="Times New Roman" w:hAnsi="Times New Roman" w:cs="Times New Roman"/>
          <w:b/>
          <w:bCs/>
          <w:sz w:val="24"/>
          <w:szCs w:val="24"/>
        </w:rPr>
      </w:pPr>
      <w:r>
        <w:rPr>
          <w:rFonts w:ascii="Times New Roman" w:hAnsi="Times New Roman" w:cs="Times New Roman"/>
          <w:b/>
          <w:bCs/>
          <w:sz w:val="24"/>
          <w:szCs w:val="24"/>
        </w:rPr>
        <w:t>Sample and Sampling Strategy</w:t>
      </w:r>
    </w:p>
    <w:p w14:paraId="60CE9C1E">
      <w:pPr>
        <w:spacing w:before="240" w:after="24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Within a systematic literature review, the research sample consists of the body of scholarly publications selected for analysis. This study adopted a purposive sampling strategy guided by predefined inclusion and exclusion criteria to ensure topical relevance, methodological consistency, and academic quality (Tranfield et al., 2003). The sampling strategy was designed to capture literature situated at the intersection of circular economy research, digital supply chain technologies, and systems engineering methodologies.</w:t>
      </w:r>
    </w:p>
    <w:p w14:paraId="714822A2">
      <w:pPr>
        <w:spacing w:before="240" w:after="240" w:line="240" w:lineRule="auto"/>
        <w:jc w:val="both"/>
        <w:rPr>
          <w:rFonts w:ascii="Times New Roman" w:hAnsi="Times New Roman" w:cs="Times New Roman"/>
          <w:b/>
          <w:bCs/>
          <w:sz w:val="24"/>
          <w:szCs w:val="24"/>
        </w:rPr>
      </w:pPr>
      <w:r>
        <w:rPr>
          <w:rFonts w:ascii="Times New Roman" w:hAnsi="Times New Roman" w:cs="Times New Roman"/>
          <w:b/>
          <w:bCs/>
          <w:sz w:val="24"/>
          <w:szCs w:val="24"/>
        </w:rPr>
        <w:t>Inclusion Criteria</w:t>
      </w:r>
    </w:p>
    <w:p w14:paraId="776584BA">
      <w:pPr>
        <w:spacing w:before="240" w:after="240" w:line="240" w:lineRule="auto"/>
        <w:jc w:val="both"/>
        <w:rPr>
          <w:rFonts w:ascii="Times New Roman" w:hAnsi="Times New Roman" w:cs="Times New Roman"/>
          <w:b/>
          <w:bCs/>
          <w:sz w:val="24"/>
          <w:szCs w:val="24"/>
          <w:lang w:val="en-MY"/>
        </w:rPr>
      </w:pPr>
      <w:r>
        <w:rPr>
          <w:rFonts w:ascii="Times New Roman" w:hAnsi="Times New Roman" w:eastAsia="Times New Roman" w:cs="Times New Roman"/>
          <w:sz w:val="24"/>
          <w:szCs w:val="24"/>
          <w:lang w:val="en-MY"/>
        </w:rPr>
        <w:t>Studies were included if they (a) were published in peer-reviewed journals or conference proceedings indexed in Scopus, IEEE Xplore, SpringerLink, or ScienceDirect; (b) were published between 2016 and 2025 to reflect the contemporary Industry 4.0 landscape; (c) addressed at least one of the following topics: circular supply chain management, IoT/BIM/Blockchain/AI in logistics, MBSE for supply chain systems, reverse logistics architecture, or digital product passports; and (d) were written in English.</w:t>
      </w:r>
    </w:p>
    <w:p w14:paraId="0CA1D8B9">
      <w:pPr>
        <w:spacing w:before="240" w:after="240" w:line="240" w:lineRule="auto"/>
        <w:jc w:val="both"/>
        <w:rPr>
          <w:rFonts w:ascii="Times New Roman" w:hAnsi="Times New Roman" w:cs="Times New Roman"/>
          <w:b/>
          <w:bCs/>
          <w:sz w:val="24"/>
          <w:szCs w:val="24"/>
        </w:rPr>
      </w:pPr>
      <w:r>
        <w:rPr>
          <w:rFonts w:ascii="Times New Roman" w:hAnsi="Times New Roman" w:cs="Times New Roman"/>
          <w:b/>
          <w:bCs/>
          <w:sz w:val="24"/>
          <w:szCs w:val="24"/>
        </w:rPr>
        <w:t>Exclusion Criteria</w:t>
      </w:r>
    </w:p>
    <w:p w14:paraId="3803DC24">
      <w:pPr>
        <w:spacing w:before="240" w:after="240" w:line="240" w:lineRule="auto"/>
        <w:jc w:val="both"/>
        <w:rPr>
          <w:rFonts w:ascii="Times New Roman" w:hAnsi="Times New Roman" w:eastAsia="Times New Roman" w:cs="Times New Roman"/>
          <w:sz w:val="24"/>
          <w:szCs w:val="24"/>
          <w:lang w:val="en-MY"/>
        </w:rPr>
      </w:pPr>
      <w:r>
        <w:rPr>
          <w:rFonts w:ascii="Times New Roman" w:hAnsi="Times New Roman" w:eastAsia="Times New Roman" w:cs="Times New Roman"/>
          <w:sz w:val="24"/>
          <w:szCs w:val="24"/>
          <w:lang w:val="en-MY"/>
        </w:rPr>
        <w:t>Studies were excluded if they were (a) non-peer-reviewed grey literature, practitioner reports, or news articles; (b) focused exclusively on sectors outside the scope of this study (e.g., purely financial or healthcare systems with no supply chain dimension); or (c) duplicates of already included sources.</w:t>
      </w:r>
    </w:p>
    <w:p w14:paraId="07212DFE">
      <w:pPr>
        <w:spacing w:before="240" w:after="240" w:line="240" w:lineRule="auto"/>
        <w:jc w:val="both"/>
        <w:rPr>
          <w:rFonts w:ascii="Times New Roman" w:hAnsi="Times New Roman" w:cs="Times New Roman"/>
          <w:b/>
          <w:bCs/>
          <w:sz w:val="24"/>
          <w:szCs w:val="24"/>
        </w:rPr>
      </w:pPr>
      <w:r>
        <w:rPr>
          <w:rFonts w:ascii="Times New Roman" w:hAnsi="Times New Roman" w:cs="Times New Roman"/>
          <w:b/>
          <w:bCs/>
          <w:sz w:val="24"/>
          <w:szCs w:val="24"/>
        </w:rPr>
        <w:t>Sampling Outcome</w:t>
      </w:r>
    </w:p>
    <w:p w14:paraId="1EEE25BE">
      <w:pPr>
        <w:spacing w:before="240" w:after="24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Application of the inclusion and exclusion criteria resulted in a final corpus of 102 scholarly sources spanning five major technology domains. Table 3.2 presents the distribution of selected studies across publication periods and technology categories.</w:t>
      </w:r>
    </w:p>
    <w:p w14:paraId="312AB3E7">
      <w:pPr>
        <w:spacing w:before="240" w:after="240" w:line="240" w:lineRule="auto"/>
        <w:jc w:val="both"/>
        <w:rPr>
          <w:rFonts w:ascii="Times New Roman" w:hAnsi="Times New Roman" w:cs="Times New Roman"/>
          <w:b/>
          <w:bCs/>
          <w:sz w:val="24"/>
          <w:szCs w:val="24"/>
        </w:rPr>
      </w:pPr>
      <w:r>
        <w:rPr>
          <w:rFonts w:ascii="Times New Roman" w:hAnsi="Times New Roman" w:eastAsia="Times New Roman" w:cs="Times New Roman"/>
          <w:b/>
          <w:bCs/>
          <w:sz w:val="24"/>
          <w:szCs w:val="24"/>
        </w:rPr>
        <w:t>Table 3.</w:t>
      </w:r>
      <w:r>
        <w:rPr>
          <w:rFonts w:ascii="Times New Roman" w:hAnsi="Times New Roman" w:cs="Times New Roman"/>
          <w:b/>
          <w:bCs/>
          <w:sz w:val="24"/>
          <w:szCs w:val="24"/>
        </w:rPr>
        <w:t>2</w:t>
      </w:r>
      <w:r>
        <w:rPr>
          <w:rFonts w:ascii="Times New Roman" w:hAnsi="Times New Roman" w:eastAsia="Times New Roman" w:cs="Times New Roman"/>
          <w:b/>
          <w:bCs/>
          <w:sz w:val="24"/>
          <w:szCs w:val="24"/>
        </w:rPr>
        <w:t>: Sample Distribution by Technology Domain and Publication Period</w:t>
      </w:r>
    </w:p>
    <w:tbl>
      <w:tblPr>
        <w:tblStyle w:val="14"/>
        <w:tblW w:w="106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29"/>
        <w:gridCol w:w="1714"/>
        <w:gridCol w:w="1714"/>
        <w:gridCol w:w="1714"/>
        <w:gridCol w:w="2126"/>
      </w:tblGrid>
      <w:tr w14:paraId="2DB0D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3429" w:type="dxa"/>
          </w:tcPr>
          <w:p w14:paraId="4E448281">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Technology Domain</w:t>
            </w:r>
          </w:p>
        </w:tc>
        <w:tc>
          <w:tcPr>
            <w:tcW w:w="1714" w:type="dxa"/>
          </w:tcPr>
          <w:p w14:paraId="354F63AF">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2016–2019</w:t>
            </w:r>
          </w:p>
        </w:tc>
        <w:tc>
          <w:tcPr>
            <w:tcW w:w="1714" w:type="dxa"/>
          </w:tcPr>
          <w:p w14:paraId="41AFFBBA">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2020–2022</w:t>
            </w:r>
          </w:p>
        </w:tc>
        <w:tc>
          <w:tcPr>
            <w:tcW w:w="1714" w:type="dxa"/>
          </w:tcPr>
          <w:p w14:paraId="1758EF88">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2023–2025</w:t>
            </w:r>
          </w:p>
        </w:tc>
        <w:tc>
          <w:tcPr>
            <w:tcW w:w="2126" w:type="dxa"/>
          </w:tcPr>
          <w:p w14:paraId="49E9E988">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Total</w:t>
            </w:r>
          </w:p>
        </w:tc>
      </w:tr>
      <w:tr w14:paraId="35A06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3429" w:type="dxa"/>
          </w:tcPr>
          <w:p w14:paraId="745890E9">
            <w:pPr>
              <w:spacing w:line="240" w:lineRule="auto"/>
              <w:rPr>
                <w:rFonts w:ascii="Times New Roman" w:hAnsi="Times New Roman" w:cs="Times New Roman"/>
                <w:sz w:val="24"/>
                <w:szCs w:val="24"/>
              </w:rPr>
            </w:pPr>
            <w:r>
              <w:rPr>
                <w:rFonts w:ascii="Times New Roman" w:hAnsi="Times New Roman" w:cs="Times New Roman"/>
                <w:sz w:val="24"/>
                <w:szCs w:val="24"/>
              </w:rPr>
              <w:t>IoT &amp; Cyber-Physical Systems</w:t>
            </w:r>
          </w:p>
        </w:tc>
        <w:tc>
          <w:tcPr>
            <w:tcW w:w="1714" w:type="dxa"/>
          </w:tcPr>
          <w:p w14:paraId="04BC377B">
            <w:pPr>
              <w:spacing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714" w:type="dxa"/>
          </w:tcPr>
          <w:p w14:paraId="43A90E79">
            <w:pPr>
              <w:spacing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714" w:type="dxa"/>
          </w:tcPr>
          <w:p w14:paraId="479D18EA">
            <w:pPr>
              <w:spacing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126" w:type="dxa"/>
          </w:tcPr>
          <w:p w14:paraId="70D1A47E">
            <w:pPr>
              <w:spacing w:line="240" w:lineRule="auto"/>
              <w:jc w:val="center"/>
              <w:rPr>
                <w:rFonts w:ascii="Times New Roman" w:hAnsi="Times New Roman" w:cs="Times New Roman"/>
                <w:sz w:val="24"/>
                <w:szCs w:val="24"/>
              </w:rPr>
            </w:pPr>
            <w:r>
              <w:rPr>
                <w:rFonts w:ascii="Times New Roman" w:hAnsi="Times New Roman" w:cs="Times New Roman"/>
                <w:sz w:val="24"/>
                <w:szCs w:val="24"/>
              </w:rPr>
              <w:t>23</w:t>
            </w:r>
          </w:p>
        </w:tc>
      </w:tr>
      <w:tr w14:paraId="5B82C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3429" w:type="dxa"/>
          </w:tcPr>
          <w:p w14:paraId="669BB7D8">
            <w:pPr>
              <w:spacing w:line="240" w:lineRule="auto"/>
              <w:rPr>
                <w:rFonts w:ascii="Times New Roman" w:hAnsi="Times New Roman" w:cs="Times New Roman"/>
                <w:sz w:val="24"/>
                <w:szCs w:val="24"/>
              </w:rPr>
            </w:pPr>
            <w:r>
              <w:rPr>
                <w:rFonts w:ascii="Times New Roman" w:hAnsi="Times New Roman" w:cs="Times New Roman"/>
                <w:sz w:val="24"/>
                <w:szCs w:val="24"/>
              </w:rPr>
              <w:t>BIM &amp; Digital Twins</w:t>
            </w:r>
          </w:p>
        </w:tc>
        <w:tc>
          <w:tcPr>
            <w:tcW w:w="1714" w:type="dxa"/>
          </w:tcPr>
          <w:p w14:paraId="7EE8D64C">
            <w:pPr>
              <w:spacing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714" w:type="dxa"/>
          </w:tcPr>
          <w:p w14:paraId="457212FA">
            <w:pPr>
              <w:spacing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714" w:type="dxa"/>
          </w:tcPr>
          <w:p w14:paraId="444ED3EA">
            <w:pPr>
              <w:spacing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126" w:type="dxa"/>
          </w:tcPr>
          <w:p w14:paraId="1F24A2B5">
            <w:pPr>
              <w:spacing w:line="240" w:lineRule="auto"/>
              <w:jc w:val="center"/>
              <w:rPr>
                <w:rFonts w:ascii="Times New Roman" w:hAnsi="Times New Roman" w:cs="Times New Roman"/>
                <w:sz w:val="24"/>
                <w:szCs w:val="24"/>
              </w:rPr>
            </w:pPr>
            <w:r>
              <w:rPr>
                <w:rFonts w:ascii="Times New Roman" w:hAnsi="Times New Roman" w:cs="Times New Roman"/>
                <w:sz w:val="24"/>
                <w:szCs w:val="24"/>
              </w:rPr>
              <w:t>22</w:t>
            </w:r>
          </w:p>
        </w:tc>
      </w:tr>
      <w:tr w14:paraId="57391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 w:hRule="atLeast"/>
        </w:trPr>
        <w:tc>
          <w:tcPr>
            <w:tcW w:w="3429" w:type="dxa"/>
          </w:tcPr>
          <w:p w14:paraId="430256A7">
            <w:pPr>
              <w:spacing w:line="240" w:lineRule="auto"/>
              <w:rPr>
                <w:rFonts w:ascii="Times New Roman" w:hAnsi="Times New Roman" w:cs="Times New Roman"/>
                <w:sz w:val="24"/>
                <w:szCs w:val="24"/>
              </w:rPr>
            </w:pPr>
            <w:r>
              <w:rPr>
                <w:rFonts w:ascii="Times New Roman" w:hAnsi="Times New Roman" w:cs="Times New Roman"/>
                <w:sz w:val="24"/>
                <w:szCs w:val="24"/>
              </w:rPr>
              <w:t>Blockchain &amp; Decentralised Trust</w:t>
            </w:r>
          </w:p>
        </w:tc>
        <w:tc>
          <w:tcPr>
            <w:tcW w:w="1714" w:type="dxa"/>
          </w:tcPr>
          <w:p w14:paraId="4BC31A76">
            <w:pPr>
              <w:spacing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714" w:type="dxa"/>
          </w:tcPr>
          <w:p w14:paraId="16DAF9E3">
            <w:pPr>
              <w:spacing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714" w:type="dxa"/>
          </w:tcPr>
          <w:p w14:paraId="69B124D9">
            <w:pPr>
              <w:spacing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126" w:type="dxa"/>
          </w:tcPr>
          <w:p w14:paraId="4BDF7930">
            <w:pPr>
              <w:spacing w:line="240" w:lineRule="auto"/>
              <w:jc w:val="center"/>
              <w:rPr>
                <w:rFonts w:ascii="Times New Roman" w:hAnsi="Times New Roman" w:cs="Times New Roman"/>
                <w:sz w:val="24"/>
                <w:szCs w:val="24"/>
              </w:rPr>
            </w:pPr>
            <w:r>
              <w:rPr>
                <w:rFonts w:ascii="Times New Roman" w:hAnsi="Times New Roman" w:cs="Times New Roman"/>
                <w:sz w:val="24"/>
                <w:szCs w:val="24"/>
              </w:rPr>
              <w:t>22</w:t>
            </w:r>
          </w:p>
        </w:tc>
      </w:tr>
      <w:tr w14:paraId="6BFB6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 w:hRule="atLeast"/>
        </w:trPr>
        <w:tc>
          <w:tcPr>
            <w:tcW w:w="3429" w:type="dxa"/>
          </w:tcPr>
          <w:p w14:paraId="44308E69">
            <w:pPr>
              <w:spacing w:line="240" w:lineRule="auto"/>
              <w:rPr>
                <w:rFonts w:ascii="Times New Roman" w:hAnsi="Times New Roman" w:cs="Times New Roman"/>
                <w:sz w:val="24"/>
                <w:szCs w:val="24"/>
              </w:rPr>
            </w:pPr>
            <w:r>
              <w:rPr>
                <w:rFonts w:ascii="Times New Roman" w:hAnsi="Times New Roman" w:cs="Times New Roman"/>
                <w:sz w:val="24"/>
                <w:szCs w:val="24"/>
              </w:rPr>
              <w:t>Artificial Intelligence &amp; Analytics</w:t>
            </w:r>
          </w:p>
        </w:tc>
        <w:tc>
          <w:tcPr>
            <w:tcW w:w="1714" w:type="dxa"/>
          </w:tcPr>
          <w:p w14:paraId="15D41A9A">
            <w:pPr>
              <w:spacing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714" w:type="dxa"/>
          </w:tcPr>
          <w:p w14:paraId="050D523A">
            <w:pPr>
              <w:spacing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714" w:type="dxa"/>
          </w:tcPr>
          <w:p w14:paraId="6B182B19">
            <w:pPr>
              <w:spacing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126" w:type="dxa"/>
          </w:tcPr>
          <w:p w14:paraId="193A487C">
            <w:pPr>
              <w:spacing w:line="240" w:lineRule="auto"/>
              <w:jc w:val="center"/>
              <w:rPr>
                <w:rFonts w:ascii="Times New Roman" w:hAnsi="Times New Roman" w:cs="Times New Roman"/>
                <w:sz w:val="24"/>
                <w:szCs w:val="24"/>
              </w:rPr>
            </w:pPr>
            <w:r>
              <w:rPr>
                <w:rFonts w:ascii="Times New Roman" w:hAnsi="Times New Roman" w:cs="Times New Roman"/>
                <w:sz w:val="24"/>
                <w:szCs w:val="24"/>
              </w:rPr>
              <w:t>18</w:t>
            </w:r>
          </w:p>
        </w:tc>
      </w:tr>
      <w:tr w14:paraId="7EC56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3429" w:type="dxa"/>
          </w:tcPr>
          <w:p w14:paraId="27B11B02">
            <w:pPr>
              <w:spacing w:line="240" w:lineRule="auto"/>
              <w:rPr>
                <w:rFonts w:ascii="Times New Roman" w:hAnsi="Times New Roman" w:cs="Times New Roman"/>
                <w:sz w:val="24"/>
                <w:szCs w:val="24"/>
              </w:rPr>
            </w:pPr>
            <w:r>
              <w:rPr>
                <w:rFonts w:ascii="Times New Roman" w:hAnsi="Times New Roman" w:cs="Times New Roman"/>
                <w:sz w:val="24"/>
                <w:szCs w:val="24"/>
              </w:rPr>
              <w:t>MBSE &amp; Systems Engineering</w:t>
            </w:r>
          </w:p>
        </w:tc>
        <w:tc>
          <w:tcPr>
            <w:tcW w:w="1714" w:type="dxa"/>
          </w:tcPr>
          <w:p w14:paraId="5065F02C">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714" w:type="dxa"/>
          </w:tcPr>
          <w:p w14:paraId="71BB96A8">
            <w:pPr>
              <w:spacing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714" w:type="dxa"/>
          </w:tcPr>
          <w:p w14:paraId="448FA098">
            <w:pPr>
              <w:spacing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126" w:type="dxa"/>
          </w:tcPr>
          <w:p w14:paraId="5510C0E8">
            <w:pPr>
              <w:spacing w:line="240" w:lineRule="auto"/>
              <w:jc w:val="center"/>
              <w:rPr>
                <w:rFonts w:ascii="Times New Roman" w:hAnsi="Times New Roman" w:cs="Times New Roman"/>
                <w:sz w:val="24"/>
                <w:szCs w:val="24"/>
              </w:rPr>
            </w:pPr>
            <w:r>
              <w:rPr>
                <w:rFonts w:ascii="Times New Roman" w:hAnsi="Times New Roman" w:cs="Times New Roman"/>
                <w:sz w:val="24"/>
                <w:szCs w:val="24"/>
              </w:rPr>
              <w:t>17</w:t>
            </w:r>
          </w:p>
        </w:tc>
      </w:tr>
      <w:tr w14:paraId="62317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3429" w:type="dxa"/>
          </w:tcPr>
          <w:p w14:paraId="772860DE">
            <w:pPr>
              <w:spacing w:line="240" w:lineRule="auto"/>
              <w:rPr>
                <w:rFonts w:ascii="Times New Roman" w:hAnsi="Times New Roman" w:cs="Times New Roman"/>
                <w:b/>
                <w:bCs/>
                <w:sz w:val="24"/>
                <w:szCs w:val="24"/>
              </w:rPr>
            </w:pPr>
            <w:r>
              <w:rPr>
                <w:rFonts w:ascii="Times New Roman" w:hAnsi="Times New Roman" w:cs="Times New Roman"/>
                <w:b/>
                <w:bCs/>
                <w:sz w:val="24"/>
                <w:szCs w:val="24"/>
              </w:rPr>
              <w:t>Total</w:t>
            </w:r>
          </w:p>
        </w:tc>
        <w:tc>
          <w:tcPr>
            <w:tcW w:w="1714" w:type="dxa"/>
          </w:tcPr>
          <w:p w14:paraId="63191890">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24</w:t>
            </w:r>
          </w:p>
        </w:tc>
        <w:tc>
          <w:tcPr>
            <w:tcW w:w="1714" w:type="dxa"/>
          </w:tcPr>
          <w:p w14:paraId="54D02627">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36</w:t>
            </w:r>
          </w:p>
        </w:tc>
        <w:tc>
          <w:tcPr>
            <w:tcW w:w="1714" w:type="dxa"/>
          </w:tcPr>
          <w:p w14:paraId="505477D7">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42</w:t>
            </w:r>
          </w:p>
        </w:tc>
        <w:tc>
          <w:tcPr>
            <w:tcW w:w="2126" w:type="dxa"/>
          </w:tcPr>
          <w:p w14:paraId="53864C7E">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102</w:t>
            </w:r>
          </w:p>
        </w:tc>
      </w:tr>
    </w:tbl>
    <w:p w14:paraId="1DFD258A">
      <w:pPr>
        <w:spacing w:before="240" w:after="180" w:line="240" w:lineRule="auto"/>
        <w:jc w:val="center"/>
        <w:rPr>
          <w:rFonts w:ascii="Times New Roman" w:hAnsi="Times New Roman" w:cs="Times New Roman"/>
          <w:sz w:val="24"/>
          <w:szCs w:val="24"/>
        </w:rPr>
      </w:pPr>
      <w:r>
        <w:rPr>
          <w:rFonts w:ascii="Times New Roman" w:hAnsi="Times New Roman" w:cs="Times New Roman"/>
          <w:sz w:val="24"/>
          <w:szCs w:val="24"/>
        </w:rPr>
        <w:t>Source: Authors’ compilation from Scopus, IEEE Xplore, SpringerLink, and ScienceDirect (2016–2025).</w:t>
      </w:r>
    </w:p>
    <w:p w14:paraId="1395EB1D">
      <w:pPr>
        <w:spacing w:before="240" w:after="180" w:line="240" w:lineRule="auto"/>
        <w:jc w:val="both"/>
        <w:rPr>
          <w:rFonts w:ascii="Times New Roman" w:hAnsi="Times New Roman" w:cs="Times New Roman"/>
          <w:sz w:val="24"/>
          <w:szCs w:val="24"/>
        </w:rPr>
      </w:pPr>
      <w:r>
        <w:rPr>
          <w:rFonts w:ascii="Times New Roman" w:hAnsi="Times New Roman" w:cs="Times New Roman"/>
          <w:sz w:val="24"/>
          <w:szCs w:val="24"/>
        </w:rPr>
        <w:t>The distribution reflects a clear evolution in circular SCM research. Early literature (2016–2019) is dominated by IoT and BIM studies, focusing on sensing and lifecycle modelling. The period from 2020–2022 shows diversification into blockchain and AI, indicating a shift toward decentralised trust and predictive analytics. The most recent period (2023–2025) shows a marked increase in MBSE-related work, suggesting growing emphasis on integrated system architecture rather than isolated technological solutions.</w:t>
      </w:r>
    </w:p>
    <w:p w14:paraId="7969720D">
      <w:pPr>
        <w:spacing w:before="240" w:after="240" w:line="240" w:lineRule="auto"/>
        <w:jc w:val="both"/>
        <w:rPr>
          <w:rFonts w:ascii="Times New Roman" w:hAnsi="Times New Roman" w:cs="Times New Roman"/>
          <w:b/>
          <w:bCs/>
          <w:sz w:val="24"/>
          <w:szCs w:val="24"/>
        </w:rPr>
      </w:pPr>
      <w:r>
        <w:rPr>
          <w:rFonts w:ascii="Times New Roman" w:hAnsi="Times New Roman" w:cs="Times New Roman"/>
          <w:b/>
          <w:bCs/>
          <w:sz w:val="24"/>
          <w:szCs w:val="24"/>
        </w:rPr>
        <w:t>Research Instrument</w:t>
      </w:r>
    </w:p>
    <w:p w14:paraId="5D49579B">
      <w:pPr>
        <w:spacing w:before="240" w:after="240" w:line="240" w:lineRule="auto"/>
        <w:jc w:val="both"/>
        <w:rPr>
          <w:rFonts w:ascii="Times New Roman" w:hAnsi="Times New Roman" w:cs="Times New Roman"/>
          <w:sz w:val="24"/>
          <w:szCs w:val="24"/>
        </w:rPr>
      </w:pPr>
      <w:r>
        <w:rPr>
          <w:rFonts w:ascii="Times New Roman" w:hAnsi="Times New Roman" w:cs="Times New Roman"/>
          <w:sz w:val="24"/>
          <w:szCs w:val="24"/>
        </w:rPr>
        <w:t>Because this study employs a SLR rather than primary data collection, the research instrument is the thematic coding framework and the MBSE requirement traceability matrix. These instruments structure the extraction and analysis of data from the sampled literature, fulfilling the same function that a questionnaire or interview guide would serve in primary research (Kitchenham &amp; Charters, 2007).</w:t>
      </w:r>
    </w:p>
    <w:p w14:paraId="61B2AAF3">
      <w:pPr>
        <w:spacing w:before="240" w:after="240" w:line="240" w:lineRule="auto"/>
        <w:jc w:val="both"/>
        <w:rPr>
          <w:rFonts w:ascii="Times New Roman" w:hAnsi="Times New Roman" w:cs="Times New Roman"/>
          <w:b/>
          <w:bCs/>
          <w:sz w:val="24"/>
          <w:szCs w:val="24"/>
        </w:rPr>
      </w:pPr>
      <w:r>
        <w:rPr>
          <w:rFonts w:ascii="Times New Roman" w:hAnsi="Times New Roman" w:cs="Times New Roman"/>
          <w:b/>
          <w:bCs/>
          <w:sz w:val="24"/>
          <w:szCs w:val="24"/>
        </w:rPr>
        <w:t>Thematic Coding Framework</w:t>
      </w:r>
    </w:p>
    <w:p w14:paraId="1E551DB9">
      <w:pPr>
        <w:spacing w:before="240" w:after="240" w:line="240" w:lineRule="auto"/>
        <w:jc w:val="both"/>
        <w:rPr>
          <w:rFonts w:ascii="Times New Roman" w:hAnsi="Times New Roman" w:cs="Times New Roman"/>
          <w:sz w:val="24"/>
          <w:szCs w:val="24"/>
          <w:lang w:val="en-MY"/>
        </w:rPr>
      </w:pPr>
      <w:r>
        <w:rPr>
          <w:rFonts w:ascii="Times New Roman" w:hAnsi="Times New Roman" w:cs="Times New Roman"/>
          <w:sz w:val="24"/>
          <w:szCs w:val="24"/>
          <w:lang w:val="en-MY"/>
        </w:rPr>
        <w:t>Following the axial coding procedure described by Strauss and Corbin (1998), each source was coded against four predefined architectural dimensions: (1) traceability and provenance mechanisms, (2) lifecycle visibility and resource reuse enablers, (3) interoperability and standards requirements, and (4) security and trust mechanisms. These dimensions were derived deductively from the research questions posed in Chapter I and inductively refined through an initial pilot review of twenty sources. Each coded passage was further tagged by enabling technology (IoT, BIM, Blockchain, AI), system layer (sensing, decision, collaborative, transparency), and evidence type (empirical, conceptual, or case-study).</w:t>
      </w:r>
    </w:p>
    <w:p w14:paraId="4261F5D5">
      <w:pPr>
        <w:spacing w:before="240" w:after="240" w:line="240" w:lineRule="auto"/>
        <w:jc w:val="both"/>
        <w:rPr>
          <w:rFonts w:ascii="Times New Roman" w:hAnsi="Times New Roman" w:cs="Times New Roman"/>
          <w:b/>
          <w:bCs/>
          <w:sz w:val="24"/>
          <w:szCs w:val="24"/>
        </w:rPr>
      </w:pPr>
      <w:r>
        <w:rPr>
          <w:rFonts w:ascii="Times New Roman" w:hAnsi="Times New Roman" w:cs="Times New Roman"/>
          <w:b/>
          <w:bCs/>
          <w:sz w:val="24"/>
          <w:szCs w:val="24"/>
        </w:rPr>
        <w:t>MBSE Requirement Traceability Matrix</w:t>
      </w:r>
    </w:p>
    <w:p w14:paraId="4320CBFD">
      <w:pPr>
        <w:spacing w:before="240" w:after="240" w:line="240" w:lineRule="auto"/>
        <w:jc w:val="both"/>
        <w:rPr>
          <w:rFonts w:ascii="Times New Roman" w:hAnsi="Times New Roman" w:cs="Times New Roman"/>
          <w:sz w:val="24"/>
          <w:szCs w:val="24"/>
          <w:lang w:val="en-MY"/>
        </w:rPr>
      </w:pPr>
      <w:r>
        <w:rPr>
          <w:rFonts w:ascii="Times New Roman" w:hAnsi="Times New Roman" w:cs="Times New Roman"/>
          <w:sz w:val="24"/>
          <w:szCs w:val="24"/>
          <w:lang w:val="en-MY"/>
        </w:rPr>
        <w:t>A requirement traceability matrix (RTM) was constructed using SysML notation concepts to map each identified requirement to its literature source, the system function it enables, and the architectural component it constrains. This instrument ensures that the architectural requirements presented later on are not ad hoc assertions but traceable propositions grounded in the reviewed evidence. Table 3.3 presents a representative excerpt of the RTM.</w:t>
      </w:r>
    </w:p>
    <w:p w14:paraId="5C3E7A0E">
      <w:pPr>
        <w:spacing w:before="180" w:after="240" w:line="240" w:lineRule="auto"/>
        <w:rPr>
          <w:rFonts w:ascii="Times New Roman" w:hAnsi="Times New Roman" w:cs="Times New Roman"/>
          <w:b/>
          <w:bCs/>
          <w:sz w:val="24"/>
          <w:szCs w:val="24"/>
        </w:rPr>
      </w:pPr>
      <w:r>
        <w:rPr>
          <w:rFonts w:ascii="Times New Roman" w:hAnsi="Times New Roman" w:eastAsia="Times New Roman" w:cs="Times New Roman"/>
          <w:b/>
          <w:bCs/>
          <w:sz w:val="24"/>
          <w:szCs w:val="24"/>
        </w:rPr>
        <w:t>Table 3.3: Excerpt from the MBSE Requirement Traceability Matrix</w:t>
      </w:r>
    </w:p>
    <w:tbl>
      <w:tblPr>
        <w:tblStyle w:val="14"/>
        <w:tblW w:w="107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3"/>
        <w:gridCol w:w="2752"/>
        <w:gridCol w:w="2464"/>
        <w:gridCol w:w="1777"/>
        <w:gridCol w:w="1937"/>
      </w:tblGrid>
      <w:tr w14:paraId="2082B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823" w:type="dxa"/>
          </w:tcPr>
          <w:p w14:paraId="63DD606C">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Requirement ID</w:t>
            </w:r>
          </w:p>
        </w:tc>
        <w:tc>
          <w:tcPr>
            <w:tcW w:w="2752" w:type="dxa"/>
          </w:tcPr>
          <w:p w14:paraId="3EC8FA4F">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Requirement Statement</w:t>
            </w:r>
          </w:p>
        </w:tc>
        <w:tc>
          <w:tcPr>
            <w:tcW w:w="2464" w:type="dxa"/>
          </w:tcPr>
          <w:p w14:paraId="3F3771D4">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Source(s)</w:t>
            </w:r>
          </w:p>
        </w:tc>
        <w:tc>
          <w:tcPr>
            <w:tcW w:w="1777" w:type="dxa"/>
          </w:tcPr>
          <w:p w14:paraId="4D16B6A5">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System Layer</w:t>
            </w:r>
          </w:p>
        </w:tc>
        <w:tc>
          <w:tcPr>
            <w:tcW w:w="1937" w:type="dxa"/>
          </w:tcPr>
          <w:p w14:paraId="7B69AF9B">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SysML Diagram Type</w:t>
            </w:r>
          </w:p>
        </w:tc>
      </w:tr>
      <w:tr w14:paraId="4B1DE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1" w:hRule="atLeast"/>
        </w:trPr>
        <w:tc>
          <w:tcPr>
            <w:tcW w:w="1823" w:type="dxa"/>
          </w:tcPr>
          <w:p w14:paraId="524FCC26">
            <w:pPr>
              <w:spacing w:line="240" w:lineRule="auto"/>
              <w:rPr>
                <w:rFonts w:ascii="Times New Roman" w:hAnsi="Times New Roman" w:cs="Times New Roman"/>
                <w:sz w:val="24"/>
                <w:szCs w:val="24"/>
              </w:rPr>
            </w:pPr>
            <w:r>
              <w:rPr>
                <w:rFonts w:ascii="Times New Roman" w:hAnsi="Times New Roman" w:cs="Times New Roman"/>
                <w:sz w:val="24"/>
                <w:szCs w:val="24"/>
              </w:rPr>
              <w:t>REQ-TR-01</w:t>
            </w:r>
          </w:p>
        </w:tc>
        <w:tc>
          <w:tcPr>
            <w:tcW w:w="2752" w:type="dxa"/>
          </w:tcPr>
          <w:p w14:paraId="5A57BE7F">
            <w:pPr>
              <w:spacing w:line="240" w:lineRule="auto"/>
              <w:rPr>
                <w:rFonts w:ascii="Times New Roman" w:hAnsi="Times New Roman" w:cs="Times New Roman"/>
                <w:sz w:val="24"/>
                <w:szCs w:val="24"/>
              </w:rPr>
            </w:pPr>
            <w:r>
              <w:rPr>
                <w:rFonts w:ascii="Times New Roman" w:hAnsi="Times New Roman" w:cs="Times New Roman"/>
                <w:sz w:val="24"/>
                <w:szCs w:val="24"/>
              </w:rPr>
              <w:t>The system shall record every material custody transfer on an immutable distributed ledger</w:t>
            </w:r>
          </w:p>
        </w:tc>
        <w:tc>
          <w:tcPr>
            <w:tcW w:w="2464" w:type="dxa"/>
          </w:tcPr>
          <w:p w14:paraId="7333EF2B">
            <w:pPr>
              <w:spacing w:line="240" w:lineRule="auto"/>
              <w:rPr>
                <w:rFonts w:ascii="Times New Roman" w:hAnsi="Times New Roman" w:cs="Times New Roman"/>
                <w:sz w:val="24"/>
                <w:szCs w:val="24"/>
              </w:rPr>
            </w:pPr>
            <w:r>
              <w:rPr>
                <w:rFonts w:ascii="Times New Roman" w:hAnsi="Times New Roman" w:cs="Times New Roman"/>
                <w:sz w:val="24"/>
                <w:szCs w:val="24"/>
              </w:rPr>
              <w:t>Azevedo et al. (2023); Salzano et al. (2024)</w:t>
            </w:r>
          </w:p>
        </w:tc>
        <w:tc>
          <w:tcPr>
            <w:tcW w:w="1777" w:type="dxa"/>
          </w:tcPr>
          <w:p w14:paraId="2A6B2714">
            <w:pPr>
              <w:spacing w:line="240" w:lineRule="auto"/>
              <w:rPr>
                <w:rFonts w:ascii="Times New Roman" w:hAnsi="Times New Roman" w:cs="Times New Roman"/>
                <w:sz w:val="24"/>
                <w:szCs w:val="24"/>
              </w:rPr>
            </w:pPr>
            <w:r>
              <w:rPr>
                <w:rFonts w:ascii="Times New Roman" w:hAnsi="Times New Roman" w:cs="Times New Roman"/>
                <w:sz w:val="24"/>
                <w:szCs w:val="24"/>
              </w:rPr>
              <w:t>Transparency</w:t>
            </w:r>
          </w:p>
        </w:tc>
        <w:tc>
          <w:tcPr>
            <w:tcW w:w="1937" w:type="dxa"/>
          </w:tcPr>
          <w:p w14:paraId="6BC6F7D0">
            <w:pPr>
              <w:spacing w:line="240" w:lineRule="auto"/>
              <w:rPr>
                <w:rFonts w:ascii="Times New Roman" w:hAnsi="Times New Roman" w:cs="Times New Roman"/>
                <w:sz w:val="24"/>
                <w:szCs w:val="24"/>
              </w:rPr>
            </w:pPr>
            <w:r>
              <w:rPr>
                <w:rFonts w:ascii="Times New Roman" w:hAnsi="Times New Roman" w:cs="Times New Roman"/>
                <w:sz w:val="24"/>
                <w:szCs w:val="24"/>
              </w:rPr>
              <w:t>Activity / BDD</w:t>
            </w:r>
          </w:p>
        </w:tc>
      </w:tr>
      <w:tr w14:paraId="65100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trPr>
        <w:tc>
          <w:tcPr>
            <w:tcW w:w="1823" w:type="dxa"/>
          </w:tcPr>
          <w:p w14:paraId="5527DF27">
            <w:pPr>
              <w:spacing w:line="240" w:lineRule="auto"/>
              <w:rPr>
                <w:rFonts w:ascii="Times New Roman" w:hAnsi="Times New Roman" w:cs="Times New Roman"/>
                <w:sz w:val="24"/>
                <w:szCs w:val="24"/>
              </w:rPr>
            </w:pPr>
            <w:r>
              <w:rPr>
                <w:rFonts w:ascii="Times New Roman" w:hAnsi="Times New Roman" w:cs="Times New Roman"/>
                <w:sz w:val="24"/>
                <w:szCs w:val="24"/>
              </w:rPr>
              <w:t>REQ-TR-02</w:t>
            </w:r>
          </w:p>
        </w:tc>
        <w:tc>
          <w:tcPr>
            <w:tcW w:w="2752" w:type="dxa"/>
          </w:tcPr>
          <w:p w14:paraId="75A8C69D">
            <w:pPr>
              <w:spacing w:line="240" w:lineRule="auto"/>
              <w:rPr>
                <w:rFonts w:ascii="Times New Roman" w:hAnsi="Times New Roman" w:cs="Times New Roman"/>
                <w:sz w:val="24"/>
                <w:szCs w:val="24"/>
              </w:rPr>
            </w:pPr>
            <w:r>
              <w:rPr>
                <w:rFonts w:ascii="Times New Roman" w:hAnsi="Times New Roman" w:cs="Times New Roman"/>
                <w:sz w:val="24"/>
                <w:szCs w:val="24"/>
              </w:rPr>
              <w:t>The system shall use RFID/NFC to capture real-time asset location and condition data</w:t>
            </w:r>
          </w:p>
        </w:tc>
        <w:tc>
          <w:tcPr>
            <w:tcW w:w="2464" w:type="dxa"/>
          </w:tcPr>
          <w:p w14:paraId="66D86101">
            <w:pPr>
              <w:spacing w:line="240" w:lineRule="auto"/>
              <w:rPr>
                <w:rFonts w:ascii="Times New Roman" w:hAnsi="Times New Roman" w:cs="Times New Roman"/>
                <w:sz w:val="24"/>
                <w:szCs w:val="24"/>
              </w:rPr>
            </w:pPr>
            <w:r>
              <w:rPr>
                <w:rFonts w:ascii="Times New Roman" w:hAnsi="Times New Roman" w:cs="Times New Roman"/>
                <w:sz w:val="24"/>
                <w:szCs w:val="24"/>
              </w:rPr>
              <w:t>Baskaran &amp; Nguyen (2025); Sundmaeker et al. (2016)</w:t>
            </w:r>
          </w:p>
        </w:tc>
        <w:tc>
          <w:tcPr>
            <w:tcW w:w="1777" w:type="dxa"/>
          </w:tcPr>
          <w:p w14:paraId="160E59D4">
            <w:pPr>
              <w:spacing w:line="240" w:lineRule="auto"/>
              <w:rPr>
                <w:rFonts w:ascii="Times New Roman" w:hAnsi="Times New Roman" w:cs="Times New Roman"/>
                <w:sz w:val="24"/>
                <w:szCs w:val="24"/>
              </w:rPr>
            </w:pPr>
            <w:r>
              <w:rPr>
                <w:rFonts w:ascii="Times New Roman" w:hAnsi="Times New Roman" w:cs="Times New Roman"/>
                <w:sz w:val="24"/>
                <w:szCs w:val="24"/>
              </w:rPr>
              <w:t>Sensing</w:t>
            </w:r>
          </w:p>
        </w:tc>
        <w:tc>
          <w:tcPr>
            <w:tcW w:w="1937" w:type="dxa"/>
          </w:tcPr>
          <w:p w14:paraId="3F98D429">
            <w:pPr>
              <w:spacing w:line="240" w:lineRule="auto"/>
              <w:rPr>
                <w:rFonts w:ascii="Times New Roman" w:hAnsi="Times New Roman" w:cs="Times New Roman"/>
                <w:sz w:val="24"/>
                <w:szCs w:val="24"/>
              </w:rPr>
            </w:pPr>
            <w:r>
              <w:rPr>
                <w:rFonts w:ascii="Times New Roman" w:hAnsi="Times New Roman" w:cs="Times New Roman"/>
                <w:sz w:val="24"/>
                <w:szCs w:val="24"/>
              </w:rPr>
              <w:t>Activity / IBD</w:t>
            </w:r>
          </w:p>
        </w:tc>
      </w:tr>
      <w:tr w14:paraId="3E560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1823" w:type="dxa"/>
          </w:tcPr>
          <w:p w14:paraId="3200BB13">
            <w:pPr>
              <w:spacing w:line="240" w:lineRule="auto"/>
              <w:rPr>
                <w:rFonts w:ascii="Times New Roman" w:hAnsi="Times New Roman" w:cs="Times New Roman"/>
                <w:sz w:val="24"/>
                <w:szCs w:val="24"/>
              </w:rPr>
            </w:pPr>
            <w:r>
              <w:rPr>
                <w:rFonts w:ascii="Times New Roman" w:hAnsi="Times New Roman" w:cs="Times New Roman"/>
                <w:sz w:val="24"/>
                <w:szCs w:val="24"/>
              </w:rPr>
              <w:t>REQ-LV-01</w:t>
            </w:r>
          </w:p>
        </w:tc>
        <w:tc>
          <w:tcPr>
            <w:tcW w:w="2752" w:type="dxa"/>
          </w:tcPr>
          <w:p w14:paraId="6115911B">
            <w:pPr>
              <w:spacing w:line="240" w:lineRule="auto"/>
              <w:rPr>
                <w:rFonts w:ascii="Times New Roman" w:hAnsi="Times New Roman" w:cs="Times New Roman"/>
                <w:sz w:val="24"/>
                <w:szCs w:val="24"/>
              </w:rPr>
            </w:pPr>
            <w:r>
              <w:rPr>
                <w:rFonts w:ascii="Times New Roman" w:hAnsi="Times New Roman" w:cs="Times New Roman"/>
                <w:sz w:val="24"/>
                <w:szCs w:val="24"/>
              </w:rPr>
              <w:t>The system shall maintain a digital material passport for every tracked asset</w:t>
            </w:r>
          </w:p>
        </w:tc>
        <w:tc>
          <w:tcPr>
            <w:tcW w:w="2464" w:type="dxa"/>
          </w:tcPr>
          <w:p w14:paraId="136CA469">
            <w:pPr>
              <w:spacing w:line="240" w:lineRule="auto"/>
              <w:rPr>
                <w:rFonts w:ascii="Times New Roman" w:hAnsi="Times New Roman" w:cs="Times New Roman"/>
                <w:sz w:val="24"/>
                <w:szCs w:val="24"/>
              </w:rPr>
            </w:pPr>
            <w:r>
              <w:rPr>
                <w:rFonts w:ascii="Times New Roman" w:hAnsi="Times New Roman" w:cs="Times New Roman"/>
                <w:sz w:val="24"/>
                <w:szCs w:val="24"/>
              </w:rPr>
              <w:t>Alhamami et al. (2018); Banerjee &amp; Nayaka (2022)</w:t>
            </w:r>
          </w:p>
        </w:tc>
        <w:tc>
          <w:tcPr>
            <w:tcW w:w="1777" w:type="dxa"/>
          </w:tcPr>
          <w:p w14:paraId="49EBFD53">
            <w:pPr>
              <w:spacing w:line="240" w:lineRule="auto"/>
              <w:rPr>
                <w:rFonts w:ascii="Times New Roman" w:hAnsi="Times New Roman" w:cs="Times New Roman"/>
                <w:sz w:val="24"/>
                <w:szCs w:val="24"/>
              </w:rPr>
            </w:pPr>
            <w:r>
              <w:rPr>
                <w:rFonts w:ascii="Times New Roman" w:hAnsi="Times New Roman" w:cs="Times New Roman"/>
                <w:sz w:val="24"/>
                <w:szCs w:val="24"/>
              </w:rPr>
              <w:t>Collaborative</w:t>
            </w:r>
          </w:p>
        </w:tc>
        <w:tc>
          <w:tcPr>
            <w:tcW w:w="1937" w:type="dxa"/>
          </w:tcPr>
          <w:p w14:paraId="7D62474B">
            <w:pPr>
              <w:spacing w:line="240" w:lineRule="auto"/>
              <w:rPr>
                <w:rFonts w:ascii="Times New Roman" w:hAnsi="Times New Roman" w:cs="Times New Roman"/>
                <w:sz w:val="24"/>
                <w:szCs w:val="24"/>
              </w:rPr>
            </w:pPr>
            <w:r>
              <w:rPr>
                <w:rFonts w:ascii="Times New Roman" w:hAnsi="Times New Roman" w:cs="Times New Roman"/>
                <w:sz w:val="24"/>
                <w:szCs w:val="24"/>
              </w:rPr>
              <w:t>BDD / Parametric</w:t>
            </w:r>
          </w:p>
        </w:tc>
      </w:tr>
      <w:tr w14:paraId="49FF7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1823" w:type="dxa"/>
          </w:tcPr>
          <w:p w14:paraId="05A034C1">
            <w:pPr>
              <w:spacing w:line="240" w:lineRule="auto"/>
              <w:rPr>
                <w:rFonts w:ascii="Times New Roman" w:hAnsi="Times New Roman" w:cs="Times New Roman"/>
                <w:sz w:val="24"/>
                <w:szCs w:val="24"/>
              </w:rPr>
            </w:pPr>
            <w:r>
              <w:rPr>
                <w:rFonts w:ascii="Times New Roman" w:hAnsi="Times New Roman" w:cs="Times New Roman"/>
                <w:sz w:val="24"/>
                <w:szCs w:val="24"/>
              </w:rPr>
              <w:t>REQ-IO-01</w:t>
            </w:r>
          </w:p>
        </w:tc>
        <w:tc>
          <w:tcPr>
            <w:tcW w:w="2752" w:type="dxa"/>
          </w:tcPr>
          <w:p w14:paraId="6E147161">
            <w:pPr>
              <w:spacing w:line="240" w:lineRule="auto"/>
              <w:rPr>
                <w:rFonts w:ascii="Times New Roman" w:hAnsi="Times New Roman" w:cs="Times New Roman"/>
                <w:sz w:val="24"/>
                <w:szCs w:val="24"/>
              </w:rPr>
            </w:pPr>
            <w:r>
              <w:rPr>
                <w:rFonts w:ascii="Times New Roman" w:hAnsi="Times New Roman" w:cs="Times New Roman"/>
                <w:sz w:val="24"/>
                <w:szCs w:val="24"/>
              </w:rPr>
              <w:t>The system shall support IFC and mvdXML for BIM data exchange</w:t>
            </w:r>
          </w:p>
        </w:tc>
        <w:tc>
          <w:tcPr>
            <w:tcW w:w="2464" w:type="dxa"/>
          </w:tcPr>
          <w:p w14:paraId="214E88F5">
            <w:pPr>
              <w:spacing w:line="240" w:lineRule="auto"/>
              <w:rPr>
                <w:rFonts w:ascii="Times New Roman" w:hAnsi="Times New Roman" w:cs="Times New Roman"/>
                <w:sz w:val="24"/>
                <w:szCs w:val="24"/>
              </w:rPr>
            </w:pPr>
            <w:r>
              <w:rPr>
                <w:rFonts w:ascii="Times New Roman" w:hAnsi="Times New Roman" w:cs="Times New Roman"/>
                <w:sz w:val="24"/>
                <w:szCs w:val="24"/>
              </w:rPr>
              <w:t>Banerjee &amp; Nayaka (2022); Alhamami et al. (2018)</w:t>
            </w:r>
          </w:p>
        </w:tc>
        <w:tc>
          <w:tcPr>
            <w:tcW w:w="1777" w:type="dxa"/>
          </w:tcPr>
          <w:p w14:paraId="5CE8D613">
            <w:pPr>
              <w:spacing w:line="240" w:lineRule="auto"/>
              <w:rPr>
                <w:rFonts w:ascii="Times New Roman" w:hAnsi="Times New Roman" w:cs="Times New Roman"/>
                <w:sz w:val="24"/>
                <w:szCs w:val="24"/>
              </w:rPr>
            </w:pPr>
            <w:r>
              <w:rPr>
                <w:rFonts w:ascii="Times New Roman" w:hAnsi="Times New Roman" w:cs="Times New Roman"/>
                <w:sz w:val="24"/>
                <w:szCs w:val="24"/>
              </w:rPr>
              <w:t>Collaborative</w:t>
            </w:r>
          </w:p>
        </w:tc>
        <w:tc>
          <w:tcPr>
            <w:tcW w:w="1937" w:type="dxa"/>
          </w:tcPr>
          <w:p w14:paraId="6B698425">
            <w:pPr>
              <w:spacing w:line="240" w:lineRule="auto"/>
              <w:rPr>
                <w:rFonts w:ascii="Times New Roman" w:hAnsi="Times New Roman" w:cs="Times New Roman"/>
                <w:sz w:val="24"/>
                <w:szCs w:val="24"/>
              </w:rPr>
            </w:pPr>
            <w:r>
              <w:rPr>
                <w:rFonts w:ascii="Times New Roman" w:hAnsi="Times New Roman" w:cs="Times New Roman"/>
                <w:sz w:val="24"/>
                <w:szCs w:val="24"/>
              </w:rPr>
              <w:t>Interface / Sequence</w:t>
            </w:r>
          </w:p>
        </w:tc>
      </w:tr>
      <w:tr w14:paraId="27E9A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1823" w:type="dxa"/>
          </w:tcPr>
          <w:p w14:paraId="68D979CF">
            <w:pPr>
              <w:spacing w:line="240" w:lineRule="auto"/>
              <w:rPr>
                <w:rFonts w:ascii="Times New Roman" w:hAnsi="Times New Roman" w:cs="Times New Roman"/>
                <w:sz w:val="24"/>
                <w:szCs w:val="24"/>
              </w:rPr>
            </w:pPr>
            <w:r>
              <w:rPr>
                <w:rFonts w:ascii="Times New Roman" w:hAnsi="Times New Roman" w:cs="Times New Roman"/>
                <w:sz w:val="24"/>
                <w:szCs w:val="24"/>
              </w:rPr>
              <w:t>REQ-SE-01</w:t>
            </w:r>
          </w:p>
        </w:tc>
        <w:tc>
          <w:tcPr>
            <w:tcW w:w="2752" w:type="dxa"/>
          </w:tcPr>
          <w:p w14:paraId="7A22E3B2">
            <w:pPr>
              <w:spacing w:line="240" w:lineRule="auto"/>
              <w:rPr>
                <w:rFonts w:ascii="Times New Roman" w:hAnsi="Times New Roman" w:cs="Times New Roman"/>
                <w:sz w:val="24"/>
                <w:szCs w:val="24"/>
              </w:rPr>
            </w:pPr>
            <w:r>
              <w:rPr>
                <w:rFonts w:ascii="Times New Roman" w:hAnsi="Times New Roman" w:cs="Times New Roman"/>
                <w:sz w:val="24"/>
                <w:szCs w:val="24"/>
              </w:rPr>
              <w:t>The system shall enforce TLS encryption for all inter-node communications</w:t>
            </w:r>
          </w:p>
        </w:tc>
        <w:tc>
          <w:tcPr>
            <w:tcW w:w="2464" w:type="dxa"/>
          </w:tcPr>
          <w:p w14:paraId="27861A47">
            <w:pPr>
              <w:spacing w:line="240" w:lineRule="auto"/>
              <w:rPr>
                <w:rFonts w:ascii="Times New Roman" w:hAnsi="Times New Roman" w:cs="Times New Roman"/>
                <w:sz w:val="24"/>
                <w:szCs w:val="24"/>
              </w:rPr>
            </w:pPr>
            <w:r>
              <w:rPr>
                <w:rFonts w:ascii="Times New Roman" w:hAnsi="Times New Roman" w:cs="Times New Roman"/>
                <w:sz w:val="24"/>
                <w:szCs w:val="24"/>
              </w:rPr>
              <w:t>Sapra et al. (2022); Solanki et al. (2025)</w:t>
            </w:r>
          </w:p>
        </w:tc>
        <w:tc>
          <w:tcPr>
            <w:tcW w:w="1777" w:type="dxa"/>
          </w:tcPr>
          <w:p w14:paraId="5EAADDF3">
            <w:pPr>
              <w:spacing w:line="240" w:lineRule="auto"/>
              <w:rPr>
                <w:rFonts w:ascii="Times New Roman" w:hAnsi="Times New Roman" w:cs="Times New Roman"/>
                <w:sz w:val="24"/>
                <w:szCs w:val="24"/>
              </w:rPr>
            </w:pPr>
            <w:r>
              <w:rPr>
                <w:rFonts w:ascii="Times New Roman" w:hAnsi="Times New Roman" w:cs="Times New Roman"/>
                <w:sz w:val="24"/>
                <w:szCs w:val="24"/>
              </w:rPr>
              <w:t>Security</w:t>
            </w:r>
          </w:p>
        </w:tc>
        <w:tc>
          <w:tcPr>
            <w:tcW w:w="1937" w:type="dxa"/>
          </w:tcPr>
          <w:p w14:paraId="5C118A0B">
            <w:pPr>
              <w:spacing w:line="240" w:lineRule="auto"/>
              <w:rPr>
                <w:rFonts w:ascii="Times New Roman" w:hAnsi="Times New Roman" w:cs="Times New Roman"/>
                <w:sz w:val="24"/>
                <w:szCs w:val="24"/>
              </w:rPr>
            </w:pPr>
            <w:r>
              <w:rPr>
                <w:rFonts w:ascii="Times New Roman" w:hAnsi="Times New Roman" w:cs="Times New Roman"/>
                <w:sz w:val="24"/>
                <w:szCs w:val="24"/>
              </w:rPr>
              <w:t>Requirement / Activity</w:t>
            </w:r>
          </w:p>
        </w:tc>
      </w:tr>
    </w:tbl>
    <w:p w14:paraId="4AE689E9">
      <w:pPr>
        <w:spacing w:before="60" w:after="180" w:line="240" w:lineRule="auto"/>
        <w:jc w:val="center"/>
        <w:rPr>
          <w:rFonts w:ascii="Times New Roman" w:hAnsi="Times New Roman" w:cs="Times New Roman"/>
          <w:sz w:val="24"/>
          <w:szCs w:val="24"/>
        </w:rPr>
      </w:pPr>
      <w:r>
        <w:rPr>
          <w:rFonts w:ascii="Times New Roman" w:hAnsi="Times New Roman" w:cs="Times New Roman"/>
          <w:sz w:val="24"/>
          <w:szCs w:val="24"/>
        </w:rPr>
        <w:t>BDD = Block Definition Diagram; IBD = Internal Block Diagram; TLS = Transport Layer Security.</w:t>
      </w:r>
    </w:p>
    <w:p w14:paraId="094594E0">
      <w:pPr>
        <w:spacing w:before="240" w:after="240" w:line="240" w:lineRule="auto"/>
        <w:jc w:val="both"/>
        <w:rPr>
          <w:rFonts w:ascii="Times New Roman" w:hAnsi="Times New Roman" w:cs="Times New Roman"/>
          <w:b/>
          <w:bCs/>
          <w:sz w:val="24"/>
          <w:szCs w:val="24"/>
        </w:rPr>
      </w:pPr>
      <w:r>
        <w:rPr>
          <w:rFonts w:ascii="Times New Roman" w:hAnsi="Times New Roman" w:cs="Times New Roman"/>
          <w:b/>
          <w:bCs/>
          <w:sz w:val="24"/>
          <w:szCs w:val="24"/>
        </w:rPr>
        <w:t>Data Collection Procedure</w:t>
      </w:r>
    </w:p>
    <w:p w14:paraId="4D6D1810">
      <w:pPr>
        <w:spacing w:before="240" w:after="240" w:line="240" w:lineRule="auto"/>
        <w:jc w:val="both"/>
        <w:rPr>
          <w:rFonts w:ascii="Times New Roman" w:hAnsi="Times New Roman" w:cs="Times New Roman"/>
          <w:sz w:val="24"/>
          <w:szCs w:val="24"/>
          <w:lang w:val="en-MY"/>
        </w:rPr>
      </w:pPr>
      <w:r>
        <w:rPr>
          <w:rFonts w:ascii="Times New Roman" w:hAnsi="Times New Roman" w:cs="Times New Roman"/>
          <w:sz w:val="24"/>
          <w:szCs w:val="24"/>
          <w:lang w:val="en-MY"/>
        </w:rPr>
        <w:t>Data collection proceeded in three sequential stages, consistent with the SLR protocol described by Tranfield et al. (2003) and the MBSE integration approach advocated by Amiri (2025).</w:t>
      </w:r>
    </w:p>
    <w:p w14:paraId="6D40EA9D">
      <w:pPr>
        <w:spacing w:before="240" w:after="240" w:line="240" w:lineRule="auto"/>
        <w:jc w:val="both"/>
        <w:rPr>
          <w:rFonts w:ascii="Times New Roman" w:hAnsi="Times New Roman" w:cs="Times New Roman"/>
          <w:i/>
          <w:iCs/>
          <w:sz w:val="24"/>
          <w:szCs w:val="24"/>
          <w:lang w:val="en-MY"/>
        </w:rPr>
      </w:pPr>
      <w:r>
        <w:rPr>
          <w:rFonts w:ascii="Times New Roman" w:hAnsi="Times New Roman" w:cs="Times New Roman"/>
          <w:i/>
          <w:iCs/>
          <w:sz w:val="24"/>
          <w:szCs w:val="24"/>
          <w:lang w:val="en-MY"/>
        </w:rPr>
        <w:t>Stage 1 – Database Search and Record Retrieval</w:t>
      </w:r>
    </w:p>
    <w:p w14:paraId="6E7569D7">
      <w:pPr>
        <w:spacing w:before="240" w:after="240" w:line="240" w:lineRule="auto"/>
        <w:jc w:val="both"/>
        <w:rPr>
          <w:rFonts w:ascii="Times New Roman" w:hAnsi="Times New Roman" w:cs="Times New Roman"/>
          <w:sz w:val="24"/>
          <w:szCs w:val="24"/>
          <w:lang w:val="en-MY"/>
        </w:rPr>
      </w:pPr>
      <w:r>
        <w:rPr>
          <w:rFonts w:ascii="Times New Roman" w:hAnsi="Times New Roman" w:cs="Times New Roman"/>
          <w:sz w:val="24"/>
          <w:szCs w:val="24"/>
          <w:lang w:val="en-MY"/>
        </w:rPr>
        <w:t>Systematic searches were executed across Scopus, IEEE Xplore, SpringerLink, and ScienceDirect using twelve keyword combinations, including “circular supply chain architecture”, “MBSE supply chain”, “blockchain traceability circular economy”, “digital twin lifecycle management”, “IoT reverse logistics”, and “BIM circular construction”. Boolean operators (AND/OR) were used to broaden or narrow result sets. A total of 618 records were retrieved in the initial search.</w:t>
      </w:r>
    </w:p>
    <w:p w14:paraId="296A5105">
      <w:pPr>
        <w:spacing w:before="240" w:after="240" w:line="240" w:lineRule="auto"/>
        <w:jc w:val="both"/>
        <w:rPr>
          <w:rFonts w:ascii="Times New Roman" w:hAnsi="Times New Roman" w:cs="Times New Roman"/>
          <w:sz w:val="24"/>
          <w:szCs w:val="24"/>
          <w:lang w:val="en-MY"/>
        </w:rPr>
      </w:pPr>
      <w:r>
        <w:rPr>
          <w:rFonts w:ascii="Times New Roman" w:hAnsi="Times New Roman" w:cs="Times New Roman"/>
          <w:i/>
          <w:iCs/>
          <w:sz w:val="24"/>
          <w:szCs w:val="24"/>
          <w:lang w:val="en-MY"/>
        </w:rPr>
        <w:t>Stage 2 – Screening and Eligibility Assessmen</w:t>
      </w:r>
      <w:r>
        <w:rPr>
          <w:rFonts w:ascii="Times New Roman" w:hAnsi="Times New Roman" w:cs="Times New Roman"/>
          <w:sz w:val="24"/>
          <w:szCs w:val="24"/>
          <w:lang w:val="en-MY"/>
        </w:rPr>
        <w:t>t</w:t>
      </w:r>
    </w:p>
    <w:p w14:paraId="6EB306A7">
      <w:pPr>
        <w:spacing w:before="240" w:after="240" w:line="240" w:lineRule="auto"/>
        <w:jc w:val="both"/>
        <w:rPr>
          <w:rFonts w:ascii="Times New Roman" w:hAnsi="Times New Roman" w:cs="Times New Roman"/>
          <w:sz w:val="24"/>
          <w:szCs w:val="24"/>
          <w:lang w:val="en-MY"/>
        </w:rPr>
      </w:pPr>
      <w:r>
        <w:rPr>
          <w:rFonts w:ascii="Times New Roman" w:hAnsi="Times New Roman" w:cs="Times New Roman"/>
          <w:sz w:val="24"/>
          <w:szCs w:val="24"/>
          <w:lang w:val="en-MY"/>
        </w:rPr>
        <w:t>Retrieved records were screened in two sub-stages. First, title and abstract screening removed 387 records that were off-topic, duplicates, or non-peer-reviewed, leaving 231 candidates. Second, full-text assessment of these 231 papers against the inclusion/exclusion criteria retained 102 sources for final analysis. Inter-rater reliability was maintained through a double-blind review of a random 20% sub-sample by two independent researchers, achieving a Cohen’s kappa of 0.81, indicating strong agreement (Landis &amp; Koch, 1977).</w:t>
      </w:r>
    </w:p>
    <w:p w14:paraId="65132CB3">
      <w:pPr>
        <w:spacing w:before="240" w:after="240" w:line="240" w:lineRule="auto"/>
        <w:jc w:val="both"/>
        <w:rPr>
          <w:rFonts w:ascii="Times New Roman" w:hAnsi="Times New Roman" w:cs="Times New Roman"/>
          <w:i/>
          <w:iCs/>
          <w:sz w:val="24"/>
          <w:szCs w:val="24"/>
          <w:lang w:val="en-MY"/>
        </w:rPr>
      </w:pPr>
      <w:r>
        <w:rPr>
          <w:rFonts w:ascii="Times New Roman" w:hAnsi="Times New Roman" w:cs="Times New Roman"/>
          <w:i/>
          <w:iCs/>
          <w:sz w:val="24"/>
          <w:szCs w:val="24"/>
          <w:lang w:val="en-MY"/>
        </w:rPr>
        <w:t>Stage 3 – Data Extraction and Coding</w:t>
      </w:r>
    </w:p>
    <w:p w14:paraId="2BA6CEEE">
      <w:pPr>
        <w:spacing w:before="240" w:after="240" w:line="240" w:lineRule="auto"/>
        <w:jc w:val="both"/>
        <w:rPr>
          <w:rFonts w:ascii="Times New Roman" w:hAnsi="Times New Roman" w:cs="Times New Roman"/>
          <w:sz w:val="24"/>
          <w:szCs w:val="24"/>
          <w:lang w:val="en-MY"/>
        </w:rPr>
      </w:pPr>
      <w:r>
        <w:rPr>
          <w:rFonts w:ascii="Times New Roman" w:hAnsi="Times New Roman" w:cs="Times New Roman"/>
          <w:sz w:val="24"/>
          <w:szCs w:val="24"/>
          <w:lang w:val="en-MY"/>
        </w:rPr>
        <w:t>For each retained source, a standardised data extraction form was completed, capturing: bibliographic details, study context, enabling technologies discussed, architectural requirements identified, key findings, and limitations. Extracted data were then coded using the thematic coding framework (Section 3.3.1) and mapped to the MBSE RTM (Section 3.3.2). NVivo 14 was used to support coding consistency and pattern identification across the 102 sources.</w:t>
      </w:r>
    </w:p>
    <w:p w14:paraId="395D5CA0">
      <w:pPr>
        <w:spacing w:before="240" w:after="240" w:line="240" w:lineRule="auto"/>
        <w:jc w:val="both"/>
        <w:rPr>
          <w:rFonts w:ascii="Times New Roman" w:hAnsi="Times New Roman" w:cs="Times New Roman"/>
          <w:sz w:val="24"/>
          <w:szCs w:val="24"/>
          <w:lang w:val="en-MY"/>
        </w:rPr>
      </w:pPr>
    </w:p>
    <w:p w14:paraId="4DB729A3">
      <w:pPr>
        <w:spacing w:before="180" w:after="240" w:line="240" w:lineRule="auto"/>
        <w:jc w:val="center"/>
        <w:rPr>
          <w:rFonts w:ascii="Times New Roman" w:hAnsi="Times New Roman" w:cs="Times New Roman"/>
          <w:sz w:val="24"/>
          <w:szCs w:val="24"/>
        </w:rPr>
      </w:pPr>
      <w:r>
        <w:rPr>
          <w:rFonts w:ascii="Times New Roman" w:hAnsi="Times New Roman" w:cs="Times New Roman"/>
          <w:b/>
          <w:bCs/>
          <w:color w:val="2C2C2C"/>
          <w:sz w:val="24"/>
          <w:szCs w:val="24"/>
        </w:rPr>
        <w:t>Table 3.4: Data Collection Timeline and Activities</w:t>
      </w:r>
    </w:p>
    <w:tbl>
      <w:tblPr>
        <w:tblStyle w:val="14"/>
        <w:tblW w:w="107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63"/>
        <w:gridCol w:w="3845"/>
        <w:gridCol w:w="1793"/>
        <w:gridCol w:w="2512"/>
      </w:tblGrid>
      <w:tr w14:paraId="4CD3A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563" w:type="dxa"/>
          </w:tcPr>
          <w:p w14:paraId="06C51EF2">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Phase</w:t>
            </w:r>
          </w:p>
        </w:tc>
        <w:tc>
          <w:tcPr>
            <w:tcW w:w="3845" w:type="dxa"/>
          </w:tcPr>
          <w:p w14:paraId="5340DD64">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Activity</w:t>
            </w:r>
          </w:p>
        </w:tc>
        <w:tc>
          <w:tcPr>
            <w:tcW w:w="1793" w:type="dxa"/>
          </w:tcPr>
          <w:p w14:paraId="7A7A16FF">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Duration</w:t>
            </w:r>
          </w:p>
        </w:tc>
        <w:tc>
          <w:tcPr>
            <w:tcW w:w="2512" w:type="dxa"/>
          </w:tcPr>
          <w:p w14:paraId="38D13464">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Output</w:t>
            </w:r>
          </w:p>
        </w:tc>
      </w:tr>
      <w:tr w14:paraId="4F130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2563" w:type="dxa"/>
          </w:tcPr>
          <w:p w14:paraId="6FDF2935">
            <w:pPr>
              <w:spacing w:line="240" w:lineRule="auto"/>
              <w:rPr>
                <w:rFonts w:ascii="Times New Roman" w:hAnsi="Times New Roman" w:cs="Times New Roman"/>
                <w:sz w:val="24"/>
                <w:szCs w:val="24"/>
              </w:rPr>
            </w:pPr>
            <w:r>
              <w:rPr>
                <w:rFonts w:ascii="Times New Roman" w:hAnsi="Times New Roman" w:cs="Times New Roman"/>
                <w:sz w:val="24"/>
                <w:szCs w:val="24"/>
              </w:rPr>
              <w:t>1 – Protocol Design</w:t>
            </w:r>
          </w:p>
        </w:tc>
        <w:tc>
          <w:tcPr>
            <w:tcW w:w="3845" w:type="dxa"/>
          </w:tcPr>
          <w:p w14:paraId="5F3CC479">
            <w:pPr>
              <w:spacing w:line="240" w:lineRule="auto"/>
              <w:rPr>
                <w:rFonts w:ascii="Times New Roman" w:hAnsi="Times New Roman" w:cs="Times New Roman"/>
                <w:sz w:val="24"/>
                <w:szCs w:val="24"/>
              </w:rPr>
            </w:pPr>
            <w:r>
              <w:rPr>
                <w:rFonts w:ascii="Times New Roman" w:hAnsi="Times New Roman" w:cs="Times New Roman"/>
                <w:sz w:val="24"/>
                <w:szCs w:val="24"/>
              </w:rPr>
              <w:t>Define RQs, inclusion/exclusion criteria, coding framework, RTM template</w:t>
            </w:r>
          </w:p>
        </w:tc>
        <w:tc>
          <w:tcPr>
            <w:tcW w:w="1793" w:type="dxa"/>
          </w:tcPr>
          <w:p w14:paraId="394A374A">
            <w:pPr>
              <w:spacing w:line="240" w:lineRule="auto"/>
              <w:rPr>
                <w:rFonts w:ascii="Times New Roman" w:hAnsi="Times New Roman" w:cs="Times New Roman"/>
                <w:sz w:val="24"/>
                <w:szCs w:val="24"/>
              </w:rPr>
            </w:pPr>
            <w:r>
              <w:rPr>
                <w:rFonts w:ascii="Times New Roman" w:hAnsi="Times New Roman" w:cs="Times New Roman"/>
                <w:sz w:val="24"/>
                <w:szCs w:val="24"/>
              </w:rPr>
              <w:t>2 weeks</w:t>
            </w:r>
          </w:p>
        </w:tc>
        <w:tc>
          <w:tcPr>
            <w:tcW w:w="2512" w:type="dxa"/>
          </w:tcPr>
          <w:p w14:paraId="6F37E9D9">
            <w:pPr>
              <w:spacing w:line="240" w:lineRule="auto"/>
              <w:rPr>
                <w:rFonts w:ascii="Times New Roman" w:hAnsi="Times New Roman" w:cs="Times New Roman"/>
                <w:sz w:val="24"/>
                <w:szCs w:val="24"/>
              </w:rPr>
            </w:pPr>
            <w:r>
              <w:rPr>
                <w:rFonts w:ascii="Times New Roman" w:hAnsi="Times New Roman" w:cs="Times New Roman"/>
                <w:sz w:val="24"/>
                <w:szCs w:val="24"/>
              </w:rPr>
              <w:t>SLR protocol document</w:t>
            </w:r>
          </w:p>
        </w:tc>
      </w:tr>
      <w:tr w14:paraId="5C867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2563" w:type="dxa"/>
          </w:tcPr>
          <w:p w14:paraId="28EADEF0">
            <w:pPr>
              <w:spacing w:line="240" w:lineRule="auto"/>
              <w:rPr>
                <w:rFonts w:ascii="Times New Roman" w:hAnsi="Times New Roman" w:cs="Times New Roman"/>
                <w:sz w:val="24"/>
                <w:szCs w:val="24"/>
              </w:rPr>
            </w:pPr>
            <w:r>
              <w:rPr>
                <w:rFonts w:ascii="Times New Roman" w:hAnsi="Times New Roman" w:cs="Times New Roman"/>
                <w:sz w:val="24"/>
                <w:szCs w:val="24"/>
              </w:rPr>
              <w:t>2 – Database Search</w:t>
            </w:r>
          </w:p>
        </w:tc>
        <w:tc>
          <w:tcPr>
            <w:tcW w:w="3845" w:type="dxa"/>
          </w:tcPr>
          <w:p w14:paraId="55776904">
            <w:pPr>
              <w:spacing w:line="240" w:lineRule="auto"/>
              <w:rPr>
                <w:rFonts w:ascii="Times New Roman" w:hAnsi="Times New Roman" w:cs="Times New Roman"/>
                <w:sz w:val="24"/>
                <w:szCs w:val="24"/>
              </w:rPr>
            </w:pPr>
            <w:r>
              <w:rPr>
                <w:rFonts w:ascii="Times New Roman" w:hAnsi="Times New Roman" w:cs="Times New Roman"/>
                <w:sz w:val="24"/>
                <w:szCs w:val="24"/>
              </w:rPr>
              <w:t>Execute searches; export records; deduplicate</w:t>
            </w:r>
          </w:p>
        </w:tc>
        <w:tc>
          <w:tcPr>
            <w:tcW w:w="1793" w:type="dxa"/>
          </w:tcPr>
          <w:p w14:paraId="61049166">
            <w:pPr>
              <w:spacing w:line="240" w:lineRule="auto"/>
              <w:rPr>
                <w:rFonts w:ascii="Times New Roman" w:hAnsi="Times New Roman" w:cs="Times New Roman"/>
                <w:sz w:val="24"/>
                <w:szCs w:val="24"/>
              </w:rPr>
            </w:pPr>
            <w:r>
              <w:rPr>
                <w:rFonts w:ascii="Times New Roman" w:hAnsi="Times New Roman" w:cs="Times New Roman"/>
                <w:sz w:val="24"/>
                <w:szCs w:val="24"/>
              </w:rPr>
              <w:t>1 week</w:t>
            </w:r>
          </w:p>
        </w:tc>
        <w:tc>
          <w:tcPr>
            <w:tcW w:w="2512" w:type="dxa"/>
          </w:tcPr>
          <w:p w14:paraId="074AD2D2">
            <w:pPr>
              <w:spacing w:line="240" w:lineRule="auto"/>
              <w:rPr>
                <w:rFonts w:ascii="Times New Roman" w:hAnsi="Times New Roman" w:cs="Times New Roman"/>
                <w:sz w:val="24"/>
                <w:szCs w:val="24"/>
              </w:rPr>
            </w:pPr>
            <w:r>
              <w:rPr>
                <w:rFonts w:ascii="Times New Roman" w:hAnsi="Times New Roman" w:cs="Times New Roman"/>
                <w:sz w:val="24"/>
                <w:szCs w:val="24"/>
              </w:rPr>
              <w:t>618 records (deduplicated: 487)</w:t>
            </w:r>
          </w:p>
        </w:tc>
      </w:tr>
      <w:tr w14:paraId="692DA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2563" w:type="dxa"/>
          </w:tcPr>
          <w:p w14:paraId="2CA2FA69">
            <w:pPr>
              <w:spacing w:line="240" w:lineRule="auto"/>
              <w:rPr>
                <w:rFonts w:ascii="Times New Roman" w:hAnsi="Times New Roman" w:cs="Times New Roman"/>
                <w:sz w:val="24"/>
                <w:szCs w:val="24"/>
              </w:rPr>
            </w:pPr>
            <w:r>
              <w:rPr>
                <w:rFonts w:ascii="Times New Roman" w:hAnsi="Times New Roman" w:cs="Times New Roman"/>
                <w:sz w:val="24"/>
                <w:szCs w:val="24"/>
              </w:rPr>
              <w:t>3 – Title/Abstract Screen</w:t>
            </w:r>
          </w:p>
        </w:tc>
        <w:tc>
          <w:tcPr>
            <w:tcW w:w="3845" w:type="dxa"/>
          </w:tcPr>
          <w:p w14:paraId="036D6AFC">
            <w:pPr>
              <w:spacing w:line="240" w:lineRule="auto"/>
              <w:rPr>
                <w:rFonts w:ascii="Times New Roman" w:hAnsi="Times New Roman" w:cs="Times New Roman"/>
                <w:sz w:val="24"/>
                <w:szCs w:val="24"/>
              </w:rPr>
            </w:pPr>
            <w:r>
              <w:rPr>
                <w:rFonts w:ascii="Times New Roman" w:hAnsi="Times New Roman" w:cs="Times New Roman"/>
                <w:sz w:val="24"/>
                <w:szCs w:val="24"/>
              </w:rPr>
              <w:t>Apply inclusion/exclusion; exclude off-topic records</w:t>
            </w:r>
          </w:p>
        </w:tc>
        <w:tc>
          <w:tcPr>
            <w:tcW w:w="1793" w:type="dxa"/>
          </w:tcPr>
          <w:p w14:paraId="17ADFB0C">
            <w:pPr>
              <w:spacing w:line="240" w:lineRule="auto"/>
              <w:rPr>
                <w:rFonts w:ascii="Times New Roman" w:hAnsi="Times New Roman" w:cs="Times New Roman"/>
                <w:sz w:val="24"/>
                <w:szCs w:val="24"/>
              </w:rPr>
            </w:pPr>
            <w:r>
              <w:rPr>
                <w:rFonts w:ascii="Times New Roman" w:hAnsi="Times New Roman" w:cs="Times New Roman"/>
                <w:sz w:val="24"/>
                <w:szCs w:val="24"/>
              </w:rPr>
              <w:t>2 weeks</w:t>
            </w:r>
          </w:p>
        </w:tc>
        <w:tc>
          <w:tcPr>
            <w:tcW w:w="2512" w:type="dxa"/>
          </w:tcPr>
          <w:p w14:paraId="0884C95D">
            <w:pPr>
              <w:spacing w:line="240" w:lineRule="auto"/>
              <w:rPr>
                <w:rFonts w:ascii="Times New Roman" w:hAnsi="Times New Roman" w:cs="Times New Roman"/>
                <w:sz w:val="24"/>
                <w:szCs w:val="24"/>
              </w:rPr>
            </w:pPr>
            <w:r>
              <w:rPr>
                <w:rFonts w:ascii="Times New Roman" w:hAnsi="Times New Roman" w:cs="Times New Roman"/>
                <w:sz w:val="24"/>
                <w:szCs w:val="24"/>
              </w:rPr>
              <w:t>231 candidates</w:t>
            </w:r>
          </w:p>
        </w:tc>
      </w:tr>
      <w:tr w14:paraId="5EB5B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2563" w:type="dxa"/>
          </w:tcPr>
          <w:p w14:paraId="181E3E32">
            <w:pPr>
              <w:spacing w:line="240" w:lineRule="auto"/>
              <w:rPr>
                <w:rFonts w:ascii="Times New Roman" w:hAnsi="Times New Roman" w:cs="Times New Roman"/>
                <w:sz w:val="24"/>
                <w:szCs w:val="24"/>
              </w:rPr>
            </w:pPr>
            <w:r>
              <w:rPr>
                <w:rFonts w:ascii="Times New Roman" w:hAnsi="Times New Roman" w:cs="Times New Roman"/>
                <w:sz w:val="24"/>
                <w:szCs w:val="24"/>
              </w:rPr>
              <w:t>4 – Full-Text Review</w:t>
            </w:r>
          </w:p>
        </w:tc>
        <w:tc>
          <w:tcPr>
            <w:tcW w:w="3845" w:type="dxa"/>
          </w:tcPr>
          <w:p w14:paraId="5B44BD8F">
            <w:pPr>
              <w:spacing w:line="240" w:lineRule="auto"/>
              <w:rPr>
                <w:rFonts w:ascii="Times New Roman" w:hAnsi="Times New Roman" w:cs="Times New Roman"/>
                <w:sz w:val="24"/>
                <w:szCs w:val="24"/>
              </w:rPr>
            </w:pPr>
            <w:r>
              <w:rPr>
                <w:rFonts w:ascii="Times New Roman" w:hAnsi="Times New Roman" w:cs="Times New Roman"/>
                <w:sz w:val="24"/>
                <w:szCs w:val="24"/>
              </w:rPr>
              <w:t>Read full papers; apply eligibility criteria; inter-rater check</w:t>
            </w:r>
          </w:p>
        </w:tc>
        <w:tc>
          <w:tcPr>
            <w:tcW w:w="1793" w:type="dxa"/>
          </w:tcPr>
          <w:p w14:paraId="7728F608">
            <w:pPr>
              <w:spacing w:line="240" w:lineRule="auto"/>
              <w:rPr>
                <w:rFonts w:ascii="Times New Roman" w:hAnsi="Times New Roman" w:cs="Times New Roman"/>
                <w:sz w:val="24"/>
                <w:szCs w:val="24"/>
              </w:rPr>
            </w:pPr>
            <w:r>
              <w:rPr>
                <w:rFonts w:ascii="Times New Roman" w:hAnsi="Times New Roman" w:cs="Times New Roman"/>
                <w:sz w:val="24"/>
                <w:szCs w:val="24"/>
              </w:rPr>
              <w:t>3 weeks</w:t>
            </w:r>
          </w:p>
        </w:tc>
        <w:tc>
          <w:tcPr>
            <w:tcW w:w="2512" w:type="dxa"/>
          </w:tcPr>
          <w:p w14:paraId="79737E00">
            <w:pPr>
              <w:spacing w:line="240" w:lineRule="auto"/>
              <w:rPr>
                <w:rFonts w:ascii="Times New Roman" w:hAnsi="Times New Roman" w:cs="Times New Roman"/>
                <w:sz w:val="24"/>
                <w:szCs w:val="24"/>
              </w:rPr>
            </w:pPr>
            <w:r>
              <w:rPr>
                <w:rFonts w:ascii="Times New Roman" w:hAnsi="Times New Roman" w:cs="Times New Roman"/>
                <w:sz w:val="24"/>
                <w:szCs w:val="24"/>
              </w:rPr>
              <w:t>102 final sources</w:t>
            </w:r>
          </w:p>
        </w:tc>
      </w:tr>
      <w:tr w14:paraId="6B113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2563" w:type="dxa"/>
          </w:tcPr>
          <w:p w14:paraId="7B73ADD0">
            <w:pPr>
              <w:spacing w:line="240" w:lineRule="auto"/>
              <w:rPr>
                <w:rFonts w:ascii="Times New Roman" w:hAnsi="Times New Roman" w:cs="Times New Roman"/>
                <w:sz w:val="24"/>
                <w:szCs w:val="24"/>
              </w:rPr>
            </w:pPr>
            <w:r>
              <w:rPr>
                <w:rFonts w:ascii="Times New Roman" w:hAnsi="Times New Roman" w:cs="Times New Roman"/>
                <w:sz w:val="24"/>
                <w:szCs w:val="24"/>
              </w:rPr>
              <w:t>5 – Data Extraction &amp; Coding</w:t>
            </w:r>
          </w:p>
        </w:tc>
        <w:tc>
          <w:tcPr>
            <w:tcW w:w="3845" w:type="dxa"/>
          </w:tcPr>
          <w:p w14:paraId="1FDFED51">
            <w:pPr>
              <w:spacing w:line="240" w:lineRule="auto"/>
              <w:rPr>
                <w:rFonts w:ascii="Times New Roman" w:hAnsi="Times New Roman" w:cs="Times New Roman"/>
                <w:sz w:val="24"/>
                <w:szCs w:val="24"/>
              </w:rPr>
            </w:pPr>
            <w:r>
              <w:rPr>
                <w:rFonts w:ascii="Times New Roman" w:hAnsi="Times New Roman" w:cs="Times New Roman"/>
                <w:sz w:val="24"/>
                <w:szCs w:val="24"/>
              </w:rPr>
              <w:t>Complete extraction forms; axial coding; RTM population</w:t>
            </w:r>
          </w:p>
        </w:tc>
        <w:tc>
          <w:tcPr>
            <w:tcW w:w="1793" w:type="dxa"/>
          </w:tcPr>
          <w:p w14:paraId="6C9FED80">
            <w:pPr>
              <w:spacing w:line="240" w:lineRule="auto"/>
              <w:rPr>
                <w:rFonts w:ascii="Times New Roman" w:hAnsi="Times New Roman" w:cs="Times New Roman"/>
                <w:sz w:val="24"/>
                <w:szCs w:val="24"/>
              </w:rPr>
            </w:pPr>
            <w:r>
              <w:rPr>
                <w:rFonts w:ascii="Times New Roman" w:hAnsi="Times New Roman" w:cs="Times New Roman"/>
                <w:sz w:val="24"/>
                <w:szCs w:val="24"/>
              </w:rPr>
              <w:t>3 weeks</w:t>
            </w:r>
          </w:p>
        </w:tc>
        <w:tc>
          <w:tcPr>
            <w:tcW w:w="2512" w:type="dxa"/>
          </w:tcPr>
          <w:p w14:paraId="4E6746BA">
            <w:pPr>
              <w:spacing w:line="240" w:lineRule="auto"/>
              <w:rPr>
                <w:rFonts w:ascii="Times New Roman" w:hAnsi="Times New Roman" w:cs="Times New Roman"/>
                <w:sz w:val="24"/>
                <w:szCs w:val="24"/>
              </w:rPr>
            </w:pPr>
            <w:r>
              <w:rPr>
                <w:rFonts w:ascii="Times New Roman" w:hAnsi="Times New Roman" w:cs="Times New Roman"/>
                <w:sz w:val="24"/>
                <w:szCs w:val="24"/>
              </w:rPr>
              <w:t>Coded dataset; RTM</w:t>
            </w:r>
          </w:p>
        </w:tc>
      </w:tr>
      <w:tr w14:paraId="4606A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2563" w:type="dxa"/>
          </w:tcPr>
          <w:p w14:paraId="0E9A1C5E">
            <w:pPr>
              <w:spacing w:line="240" w:lineRule="auto"/>
              <w:rPr>
                <w:rFonts w:ascii="Times New Roman" w:hAnsi="Times New Roman" w:cs="Times New Roman"/>
                <w:sz w:val="24"/>
                <w:szCs w:val="24"/>
              </w:rPr>
            </w:pPr>
            <w:r>
              <w:rPr>
                <w:rFonts w:ascii="Times New Roman" w:hAnsi="Times New Roman" w:cs="Times New Roman"/>
                <w:sz w:val="24"/>
                <w:szCs w:val="24"/>
              </w:rPr>
              <w:t>6 – Synthesis &amp; Validation</w:t>
            </w:r>
          </w:p>
        </w:tc>
        <w:tc>
          <w:tcPr>
            <w:tcW w:w="3845" w:type="dxa"/>
          </w:tcPr>
          <w:p w14:paraId="493F0369">
            <w:pPr>
              <w:spacing w:line="240" w:lineRule="auto"/>
              <w:rPr>
                <w:rFonts w:ascii="Times New Roman" w:hAnsi="Times New Roman" w:cs="Times New Roman"/>
                <w:sz w:val="24"/>
                <w:szCs w:val="24"/>
              </w:rPr>
            </w:pPr>
            <w:r>
              <w:rPr>
                <w:rFonts w:ascii="Times New Roman" w:hAnsi="Times New Roman" w:cs="Times New Roman"/>
                <w:sz w:val="24"/>
                <w:szCs w:val="24"/>
              </w:rPr>
              <w:t>Thematic synthesis; MBSE mapping; cross-check with Chapters I &amp; V</w:t>
            </w:r>
          </w:p>
        </w:tc>
        <w:tc>
          <w:tcPr>
            <w:tcW w:w="1793" w:type="dxa"/>
          </w:tcPr>
          <w:p w14:paraId="1172B501">
            <w:pPr>
              <w:spacing w:line="240" w:lineRule="auto"/>
              <w:rPr>
                <w:rFonts w:ascii="Times New Roman" w:hAnsi="Times New Roman" w:cs="Times New Roman"/>
                <w:sz w:val="24"/>
                <w:szCs w:val="24"/>
              </w:rPr>
            </w:pPr>
            <w:r>
              <w:rPr>
                <w:rFonts w:ascii="Times New Roman" w:hAnsi="Times New Roman" w:cs="Times New Roman"/>
                <w:sz w:val="24"/>
                <w:szCs w:val="24"/>
              </w:rPr>
              <w:t>2 weeks</w:t>
            </w:r>
          </w:p>
        </w:tc>
        <w:tc>
          <w:tcPr>
            <w:tcW w:w="2512" w:type="dxa"/>
          </w:tcPr>
          <w:p w14:paraId="7896A361">
            <w:pPr>
              <w:spacing w:line="240" w:lineRule="auto"/>
              <w:rPr>
                <w:rFonts w:ascii="Times New Roman" w:hAnsi="Times New Roman" w:cs="Times New Roman"/>
                <w:sz w:val="24"/>
                <w:szCs w:val="24"/>
              </w:rPr>
            </w:pPr>
            <w:r>
              <w:rPr>
                <w:rFonts w:ascii="Times New Roman" w:hAnsi="Times New Roman" w:cs="Times New Roman"/>
                <w:sz w:val="24"/>
                <w:szCs w:val="24"/>
              </w:rPr>
              <w:t>Chapter III &amp; IV draft</w:t>
            </w:r>
          </w:p>
        </w:tc>
      </w:tr>
    </w:tbl>
    <w:p w14:paraId="09290239">
      <w:pPr>
        <w:spacing w:before="240" w:after="240" w:line="240" w:lineRule="auto"/>
        <w:jc w:val="both"/>
        <w:rPr>
          <w:rFonts w:ascii="Times New Roman" w:hAnsi="Times New Roman" w:cs="Times New Roman"/>
          <w:b/>
          <w:bCs/>
          <w:sz w:val="24"/>
          <w:szCs w:val="24"/>
        </w:rPr>
      </w:pPr>
      <w:r>
        <w:rPr>
          <w:rFonts w:ascii="Times New Roman" w:hAnsi="Times New Roman" w:cs="Times New Roman"/>
          <w:b/>
          <w:bCs/>
          <w:sz w:val="24"/>
          <w:szCs w:val="24"/>
        </w:rPr>
        <w:t>Thematic Synthesis and MBSE Integration</w:t>
      </w:r>
    </w:p>
    <w:p w14:paraId="0546F0EB">
      <w:pPr>
        <w:spacing w:before="240" w:after="240" w:line="240" w:lineRule="auto"/>
        <w:jc w:val="both"/>
        <w:rPr>
          <w:rFonts w:ascii="Times New Roman" w:hAnsi="Times New Roman" w:cs="Times New Roman"/>
          <w:sz w:val="24"/>
          <w:szCs w:val="24"/>
          <w:lang w:val="en-MY"/>
        </w:rPr>
      </w:pPr>
      <w:r>
        <w:rPr>
          <w:rFonts w:ascii="Times New Roman" w:hAnsi="Times New Roman" w:cs="Times New Roman"/>
          <w:sz w:val="24"/>
          <w:szCs w:val="24"/>
          <w:lang w:val="en-MY"/>
        </w:rPr>
        <w:t>The thematic synthesis stage employed qualitative axial coding to categorise enabling technologies into four architectural domains (Table 3.5) as discussed previously. This classification supports MBSE requirement structuring by mapping technological capabilities directly to system functions within circular SCM architectures (Amiri, 2025; Kizgin &amp; Vietor, 2025).</w:t>
      </w:r>
    </w:p>
    <w:p w14:paraId="0D95214B">
      <w:pPr>
        <w:spacing w:before="180" w:after="240" w:line="240" w:lineRule="auto"/>
        <w:rPr>
          <w:rFonts w:ascii="Times New Roman" w:hAnsi="Times New Roman" w:cs="Times New Roman"/>
          <w:sz w:val="24"/>
          <w:szCs w:val="24"/>
        </w:rPr>
      </w:pPr>
      <w:r>
        <w:rPr>
          <w:rFonts w:ascii="Times New Roman" w:hAnsi="Times New Roman" w:cs="Times New Roman"/>
          <w:b/>
          <w:bCs/>
          <w:color w:val="2C2C2C"/>
          <w:sz w:val="24"/>
          <w:szCs w:val="24"/>
        </w:rPr>
        <w:t>Table 3.5: Technology Classification by Architectural Domain</w:t>
      </w:r>
    </w:p>
    <w:tbl>
      <w:tblPr>
        <w:tblStyle w:val="14"/>
        <w:tblW w:w="10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7"/>
        <w:gridCol w:w="2517"/>
        <w:gridCol w:w="3020"/>
        <w:gridCol w:w="2466"/>
      </w:tblGrid>
      <w:tr w14:paraId="1AF5A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2517" w:type="dxa"/>
          </w:tcPr>
          <w:p w14:paraId="2D2AFD62">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Architectural Domain</w:t>
            </w:r>
          </w:p>
        </w:tc>
        <w:tc>
          <w:tcPr>
            <w:tcW w:w="2517" w:type="dxa"/>
          </w:tcPr>
          <w:p w14:paraId="654768D9">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Technologies Classified</w:t>
            </w:r>
          </w:p>
        </w:tc>
        <w:tc>
          <w:tcPr>
            <w:tcW w:w="3020" w:type="dxa"/>
          </w:tcPr>
          <w:p w14:paraId="7F8E3B46">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System Function</w:t>
            </w:r>
          </w:p>
        </w:tc>
        <w:tc>
          <w:tcPr>
            <w:tcW w:w="2466" w:type="dxa"/>
          </w:tcPr>
          <w:p w14:paraId="0E84E298">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Key Sources</w:t>
            </w:r>
          </w:p>
        </w:tc>
      </w:tr>
      <w:tr w14:paraId="03BDD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trPr>
        <w:tc>
          <w:tcPr>
            <w:tcW w:w="2517" w:type="dxa"/>
          </w:tcPr>
          <w:p w14:paraId="5CEB6497">
            <w:pPr>
              <w:spacing w:line="240" w:lineRule="auto"/>
              <w:rPr>
                <w:rFonts w:ascii="Times New Roman" w:hAnsi="Times New Roman" w:cs="Times New Roman"/>
                <w:sz w:val="24"/>
                <w:szCs w:val="24"/>
              </w:rPr>
            </w:pPr>
            <w:r>
              <w:rPr>
                <w:rFonts w:ascii="Times New Roman" w:hAnsi="Times New Roman" w:cs="Times New Roman"/>
                <w:sz w:val="24"/>
                <w:szCs w:val="24"/>
              </w:rPr>
              <w:t>Data Collection</w:t>
            </w:r>
          </w:p>
        </w:tc>
        <w:tc>
          <w:tcPr>
            <w:tcW w:w="2517" w:type="dxa"/>
          </w:tcPr>
          <w:p w14:paraId="4D7ED97C">
            <w:pPr>
              <w:spacing w:line="240" w:lineRule="auto"/>
              <w:rPr>
                <w:rFonts w:ascii="Times New Roman" w:hAnsi="Times New Roman" w:cs="Times New Roman"/>
                <w:sz w:val="24"/>
                <w:szCs w:val="24"/>
              </w:rPr>
            </w:pPr>
            <w:r>
              <w:rPr>
                <w:rFonts w:ascii="Times New Roman" w:hAnsi="Times New Roman" w:cs="Times New Roman"/>
                <w:sz w:val="24"/>
                <w:szCs w:val="24"/>
              </w:rPr>
              <w:t>IoT, RFID, NFC, Environmental Sensors</w:t>
            </w:r>
          </w:p>
        </w:tc>
        <w:tc>
          <w:tcPr>
            <w:tcW w:w="3020" w:type="dxa"/>
          </w:tcPr>
          <w:p w14:paraId="166A41B7">
            <w:pPr>
              <w:spacing w:line="240" w:lineRule="auto"/>
              <w:rPr>
                <w:rFonts w:ascii="Times New Roman" w:hAnsi="Times New Roman" w:cs="Times New Roman"/>
                <w:sz w:val="24"/>
                <w:szCs w:val="24"/>
              </w:rPr>
            </w:pPr>
            <w:r>
              <w:rPr>
                <w:rFonts w:ascii="Times New Roman" w:hAnsi="Times New Roman" w:cs="Times New Roman"/>
                <w:sz w:val="24"/>
                <w:szCs w:val="24"/>
              </w:rPr>
              <w:t>Real-time asset sensing and location tracking</w:t>
            </w:r>
          </w:p>
        </w:tc>
        <w:tc>
          <w:tcPr>
            <w:tcW w:w="2466" w:type="dxa"/>
          </w:tcPr>
          <w:p w14:paraId="0567D0E4">
            <w:pPr>
              <w:spacing w:line="240" w:lineRule="auto"/>
              <w:rPr>
                <w:rFonts w:ascii="Times New Roman" w:hAnsi="Times New Roman" w:cs="Times New Roman"/>
                <w:sz w:val="24"/>
                <w:szCs w:val="24"/>
              </w:rPr>
            </w:pPr>
            <w:r>
              <w:rPr>
                <w:rFonts w:ascii="Times New Roman" w:hAnsi="Times New Roman" w:cs="Times New Roman"/>
                <w:sz w:val="24"/>
                <w:szCs w:val="24"/>
              </w:rPr>
              <w:t>Sundmaeker et al. (2016); Baskaran &amp; Nguyen (2025)</w:t>
            </w:r>
          </w:p>
          <w:p w14:paraId="7AC57246">
            <w:pPr>
              <w:spacing w:line="240" w:lineRule="auto"/>
              <w:rPr>
                <w:rFonts w:ascii="Times New Roman" w:hAnsi="Times New Roman" w:cs="Times New Roman"/>
                <w:sz w:val="24"/>
                <w:szCs w:val="24"/>
              </w:rPr>
            </w:pPr>
          </w:p>
        </w:tc>
      </w:tr>
      <w:tr w14:paraId="0B2CC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trPr>
        <w:tc>
          <w:tcPr>
            <w:tcW w:w="2517" w:type="dxa"/>
          </w:tcPr>
          <w:p w14:paraId="240DAA66">
            <w:pPr>
              <w:spacing w:line="240" w:lineRule="auto"/>
              <w:rPr>
                <w:rFonts w:ascii="Times New Roman" w:hAnsi="Times New Roman" w:cs="Times New Roman"/>
                <w:sz w:val="24"/>
                <w:szCs w:val="24"/>
              </w:rPr>
            </w:pPr>
            <w:r>
              <w:rPr>
                <w:rFonts w:ascii="Times New Roman" w:hAnsi="Times New Roman" w:cs="Times New Roman"/>
                <w:sz w:val="24"/>
                <w:szCs w:val="24"/>
              </w:rPr>
              <w:t>Decision-Oriented</w:t>
            </w:r>
          </w:p>
        </w:tc>
        <w:tc>
          <w:tcPr>
            <w:tcW w:w="2517" w:type="dxa"/>
          </w:tcPr>
          <w:p w14:paraId="3B4ECDBE">
            <w:pPr>
              <w:spacing w:line="240" w:lineRule="auto"/>
              <w:rPr>
                <w:rFonts w:ascii="Times New Roman" w:hAnsi="Times New Roman" w:cs="Times New Roman"/>
                <w:sz w:val="24"/>
                <w:szCs w:val="24"/>
              </w:rPr>
            </w:pPr>
            <w:r>
              <w:rPr>
                <w:rFonts w:ascii="Times New Roman" w:hAnsi="Times New Roman" w:cs="Times New Roman"/>
                <w:sz w:val="24"/>
                <w:szCs w:val="24"/>
              </w:rPr>
              <w:t>AI, Machine Learning, Predictive Analytics</w:t>
            </w:r>
          </w:p>
        </w:tc>
        <w:tc>
          <w:tcPr>
            <w:tcW w:w="3020" w:type="dxa"/>
          </w:tcPr>
          <w:p w14:paraId="5937BED3">
            <w:pPr>
              <w:spacing w:line="240" w:lineRule="auto"/>
              <w:rPr>
                <w:rFonts w:ascii="Times New Roman" w:hAnsi="Times New Roman" w:cs="Times New Roman"/>
                <w:sz w:val="24"/>
                <w:szCs w:val="24"/>
              </w:rPr>
            </w:pPr>
            <w:r>
              <w:rPr>
                <w:rFonts w:ascii="Times New Roman" w:hAnsi="Times New Roman" w:cs="Times New Roman"/>
                <w:sz w:val="24"/>
                <w:szCs w:val="24"/>
              </w:rPr>
              <w:t>Adaptive planning and lifecycle forecasting</w:t>
            </w:r>
          </w:p>
        </w:tc>
        <w:tc>
          <w:tcPr>
            <w:tcW w:w="2466" w:type="dxa"/>
          </w:tcPr>
          <w:p w14:paraId="4AA08576">
            <w:pPr>
              <w:spacing w:line="240" w:lineRule="auto"/>
              <w:rPr>
                <w:rFonts w:ascii="Times New Roman" w:hAnsi="Times New Roman" w:cs="Times New Roman"/>
                <w:sz w:val="24"/>
                <w:szCs w:val="24"/>
              </w:rPr>
            </w:pPr>
            <w:r>
              <w:rPr>
                <w:rFonts w:ascii="Times New Roman" w:hAnsi="Times New Roman" w:cs="Times New Roman"/>
                <w:sz w:val="24"/>
                <w:szCs w:val="24"/>
              </w:rPr>
              <w:t>Chen et al. (2020); Gupta (2025)</w:t>
            </w:r>
          </w:p>
        </w:tc>
      </w:tr>
      <w:tr w14:paraId="31D54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trPr>
        <w:tc>
          <w:tcPr>
            <w:tcW w:w="2517" w:type="dxa"/>
          </w:tcPr>
          <w:p w14:paraId="50D15BA2">
            <w:pPr>
              <w:spacing w:line="240" w:lineRule="auto"/>
              <w:rPr>
                <w:rFonts w:ascii="Times New Roman" w:hAnsi="Times New Roman" w:cs="Times New Roman"/>
                <w:sz w:val="24"/>
                <w:szCs w:val="24"/>
              </w:rPr>
            </w:pPr>
            <w:r>
              <w:rPr>
                <w:rFonts w:ascii="Times New Roman" w:hAnsi="Times New Roman" w:cs="Times New Roman"/>
                <w:sz w:val="24"/>
                <w:szCs w:val="24"/>
              </w:rPr>
              <w:t>Collaborative</w:t>
            </w:r>
          </w:p>
        </w:tc>
        <w:tc>
          <w:tcPr>
            <w:tcW w:w="2517" w:type="dxa"/>
          </w:tcPr>
          <w:p w14:paraId="0AB546EC">
            <w:pPr>
              <w:spacing w:line="240" w:lineRule="auto"/>
              <w:rPr>
                <w:rFonts w:ascii="Times New Roman" w:hAnsi="Times New Roman" w:cs="Times New Roman"/>
                <w:sz w:val="24"/>
                <w:szCs w:val="24"/>
              </w:rPr>
            </w:pPr>
            <w:r>
              <w:rPr>
                <w:rFonts w:ascii="Times New Roman" w:hAnsi="Times New Roman" w:cs="Times New Roman"/>
                <w:sz w:val="24"/>
                <w:szCs w:val="24"/>
              </w:rPr>
              <w:t>BIM, Digital Twins, Digital Product Passports</w:t>
            </w:r>
          </w:p>
        </w:tc>
        <w:tc>
          <w:tcPr>
            <w:tcW w:w="3020" w:type="dxa"/>
          </w:tcPr>
          <w:p w14:paraId="676E82E1">
            <w:pPr>
              <w:spacing w:line="240" w:lineRule="auto"/>
              <w:rPr>
                <w:rFonts w:ascii="Times New Roman" w:hAnsi="Times New Roman" w:cs="Times New Roman"/>
                <w:sz w:val="24"/>
                <w:szCs w:val="24"/>
              </w:rPr>
            </w:pPr>
            <w:r>
              <w:rPr>
                <w:rFonts w:ascii="Times New Roman" w:hAnsi="Times New Roman" w:cs="Times New Roman"/>
                <w:sz w:val="24"/>
                <w:szCs w:val="24"/>
              </w:rPr>
              <w:t>Lifecycle coordination and multi-stakeholder integration</w:t>
            </w:r>
          </w:p>
        </w:tc>
        <w:tc>
          <w:tcPr>
            <w:tcW w:w="2466" w:type="dxa"/>
          </w:tcPr>
          <w:p w14:paraId="159FE5F4">
            <w:pPr>
              <w:spacing w:line="240" w:lineRule="auto"/>
              <w:rPr>
                <w:rFonts w:ascii="Times New Roman" w:hAnsi="Times New Roman" w:cs="Times New Roman"/>
                <w:sz w:val="24"/>
                <w:szCs w:val="24"/>
              </w:rPr>
            </w:pPr>
            <w:r>
              <w:rPr>
                <w:rFonts w:ascii="Times New Roman" w:hAnsi="Times New Roman" w:cs="Times New Roman"/>
                <w:sz w:val="24"/>
                <w:szCs w:val="24"/>
              </w:rPr>
              <w:t>Alhamami et al. (2018); Banerjee &amp; Nayaka (2022)</w:t>
            </w:r>
          </w:p>
          <w:p w14:paraId="324590EA">
            <w:pPr>
              <w:spacing w:line="240" w:lineRule="auto"/>
              <w:rPr>
                <w:rFonts w:ascii="Times New Roman" w:hAnsi="Times New Roman" w:cs="Times New Roman"/>
                <w:sz w:val="24"/>
                <w:szCs w:val="24"/>
              </w:rPr>
            </w:pPr>
          </w:p>
        </w:tc>
      </w:tr>
      <w:tr w14:paraId="236C5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2517" w:type="dxa"/>
          </w:tcPr>
          <w:p w14:paraId="5D421CDD">
            <w:pPr>
              <w:spacing w:line="240" w:lineRule="auto"/>
              <w:rPr>
                <w:rFonts w:ascii="Times New Roman" w:hAnsi="Times New Roman" w:cs="Times New Roman"/>
                <w:sz w:val="24"/>
                <w:szCs w:val="24"/>
              </w:rPr>
            </w:pPr>
            <w:r>
              <w:rPr>
                <w:rFonts w:ascii="Times New Roman" w:hAnsi="Times New Roman" w:cs="Times New Roman"/>
                <w:sz w:val="24"/>
                <w:szCs w:val="24"/>
              </w:rPr>
              <w:t>Transparency</w:t>
            </w:r>
          </w:p>
        </w:tc>
        <w:tc>
          <w:tcPr>
            <w:tcW w:w="2517" w:type="dxa"/>
          </w:tcPr>
          <w:p w14:paraId="4C5A3069">
            <w:pPr>
              <w:spacing w:line="240" w:lineRule="auto"/>
              <w:rPr>
                <w:rFonts w:ascii="Times New Roman" w:hAnsi="Times New Roman" w:cs="Times New Roman"/>
                <w:sz w:val="24"/>
                <w:szCs w:val="24"/>
              </w:rPr>
            </w:pPr>
            <w:r>
              <w:rPr>
                <w:rFonts w:ascii="Times New Roman" w:hAnsi="Times New Roman" w:cs="Times New Roman"/>
                <w:sz w:val="24"/>
                <w:szCs w:val="24"/>
              </w:rPr>
              <w:t>Blockchain, Smart Contracts, Decentralised Ledgers</w:t>
            </w:r>
          </w:p>
        </w:tc>
        <w:tc>
          <w:tcPr>
            <w:tcW w:w="3020" w:type="dxa"/>
          </w:tcPr>
          <w:p w14:paraId="3B001C17">
            <w:pPr>
              <w:spacing w:line="240" w:lineRule="auto"/>
              <w:rPr>
                <w:rFonts w:ascii="Times New Roman" w:hAnsi="Times New Roman" w:cs="Times New Roman"/>
                <w:sz w:val="24"/>
                <w:szCs w:val="24"/>
              </w:rPr>
            </w:pPr>
            <w:r>
              <w:rPr>
                <w:rFonts w:ascii="Times New Roman" w:hAnsi="Times New Roman" w:cs="Times New Roman"/>
                <w:sz w:val="24"/>
                <w:szCs w:val="24"/>
              </w:rPr>
              <w:t>Trust generation and provenance assurance</w:t>
            </w:r>
          </w:p>
        </w:tc>
        <w:tc>
          <w:tcPr>
            <w:tcW w:w="2466" w:type="dxa"/>
          </w:tcPr>
          <w:p w14:paraId="0E426012">
            <w:pPr>
              <w:spacing w:line="240" w:lineRule="auto"/>
              <w:rPr>
                <w:rFonts w:ascii="Times New Roman" w:hAnsi="Times New Roman" w:cs="Times New Roman"/>
                <w:sz w:val="24"/>
                <w:szCs w:val="24"/>
              </w:rPr>
            </w:pPr>
            <w:r>
              <w:rPr>
                <w:rFonts w:ascii="Times New Roman" w:hAnsi="Times New Roman" w:cs="Times New Roman"/>
                <w:sz w:val="24"/>
                <w:szCs w:val="24"/>
              </w:rPr>
              <w:t>Azevedo et al. (2023); Salzano et al. (2024)</w:t>
            </w:r>
          </w:p>
        </w:tc>
      </w:tr>
    </w:tbl>
    <w:p w14:paraId="0D7EA557">
      <w:pPr>
        <w:spacing w:before="240" w:after="240" w:line="240" w:lineRule="auto"/>
        <w:jc w:val="both"/>
        <w:rPr>
          <w:rFonts w:ascii="Times New Roman" w:hAnsi="Times New Roman" w:cs="Times New Roman"/>
          <w:sz w:val="24"/>
          <w:szCs w:val="24"/>
          <w:lang w:val="en-MY"/>
        </w:rPr>
      </w:pPr>
      <w:r>
        <w:rPr>
          <w:rFonts w:ascii="Times New Roman" w:hAnsi="Times New Roman" w:cs="Times New Roman"/>
          <w:sz w:val="24"/>
          <w:szCs w:val="24"/>
          <w:lang w:val="en-MY"/>
        </w:rPr>
        <w:t>The integration of MBSE with the SLR ensures methodological triangulation, strengthening both theoretical validity and practical applicability. MBSE provides the structural modelling framework that defines system architecture, while the SLR provides empirical grounding from existing technological and theoretical literature. Together, these approaches form a hybrid analytical framework that ensures both system-level rigor and domain-specific relevance. The following chapter, Chapter IV, applies this methodological foundation to derive and articulate the four core architectural requirements.</w:t>
      </w:r>
    </w:p>
    <w:p w14:paraId="4E99C349">
      <w:pPr>
        <w:spacing w:before="240" w:after="240" w:line="240" w:lineRule="auto"/>
        <w:jc w:val="both"/>
        <w:rPr>
          <w:rFonts w:ascii="Times New Roman" w:hAnsi="Times New Roman" w:cs="Times New Roman"/>
          <w:sz w:val="24"/>
          <w:szCs w:val="24"/>
          <w:lang w:val="en-MY"/>
        </w:rPr>
      </w:pPr>
    </w:p>
    <w:p w14:paraId="7BE5A8B3">
      <w:pPr>
        <w:spacing w:before="240" w:after="240" w:line="240" w:lineRule="auto"/>
        <w:jc w:val="both"/>
        <w:rPr>
          <w:rFonts w:ascii="Times New Roman" w:hAnsi="Times New Roman" w:cs="Times New Roman"/>
          <w:sz w:val="24"/>
          <w:szCs w:val="24"/>
          <w:lang w:val="en-MY"/>
        </w:rPr>
      </w:pPr>
    </w:p>
    <w:p w14:paraId="3485CB6C">
      <w:pPr>
        <w:spacing w:before="240" w:after="240" w:line="240" w:lineRule="auto"/>
        <w:jc w:val="both"/>
        <w:rPr>
          <w:rFonts w:ascii="Times New Roman" w:hAnsi="Times New Roman" w:cs="Times New Roman"/>
          <w:b/>
          <w:bCs/>
          <w:sz w:val="24"/>
          <w:szCs w:val="24"/>
        </w:rPr>
      </w:pPr>
      <w:r>
        <w:rPr>
          <w:rFonts w:ascii="Times New Roman" w:hAnsi="Times New Roman" w:cs="Times New Roman"/>
          <w:b/>
          <w:bCs/>
          <w:sz w:val="24"/>
          <w:szCs w:val="24"/>
        </w:rPr>
        <w:t>Validity, Reliability, and Ethical Considerations</w:t>
      </w:r>
    </w:p>
    <w:p w14:paraId="0BD9B366">
      <w:pPr>
        <w:spacing w:before="240" w:after="240" w:line="240" w:lineRule="auto"/>
        <w:jc w:val="both"/>
        <w:rPr>
          <w:rFonts w:ascii="Times New Roman" w:hAnsi="Times New Roman" w:cs="Times New Roman"/>
          <w:b/>
          <w:bCs/>
          <w:sz w:val="24"/>
          <w:szCs w:val="24"/>
        </w:rPr>
      </w:pPr>
      <w:r>
        <w:rPr>
          <w:rFonts w:ascii="Times New Roman" w:hAnsi="Times New Roman" w:cs="Times New Roman"/>
          <w:b/>
          <w:bCs/>
          <w:sz w:val="24"/>
          <w:szCs w:val="24"/>
        </w:rPr>
        <w:t>Internal Validity</w:t>
      </w:r>
    </w:p>
    <w:p w14:paraId="39C3F645">
      <w:pPr>
        <w:spacing w:before="240" w:after="240" w:line="240" w:lineRule="auto"/>
        <w:jc w:val="both"/>
        <w:rPr>
          <w:rFonts w:ascii="Times New Roman" w:hAnsi="Times New Roman" w:cs="Times New Roman"/>
          <w:sz w:val="24"/>
          <w:szCs w:val="24"/>
          <w:lang w:val="en-MY"/>
        </w:rPr>
      </w:pPr>
      <w:r>
        <w:rPr>
          <w:rFonts w:ascii="Times New Roman" w:hAnsi="Times New Roman" w:cs="Times New Roman"/>
          <w:sz w:val="24"/>
          <w:szCs w:val="24"/>
          <w:lang w:val="en-MY"/>
        </w:rPr>
        <w:t>Internal validity is strengthened through the RTM, which ensures every requirement is traceable to its evidentiary source. The double-blind inter-rater reliability check (Cohen’s κ = 0.81) further reduces subjective coding bias (Landis &amp; Koch, 1977). Cross-referencing findings with Chapter V’s discussion of operational outcomes provides additional confirmation that the identified requirements align with reported empirical effects.</w:t>
      </w:r>
    </w:p>
    <w:p w14:paraId="2DCB80F8">
      <w:pPr>
        <w:spacing w:before="240" w:after="240" w:line="240" w:lineRule="auto"/>
        <w:jc w:val="both"/>
        <w:rPr>
          <w:rFonts w:ascii="Times New Roman" w:hAnsi="Times New Roman" w:cs="Times New Roman"/>
          <w:b/>
          <w:bCs/>
          <w:sz w:val="24"/>
          <w:szCs w:val="24"/>
        </w:rPr>
      </w:pPr>
      <w:r>
        <w:rPr>
          <w:rFonts w:ascii="Times New Roman" w:hAnsi="Times New Roman" w:cs="Times New Roman"/>
          <w:b/>
          <w:bCs/>
          <w:sz w:val="24"/>
          <w:szCs w:val="24"/>
        </w:rPr>
        <w:t>External Validity</w:t>
      </w:r>
    </w:p>
    <w:p w14:paraId="731F8401">
      <w:pPr>
        <w:spacing w:before="240" w:after="240" w:line="240" w:lineRule="auto"/>
        <w:jc w:val="both"/>
        <w:rPr>
          <w:rFonts w:ascii="Times New Roman" w:hAnsi="Times New Roman" w:cs="Times New Roman"/>
          <w:sz w:val="24"/>
          <w:szCs w:val="24"/>
          <w:lang w:val="en-MY"/>
        </w:rPr>
      </w:pPr>
      <w:r>
        <w:rPr>
          <w:rFonts w:ascii="Times New Roman" w:hAnsi="Times New Roman" w:cs="Times New Roman"/>
          <w:sz w:val="24"/>
          <w:szCs w:val="24"/>
          <w:lang w:val="en-MY"/>
        </w:rPr>
        <w:t>The purposive sample covers multiple industry sectors (construction, manufacturing, logistics, agriculture, healthcare) and four enabling technology domains, enhancing the generalisability of the architectural framework beyond any single industry. As noted in Chapter VI, the evidence base is nevertheless weighted toward construction and manufacturing, which is a limitation acknowledged for future research.</w:t>
      </w:r>
    </w:p>
    <w:p w14:paraId="1B18195F">
      <w:pPr>
        <w:spacing w:before="240" w:after="240" w:line="240" w:lineRule="auto"/>
        <w:jc w:val="both"/>
        <w:rPr>
          <w:rFonts w:ascii="Times New Roman" w:hAnsi="Times New Roman" w:cs="Times New Roman"/>
          <w:b/>
          <w:bCs/>
          <w:sz w:val="24"/>
          <w:szCs w:val="24"/>
        </w:rPr>
      </w:pPr>
      <w:r>
        <w:rPr>
          <w:rFonts w:ascii="Times New Roman" w:hAnsi="Times New Roman" w:cs="Times New Roman"/>
          <w:b/>
          <w:bCs/>
          <w:sz w:val="24"/>
          <w:szCs w:val="24"/>
        </w:rPr>
        <w:t>Reliability</w:t>
      </w:r>
    </w:p>
    <w:p w14:paraId="0692007F">
      <w:pPr>
        <w:spacing w:before="240" w:after="240" w:line="240" w:lineRule="auto"/>
        <w:jc w:val="both"/>
        <w:rPr>
          <w:rFonts w:ascii="Times New Roman" w:hAnsi="Times New Roman" w:cs="Times New Roman"/>
          <w:sz w:val="24"/>
          <w:szCs w:val="24"/>
          <w:lang w:val="en-MY"/>
        </w:rPr>
      </w:pPr>
      <w:r>
        <w:rPr>
          <w:rFonts w:ascii="Times New Roman" w:hAnsi="Times New Roman" w:cs="Times New Roman"/>
          <w:sz w:val="24"/>
          <w:szCs w:val="24"/>
          <w:lang w:val="en-MY"/>
        </w:rPr>
        <w:t>Reliability is addressed through the detailed SLR protocol (Section 3.4), which specifies reproducible search strings, database sources, and screening criteria. A secondary researcher independently replicated Stage 1 and Stage 2 on a 20% sub-sample, achieving consistent results. The standardised data extraction form further ensures that information retrieval is uniform across sources.</w:t>
      </w:r>
    </w:p>
    <w:p w14:paraId="2A29B758">
      <w:pPr>
        <w:spacing w:before="240" w:after="240" w:line="240" w:lineRule="auto"/>
        <w:jc w:val="both"/>
        <w:rPr>
          <w:rFonts w:ascii="Times New Roman" w:hAnsi="Times New Roman" w:cs="Times New Roman"/>
          <w:b/>
          <w:bCs/>
          <w:sz w:val="24"/>
          <w:szCs w:val="24"/>
        </w:rPr>
      </w:pPr>
      <w:r>
        <w:rPr>
          <w:rFonts w:ascii="Times New Roman" w:hAnsi="Times New Roman" w:cs="Times New Roman"/>
          <w:b/>
          <w:bCs/>
          <w:sz w:val="24"/>
          <w:szCs w:val="24"/>
        </w:rPr>
        <w:t>Ethical Considerations</w:t>
      </w:r>
    </w:p>
    <w:p w14:paraId="1D6B6F15">
      <w:pPr>
        <w:spacing w:before="240" w:after="240" w:line="240" w:lineRule="auto"/>
        <w:jc w:val="both"/>
        <w:rPr>
          <w:rFonts w:ascii="Times New Roman" w:hAnsi="Times New Roman" w:cs="Times New Roman"/>
          <w:sz w:val="24"/>
          <w:szCs w:val="24"/>
          <w:lang w:val="en-MY"/>
        </w:rPr>
      </w:pPr>
      <w:r>
        <w:rPr>
          <w:rFonts w:ascii="Times New Roman" w:hAnsi="Times New Roman" w:cs="Times New Roman"/>
          <w:sz w:val="24"/>
          <w:szCs w:val="24"/>
          <w:lang w:val="en-MY"/>
        </w:rPr>
        <w:t>This study analyses publicly available peer-reviewed literature and does not involve human participants, animal subjects, or sensitive personal data. All sources are fully cited, and no data fabrication, falsification, or plagiarism has occurred. The research complies with standard academic integrity requirements.</w:t>
      </w:r>
    </w:p>
    <w:p w14:paraId="3D913060">
      <w:pPr>
        <w:pStyle w:val="4"/>
        <w:keepNext w:val="0"/>
        <w:keepLines w:val="0"/>
        <w:spacing w:before="280" w:line="240" w:lineRule="auto"/>
        <w:rPr>
          <w:rFonts w:ascii="Times New Roman" w:hAnsi="Times New Roman" w:cs="Times New Roman"/>
          <w:color w:val="auto"/>
          <w:sz w:val="24"/>
          <w:szCs w:val="24"/>
        </w:rPr>
      </w:pPr>
      <w:r>
        <w:rPr>
          <w:rFonts w:ascii="Times New Roman" w:hAnsi="Times New Roman" w:cs="Times New Roman"/>
          <w:b/>
          <w:bCs/>
          <w:color w:val="auto"/>
          <w:sz w:val="24"/>
          <w:szCs w:val="24"/>
        </w:rPr>
        <w:t>CORE ARCHITECTURAL REQUIREMENTS</w:t>
      </w:r>
    </w:p>
    <w:p w14:paraId="05F9B21D">
      <w:pPr>
        <w:spacing w:before="240" w:after="240" w:line="240" w:lineRule="auto"/>
        <w:jc w:val="both"/>
        <w:rPr>
          <w:rFonts w:ascii="Times New Roman" w:hAnsi="Times New Roman" w:cs="Times New Roman"/>
          <w:sz w:val="24"/>
          <w:szCs w:val="24"/>
        </w:rPr>
      </w:pPr>
      <w:r>
        <w:rPr>
          <w:rFonts w:ascii="Times New Roman" w:hAnsi="Times New Roman" w:cs="Times New Roman"/>
          <w:sz w:val="24"/>
          <w:szCs w:val="24"/>
        </w:rPr>
        <w:t>The transition from linear to circular supply chain management necessitates a fundamental rearchitecting of information systems. As established in Chapter I, traditional linear models are increasingly inadequate for managing the complexities of resource reuse, bidirectional inventory flows, and multi-stakeholder collaboration (Farooque et al., 2019; Geissdoerfer et al., 2018). Drawing on the SLR corpus of 102 sources and structured through the MBSE framework, this chapter establishes four core architectural requirements: (1) Traceability and Provenance; (2) Lifecycle Visibility and Resource Reuse; (3) Interoperability and Standards; and (4) Security and Trust. Each section presents the conceptual foundation, supporting evidence, a visual mapping, and an MBSE traceability reference. Section 4.5 presents an integrated synthesis.</w:t>
      </w:r>
    </w:p>
    <w:p w14:paraId="5732B0D7">
      <w:pPr>
        <w:spacing w:before="180" w:after="240" w:line="240" w:lineRule="auto"/>
        <w:rPr>
          <w:rFonts w:ascii="Times New Roman" w:hAnsi="Times New Roman" w:cs="Times New Roman"/>
          <w:b/>
          <w:bCs/>
          <w:sz w:val="24"/>
          <w:szCs w:val="24"/>
        </w:rPr>
      </w:pPr>
      <w:r>
        <w:rPr>
          <w:rFonts w:ascii="Times New Roman" w:hAnsi="Times New Roman" w:cs="Times New Roman"/>
          <w:b/>
          <w:bCs/>
          <w:sz w:val="24"/>
          <w:szCs w:val="24"/>
        </w:rPr>
        <w:t>Figure 4.1: Overview of the Four Core Architectural Requirements and Their Technology Enablers</w:t>
      </w:r>
    </w:p>
    <w:tbl>
      <w:tblPr>
        <w:tblStyle w:val="14"/>
        <w:tblW w:w="10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59"/>
        <w:gridCol w:w="2830"/>
        <w:gridCol w:w="3088"/>
        <w:gridCol w:w="1878"/>
      </w:tblGrid>
      <w:tr w14:paraId="4A72A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2959" w:type="dxa"/>
          </w:tcPr>
          <w:p w14:paraId="4EB70BAF">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Architectural Requirement</w:t>
            </w:r>
          </w:p>
        </w:tc>
        <w:tc>
          <w:tcPr>
            <w:tcW w:w="2830" w:type="dxa"/>
          </w:tcPr>
          <w:p w14:paraId="5F4821C6">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Primary Technologies</w:t>
            </w:r>
          </w:p>
        </w:tc>
        <w:tc>
          <w:tcPr>
            <w:tcW w:w="3088" w:type="dxa"/>
          </w:tcPr>
          <w:p w14:paraId="6D4483AA">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Key Outcome</w:t>
            </w:r>
          </w:p>
        </w:tc>
        <w:tc>
          <w:tcPr>
            <w:tcW w:w="1878" w:type="dxa"/>
          </w:tcPr>
          <w:p w14:paraId="787C0FAF">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MBSE Diagram</w:t>
            </w:r>
          </w:p>
        </w:tc>
      </w:tr>
      <w:tr w14:paraId="00932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2959" w:type="dxa"/>
          </w:tcPr>
          <w:p w14:paraId="2AA633B3">
            <w:pPr>
              <w:pStyle w:val="21"/>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Traceability &amp; Provenance</w:t>
            </w:r>
          </w:p>
        </w:tc>
        <w:tc>
          <w:tcPr>
            <w:tcW w:w="2830" w:type="dxa"/>
          </w:tcPr>
          <w:p w14:paraId="451A209C">
            <w:pPr>
              <w:spacing w:line="240" w:lineRule="auto"/>
              <w:rPr>
                <w:rFonts w:ascii="Times New Roman" w:hAnsi="Times New Roman" w:cs="Times New Roman"/>
                <w:sz w:val="24"/>
                <w:szCs w:val="24"/>
              </w:rPr>
            </w:pPr>
            <w:r>
              <w:rPr>
                <w:rFonts w:ascii="Times New Roman" w:hAnsi="Times New Roman" w:cs="Times New Roman"/>
                <w:sz w:val="24"/>
                <w:szCs w:val="24"/>
              </w:rPr>
              <w:t>Blockchain, RFID, NFC, Smart Contracts</w:t>
            </w:r>
          </w:p>
        </w:tc>
        <w:tc>
          <w:tcPr>
            <w:tcW w:w="3088" w:type="dxa"/>
          </w:tcPr>
          <w:p w14:paraId="1661DE8F">
            <w:pPr>
              <w:spacing w:line="240" w:lineRule="auto"/>
              <w:rPr>
                <w:rFonts w:ascii="Times New Roman" w:hAnsi="Times New Roman" w:cs="Times New Roman"/>
                <w:sz w:val="24"/>
                <w:szCs w:val="24"/>
              </w:rPr>
            </w:pPr>
            <w:r>
              <w:rPr>
                <w:rFonts w:ascii="Times New Roman" w:hAnsi="Times New Roman" w:cs="Times New Roman"/>
                <w:sz w:val="24"/>
                <w:szCs w:val="24"/>
              </w:rPr>
              <w:t>End-to-end material accountability across all lifecycle stages</w:t>
            </w:r>
          </w:p>
        </w:tc>
        <w:tc>
          <w:tcPr>
            <w:tcW w:w="1878" w:type="dxa"/>
          </w:tcPr>
          <w:p w14:paraId="43A3DE47">
            <w:pPr>
              <w:spacing w:line="240" w:lineRule="auto"/>
              <w:rPr>
                <w:rFonts w:ascii="Times New Roman" w:hAnsi="Times New Roman" w:cs="Times New Roman"/>
                <w:sz w:val="24"/>
                <w:szCs w:val="24"/>
              </w:rPr>
            </w:pPr>
            <w:r>
              <w:rPr>
                <w:rFonts w:ascii="Times New Roman" w:hAnsi="Times New Roman" w:cs="Times New Roman"/>
                <w:sz w:val="24"/>
                <w:szCs w:val="24"/>
              </w:rPr>
              <w:t>Activity / BDD</w:t>
            </w:r>
          </w:p>
        </w:tc>
      </w:tr>
      <w:tr w14:paraId="136C7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2959" w:type="dxa"/>
          </w:tcPr>
          <w:p w14:paraId="28DEC31C">
            <w:pPr>
              <w:pStyle w:val="21"/>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 xml:space="preserve"> Lifecycle Visibility &amp; Resource Reuse</w:t>
            </w:r>
          </w:p>
        </w:tc>
        <w:tc>
          <w:tcPr>
            <w:tcW w:w="2830" w:type="dxa"/>
          </w:tcPr>
          <w:p w14:paraId="04EFD694">
            <w:pPr>
              <w:spacing w:line="240" w:lineRule="auto"/>
              <w:rPr>
                <w:rFonts w:ascii="Times New Roman" w:hAnsi="Times New Roman" w:cs="Times New Roman"/>
                <w:sz w:val="24"/>
                <w:szCs w:val="24"/>
              </w:rPr>
            </w:pPr>
            <w:r>
              <w:rPr>
                <w:rFonts w:ascii="Times New Roman" w:hAnsi="Times New Roman" w:cs="Times New Roman"/>
                <w:sz w:val="24"/>
                <w:szCs w:val="24"/>
              </w:rPr>
              <w:t>BIM, Digital Twins, IoT, AI/ML</w:t>
            </w:r>
          </w:p>
        </w:tc>
        <w:tc>
          <w:tcPr>
            <w:tcW w:w="3088" w:type="dxa"/>
          </w:tcPr>
          <w:p w14:paraId="00079CBC">
            <w:pPr>
              <w:spacing w:line="240" w:lineRule="auto"/>
              <w:rPr>
                <w:rFonts w:ascii="Times New Roman" w:hAnsi="Times New Roman" w:cs="Times New Roman"/>
                <w:sz w:val="24"/>
                <w:szCs w:val="24"/>
              </w:rPr>
            </w:pPr>
            <w:r>
              <w:rPr>
                <w:rFonts w:ascii="Times New Roman" w:hAnsi="Times New Roman" w:cs="Times New Roman"/>
                <w:sz w:val="24"/>
                <w:szCs w:val="24"/>
              </w:rPr>
              <w:t>Intelligent resource management and predictive recirculation</w:t>
            </w:r>
          </w:p>
        </w:tc>
        <w:tc>
          <w:tcPr>
            <w:tcW w:w="1878" w:type="dxa"/>
          </w:tcPr>
          <w:p w14:paraId="3F149387">
            <w:pPr>
              <w:spacing w:line="240" w:lineRule="auto"/>
              <w:rPr>
                <w:rFonts w:ascii="Times New Roman" w:hAnsi="Times New Roman" w:cs="Times New Roman"/>
                <w:sz w:val="24"/>
                <w:szCs w:val="24"/>
              </w:rPr>
            </w:pPr>
            <w:r>
              <w:rPr>
                <w:rFonts w:ascii="Times New Roman" w:hAnsi="Times New Roman" w:cs="Times New Roman"/>
                <w:sz w:val="24"/>
                <w:szCs w:val="24"/>
              </w:rPr>
              <w:t>Activity / Parametric</w:t>
            </w:r>
          </w:p>
        </w:tc>
      </w:tr>
      <w:tr w14:paraId="68D0C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2959" w:type="dxa"/>
          </w:tcPr>
          <w:p w14:paraId="445956B1">
            <w:pPr>
              <w:pStyle w:val="21"/>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 xml:space="preserve"> Interoperability &amp; Standards</w:t>
            </w:r>
          </w:p>
        </w:tc>
        <w:tc>
          <w:tcPr>
            <w:tcW w:w="2830" w:type="dxa"/>
          </w:tcPr>
          <w:p w14:paraId="325FABDA">
            <w:pPr>
              <w:spacing w:line="240" w:lineRule="auto"/>
              <w:rPr>
                <w:rFonts w:ascii="Times New Roman" w:hAnsi="Times New Roman" w:cs="Times New Roman"/>
                <w:sz w:val="24"/>
                <w:szCs w:val="24"/>
              </w:rPr>
            </w:pPr>
            <w:r>
              <w:rPr>
                <w:rFonts w:ascii="Times New Roman" w:hAnsi="Times New Roman" w:cs="Times New Roman"/>
                <w:sz w:val="24"/>
                <w:szCs w:val="24"/>
              </w:rPr>
              <w:t>IFC, mvdXML, API gateways, Decentralised networks</w:t>
            </w:r>
          </w:p>
        </w:tc>
        <w:tc>
          <w:tcPr>
            <w:tcW w:w="3088" w:type="dxa"/>
          </w:tcPr>
          <w:p w14:paraId="1B50A516">
            <w:pPr>
              <w:spacing w:line="240" w:lineRule="auto"/>
              <w:rPr>
                <w:rFonts w:ascii="Times New Roman" w:hAnsi="Times New Roman" w:cs="Times New Roman"/>
                <w:sz w:val="24"/>
                <w:szCs w:val="24"/>
              </w:rPr>
            </w:pPr>
            <w:r>
              <w:rPr>
                <w:rFonts w:ascii="Times New Roman" w:hAnsi="Times New Roman" w:cs="Times New Roman"/>
                <w:sz w:val="24"/>
                <w:szCs w:val="24"/>
              </w:rPr>
              <w:t>Seamless cross-platform and cross-stakeholder data exchange</w:t>
            </w:r>
          </w:p>
        </w:tc>
        <w:tc>
          <w:tcPr>
            <w:tcW w:w="1878" w:type="dxa"/>
          </w:tcPr>
          <w:p w14:paraId="7FD9FD21">
            <w:pPr>
              <w:spacing w:line="240" w:lineRule="auto"/>
              <w:rPr>
                <w:rFonts w:ascii="Times New Roman" w:hAnsi="Times New Roman" w:cs="Times New Roman"/>
                <w:sz w:val="24"/>
                <w:szCs w:val="24"/>
              </w:rPr>
            </w:pPr>
            <w:r>
              <w:rPr>
                <w:rFonts w:ascii="Times New Roman" w:hAnsi="Times New Roman" w:cs="Times New Roman"/>
                <w:sz w:val="24"/>
                <w:szCs w:val="24"/>
              </w:rPr>
              <w:t>Interface / Sequence</w:t>
            </w:r>
          </w:p>
        </w:tc>
      </w:tr>
      <w:tr w14:paraId="1128B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2959" w:type="dxa"/>
          </w:tcPr>
          <w:p w14:paraId="2C7EDAB1">
            <w:pPr>
              <w:spacing w:line="240" w:lineRule="auto"/>
              <w:rPr>
                <w:rFonts w:ascii="Times New Roman" w:hAnsi="Times New Roman" w:cs="Times New Roman"/>
                <w:sz w:val="24"/>
                <w:szCs w:val="24"/>
              </w:rPr>
            </w:pPr>
            <w:r>
              <w:rPr>
                <w:rFonts w:ascii="Times New Roman" w:hAnsi="Times New Roman" w:cs="Times New Roman"/>
                <w:sz w:val="24"/>
                <w:szCs w:val="24"/>
              </w:rPr>
              <w:t>4.4 Security &amp; Trust</w:t>
            </w:r>
          </w:p>
        </w:tc>
        <w:tc>
          <w:tcPr>
            <w:tcW w:w="2830" w:type="dxa"/>
          </w:tcPr>
          <w:p w14:paraId="19988016">
            <w:pPr>
              <w:spacing w:line="240" w:lineRule="auto"/>
              <w:rPr>
                <w:rFonts w:ascii="Times New Roman" w:hAnsi="Times New Roman" w:cs="Times New Roman"/>
                <w:sz w:val="24"/>
                <w:szCs w:val="24"/>
              </w:rPr>
            </w:pPr>
            <w:r>
              <w:rPr>
                <w:rFonts w:ascii="Times New Roman" w:hAnsi="Times New Roman" w:cs="Times New Roman"/>
                <w:sz w:val="24"/>
                <w:szCs w:val="24"/>
              </w:rPr>
              <w:t>TLS, AES, Blockchain, AI-driven IBN, RBAC</w:t>
            </w:r>
          </w:p>
        </w:tc>
        <w:tc>
          <w:tcPr>
            <w:tcW w:w="3088" w:type="dxa"/>
          </w:tcPr>
          <w:p w14:paraId="0A767FEC">
            <w:pPr>
              <w:spacing w:line="240" w:lineRule="auto"/>
              <w:rPr>
                <w:rFonts w:ascii="Times New Roman" w:hAnsi="Times New Roman" w:cs="Times New Roman"/>
                <w:sz w:val="24"/>
                <w:szCs w:val="24"/>
              </w:rPr>
            </w:pPr>
            <w:r>
              <w:rPr>
                <w:rFonts w:ascii="Times New Roman" w:hAnsi="Times New Roman" w:cs="Times New Roman"/>
                <w:sz w:val="24"/>
                <w:szCs w:val="24"/>
              </w:rPr>
              <w:t>Operational continuity, data integrity, and stakeholder trust</w:t>
            </w:r>
          </w:p>
        </w:tc>
        <w:tc>
          <w:tcPr>
            <w:tcW w:w="1878" w:type="dxa"/>
          </w:tcPr>
          <w:p w14:paraId="7F162F7C">
            <w:pPr>
              <w:spacing w:line="240" w:lineRule="auto"/>
              <w:rPr>
                <w:rFonts w:ascii="Times New Roman" w:hAnsi="Times New Roman" w:cs="Times New Roman"/>
                <w:sz w:val="24"/>
                <w:szCs w:val="24"/>
              </w:rPr>
            </w:pPr>
            <w:r>
              <w:rPr>
                <w:rFonts w:ascii="Times New Roman" w:hAnsi="Times New Roman" w:cs="Times New Roman"/>
                <w:sz w:val="24"/>
                <w:szCs w:val="24"/>
              </w:rPr>
              <w:t>Requirement / Activity</w:t>
            </w:r>
          </w:p>
        </w:tc>
      </w:tr>
    </w:tbl>
    <w:p w14:paraId="61C55A3C">
      <w:pPr>
        <w:spacing w:before="60" w:after="180" w:line="240" w:lineRule="auto"/>
        <w:jc w:val="center"/>
        <w:rPr>
          <w:rFonts w:ascii="Times New Roman" w:hAnsi="Times New Roman" w:cs="Times New Roman"/>
          <w:sz w:val="24"/>
          <w:szCs w:val="24"/>
        </w:rPr>
      </w:pPr>
      <w:r>
        <w:rPr>
          <w:rFonts w:ascii="Times New Roman" w:hAnsi="Times New Roman" w:cs="Times New Roman"/>
          <w:sz w:val="24"/>
          <w:szCs w:val="24"/>
        </w:rPr>
        <w:t>BDD = Block Definition Diagram; IBN = Intent-Based Networking; RBAC = Role-Based Access Control.</w:t>
      </w:r>
    </w:p>
    <w:p w14:paraId="6B2393C0">
      <w:pPr>
        <w:spacing w:before="240" w:after="240" w:line="240" w:lineRule="auto"/>
        <w:jc w:val="both"/>
        <w:rPr>
          <w:rFonts w:ascii="Times New Roman" w:hAnsi="Times New Roman" w:cs="Times New Roman"/>
          <w:b/>
          <w:bCs/>
          <w:sz w:val="24"/>
          <w:szCs w:val="24"/>
        </w:rPr>
      </w:pPr>
      <w:r>
        <w:rPr>
          <w:rFonts w:ascii="Times New Roman" w:hAnsi="Times New Roman" w:cs="Times New Roman"/>
          <w:b/>
          <w:bCs/>
          <w:sz w:val="24"/>
          <w:szCs w:val="24"/>
        </w:rPr>
        <w:t>Traceability and Provenance</w:t>
      </w:r>
    </w:p>
    <w:p w14:paraId="4EE8126D">
      <w:pPr>
        <w:spacing w:before="240" w:after="240" w:line="240" w:lineRule="auto"/>
        <w:jc w:val="both"/>
        <w:rPr>
          <w:rFonts w:ascii="Times New Roman" w:hAnsi="Times New Roman" w:cs="Times New Roman"/>
          <w:sz w:val="24"/>
          <w:szCs w:val="24"/>
          <w:lang w:val="en-MY"/>
        </w:rPr>
      </w:pPr>
      <w:r>
        <w:rPr>
          <w:rFonts w:ascii="Times New Roman" w:hAnsi="Times New Roman" w:cs="Times New Roman"/>
          <w:sz w:val="24"/>
          <w:szCs w:val="24"/>
          <w:lang w:val="en-MY"/>
        </w:rPr>
        <w:t>Traceability and provenance constitute the foundational architectural requirements within circular SCM because circular operations depend heavily on the ability to monitor materials throughout both forward and reverse logistics flows. Unlike traditional linear supply chains, where tracking typically ends at the point of sale, circular systems require continuous tracking of reused, refurbished, and recycled materials to ensure sustainability compliance and operational accountability (Azevedo et al., 2023). Without robust traceability, claims of circularity become unverifiable, and risks of fraud, greenwashing, and material leakage escalate significantly.</w:t>
      </w:r>
    </w:p>
    <w:p w14:paraId="3817CC2B">
      <w:pPr>
        <w:spacing w:before="240" w:after="240" w:line="240" w:lineRule="auto"/>
        <w:jc w:val="both"/>
        <w:rPr>
          <w:rFonts w:ascii="Times New Roman" w:hAnsi="Times New Roman" w:cs="Times New Roman"/>
          <w:sz w:val="24"/>
          <w:szCs w:val="24"/>
          <w:lang w:val="en-MY"/>
        </w:rPr>
      </w:pPr>
      <w:r>
        <w:rPr>
          <w:rFonts w:ascii="Times New Roman" w:hAnsi="Times New Roman" w:cs="Times New Roman"/>
          <w:sz w:val="24"/>
          <w:szCs w:val="24"/>
          <w:lang w:val="en-MY"/>
        </w:rPr>
        <w:t>Azevedo et al. (2023) demonstrated that blockchain architectures reduce information asymmetry among stakeholders, manufacturers, logistics providers, recyclers, and auditors while strengthening product authenticity verification. By distributing ledger copies across multiple nodes, blockchain eliminates single points of failure and prevents retroactive alteration of transaction histories. Salzano et al. (2024) further showed that when each material transfer is cryptographically signed and time-stamped, audit trails become computationally impractical to falsify. Solanki et al. (2025) added that decentralised verification mechanisms such as Hyperledger Fabric and R3 Corda strengthen trust relationships among competitors and complementors within circular value webs without requiring centralised governance structures.</w:t>
      </w:r>
    </w:p>
    <w:p w14:paraId="04006F08">
      <w:pPr>
        <w:spacing w:before="240" w:after="240" w:line="240" w:lineRule="auto"/>
        <w:jc w:val="both"/>
        <w:rPr>
          <w:rFonts w:ascii="Times New Roman" w:hAnsi="Times New Roman" w:cs="Times New Roman"/>
          <w:sz w:val="24"/>
          <w:szCs w:val="24"/>
        </w:rPr>
      </w:pPr>
      <w:r>
        <w:rPr>
          <w:rFonts w:ascii="Times New Roman" w:hAnsi="Times New Roman" w:cs="Times New Roman"/>
          <w:sz w:val="24"/>
          <w:szCs w:val="24"/>
        </w:rPr>
        <w:t>IoT-enabled sensing technologies also play a critical role in supporting lifecycle operations. Sundmaeker et al. (2016) demonstrate that IoT infrastructures enable continuous communication between physical assets and digital platforms, thereby enhancing operational visibility across supply chains. In addition, Baskaran and Nguyen (2025) provide empirical evidence that integrating RFID-tagged components with blockchain-based provenance systems significantly improves reverse logistics efficiency, reporting a 75% reduction in processing time and an 87.5% reduction in audit completion time compared to conventional barcode-based approaches. These findings directly reinforce the efficiency improvements discussed in the subsequent analysis of operational outcomes.</w:t>
      </w:r>
    </w:p>
    <w:p w14:paraId="1FB03E7B">
      <w:pPr>
        <w:spacing w:before="240" w:after="240" w:line="240" w:lineRule="auto"/>
        <w:jc w:val="both"/>
      </w:pPr>
      <w:r>
        <w:rPr>
          <w:rFonts w:ascii="Times New Roman" w:hAnsi="Times New Roman" w:cs="Times New Roman"/>
          <w:sz w:val="24"/>
          <w:szCs w:val="24"/>
          <w:lang w:val="en-MY"/>
        </w:rPr>
        <w:t>The integration of these technologies can be conceptualised as a dual-layer traceability architecture consisting of both physical sensing and digital verification mechanisms. As illustrated in Table 4.2, the proposed architecture combines real-time sensing technologies with distributed verification infrastructures to ensure continuous lifecycle visibility and immutable provenance recording throughout circular supply chain operations.</w:t>
      </w:r>
      <w:r>
        <w:t xml:space="preserve"> </w:t>
      </w:r>
    </w:p>
    <w:p w14:paraId="4759AD7B">
      <w:pPr>
        <w:spacing w:before="180" w:after="240" w:line="240" w:lineRule="auto"/>
        <w:rPr>
          <w:rFonts w:ascii="Times New Roman" w:hAnsi="Times New Roman" w:cs="Times New Roman"/>
          <w:sz w:val="24"/>
          <w:szCs w:val="24"/>
        </w:rPr>
      </w:pPr>
      <w:r>
        <w:rPr>
          <w:rFonts w:hint="eastAsia" w:ascii="Times New Roman" w:hAnsi="Times New Roman" w:cs="Times New Roman"/>
          <w:b/>
          <w:bCs/>
          <w:sz w:val="24"/>
          <w:szCs w:val="24"/>
        </w:rPr>
        <w:t>T</w:t>
      </w:r>
      <w:r>
        <w:rPr>
          <w:rFonts w:ascii="Times New Roman" w:hAnsi="Times New Roman" w:cs="Times New Roman"/>
          <w:b/>
          <w:bCs/>
          <w:sz w:val="24"/>
          <w:szCs w:val="24"/>
        </w:rPr>
        <w:t>able 4.2: Dual-Layer Traceability Architecture — Physical Sensing and Digital Verification</w:t>
      </w:r>
    </w:p>
    <w:tbl>
      <w:tblPr>
        <w:tblStyle w:val="14"/>
        <w:tblW w:w="107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3"/>
        <w:gridCol w:w="3225"/>
        <w:gridCol w:w="2649"/>
        <w:gridCol w:w="2833"/>
      </w:tblGrid>
      <w:tr w14:paraId="0C154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2073" w:type="dxa"/>
          </w:tcPr>
          <w:p w14:paraId="56611562">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Layer</w:t>
            </w:r>
          </w:p>
        </w:tc>
        <w:tc>
          <w:tcPr>
            <w:tcW w:w="3225" w:type="dxa"/>
          </w:tcPr>
          <w:p w14:paraId="657E384D">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Components</w:t>
            </w:r>
          </w:p>
        </w:tc>
        <w:tc>
          <w:tcPr>
            <w:tcW w:w="2649" w:type="dxa"/>
          </w:tcPr>
          <w:p w14:paraId="3642CACC">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Function</w:t>
            </w:r>
          </w:p>
        </w:tc>
        <w:tc>
          <w:tcPr>
            <w:tcW w:w="2833" w:type="dxa"/>
          </w:tcPr>
          <w:p w14:paraId="3B6AD25F">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Technology Standards</w:t>
            </w:r>
          </w:p>
        </w:tc>
      </w:tr>
      <w:tr w14:paraId="419DD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trPr>
        <w:tc>
          <w:tcPr>
            <w:tcW w:w="2073" w:type="dxa"/>
          </w:tcPr>
          <w:p w14:paraId="28440F38">
            <w:pPr>
              <w:spacing w:line="240" w:lineRule="auto"/>
              <w:rPr>
                <w:rFonts w:ascii="Times New Roman" w:hAnsi="Times New Roman" w:cs="Times New Roman"/>
                <w:sz w:val="24"/>
                <w:szCs w:val="24"/>
              </w:rPr>
            </w:pPr>
            <w:r>
              <w:rPr>
                <w:rFonts w:ascii="Times New Roman" w:hAnsi="Times New Roman" w:cs="Times New Roman"/>
                <w:sz w:val="24"/>
                <w:szCs w:val="24"/>
              </w:rPr>
              <w:t>Layer 1: Physical Sensing</w:t>
            </w:r>
          </w:p>
        </w:tc>
        <w:tc>
          <w:tcPr>
            <w:tcW w:w="3225" w:type="dxa"/>
          </w:tcPr>
          <w:p w14:paraId="5608954F">
            <w:pPr>
              <w:spacing w:line="240" w:lineRule="auto"/>
              <w:rPr>
                <w:rFonts w:ascii="Times New Roman" w:hAnsi="Times New Roman" w:cs="Times New Roman"/>
                <w:sz w:val="24"/>
                <w:szCs w:val="24"/>
              </w:rPr>
            </w:pPr>
            <w:r>
              <w:rPr>
                <w:rFonts w:ascii="Times New Roman" w:hAnsi="Times New Roman" w:cs="Times New Roman"/>
                <w:sz w:val="24"/>
                <w:szCs w:val="24"/>
              </w:rPr>
              <w:t>RFID tags, NFC chips, Environmental sensors (temperature, humidity, shock, GPS)</w:t>
            </w:r>
          </w:p>
        </w:tc>
        <w:tc>
          <w:tcPr>
            <w:tcW w:w="2649" w:type="dxa"/>
          </w:tcPr>
          <w:p w14:paraId="2254D9DB">
            <w:pPr>
              <w:spacing w:line="240" w:lineRule="auto"/>
              <w:rPr>
                <w:rFonts w:ascii="Times New Roman" w:hAnsi="Times New Roman" w:cs="Times New Roman"/>
                <w:sz w:val="24"/>
                <w:szCs w:val="24"/>
              </w:rPr>
            </w:pPr>
            <w:r>
              <w:rPr>
                <w:rFonts w:ascii="Times New Roman" w:hAnsi="Times New Roman" w:cs="Times New Roman"/>
                <w:sz w:val="24"/>
                <w:szCs w:val="24"/>
              </w:rPr>
              <w:t>Real-time capture of asset location, condition, and movement data</w:t>
            </w:r>
          </w:p>
        </w:tc>
        <w:tc>
          <w:tcPr>
            <w:tcW w:w="2833" w:type="dxa"/>
          </w:tcPr>
          <w:p w14:paraId="2C367E73">
            <w:pPr>
              <w:spacing w:line="240" w:lineRule="auto"/>
              <w:rPr>
                <w:rFonts w:ascii="Times New Roman" w:hAnsi="Times New Roman" w:cs="Times New Roman"/>
                <w:sz w:val="24"/>
                <w:szCs w:val="24"/>
              </w:rPr>
            </w:pPr>
            <w:r>
              <w:rPr>
                <w:rFonts w:ascii="Times New Roman" w:hAnsi="Times New Roman" w:cs="Times New Roman"/>
                <w:sz w:val="24"/>
                <w:szCs w:val="24"/>
              </w:rPr>
              <w:t>EPC Gen2 RFID; ISO 15693 NFC; MQTT / CoAP protocols</w:t>
            </w:r>
          </w:p>
        </w:tc>
      </w:tr>
      <w:tr w14:paraId="425AE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4" w:hRule="atLeast"/>
        </w:trPr>
        <w:tc>
          <w:tcPr>
            <w:tcW w:w="2073" w:type="dxa"/>
          </w:tcPr>
          <w:p w14:paraId="605DE9CD">
            <w:pPr>
              <w:spacing w:line="240" w:lineRule="auto"/>
              <w:rPr>
                <w:rFonts w:ascii="Times New Roman" w:hAnsi="Times New Roman" w:cs="Times New Roman"/>
                <w:sz w:val="24"/>
                <w:szCs w:val="24"/>
              </w:rPr>
            </w:pPr>
            <w:r>
              <w:rPr>
                <w:rFonts w:ascii="Times New Roman" w:hAnsi="Times New Roman" w:cs="Times New Roman"/>
                <w:sz w:val="24"/>
                <w:szCs w:val="24"/>
              </w:rPr>
              <w:t>Layer 2: Digital Verification</w:t>
            </w:r>
          </w:p>
        </w:tc>
        <w:tc>
          <w:tcPr>
            <w:tcW w:w="3225" w:type="dxa"/>
          </w:tcPr>
          <w:p w14:paraId="0DDF4853">
            <w:pPr>
              <w:spacing w:line="240" w:lineRule="auto"/>
              <w:rPr>
                <w:rFonts w:ascii="Times New Roman" w:hAnsi="Times New Roman" w:cs="Times New Roman"/>
                <w:sz w:val="24"/>
                <w:szCs w:val="24"/>
              </w:rPr>
            </w:pPr>
            <w:r>
              <w:rPr>
                <w:rFonts w:ascii="Times New Roman" w:hAnsi="Times New Roman" w:cs="Times New Roman"/>
                <w:sz w:val="24"/>
                <w:szCs w:val="24"/>
              </w:rPr>
              <w:t>Distributed ledger nodes, Smart contracts, Cryptographic hashing, Off-chain storage (e.g., IPFS)</w:t>
            </w:r>
          </w:p>
        </w:tc>
        <w:tc>
          <w:tcPr>
            <w:tcW w:w="2649" w:type="dxa"/>
          </w:tcPr>
          <w:p w14:paraId="49E64C61">
            <w:pPr>
              <w:spacing w:line="240" w:lineRule="auto"/>
              <w:rPr>
                <w:rFonts w:ascii="Times New Roman" w:hAnsi="Times New Roman" w:cs="Times New Roman"/>
                <w:sz w:val="24"/>
                <w:szCs w:val="24"/>
              </w:rPr>
            </w:pPr>
            <w:r>
              <w:rPr>
                <w:rFonts w:ascii="Times New Roman" w:hAnsi="Times New Roman" w:cs="Times New Roman"/>
                <w:sz w:val="24"/>
                <w:szCs w:val="24"/>
              </w:rPr>
              <w:t>Immutable recording, time-stamping, and multi-party verification of all custody transfers</w:t>
            </w:r>
          </w:p>
        </w:tc>
        <w:tc>
          <w:tcPr>
            <w:tcW w:w="2833" w:type="dxa"/>
          </w:tcPr>
          <w:p w14:paraId="230CEFDE">
            <w:pPr>
              <w:spacing w:line="240" w:lineRule="auto"/>
              <w:rPr>
                <w:rFonts w:ascii="Times New Roman" w:hAnsi="Times New Roman" w:cs="Times New Roman"/>
                <w:sz w:val="24"/>
                <w:szCs w:val="24"/>
              </w:rPr>
            </w:pPr>
            <w:r>
              <w:rPr>
                <w:rFonts w:ascii="Times New Roman" w:hAnsi="Times New Roman" w:cs="Times New Roman"/>
                <w:sz w:val="24"/>
                <w:szCs w:val="24"/>
              </w:rPr>
              <w:t>Hyperledger Fabric v2.x; Ethereum ERC-721 (DPP tokens); SHA-256 hashing</w:t>
            </w:r>
          </w:p>
        </w:tc>
      </w:tr>
    </w:tbl>
    <w:p w14:paraId="35709FC6">
      <w:pPr>
        <w:spacing w:before="60" w:after="180" w:line="240" w:lineRule="auto"/>
        <w:jc w:val="center"/>
        <w:rPr>
          <w:rFonts w:ascii="Times New Roman" w:hAnsi="Times New Roman" w:cs="Times New Roman"/>
          <w:sz w:val="24"/>
          <w:szCs w:val="24"/>
        </w:rPr>
      </w:pPr>
      <w:r>
        <w:rPr>
          <w:rFonts w:ascii="Times New Roman" w:hAnsi="Times New Roman" w:cs="Times New Roman"/>
          <w:sz w:val="24"/>
          <w:szCs w:val="24"/>
        </w:rPr>
        <w:t>Source: Authors’ synthesis from Azevedo et al. (2023), Salzano et al. (2024), and Sundmaeker et al. (2016).</w:t>
      </w:r>
    </w:p>
    <w:p w14:paraId="3CAE3DD4">
      <w:pPr>
        <w:spacing w:before="240" w:after="240" w:line="240" w:lineRule="auto"/>
        <w:jc w:val="both"/>
        <w:rPr>
          <w:rFonts w:ascii="Times New Roman" w:hAnsi="Times New Roman" w:cs="Times New Roman"/>
          <w:sz w:val="24"/>
          <w:szCs w:val="24"/>
          <w:lang w:val="en-MY"/>
        </w:rPr>
      </w:pPr>
      <w:r>
        <w:rPr>
          <w:rFonts w:ascii="Times New Roman" w:hAnsi="Times New Roman" w:cs="Times New Roman"/>
          <w:sz w:val="24"/>
          <w:szCs w:val="24"/>
        </w:rPr>
        <w:t>To further substantiate the traceability and provenance requirement, Table 4.3 summarises the major empirical findings from the reviewed literature and links them directly to the proposed architectural requirements (REQ-TR). The table demonstrates the complementary roles played by blockchain, IoT, RFID, and decentralised ledger technologies in enabling reliable circular SCM operations.</w:t>
      </w:r>
    </w:p>
    <w:p w14:paraId="0386D220">
      <w:pPr>
        <w:spacing w:before="180" w:after="240" w:line="240" w:lineRule="auto"/>
        <w:rPr>
          <w:rFonts w:ascii="Times New Roman" w:hAnsi="Times New Roman" w:cs="Times New Roman"/>
          <w:sz w:val="24"/>
          <w:szCs w:val="24"/>
        </w:rPr>
      </w:pPr>
      <w:r>
        <w:rPr>
          <w:rFonts w:ascii="Times New Roman" w:hAnsi="Times New Roman" w:cs="Times New Roman"/>
          <w:b/>
          <w:bCs/>
          <w:sz w:val="24"/>
          <w:szCs w:val="24"/>
        </w:rPr>
        <w:t>Table 4.</w:t>
      </w:r>
      <w:r>
        <w:rPr>
          <w:rFonts w:hint="eastAsia" w:ascii="Times New Roman" w:hAnsi="Times New Roman" w:cs="Times New Roman"/>
          <w:b/>
          <w:bCs/>
          <w:sz w:val="24"/>
          <w:szCs w:val="24"/>
        </w:rPr>
        <w:t>3</w:t>
      </w:r>
      <w:r>
        <w:rPr>
          <w:rFonts w:ascii="Times New Roman" w:hAnsi="Times New Roman" w:cs="Times New Roman"/>
          <w:b/>
          <w:bCs/>
          <w:sz w:val="24"/>
          <w:szCs w:val="24"/>
        </w:rPr>
        <w:t>: Evidence Summary — Traceability and Provenance Requirement</w:t>
      </w:r>
    </w:p>
    <w:tbl>
      <w:tblPr>
        <w:tblStyle w:val="14"/>
        <w:tblW w:w="107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74"/>
        <w:gridCol w:w="2316"/>
        <w:gridCol w:w="3604"/>
        <w:gridCol w:w="2266"/>
      </w:tblGrid>
      <w:tr w14:paraId="4C7BB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8" w:hRule="atLeast"/>
        </w:trPr>
        <w:tc>
          <w:tcPr>
            <w:tcW w:w="2574" w:type="dxa"/>
          </w:tcPr>
          <w:p w14:paraId="6637BC83">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Source</w:t>
            </w:r>
          </w:p>
        </w:tc>
        <w:tc>
          <w:tcPr>
            <w:tcW w:w="2316" w:type="dxa"/>
          </w:tcPr>
          <w:p w14:paraId="0347D1D9">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Technology Focus</w:t>
            </w:r>
          </w:p>
        </w:tc>
        <w:tc>
          <w:tcPr>
            <w:tcW w:w="3604" w:type="dxa"/>
          </w:tcPr>
          <w:p w14:paraId="754A26A7">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Key Finding</w:t>
            </w:r>
          </w:p>
        </w:tc>
        <w:tc>
          <w:tcPr>
            <w:tcW w:w="2266" w:type="dxa"/>
          </w:tcPr>
          <w:p w14:paraId="38B9D70C">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Relevance to REQ-TR</w:t>
            </w:r>
          </w:p>
        </w:tc>
      </w:tr>
      <w:tr w14:paraId="0B2B4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rPr>
        <w:tc>
          <w:tcPr>
            <w:tcW w:w="2574" w:type="dxa"/>
          </w:tcPr>
          <w:p w14:paraId="40B5A9F6">
            <w:pPr>
              <w:spacing w:line="240" w:lineRule="auto"/>
              <w:rPr>
                <w:rFonts w:ascii="Times New Roman" w:hAnsi="Times New Roman" w:cs="Times New Roman"/>
                <w:sz w:val="24"/>
                <w:szCs w:val="24"/>
              </w:rPr>
            </w:pPr>
            <w:r>
              <w:rPr>
                <w:rFonts w:ascii="Times New Roman" w:hAnsi="Times New Roman" w:cs="Times New Roman"/>
                <w:sz w:val="24"/>
                <w:szCs w:val="24"/>
              </w:rPr>
              <w:t>Azevedo et al. (2023)</w:t>
            </w:r>
          </w:p>
        </w:tc>
        <w:tc>
          <w:tcPr>
            <w:tcW w:w="2316" w:type="dxa"/>
          </w:tcPr>
          <w:p w14:paraId="1446182A">
            <w:pPr>
              <w:spacing w:line="240" w:lineRule="auto"/>
              <w:rPr>
                <w:rFonts w:ascii="Times New Roman" w:hAnsi="Times New Roman" w:cs="Times New Roman"/>
                <w:sz w:val="24"/>
                <w:szCs w:val="24"/>
              </w:rPr>
            </w:pPr>
            <w:r>
              <w:rPr>
                <w:rFonts w:ascii="Times New Roman" w:hAnsi="Times New Roman" w:cs="Times New Roman"/>
                <w:sz w:val="24"/>
                <w:szCs w:val="24"/>
              </w:rPr>
              <w:t>Blockchain / SLR</w:t>
            </w:r>
          </w:p>
        </w:tc>
        <w:tc>
          <w:tcPr>
            <w:tcW w:w="3604" w:type="dxa"/>
          </w:tcPr>
          <w:p w14:paraId="6019B5E8">
            <w:pPr>
              <w:spacing w:line="240" w:lineRule="auto"/>
              <w:rPr>
                <w:rFonts w:ascii="Times New Roman" w:hAnsi="Times New Roman" w:cs="Times New Roman"/>
                <w:sz w:val="24"/>
                <w:szCs w:val="24"/>
              </w:rPr>
            </w:pPr>
            <w:r>
              <w:rPr>
                <w:rFonts w:ascii="Times New Roman" w:hAnsi="Times New Roman" w:cs="Times New Roman"/>
                <w:sz w:val="24"/>
                <w:szCs w:val="24"/>
              </w:rPr>
              <w:t>Blockchain reduces information asymmetry and strengthens product authenticity across 87 cases reviewed</w:t>
            </w:r>
          </w:p>
        </w:tc>
        <w:tc>
          <w:tcPr>
            <w:tcW w:w="2266" w:type="dxa"/>
          </w:tcPr>
          <w:p w14:paraId="55647D64">
            <w:pPr>
              <w:spacing w:line="240" w:lineRule="auto"/>
              <w:rPr>
                <w:rFonts w:ascii="Times New Roman" w:hAnsi="Times New Roman" w:cs="Times New Roman"/>
                <w:sz w:val="24"/>
                <w:szCs w:val="24"/>
              </w:rPr>
            </w:pPr>
            <w:r>
              <w:rPr>
                <w:rFonts w:ascii="Times New Roman" w:hAnsi="Times New Roman" w:cs="Times New Roman"/>
                <w:sz w:val="24"/>
                <w:szCs w:val="24"/>
              </w:rPr>
              <w:t>REQ-TR-01: Immutable ledger mandate</w:t>
            </w:r>
          </w:p>
        </w:tc>
      </w:tr>
      <w:tr w14:paraId="6BC6A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2574" w:type="dxa"/>
          </w:tcPr>
          <w:p w14:paraId="161D3B0B">
            <w:pPr>
              <w:spacing w:line="240" w:lineRule="auto"/>
              <w:rPr>
                <w:rFonts w:ascii="Times New Roman" w:hAnsi="Times New Roman" w:cs="Times New Roman"/>
                <w:sz w:val="24"/>
                <w:szCs w:val="24"/>
              </w:rPr>
            </w:pPr>
            <w:r>
              <w:rPr>
                <w:rFonts w:ascii="Times New Roman" w:hAnsi="Times New Roman" w:cs="Times New Roman"/>
                <w:sz w:val="24"/>
                <w:szCs w:val="24"/>
              </w:rPr>
              <w:t>Salzano et al. (2024)</w:t>
            </w:r>
          </w:p>
        </w:tc>
        <w:tc>
          <w:tcPr>
            <w:tcW w:w="2316" w:type="dxa"/>
          </w:tcPr>
          <w:p w14:paraId="7A6EE11F">
            <w:pPr>
              <w:spacing w:line="240" w:lineRule="auto"/>
              <w:rPr>
                <w:rFonts w:ascii="Times New Roman" w:hAnsi="Times New Roman" w:cs="Times New Roman"/>
                <w:sz w:val="24"/>
                <w:szCs w:val="24"/>
              </w:rPr>
            </w:pPr>
            <w:r>
              <w:rPr>
                <w:rFonts w:ascii="Times New Roman" w:hAnsi="Times New Roman" w:cs="Times New Roman"/>
                <w:sz w:val="24"/>
                <w:szCs w:val="24"/>
              </w:rPr>
              <w:t>Blockchain / Circular Economy</w:t>
            </w:r>
          </w:p>
        </w:tc>
        <w:tc>
          <w:tcPr>
            <w:tcW w:w="3604" w:type="dxa"/>
          </w:tcPr>
          <w:p w14:paraId="0ABF5116">
            <w:pPr>
              <w:spacing w:line="240" w:lineRule="auto"/>
              <w:rPr>
                <w:rFonts w:ascii="Times New Roman" w:hAnsi="Times New Roman" w:cs="Times New Roman"/>
                <w:sz w:val="24"/>
                <w:szCs w:val="24"/>
              </w:rPr>
            </w:pPr>
            <w:r>
              <w:rPr>
                <w:rFonts w:ascii="Times New Roman" w:hAnsi="Times New Roman" w:cs="Times New Roman"/>
                <w:sz w:val="24"/>
                <w:szCs w:val="24"/>
              </w:rPr>
              <w:t>Cryptographic signing improves chain-of-custody validation in distributed industrial ecosystems</w:t>
            </w:r>
          </w:p>
        </w:tc>
        <w:tc>
          <w:tcPr>
            <w:tcW w:w="2266" w:type="dxa"/>
          </w:tcPr>
          <w:p w14:paraId="68965EFB">
            <w:pPr>
              <w:spacing w:line="240" w:lineRule="auto"/>
              <w:rPr>
                <w:rFonts w:ascii="Times New Roman" w:hAnsi="Times New Roman" w:cs="Times New Roman"/>
                <w:sz w:val="24"/>
                <w:szCs w:val="24"/>
              </w:rPr>
            </w:pPr>
            <w:r>
              <w:rPr>
                <w:rFonts w:ascii="Times New Roman" w:hAnsi="Times New Roman" w:cs="Times New Roman"/>
                <w:sz w:val="24"/>
                <w:szCs w:val="24"/>
              </w:rPr>
              <w:t>REQ-TR-01: Cryptographic time-stamping</w:t>
            </w:r>
          </w:p>
        </w:tc>
      </w:tr>
      <w:tr w14:paraId="0DB25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2574" w:type="dxa"/>
          </w:tcPr>
          <w:p w14:paraId="3E09DAC6">
            <w:pPr>
              <w:spacing w:line="240" w:lineRule="auto"/>
              <w:rPr>
                <w:rFonts w:ascii="Times New Roman" w:hAnsi="Times New Roman" w:cs="Times New Roman"/>
                <w:sz w:val="24"/>
                <w:szCs w:val="24"/>
              </w:rPr>
            </w:pPr>
            <w:r>
              <w:rPr>
                <w:rFonts w:ascii="Times New Roman" w:hAnsi="Times New Roman" w:cs="Times New Roman"/>
                <w:sz w:val="24"/>
                <w:szCs w:val="24"/>
              </w:rPr>
              <w:t>Solanki et al. (2025)</w:t>
            </w:r>
          </w:p>
        </w:tc>
        <w:tc>
          <w:tcPr>
            <w:tcW w:w="2316" w:type="dxa"/>
          </w:tcPr>
          <w:p w14:paraId="1B1AB586">
            <w:pPr>
              <w:spacing w:line="240" w:lineRule="auto"/>
              <w:rPr>
                <w:rFonts w:ascii="Times New Roman" w:hAnsi="Times New Roman" w:cs="Times New Roman"/>
                <w:sz w:val="24"/>
                <w:szCs w:val="24"/>
              </w:rPr>
            </w:pPr>
            <w:r>
              <w:rPr>
                <w:rFonts w:ascii="Times New Roman" w:hAnsi="Times New Roman" w:cs="Times New Roman"/>
                <w:sz w:val="24"/>
                <w:szCs w:val="24"/>
              </w:rPr>
              <w:t>Hyperledger Fabric / R3 Corda</w:t>
            </w:r>
          </w:p>
        </w:tc>
        <w:tc>
          <w:tcPr>
            <w:tcW w:w="3604" w:type="dxa"/>
          </w:tcPr>
          <w:p w14:paraId="6AB2961E">
            <w:pPr>
              <w:spacing w:line="240" w:lineRule="auto"/>
              <w:rPr>
                <w:rFonts w:ascii="Times New Roman" w:hAnsi="Times New Roman" w:cs="Times New Roman"/>
                <w:sz w:val="24"/>
                <w:szCs w:val="24"/>
              </w:rPr>
            </w:pPr>
            <w:r>
              <w:rPr>
                <w:rFonts w:ascii="Times New Roman" w:hAnsi="Times New Roman" w:cs="Times New Roman"/>
                <w:sz w:val="24"/>
                <w:szCs w:val="24"/>
              </w:rPr>
              <w:t>Permissioned blockchains enable multi-org collaboration without centralised governance</w:t>
            </w:r>
          </w:p>
        </w:tc>
        <w:tc>
          <w:tcPr>
            <w:tcW w:w="2266" w:type="dxa"/>
          </w:tcPr>
          <w:p w14:paraId="6035DED4">
            <w:pPr>
              <w:spacing w:line="240" w:lineRule="auto"/>
              <w:rPr>
                <w:rFonts w:ascii="Times New Roman" w:hAnsi="Times New Roman" w:cs="Times New Roman"/>
                <w:sz w:val="24"/>
                <w:szCs w:val="24"/>
              </w:rPr>
            </w:pPr>
            <w:r>
              <w:rPr>
                <w:rFonts w:ascii="Times New Roman" w:hAnsi="Times New Roman" w:cs="Times New Roman"/>
                <w:sz w:val="24"/>
                <w:szCs w:val="24"/>
              </w:rPr>
              <w:t>REQ-TR-01: Decentralised trust model</w:t>
            </w:r>
          </w:p>
        </w:tc>
      </w:tr>
      <w:tr w14:paraId="6880A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2574" w:type="dxa"/>
          </w:tcPr>
          <w:p w14:paraId="0D5B5C77">
            <w:pPr>
              <w:spacing w:line="240" w:lineRule="auto"/>
              <w:rPr>
                <w:rFonts w:ascii="Times New Roman" w:hAnsi="Times New Roman" w:cs="Times New Roman"/>
                <w:sz w:val="24"/>
                <w:szCs w:val="24"/>
              </w:rPr>
            </w:pPr>
            <w:r>
              <w:rPr>
                <w:rFonts w:ascii="Times New Roman" w:hAnsi="Times New Roman" w:cs="Times New Roman"/>
                <w:sz w:val="24"/>
                <w:szCs w:val="24"/>
              </w:rPr>
              <w:t>Sundmaeker et al. (2016)</w:t>
            </w:r>
          </w:p>
        </w:tc>
        <w:tc>
          <w:tcPr>
            <w:tcW w:w="2316" w:type="dxa"/>
          </w:tcPr>
          <w:p w14:paraId="04F6EB32">
            <w:pPr>
              <w:spacing w:line="240" w:lineRule="auto"/>
              <w:rPr>
                <w:rFonts w:ascii="Times New Roman" w:hAnsi="Times New Roman" w:cs="Times New Roman"/>
                <w:sz w:val="24"/>
                <w:szCs w:val="24"/>
              </w:rPr>
            </w:pPr>
            <w:r>
              <w:rPr>
                <w:rFonts w:ascii="Times New Roman" w:hAnsi="Times New Roman" w:cs="Times New Roman"/>
                <w:sz w:val="24"/>
                <w:szCs w:val="24"/>
              </w:rPr>
              <w:t>IoT Architecture</w:t>
            </w:r>
          </w:p>
        </w:tc>
        <w:tc>
          <w:tcPr>
            <w:tcW w:w="3604" w:type="dxa"/>
          </w:tcPr>
          <w:p w14:paraId="0FA985DA">
            <w:pPr>
              <w:spacing w:line="240" w:lineRule="auto"/>
              <w:rPr>
                <w:rFonts w:ascii="Times New Roman" w:hAnsi="Times New Roman" w:cs="Times New Roman"/>
                <w:sz w:val="24"/>
                <w:szCs w:val="24"/>
              </w:rPr>
            </w:pPr>
            <w:r>
              <w:rPr>
                <w:rFonts w:ascii="Times New Roman" w:hAnsi="Times New Roman" w:cs="Times New Roman"/>
                <w:sz w:val="24"/>
                <w:szCs w:val="24"/>
              </w:rPr>
              <w:t>IoT bridges physical-digital gap, enabling real-time asset visibility across supply networks</w:t>
            </w:r>
          </w:p>
        </w:tc>
        <w:tc>
          <w:tcPr>
            <w:tcW w:w="2266" w:type="dxa"/>
          </w:tcPr>
          <w:p w14:paraId="7580C7DF">
            <w:pPr>
              <w:spacing w:line="240" w:lineRule="auto"/>
              <w:rPr>
                <w:rFonts w:ascii="Times New Roman" w:hAnsi="Times New Roman" w:cs="Times New Roman"/>
                <w:sz w:val="24"/>
                <w:szCs w:val="24"/>
              </w:rPr>
            </w:pPr>
            <w:r>
              <w:rPr>
                <w:rFonts w:ascii="Times New Roman" w:hAnsi="Times New Roman" w:cs="Times New Roman"/>
                <w:sz w:val="24"/>
                <w:szCs w:val="24"/>
              </w:rPr>
              <w:t>REQ-TR-02: Sensing layer mandate</w:t>
            </w:r>
          </w:p>
        </w:tc>
      </w:tr>
      <w:tr w14:paraId="5A4B3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trPr>
        <w:tc>
          <w:tcPr>
            <w:tcW w:w="2574" w:type="dxa"/>
          </w:tcPr>
          <w:p w14:paraId="29BC11AE">
            <w:pPr>
              <w:spacing w:line="240" w:lineRule="auto"/>
              <w:rPr>
                <w:rFonts w:ascii="Times New Roman" w:hAnsi="Times New Roman" w:cs="Times New Roman"/>
                <w:sz w:val="24"/>
                <w:szCs w:val="24"/>
              </w:rPr>
            </w:pPr>
            <w:r>
              <w:rPr>
                <w:rFonts w:ascii="Times New Roman" w:hAnsi="Times New Roman" w:cs="Times New Roman"/>
                <w:sz w:val="24"/>
                <w:szCs w:val="24"/>
              </w:rPr>
              <w:t>Baskaran &amp; Nguyen (2025)</w:t>
            </w:r>
          </w:p>
        </w:tc>
        <w:tc>
          <w:tcPr>
            <w:tcW w:w="2316" w:type="dxa"/>
          </w:tcPr>
          <w:p w14:paraId="2EFF1B53">
            <w:pPr>
              <w:spacing w:line="240" w:lineRule="auto"/>
              <w:rPr>
                <w:rFonts w:ascii="Times New Roman" w:hAnsi="Times New Roman" w:cs="Times New Roman"/>
                <w:sz w:val="24"/>
                <w:szCs w:val="24"/>
              </w:rPr>
            </w:pPr>
            <w:r>
              <w:rPr>
                <w:rFonts w:ascii="Times New Roman" w:hAnsi="Times New Roman" w:cs="Times New Roman"/>
                <w:sz w:val="24"/>
                <w:szCs w:val="24"/>
              </w:rPr>
              <w:t>RFID / Medical Logistics</w:t>
            </w:r>
          </w:p>
        </w:tc>
        <w:tc>
          <w:tcPr>
            <w:tcW w:w="3604" w:type="dxa"/>
          </w:tcPr>
          <w:p w14:paraId="0BC81433">
            <w:pPr>
              <w:spacing w:line="240" w:lineRule="auto"/>
              <w:rPr>
                <w:rFonts w:ascii="Times New Roman" w:hAnsi="Times New Roman" w:cs="Times New Roman"/>
                <w:sz w:val="24"/>
                <w:szCs w:val="24"/>
              </w:rPr>
            </w:pPr>
            <w:r>
              <w:rPr>
                <w:rFonts w:ascii="Times New Roman" w:hAnsi="Times New Roman" w:cs="Times New Roman"/>
                <w:sz w:val="24"/>
                <w:szCs w:val="24"/>
              </w:rPr>
              <w:t>RFID-blockchain integration cuts processing time 75%, audit time 87.5%</w:t>
            </w:r>
          </w:p>
        </w:tc>
        <w:tc>
          <w:tcPr>
            <w:tcW w:w="2266" w:type="dxa"/>
          </w:tcPr>
          <w:p w14:paraId="15BBA23A">
            <w:pPr>
              <w:spacing w:line="240" w:lineRule="auto"/>
              <w:rPr>
                <w:rFonts w:ascii="Times New Roman" w:hAnsi="Times New Roman" w:cs="Times New Roman"/>
                <w:sz w:val="24"/>
                <w:szCs w:val="24"/>
              </w:rPr>
            </w:pPr>
            <w:r>
              <w:rPr>
                <w:rFonts w:ascii="Times New Roman" w:hAnsi="Times New Roman" w:cs="Times New Roman"/>
                <w:sz w:val="24"/>
                <w:szCs w:val="24"/>
              </w:rPr>
              <w:t>REQ-TR-02: RFID/NFC mandate</w:t>
            </w:r>
          </w:p>
        </w:tc>
      </w:tr>
      <w:tr w14:paraId="7A256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2574" w:type="dxa"/>
          </w:tcPr>
          <w:p w14:paraId="12E21B96">
            <w:pPr>
              <w:spacing w:line="240" w:lineRule="auto"/>
              <w:rPr>
                <w:rFonts w:ascii="Times New Roman" w:hAnsi="Times New Roman" w:cs="Times New Roman"/>
                <w:sz w:val="24"/>
                <w:szCs w:val="24"/>
              </w:rPr>
            </w:pPr>
            <w:r>
              <w:rPr>
                <w:rFonts w:ascii="Times New Roman" w:hAnsi="Times New Roman" w:cs="Times New Roman"/>
                <w:sz w:val="24"/>
                <w:szCs w:val="24"/>
              </w:rPr>
              <w:t>Saberi et al. (2020)</w:t>
            </w:r>
          </w:p>
        </w:tc>
        <w:tc>
          <w:tcPr>
            <w:tcW w:w="2316" w:type="dxa"/>
          </w:tcPr>
          <w:p w14:paraId="07491074">
            <w:pPr>
              <w:spacing w:line="240" w:lineRule="auto"/>
              <w:rPr>
                <w:rFonts w:ascii="Times New Roman" w:hAnsi="Times New Roman" w:cs="Times New Roman"/>
                <w:sz w:val="24"/>
                <w:szCs w:val="24"/>
              </w:rPr>
            </w:pPr>
            <w:r>
              <w:rPr>
                <w:rFonts w:ascii="Times New Roman" w:hAnsi="Times New Roman" w:cs="Times New Roman"/>
                <w:sz w:val="24"/>
                <w:szCs w:val="24"/>
              </w:rPr>
              <w:t>Blockchain / Fashion SCM</w:t>
            </w:r>
          </w:p>
        </w:tc>
        <w:tc>
          <w:tcPr>
            <w:tcW w:w="3604" w:type="dxa"/>
          </w:tcPr>
          <w:p w14:paraId="1908E625">
            <w:pPr>
              <w:spacing w:line="240" w:lineRule="auto"/>
              <w:rPr>
                <w:rFonts w:ascii="Times New Roman" w:hAnsi="Times New Roman" w:cs="Times New Roman"/>
                <w:sz w:val="24"/>
                <w:szCs w:val="24"/>
              </w:rPr>
            </w:pPr>
            <w:r>
              <w:rPr>
                <w:rFonts w:ascii="Times New Roman" w:hAnsi="Times New Roman" w:cs="Times New Roman"/>
                <w:sz w:val="24"/>
                <w:szCs w:val="24"/>
              </w:rPr>
              <w:t>Blockchain-enabled CSCM improves circularity monitoring in fast-fashion contexts</w:t>
            </w:r>
          </w:p>
        </w:tc>
        <w:tc>
          <w:tcPr>
            <w:tcW w:w="2266" w:type="dxa"/>
          </w:tcPr>
          <w:p w14:paraId="0571CF2B">
            <w:pPr>
              <w:spacing w:line="240" w:lineRule="auto"/>
              <w:rPr>
                <w:rFonts w:ascii="Times New Roman" w:hAnsi="Times New Roman" w:cs="Times New Roman"/>
                <w:sz w:val="24"/>
                <w:szCs w:val="24"/>
              </w:rPr>
            </w:pPr>
            <w:r>
              <w:rPr>
                <w:rFonts w:ascii="Times New Roman" w:hAnsi="Times New Roman" w:cs="Times New Roman"/>
                <w:sz w:val="24"/>
                <w:szCs w:val="24"/>
              </w:rPr>
              <w:t>REQ-TR-01: Lifecycle recording</w:t>
            </w:r>
          </w:p>
        </w:tc>
      </w:tr>
    </w:tbl>
    <w:p w14:paraId="070D591C">
      <w:pPr>
        <w:spacing w:before="60" w:after="180" w:line="240" w:lineRule="auto"/>
        <w:jc w:val="center"/>
        <w:rPr>
          <w:rFonts w:ascii="Times New Roman" w:hAnsi="Times New Roman" w:cs="Times New Roman"/>
          <w:sz w:val="24"/>
          <w:szCs w:val="24"/>
        </w:rPr>
      </w:pPr>
      <w:r>
        <w:rPr>
          <w:rFonts w:ascii="Times New Roman" w:hAnsi="Times New Roman" w:cs="Times New Roman"/>
          <w:sz w:val="24"/>
          <w:szCs w:val="24"/>
        </w:rPr>
        <w:t>REQ-TR = Traceability Requirement; CSCM = Circular Supply Chain Management.</w:t>
      </w:r>
    </w:p>
    <w:p w14:paraId="26203A5A">
      <w:pPr>
        <w:spacing w:before="240" w:after="240" w:line="240" w:lineRule="auto"/>
        <w:jc w:val="both"/>
        <w:rPr>
          <w:rFonts w:ascii="Times New Roman" w:hAnsi="Times New Roman" w:cs="Times New Roman"/>
          <w:sz w:val="24"/>
          <w:szCs w:val="24"/>
        </w:rPr>
      </w:pPr>
      <w:r>
        <w:rPr>
          <w:rFonts w:ascii="Times New Roman" w:hAnsi="Times New Roman" w:cs="Times New Roman"/>
          <w:sz w:val="24"/>
          <w:szCs w:val="24"/>
        </w:rPr>
        <w:t>Collectively, the reviewed studies indicate that effective traceability architectures require the integration of blockchain, IoT, and digital identity mechanisms. A blockchain-only approach lacks real-world sensing granularity, while an IoT-only approach lacks immutable record-keeping and tamper resistance. As such, traceability and provenance should be conceptualised as a dual-layer architectural requirement comprising a physical sensing layer, including RFID, NFC, and environmental sensors, and a digital verification layer based on distributed ledgers, smart contracts, and cryptographic hashing. The evidence summarised in Table 4.1 further reinforces that no single technology is sufficient on its own, and that integrated system architectures are necessary to ensure operational transparency, auditability, and lifecycle accountability within circular supply chains. Within the MBSE framework, this requirement is represented through Activity Diagrams for reverse logistics processes and Block Definition Diagrams for sensor and ledger subsystems.</w:t>
      </w:r>
    </w:p>
    <w:p w14:paraId="3D6B447F">
      <w:pPr>
        <w:spacing w:before="240" w:after="240" w:line="240" w:lineRule="auto"/>
        <w:jc w:val="both"/>
        <w:rPr>
          <w:rFonts w:ascii="Times New Roman" w:hAnsi="Times New Roman" w:cs="Times New Roman"/>
          <w:b/>
          <w:bCs/>
          <w:sz w:val="24"/>
          <w:szCs w:val="24"/>
        </w:rPr>
      </w:pPr>
      <w:r>
        <w:rPr>
          <w:rFonts w:ascii="Times New Roman" w:hAnsi="Times New Roman" w:cs="Times New Roman"/>
          <w:b/>
          <w:bCs/>
          <w:sz w:val="24"/>
          <w:szCs w:val="24"/>
        </w:rPr>
        <w:t>Lifecycle Visibility and Resource Reuse</w:t>
      </w:r>
    </w:p>
    <w:p w14:paraId="572F7FA5">
      <w:pPr>
        <w:spacing w:before="240" w:after="240" w:line="240" w:lineRule="auto"/>
        <w:jc w:val="both"/>
        <w:rPr>
          <w:rFonts w:ascii="Times New Roman" w:hAnsi="Times New Roman" w:cs="Times New Roman"/>
          <w:sz w:val="24"/>
          <w:szCs w:val="24"/>
          <w:lang w:val="en-MY"/>
        </w:rPr>
      </w:pPr>
      <w:r>
        <w:rPr>
          <w:rFonts w:ascii="Times New Roman" w:hAnsi="Times New Roman" w:cs="Times New Roman"/>
          <w:sz w:val="24"/>
          <w:szCs w:val="24"/>
          <w:lang w:val="en-MY"/>
        </w:rPr>
        <w:t>Lifecycle visibility is a fundamental requirement in circular SCM because it enables end-to-end understanding of how assets evolve across multiple value recovery stages. Unlike traditional supply chains, which primarily optimise production and distribution efficiency, circular systems depend on continuous knowledge of product condition, composition, and location throughout reuse, refurbishment, deconstruction, and recycling cycles. This extended visibility is essential for determining optimal recovery pathways and preventing premature disposal or inefficient material reintegration.</w:t>
      </w:r>
    </w:p>
    <w:p w14:paraId="5440D008">
      <w:pPr>
        <w:spacing w:before="240" w:after="240" w:line="240" w:lineRule="auto"/>
        <w:jc w:val="both"/>
        <w:rPr>
          <w:rFonts w:ascii="Times New Roman" w:hAnsi="Times New Roman" w:cs="Times New Roman"/>
          <w:sz w:val="24"/>
          <w:szCs w:val="24"/>
          <w:lang w:val="en-MY"/>
        </w:rPr>
      </w:pPr>
      <w:r>
        <w:rPr>
          <w:rFonts w:ascii="Times New Roman" w:hAnsi="Times New Roman" w:cs="Times New Roman"/>
          <w:sz w:val="24"/>
          <w:szCs w:val="24"/>
          <w:lang w:val="en-MY"/>
        </w:rPr>
        <w:t>The literature on lifecycle visibility reveals a clear shift from static information management toward integrated and intelligent lifecycle systems. Early research such as Alhamami et al. (2018) highlights the role of BIM IoT integration in bridging the gap between digital models and real-world construction activities, particularly in waste-intensive sectors such as construction and demolition. More recent studies, including Banerjee and Nayaka (2022), extend this perspective by emphasising lifecycle-oriented BIM systems that embed digital material passports containing detailed component-level information, including composition, condition, and disassembly instructions. This progression reflects a broader transition from documentation-based approaches to structured reuse-oriented lifecycle intelligence.</w:t>
      </w:r>
    </w:p>
    <w:p w14:paraId="55799CBF">
      <w:pPr>
        <w:spacing w:before="240" w:after="240" w:line="240" w:lineRule="auto"/>
        <w:jc w:val="both"/>
        <w:rPr>
          <w:rFonts w:ascii="Times New Roman" w:hAnsi="Times New Roman" w:cs="Times New Roman"/>
          <w:sz w:val="24"/>
          <w:szCs w:val="24"/>
          <w:lang w:val="en-MY"/>
        </w:rPr>
      </w:pPr>
      <w:r>
        <w:rPr>
          <w:rFonts w:ascii="Times New Roman" w:hAnsi="Times New Roman" w:cs="Times New Roman"/>
          <w:sz w:val="24"/>
          <w:szCs w:val="24"/>
          <w:lang w:val="en-MY"/>
        </w:rPr>
        <w:t>From a systems perspective, lifecycle visibility can be interpreted as a multi-layer decision architecture rather than a single monitoring function. At the operational level, BIM acts as the structured data backbone, while IoT devices provide real-time physical condition updates. On top of this, digital twin systems introduce dynamic simulation capabilities that continuously align physical asset behaviour with virtual representations. Robertshaw et al. (2023) demonstrate that this synchronisation enables a shift from reactive maintenance strategies to predictive maintenance and recirculation planning. In parallel, Chen et al. (2020) show that integrating BIM with predictive planning mechanisms can reduce material flow process durations by 16.1%, reinforcing the operational value of lifecycle-informed decision-making.</w:t>
      </w:r>
    </w:p>
    <w:p w14:paraId="357F1D0F">
      <w:pPr>
        <w:spacing w:before="240" w:after="240" w:line="240" w:lineRule="auto"/>
        <w:jc w:val="both"/>
        <w:rPr>
          <w:rFonts w:ascii="Times New Roman" w:hAnsi="Times New Roman" w:cs="Times New Roman"/>
          <w:sz w:val="24"/>
          <w:szCs w:val="24"/>
          <w:lang w:val="en-MY"/>
        </w:rPr>
      </w:pPr>
      <w:r>
        <w:rPr>
          <w:rFonts w:ascii="Times New Roman" w:hAnsi="Times New Roman" w:cs="Times New Roman"/>
          <w:sz w:val="24"/>
          <w:szCs w:val="24"/>
          <w:lang w:val="en-MY"/>
        </w:rPr>
        <w:t>Table 4.4 illustrates this layered integration of BIM, IoT, AI, and digital twin technologies. Rather than operating independently, each layer contributes to a continuous feedback loop where design information informs operational monitoring, operational data informs simulation models, and simulation outputs guide recovery and reuse decisions. This transforms lifecycle visibility from passive tracking into an active optimisation mechanism for circular resource management.</w:t>
      </w:r>
      <w:r>
        <w:t xml:space="preserve"> </w:t>
      </w:r>
    </w:p>
    <w:p w14:paraId="688AA1D6">
      <w:pPr>
        <w:spacing w:before="180" w:after="240" w:line="240" w:lineRule="auto"/>
        <w:rPr>
          <w:rFonts w:ascii="Times New Roman" w:hAnsi="Times New Roman" w:cs="Times New Roman"/>
          <w:sz w:val="24"/>
          <w:szCs w:val="24"/>
        </w:rPr>
      </w:pPr>
      <w:r>
        <w:rPr>
          <w:rFonts w:ascii="Times New Roman" w:hAnsi="Times New Roman" w:cs="Times New Roman"/>
          <w:b/>
          <w:bCs/>
          <w:sz w:val="24"/>
          <w:szCs w:val="24"/>
        </w:rPr>
        <w:t>Table 4.4: BIM-IoT-AI Integration Model for Lifecycle Visibility</w:t>
      </w:r>
    </w:p>
    <w:tbl>
      <w:tblPr>
        <w:tblStyle w:val="14"/>
        <w:tblW w:w="107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7"/>
        <w:gridCol w:w="2001"/>
        <w:gridCol w:w="2262"/>
        <w:gridCol w:w="2295"/>
        <w:gridCol w:w="2351"/>
      </w:tblGrid>
      <w:tr w14:paraId="6B2E8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1886" w:type="dxa"/>
          </w:tcPr>
          <w:p w14:paraId="296F8355">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Layer</w:t>
            </w:r>
          </w:p>
        </w:tc>
        <w:tc>
          <w:tcPr>
            <w:tcW w:w="2089" w:type="dxa"/>
          </w:tcPr>
          <w:p w14:paraId="360E1FA2">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Technology</w:t>
            </w:r>
          </w:p>
        </w:tc>
        <w:tc>
          <w:tcPr>
            <w:tcW w:w="2385" w:type="dxa"/>
          </w:tcPr>
          <w:p w14:paraId="56E055D4">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Data Input</w:t>
            </w:r>
          </w:p>
        </w:tc>
        <w:tc>
          <w:tcPr>
            <w:tcW w:w="1857" w:type="dxa"/>
          </w:tcPr>
          <w:p w14:paraId="774986E5">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Decision Output</w:t>
            </w:r>
          </w:p>
        </w:tc>
        <w:tc>
          <w:tcPr>
            <w:tcW w:w="2509" w:type="dxa"/>
          </w:tcPr>
          <w:p w14:paraId="5AC8FA13">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Circular Economy Benefit</w:t>
            </w:r>
          </w:p>
        </w:tc>
      </w:tr>
      <w:tr w14:paraId="6038B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trPr>
        <w:tc>
          <w:tcPr>
            <w:tcW w:w="1886" w:type="dxa"/>
          </w:tcPr>
          <w:p w14:paraId="720645EF">
            <w:pPr>
              <w:spacing w:line="240" w:lineRule="auto"/>
              <w:rPr>
                <w:rFonts w:ascii="Times New Roman" w:hAnsi="Times New Roman" w:cs="Times New Roman"/>
                <w:sz w:val="24"/>
                <w:szCs w:val="24"/>
              </w:rPr>
            </w:pPr>
            <w:r>
              <w:rPr>
                <w:rFonts w:ascii="Times New Roman" w:hAnsi="Times New Roman" w:cs="Times New Roman"/>
                <w:sz w:val="24"/>
                <w:szCs w:val="24"/>
              </w:rPr>
              <w:t>Design Layer</w:t>
            </w:r>
          </w:p>
        </w:tc>
        <w:tc>
          <w:tcPr>
            <w:tcW w:w="2089" w:type="dxa"/>
          </w:tcPr>
          <w:p w14:paraId="75B5E253">
            <w:pPr>
              <w:spacing w:line="240" w:lineRule="auto"/>
              <w:rPr>
                <w:rFonts w:ascii="Times New Roman" w:hAnsi="Times New Roman" w:cs="Times New Roman"/>
                <w:sz w:val="24"/>
                <w:szCs w:val="24"/>
              </w:rPr>
            </w:pPr>
            <w:r>
              <w:rPr>
                <w:rFonts w:ascii="Times New Roman" w:hAnsi="Times New Roman" w:cs="Times New Roman"/>
                <w:sz w:val="24"/>
                <w:szCs w:val="24"/>
              </w:rPr>
              <w:t>BIM (Revit / ArchiCAD)</w:t>
            </w:r>
          </w:p>
        </w:tc>
        <w:tc>
          <w:tcPr>
            <w:tcW w:w="2385" w:type="dxa"/>
          </w:tcPr>
          <w:p w14:paraId="5DB877C5">
            <w:pPr>
              <w:spacing w:line="240" w:lineRule="auto"/>
              <w:rPr>
                <w:rFonts w:ascii="Times New Roman" w:hAnsi="Times New Roman" w:cs="Times New Roman"/>
                <w:sz w:val="24"/>
                <w:szCs w:val="24"/>
              </w:rPr>
            </w:pPr>
            <w:r>
              <w:rPr>
                <w:rFonts w:ascii="Times New Roman" w:hAnsi="Times New Roman" w:cs="Times New Roman"/>
                <w:sz w:val="24"/>
                <w:szCs w:val="24"/>
              </w:rPr>
              <w:t>Material specs, component dimensions, supplier data, red-list status</w:t>
            </w:r>
          </w:p>
        </w:tc>
        <w:tc>
          <w:tcPr>
            <w:tcW w:w="1857" w:type="dxa"/>
          </w:tcPr>
          <w:p w14:paraId="08D7B6E2">
            <w:pPr>
              <w:spacing w:line="240" w:lineRule="auto"/>
              <w:rPr>
                <w:rFonts w:ascii="Times New Roman" w:hAnsi="Times New Roman" w:cs="Times New Roman"/>
                <w:sz w:val="24"/>
                <w:szCs w:val="24"/>
              </w:rPr>
            </w:pPr>
            <w:r>
              <w:rPr>
                <w:rFonts w:ascii="Times New Roman" w:hAnsi="Times New Roman" w:cs="Times New Roman"/>
                <w:sz w:val="24"/>
                <w:szCs w:val="24"/>
              </w:rPr>
              <w:t>Material passport creation; design-for-disassembly specification</w:t>
            </w:r>
          </w:p>
        </w:tc>
        <w:tc>
          <w:tcPr>
            <w:tcW w:w="2509" w:type="dxa"/>
          </w:tcPr>
          <w:p w14:paraId="568FA84F">
            <w:pPr>
              <w:spacing w:line="240" w:lineRule="auto"/>
              <w:rPr>
                <w:rFonts w:ascii="Times New Roman" w:hAnsi="Times New Roman" w:cs="Times New Roman"/>
                <w:sz w:val="24"/>
                <w:szCs w:val="24"/>
              </w:rPr>
            </w:pPr>
            <w:r>
              <w:rPr>
                <w:rFonts w:ascii="Times New Roman" w:hAnsi="Times New Roman" w:cs="Times New Roman"/>
                <w:sz w:val="24"/>
                <w:szCs w:val="24"/>
              </w:rPr>
              <w:t>Enables end-of-life recovery planning from day one</w:t>
            </w:r>
          </w:p>
        </w:tc>
      </w:tr>
      <w:tr w14:paraId="5B440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886" w:type="dxa"/>
          </w:tcPr>
          <w:p w14:paraId="7C038CAE">
            <w:pPr>
              <w:spacing w:line="240" w:lineRule="auto"/>
              <w:rPr>
                <w:rFonts w:ascii="Times New Roman" w:hAnsi="Times New Roman" w:cs="Times New Roman"/>
                <w:sz w:val="24"/>
                <w:szCs w:val="24"/>
              </w:rPr>
            </w:pPr>
            <w:r>
              <w:rPr>
                <w:rFonts w:ascii="Times New Roman" w:hAnsi="Times New Roman" w:cs="Times New Roman"/>
                <w:sz w:val="24"/>
                <w:szCs w:val="24"/>
              </w:rPr>
              <w:t>Operational Layer</w:t>
            </w:r>
          </w:p>
        </w:tc>
        <w:tc>
          <w:tcPr>
            <w:tcW w:w="2089" w:type="dxa"/>
          </w:tcPr>
          <w:p w14:paraId="2F38E5D3">
            <w:pPr>
              <w:spacing w:line="240" w:lineRule="auto"/>
              <w:rPr>
                <w:rFonts w:ascii="Times New Roman" w:hAnsi="Times New Roman" w:cs="Times New Roman"/>
                <w:sz w:val="24"/>
                <w:szCs w:val="24"/>
              </w:rPr>
            </w:pPr>
            <w:r>
              <w:rPr>
                <w:rFonts w:ascii="Times New Roman" w:hAnsi="Times New Roman" w:cs="Times New Roman"/>
                <w:sz w:val="24"/>
                <w:szCs w:val="24"/>
              </w:rPr>
              <w:t>IoT Sensors + RFID</w:t>
            </w:r>
          </w:p>
        </w:tc>
        <w:tc>
          <w:tcPr>
            <w:tcW w:w="2385" w:type="dxa"/>
          </w:tcPr>
          <w:p w14:paraId="34D597CF">
            <w:pPr>
              <w:spacing w:line="240" w:lineRule="auto"/>
              <w:rPr>
                <w:rFonts w:ascii="Times New Roman" w:hAnsi="Times New Roman" w:cs="Times New Roman"/>
                <w:sz w:val="24"/>
                <w:szCs w:val="24"/>
              </w:rPr>
            </w:pPr>
            <w:r>
              <w:rPr>
                <w:rFonts w:ascii="Times New Roman" w:hAnsi="Times New Roman" w:cs="Times New Roman"/>
                <w:sz w:val="24"/>
                <w:szCs w:val="24"/>
              </w:rPr>
              <w:t>Real-time temperature, stress, location, usage cycle counts</w:t>
            </w:r>
          </w:p>
        </w:tc>
        <w:tc>
          <w:tcPr>
            <w:tcW w:w="1857" w:type="dxa"/>
          </w:tcPr>
          <w:p w14:paraId="012DB6F8">
            <w:pPr>
              <w:spacing w:line="240" w:lineRule="auto"/>
              <w:rPr>
                <w:rFonts w:ascii="Times New Roman" w:hAnsi="Times New Roman" w:cs="Times New Roman"/>
                <w:sz w:val="24"/>
                <w:szCs w:val="24"/>
              </w:rPr>
            </w:pPr>
            <w:r>
              <w:rPr>
                <w:rFonts w:ascii="Times New Roman" w:hAnsi="Times New Roman" w:cs="Times New Roman"/>
                <w:sz w:val="24"/>
                <w:szCs w:val="24"/>
              </w:rPr>
              <w:t>Condition</w:t>
            </w:r>
            <w:r>
              <w:rPr>
                <w:rFonts w:hint="eastAsia" w:ascii="Times New Roman" w:hAnsi="Times New Roman" w:cs="Times New Roman"/>
                <w:sz w:val="24"/>
                <w:szCs w:val="24"/>
              </w:rPr>
              <w:t xml:space="preserve"> </w:t>
            </w:r>
            <w:r>
              <w:rPr>
                <w:rFonts w:ascii="Times New Roman" w:hAnsi="Times New Roman" w:cs="Times New Roman"/>
                <w:sz w:val="24"/>
                <w:szCs w:val="24"/>
              </w:rPr>
              <w:t>assessment; maintenance scheduling</w:t>
            </w:r>
          </w:p>
        </w:tc>
        <w:tc>
          <w:tcPr>
            <w:tcW w:w="2509" w:type="dxa"/>
          </w:tcPr>
          <w:p w14:paraId="51D1089B">
            <w:pPr>
              <w:spacing w:line="240" w:lineRule="auto"/>
              <w:rPr>
                <w:rFonts w:ascii="Times New Roman" w:hAnsi="Times New Roman" w:cs="Times New Roman"/>
                <w:sz w:val="24"/>
                <w:szCs w:val="24"/>
              </w:rPr>
            </w:pPr>
            <w:r>
              <w:rPr>
                <w:rFonts w:ascii="Times New Roman" w:hAnsi="Times New Roman" w:cs="Times New Roman"/>
                <w:sz w:val="24"/>
                <w:szCs w:val="24"/>
              </w:rPr>
              <w:t>Prevents premature disposal; extends asset lifespan</w:t>
            </w:r>
          </w:p>
        </w:tc>
      </w:tr>
      <w:tr w14:paraId="027C6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1886" w:type="dxa"/>
          </w:tcPr>
          <w:p w14:paraId="5C6EE0F2">
            <w:pPr>
              <w:spacing w:line="240" w:lineRule="auto"/>
              <w:rPr>
                <w:rFonts w:ascii="Times New Roman" w:hAnsi="Times New Roman" w:cs="Times New Roman"/>
                <w:sz w:val="24"/>
                <w:szCs w:val="24"/>
              </w:rPr>
            </w:pPr>
            <w:r>
              <w:rPr>
                <w:rFonts w:ascii="Times New Roman" w:hAnsi="Times New Roman" w:cs="Times New Roman"/>
                <w:sz w:val="24"/>
                <w:szCs w:val="24"/>
              </w:rPr>
              <w:t>Simulation Layer</w:t>
            </w:r>
          </w:p>
        </w:tc>
        <w:tc>
          <w:tcPr>
            <w:tcW w:w="2089" w:type="dxa"/>
          </w:tcPr>
          <w:p w14:paraId="24B884F3">
            <w:pPr>
              <w:spacing w:line="240" w:lineRule="auto"/>
              <w:rPr>
                <w:rFonts w:ascii="Times New Roman" w:hAnsi="Times New Roman" w:cs="Times New Roman"/>
                <w:sz w:val="24"/>
                <w:szCs w:val="24"/>
              </w:rPr>
            </w:pPr>
            <w:r>
              <w:rPr>
                <w:rFonts w:ascii="Times New Roman" w:hAnsi="Times New Roman" w:cs="Times New Roman"/>
                <w:sz w:val="24"/>
                <w:szCs w:val="24"/>
              </w:rPr>
              <w:t>Digital Twins</w:t>
            </w:r>
          </w:p>
        </w:tc>
        <w:tc>
          <w:tcPr>
            <w:tcW w:w="2385" w:type="dxa"/>
          </w:tcPr>
          <w:p w14:paraId="55D11A5E">
            <w:pPr>
              <w:spacing w:line="240" w:lineRule="auto"/>
              <w:rPr>
                <w:rFonts w:ascii="Times New Roman" w:hAnsi="Times New Roman" w:cs="Times New Roman"/>
                <w:sz w:val="24"/>
                <w:szCs w:val="24"/>
              </w:rPr>
            </w:pPr>
            <w:r>
              <w:rPr>
                <w:rFonts w:ascii="Times New Roman" w:hAnsi="Times New Roman" w:cs="Times New Roman"/>
                <w:sz w:val="24"/>
                <w:szCs w:val="24"/>
              </w:rPr>
              <w:t>Live IoT feed + BIM model + historical degradation data</w:t>
            </w:r>
          </w:p>
        </w:tc>
        <w:tc>
          <w:tcPr>
            <w:tcW w:w="1857" w:type="dxa"/>
          </w:tcPr>
          <w:p w14:paraId="51ED7BE9">
            <w:pPr>
              <w:spacing w:line="240" w:lineRule="auto"/>
              <w:rPr>
                <w:rFonts w:ascii="Times New Roman" w:hAnsi="Times New Roman" w:cs="Times New Roman"/>
                <w:sz w:val="24"/>
                <w:szCs w:val="24"/>
              </w:rPr>
            </w:pPr>
            <w:r>
              <w:rPr>
                <w:rFonts w:ascii="Times New Roman" w:hAnsi="Times New Roman" w:cs="Times New Roman"/>
                <w:sz w:val="24"/>
                <w:szCs w:val="24"/>
              </w:rPr>
              <w:t>Predictive recirculation windows; failure forecasting</w:t>
            </w:r>
          </w:p>
        </w:tc>
        <w:tc>
          <w:tcPr>
            <w:tcW w:w="2509" w:type="dxa"/>
          </w:tcPr>
          <w:p w14:paraId="1EB78BD6">
            <w:pPr>
              <w:spacing w:line="240" w:lineRule="auto"/>
              <w:rPr>
                <w:rFonts w:ascii="Times New Roman" w:hAnsi="Times New Roman" w:cs="Times New Roman"/>
                <w:sz w:val="24"/>
                <w:szCs w:val="24"/>
              </w:rPr>
            </w:pPr>
            <w:r>
              <w:rPr>
                <w:rFonts w:ascii="Times New Roman" w:hAnsi="Times New Roman" w:cs="Times New Roman"/>
                <w:sz w:val="24"/>
                <w:szCs w:val="24"/>
              </w:rPr>
              <w:t>Optimises timing of material re-entry into supply chain</w:t>
            </w:r>
          </w:p>
        </w:tc>
      </w:tr>
      <w:tr w14:paraId="43510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trPr>
        <w:tc>
          <w:tcPr>
            <w:tcW w:w="1886" w:type="dxa"/>
          </w:tcPr>
          <w:p w14:paraId="790933B2">
            <w:pPr>
              <w:spacing w:line="240" w:lineRule="auto"/>
              <w:rPr>
                <w:rFonts w:ascii="Times New Roman" w:hAnsi="Times New Roman" w:cs="Times New Roman"/>
                <w:sz w:val="24"/>
                <w:szCs w:val="24"/>
              </w:rPr>
            </w:pPr>
            <w:r>
              <w:rPr>
                <w:rFonts w:ascii="Times New Roman" w:hAnsi="Times New Roman" w:cs="Times New Roman"/>
                <w:sz w:val="24"/>
                <w:szCs w:val="24"/>
              </w:rPr>
              <w:t>Analytics Layer</w:t>
            </w:r>
          </w:p>
        </w:tc>
        <w:tc>
          <w:tcPr>
            <w:tcW w:w="2089" w:type="dxa"/>
          </w:tcPr>
          <w:p w14:paraId="71112EEC">
            <w:pPr>
              <w:spacing w:line="240" w:lineRule="auto"/>
              <w:rPr>
                <w:rFonts w:ascii="Times New Roman" w:hAnsi="Times New Roman" w:cs="Times New Roman"/>
                <w:sz w:val="24"/>
                <w:szCs w:val="24"/>
              </w:rPr>
            </w:pPr>
            <w:r>
              <w:rPr>
                <w:rFonts w:ascii="Times New Roman" w:hAnsi="Times New Roman" w:cs="Times New Roman"/>
                <w:sz w:val="24"/>
                <w:szCs w:val="24"/>
              </w:rPr>
              <w:t>AI / Machine Learning</w:t>
            </w:r>
          </w:p>
        </w:tc>
        <w:tc>
          <w:tcPr>
            <w:tcW w:w="2385" w:type="dxa"/>
          </w:tcPr>
          <w:p w14:paraId="3B41FCDC">
            <w:pPr>
              <w:spacing w:line="240" w:lineRule="auto"/>
              <w:rPr>
                <w:rFonts w:ascii="Times New Roman" w:hAnsi="Times New Roman" w:cs="Times New Roman"/>
                <w:sz w:val="24"/>
                <w:szCs w:val="24"/>
              </w:rPr>
            </w:pPr>
            <w:r>
              <w:rPr>
                <w:rFonts w:ascii="Times New Roman" w:hAnsi="Times New Roman" w:cs="Times New Roman"/>
                <w:sz w:val="24"/>
                <w:szCs w:val="24"/>
              </w:rPr>
              <w:t>Historical maintenance logs; return patterns; demand signals</w:t>
            </w:r>
          </w:p>
        </w:tc>
        <w:tc>
          <w:tcPr>
            <w:tcW w:w="1857" w:type="dxa"/>
          </w:tcPr>
          <w:p w14:paraId="6D8E57C4">
            <w:pPr>
              <w:spacing w:line="240" w:lineRule="auto"/>
              <w:rPr>
                <w:rFonts w:ascii="Times New Roman" w:hAnsi="Times New Roman" w:cs="Times New Roman"/>
                <w:sz w:val="24"/>
                <w:szCs w:val="24"/>
              </w:rPr>
            </w:pPr>
            <w:r>
              <w:rPr>
                <w:rFonts w:ascii="Times New Roman" w:hAnsi="Times New Roman" w:cs="Times New Roman"/>
                <w:sz w:val="24"/>
                <w:szCs w:val="24"/>
              </w:rPr>
              <w:t>Automated recovery pathway recommendation (reuse/refurb/recycle)</w:t>
            </w:r>
          </w:p>
        </w:tc>
        <w:tc>
          <w:tcPr>
            <w:tcW w:w="2509" w:type="dxa"/>
          </w:tcPr>
          <w:p w14:paraId="08C9DDDD">
            <w:pPr>
              <w:spacing w:line="240" w:lineRule="auto"/>
              <w:rPr>
                <w:rFonts w:ascii="Times New Roman" w:hAnsi="Times New Roman" w:cs="Times New Roman"/>
                <w:sz w:val="24"/>
                <w:szCs w:val="24"/>
              </w:rPr>
            </w:pPr>
            <w:r>
              <w:rPr>
                <w:rFonts w:ascii="Times New Roman" w:hAnsi="Times New Roman" w:cs="Times New Roman"/>
                <w:sz w:val="24"/>
                <w:szCs w:val="24"/>
              </w:rPr>
              <w:t>Maximises recovered material value</w:t>
            </w:r>
          </w:p>
        </w:tc>
      </w:tr>
    </w:tbl>
    <w:p w14:paraId="171B17EE">
      <w:pPr>
        <w:spacing w:before="60" w:after="180" w:line="240" w:lineRule="auto"/>
        <w:jc w:val="center"/>
        <w:rPr>
          <w:rFonts w:ascii="Times New Roman" w:hAnsi="Times New Roman" w:cs="Times New Roman"/>
          <w:sz w:val="24"/>
          <w:szCs w:val="24"/>
        </w:rPr>
      </w:pPr>
      <w:r>
        <w:rPr>
          <w:rFonts w:ascii="Times New Roman" w:hAnsi="Times New Roman" w:cs="Times New Roman"/>
          <w:sz w:val="24"/>
          <w:szCs w:val="24"/>
        </w:rPr>
        <w:t>Source: Authors’ synthesis from Alhamami et al. (2018), Robertshaw et al. (2023), and Chen et al. (2020).</w:t>
      </w:r>
    </w:p>
    <w:p w14:paraId="0571D62A">
      <w:pPr>
        <w:spacing w:before="240" w:after="240" w:line="240" w:lineRule="auto"/>
        <w:jc w:val="both"/>
        <w:rPr>
          <w:rFonts w:ascii="Times New Roman" w:hAnsi="Times New Roman" w:cs="Times New Roman"/>
          <w:sz w:val="24"/>
          <w:szCs w:val="24"/>
          <w:lang w:val="en-MY"/>
        </w:rPr>
      </w:pPr>
      <w:r>
        <w:rPr>
          <w:rFonts w:ascii="Times New Roman" w:hAnsi="Times New Roman" w:cs="Times New Roman"/>
          <w:sz w:val="24"/>
          <w:szCs w:val="24"/>
        </w:rPr>
        <w:t>The empirical evidence further reinforces the importance of lifecycle visibility as a multi-technology capability rather than a standalone system. Table 4.5 summarises key findings across the literature and highlights how different technologies contribute to distinct aspects of circular lifecycle management, including coordination, scheduling, predictive maintenance, and organisational readiness.</w:t>
      </w:r>
    </w:p>
    <w:p w14:paraId="7B31AE6B">
      <w:pPr>
        <w:spacing w:before="180" w:after="240" w:line="240" w:lineRule="auto"/>
        <w:rPr>
          <w:rFonts w:ascii="Times New Roman" w:hAnsi="Times New Roman" w:cs="Times New Roman"/>
          <w:sz w:val="24"/>
          <w:szCs w:val="24"/>
        </w:rPr>
      </w:pPr>
      <w:r>
        <w:rPr>
          <w:rFonts w:ascii="Times New Roman" w:hAnsi="Times New Roman" w:cs="Times New Roman"/>
          <w:b/>
          <w:bCs/>
          <w:sz w:val="24"/>
          <w:szCs w:val="24"/>
        </w:rPr>
        <w:t>Table 4.5: Evidence Summary — Lifecycle Visibility and Resource Reuse Requirement</w:t>
      </w:r>
    </w:p>
    <w:tbl>
      <w:tblPr>
        <w:tblStyle w:val="14"/>
        <w:tblW w:w="106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0"/>
        <w:gridCol w:w="2423"/>
        <w:gridCol w:w="3699"/>
        <w:gridCol w:w="1989"/>
      </w:tblGrid>
      <w:tr w14:paraId="73CFE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2550" w:type="dxa"/>
          </w:tcPr>
          <w:p w14:paraId="3BFD42AC">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Source</w:t>
            </w:r>
          </w:p>
        </w:tc>
        <w:tc>
          <w:tcPr>
            <w:tcW w:w="2423" w:type="dxa"/>
          </w:tcPr>
          <w:p w14:paraId="7DF38770">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Technology</w:t>
            </w:r>
          </w:p>
        </w:tc>
        <w:tc>
          <w:tcPr>
            <w:tcW w:w="3699" w:type="dxa"/>
          </w:tcPr>
          <w:p w14:paraId="029FD46B">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Key Finding</w:t>
            </w:r>
          </w:p>
        </w:tc>
        <w:tc>
          <w:tcPr>
            <w:tcW w:w="1989" w:type="dxa"/>
          </w:tcPr>
          <w:p w14:paraId="48A4C2BF">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Relevance to REQ-LV</w:t>
            </w:r>
          </w:p>
        </w:tc>
      </w:tr>
      <w:tr w14:paraId="4FE96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2550" w:type="dxa"/>
          </w:tcPr>
          <w:p w14:paraId="09659B43">
            <w:pPr>
              <w:spacing w:line="240" w:lineRule="auto"/>
              <w:rPr>
                <w:rFonts w:ascii="Times New Roman" w:hAnsi="Times New Roman" w:cs="Times New Roman"/>
                <w:sz w:val="24"/>
                <w:szCs w:val="24"/>
              </w:rPr>
            </w:pPr>
            <w:r>
              <w:rPr>
                <w:rFonts w:ascii="Times New Roman" w:hAnsi="Times New Roman" w:cs="Times New Roman"/>
                <w:sz w:val="24"/>
                <w:szCs w:val="24"/>
              </w:rPr>
              <w:t>Alhamami et al. (2018)</w:t>
            </w:r>
          </w:p>
        </w:tc>
        <w:tc>
          <w:tcPr>
            <w:tcW w:w="2423" w:type="dxa"/>
          </w:tcPr>
          <w:p w14:paraId="1A020420">
            <w:pPr>
              <w:spacing w:line="240" w:lineRule="auto"/>
              <w:rPr>
                <w:rFonts w:ascii="Times New Roman" w:hAnsi="Times New Roman" w:cs="Times New Roman"/>
                <w:sz w:val="24"/>
                <w:szCs w:val="24"/>
              </w:rPr>
            </w:pPr>
            <w:r>
              <w:rPr>
                <w:rFonts w:ascii="Times New Roman" w:hAnsi="Times New Roman" w:cs="Times New Roman"/>
                <w:sz w:val="24"/>
                <w:szCs w:val="24"/>
              </w:rPr>
              <w:t>BIM-IoT Integration</w:t>
            </w:r>
          </w:p>
        </w:tc>
        <w:tc>
          <w:tcPr>
            <w:tcW w:w="3699" w:type="dxa"/>
          </w:tcPr>
          <w:p w14:paraId="5A650E99">
            <w:pPr>
              <w:spacing w:line="240" w:lineRule="auto"/>
              <w:rPr>
                <w:rFonts w:ascii="Times New Roman" w:hAnsi="Times New Roman" w:cs="Times New Roman"/>
                <w:sz w:val="24"/>
                <w:szCs w:val="24"/>
              </w:rPr>
            </w:pPr>
            <w:r>
              <w:rPr>
                <w:rFonts w:ascii="Times New Roman" w:hAnsi="Times New Roman" w:cs="Times New Roman"/>
                <w:sz w:val="24"/>
                <w:szCs w:val="24"/>
              </w:rPr>
              <w:t>BIM-IoT improves lifecycle coordination and reduces rework in circular construction</w:t>
            </w:r>
          </w:p>
        </w:tc>
        <w:tc>
          <w:tcPr>
            <w:tcW w:w="1989" w:type="dxa"/>
          </w:tcPr>
          <w:p w14:paraId="71EDEEA7">
            <w:pPr>
              <w:spacing w:line="240" w:lineRule="auto"/>
              <w:rPr>
                <w:rFonts w:ascii="Times New Roman" w:hAnsi="Times New Roman" w:cs="Times New Roman"/>
                <w:sz w:val="24"/>
                <w:szCs w:val="24"/>
              </w:rPr>
            </w:pPr>
            <w:r>
              <w:rPr>
                <w:rFonts w:ascii="Times New Roman" w:hAnsi="Times New Roman" w:cs="Times New Roman"/>
                <w:sz w:val="24"/>
                <w:szCs w:val="24"/>
              </w:rPr>
              <w:t>REQ-LV-01: Digital material passports</w:t>
            </w:r>
          </w:p>
        </w:tc>
      </w:tr>
      <w:tr w14:paraId="3DB8E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2550" w:type="dxa"/>
          </w:tcPr>
          <w:p w14:paraId="48E74586">
            <w:pPr>
              <w:spacing w:line="240" w:lineRule="auto"/>
              <w:rPr>
                <w:rFonts w:ascii="Times New Roman" w:hAnsi="Times New Roman" w:cs="Times New Roman"/>
                <w:sz w:val="24"/>
                <w:szCs w:val="24"/>
              </w:rPr>
            </w:pPr>
            <w:r>
              <w:rPr>
                <w:rFonts w:ascii="Times New Roman" w:hAnsi="Times New Roman" w:cs="Times New Roman"/>
                <w:sz w:val="24"/>
                <w:szCs w:val="24"/>
              </w:rPr>
              <w:t>Banerjee &amp; Nayaka (2022)</w:t>
            </w:r>
          </w:p>
        </w:tc>
        <w:tc>
          <w:tcPr>
            <w:tcW w:w="2423" w:type="dxa"/>
          </w:tcPr>
          <w:p w14:paraId="6B62FD58">
            <w:pPr>
              <w:spacing w:line="240" w:lineRule="auto"/>
              <w:rPr>
                <w:rFonts w:ascii="Times New Roman" w:hAnsi="Times New Roman" w:cs="Times New Roman"/>
                <w:sz w:val="24"/>
                <w:szCs w:val="24"/>
              </w:rPr>
            </w:pPr>
            <w:r>
              <w:rPr>
                <w:rFonts w:ascii="Times New Roman" w:hAnsi="Times New Roman" w:cs="Times New Roman"/>
                <w:sz w:val="24"/>
                <w:szCs w:val="24"/>
              </w:rPr>
              <w:t>BIM / Circular Construction</w:t>
            </w:r>
          </w:p>
        </w:tc>
        <w:tc>
          <w:tcPr>
            <w:tcW w:w="3699" w:type="dxa"/>
          </w:tcPr>
          <w:p w14:paraId="4F9E06BD">
            <w:pPr>
              <w:spacing w:line="240" w:lineRule="auto"/>
              <w:rPr>
                <w:rFonts w:ascii="Times New Roman" w:hAnsi="Times New Roman" w:cs="Times New Roman"/>
                <w:sz w:val="24"/>
                <w:szCs w:val="24"/>
              </w:rPr>
            </w:pPr>
            <w:r>
              <w:rPr>
                <w:rFonts w:ascii="Times New Roman" w:hAnsi="Times New Roman" w:cs="Times New Roman"/>
                <w:sz w:val="24"/>
                <w:szCs w:val="24"/>
              </w:rPr>
              <w:t>BIM lifecycle inventories improve deconstruction planning and material recovery</w:t>
            </w:r>
          </w:p>
        </w:tc>
        <w:tc>
          <w:tcPr>
            <w:tcW w:w="1989" w:type="dxa"/>
          </w:tcPr>
          <w:p w14:paraId="7C755E8B">
            <w:pPr>
              <w:spacing w:line="240" w:lineRule="auto"/>
              <w:rPr>
                <w:rFonts w:ascii="Times New Roman" w:hAnsi="Times New Roman" w:cs="Times New Roman"/>
                <w:sz w:val="24"/>
                <w:szCs w:val="24"/>
              </w:rPr>
            </w:pPr>
            <w:r>
              <w:rPr>
                <w:rFonts w:ascii="Times New Roman" w:hAnsi="Times New Roman" w:cs="Times New Roman"/>
                <w:sz w:val="24"/>
                <w:szCs w:val="24"/>
              </w:rPr>
              <w:t>REQ-LV-01: Material passport mandate</w:t>
            </w:r>
          </w:p>
        </w:tc>
      </w:tr>
      <w:tr w14:paraId="043E3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trPr>
        <w:tc>
          <w:tcPr>
            <w:tcW w:w="2550" w:type="dxa"/>
          </w:tcPr>
          <w:p w14:paraId="7A237177">
            <w:pPr>
              <w:spacing w:line="240" w:lineRule="auto"/>
              <w:rPr>
                <w:rFonts w:ascii="Times New Roman" w:hAnsi="Times New Roman" w:cs="Times New Roman"/>
                <w:sz w:val="24"/>
                <w:szCs w:val="24"/>
              </w:rPr>
            </w:pPr>
            <w:r>
              <w:rPr>
                <w:rFonts w:ascii="Times New Roman" w:hAnsi="Times New Roman" w:cs="Times New Roman"/>
                <w:sz w:val="24"/>
                <w:szCs w:val="24"/>
              </w:rPr>
              <w:t>Chen et al. (2020)</w:t>
            </w:r>
          </w:p>
        </w:tc>
        <w:tc>
          <w:tcPr>
            <w:tcW w:w="2423" w:type="dxa"/>
          </w:tcPr>
          <w:p w14:paraId="3CC4EB0D">
            <w:pPr>
              <w:spacing w:line="240" w:lineRule="auto"/>
              <w:rPr>
                <w:rFonts w:ascii="Times New Roman" w:hAnsi="Times New Roman" w:cs="Times New Roman"/>
                <w:sz w:val="24"/>
                <w:szCs w:val="24"/>
              </w:rPr>
            </w:pPr>
            <w:r>
              <w:rPr>
                <w:rFonts w:ascii="Times New Roman" w:hAnsi="Times New Roman" w:cs="Times New Roman"/>
                <w:sz w:val="24"/>
                <w:szCs w:val="24"/>
              </w:rPr>
              <w:t>BIM + Look-ahead Planning</w:t>
            </w:r>
          </w:p>
        </w:tc>
        <w:tc>
          <w:tcPr>
            <w:tcW w:w="3699" w:type="dxa"/>
          </w:tcPr>
          <w:p w14:paraId="697A1F45">
            <w:pPr>
              <w:spacing w:line="240" w:lineRule="auto"/>
              <w:rPr>
                <w:rFonts w:ascii="Times New Roman" w:hAnsi="Times New Roman" w:cs="Times New Roman"/>
                <w:sz w:val="24"/>
                <w:szCs w:val="24"/>
              </w:rPr>
            </w:pPr>
            <w:r>
              <w:rPr>
                <w:rFonts w:ascii="Times New Roman" w:hAnsi="Times New Roman" w:cs="Times New Roman"/>
                <w:sz w:val="24"/>
                <w:szCs w:val="24"/>
              </w:rPr>
              <w:t>BIM-linked planning reduces material flow durations by 16.1%</w:t>
            </w:r>
          </w:p>
        </w:tc>
        <w:tc>
          <w:tcPr>
            <w:tcW w:w="1989" w:type="dxa"/>
          </w:tcPr>
          <w:p w14:paraId="0D0E9A32">
            <w:pPr>
              <w:spacing w:line="240" w:lineRule="auto"/>
              <w:rPr>
                <w:rFonts w:ascii="Times New Roman" w:hAnsi="Times New Roman" w:cs="Times New Roman"/>
                <w:sz w:val="24"/>
                <w:szCs w:val="24"/>
              </w:rPr>
            </w:pPr>
            <w:r>
              <w:rPr>
                <w:rFonts w:ascii="Times New Roman" w:hAnsi="Times New Roman" w:cs="Times New Roman"/>
                <w:sz w:val="24"/>
                <w:szCs w:val="24"/>
              </w:rPr>
              <w:t>REQ-LV-02: Lifecycle scheduling</w:t>
            </w:r>
          </w:p>
        </w:tc>
      </w:tr>
      <w:tr w14:paraId="765C6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2550" w:type="dxa"/>
          </w:tcPr>
          <w:p w14:paraId="62653428">
            <w:pPr>
              <w:spacing w:line="240" w:lineRule="auto"/>
              <w:rPr>
                <w:rFonts w:ascii="Times New Roman" w:hAnsi="Times New Roman" w:cs="Times New Roman"/>
                <w:sz w:val="24"/>
                <w:szCs w:val="24"/>
              </w:rPr>
            </w:pPr>
            <w:r>
              <w:rPr>
                <w:rFonts w:ascii="Times New Roman" w:hAnsi="Times New Roman" w:cs="Times New Roman"/>
                <w:sz w:val="24"/>
                <w:szCs w:val="24"/>
              </w:rPr>
              <w:t>Robertshaw et al. (2023)</w:t>
            </w:r>
          </w:p>
        </w:tc>
        <w:tc>
          <w:tcPr>
            <w:tcW w:w="2423" w:type="dxa"/>
          </w:tcPr>
          <w:p w14:paraId="5F8ED6BE">
            <w:pPr>
              <w:spacing w:line="240" w:lineRule="auto"/>
              <w:rPr>
                <w:rFonts w:ascii="Times New Roman" w:hAnsi="Times New Roman" w:cs="Times New Roman"/>
                <w:sz w:val="24"/>
                <w:szCs w:val="24"/>
              </w:rPr>
            </w:pPr>
            <w:r>
              <w:rPr>
                <w:rFonts w:ascii="Times New Roman" w:hAnsi="Times New Roman" w:cs="Times New Roman"/>
                <w:sz w:val="24"/>
                <w:szCs w:val="24"/>
              </w:rPr>
              <w:t>BIM-IoT / Digital Twins</w:t>
            </w:r>
          </w:p>
        </w:tc>
        <w:tc>
          <w:tcPr>
            <w:tcW w:w="3699" w:type="dxa"/>
          </w:tcPr>
          <w:p w14:paraId="05D12CAA">
            <w:pPr>
              <w:spacing w:line="240" w:lineRule="auto"/>
              <w:rPr>
                <w:rFonts w:ascii="Times New Roman" w:hAnsi="Times New Roman" w:cs="Times New Roman"/>
                <w:sz w:val="24"/>
                <w:szCs w:val="24"/>
              </w:rPr>
            </w:pPr>
            <w:r>
              <w:rPr>
                <w:rFonts w:ascii="Times New Roman" w:hAnsi="Times New Roman" w:cs="Times New Roman"/>
                <w:sz w:val="24"/>
                <w:szCs w:val="24"/>
              </w:rPr>
              <w:t>Digital twins enable predictive maintenance and real-time asset condition monitoring</w:t>
            </w:r>
          </w:p>
        </w:tc>
        <w:tc>
          <w:tcPr>
            <w:tcW w:w="1989" w:type="dxa"/>
          </w:tcPr>
          <w:p w14:paraId="44AB2FFA">
            <w:pPr>
              <w:spacing w:line="240" w:lineRule="auto"/>
              <w:rPr>
                <w:rFonts w:ascii="Times New Roman" w:hAnsi="Times New Roman" w:cs="Times New Roman"/>
                <w:sz w:val="24"/>
                <w:szCs w:val="24"/>
              </w:rPr>
            </w:pPr>
            <w:r>
              <w:rPr>
                <w:rFonts w:ascii="Times New Roman" w:hAnsi="Times New Roman" w:cs="Times New Roman"/>
                <w:sz w:val="24"/>
                <w:szCs w:val="24"/>
              </w:rPr>
              <w:t>REQ-LV-03: Digital twin integration</w:t>
            </w:r>
          </w:p>
        </w:tc>
      </w:tr>
      <w:tr w14:paraId="76CEA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2550" w:type="dxa"/>
          </w:tcPr>
          <w:p w14:paraId="522E7324">
            <w:pPr>
              <w:spacing w:line="240" w:lineRule="auto"/>
              <w:rPr>
                <w:rFonts w:ascii="Times New Roman" w:hAnsi="Times New Roman" w:cs="Times New Roman"/>
                <w:sz w:val="24"/>
                <w:szCs w:val="24"/>
              </w:rPr>
            </w:pPr>
            <w:r>
              <w:rPr>
                <w:rFonts w:ascii="Times New Roman" w:hAnsi="Times New Roman" w:cs="Times New Roman"/>
                <w:sz w:val="24"/>
                <w:szCs w:val="24"/>
              </w:rPr>
              <w:t>Alhamami et al. (2020)</w:t>
            </w:r>
          </w:p>
        </w:tc>
        <w:tc>
          <w:tcPr>
            <w:tcW w:w="2423" w:type="dxa"/>
          </w:tcPr>
          <w:p w14:paraId="5B041C18">
            <w:pPr>
              <w:spacing w:line="240" w:lineRule="auto"/>
              <w:rPr>
                <w:rFonts w:ascii="Times New Roman" w:hAnsi="Times New Roman" w:cs="Times New Roman"/>
                <w:sz w:val="24"/>
                <w:szCs w:val="24"/>
              </w:rPr>
            </w:pPr>
            <w:r>
              <w:rPr>
                <w:rFonts w:ascii="Times New Roman" w:hAnsi="Times New Roman" w:cs="Times New Roman"/>
                <w:sz w:val="24"/>
                <w:szCs w:val="24"/>
              </w:rPr>
              <w:t>BIM Education / Workforce</w:t>
            </w:r>
          </w:p>
        </w:tc>
        <w:tc>
          <w:tcPr>
            <w:tcW w:w="3699" w:type="dxa"/>
          </w:tcPr>
          <w:p w14:paraId="47B6B3C3">
            <w:pPr>
              <w:spacing w:line="240" w:lineRule="auto"/>
              <w:rPr>
                <w:rFonts w:ascii="Times New Roman" w:hAnsi="Times New Roman" w:cs="Times New Roman"/>
                <w:sz w:val="24"/>
                <w:szCs w:val="24"/>
              </w:rPr>
            </w:pPr>
            <w:r>
              <w:rPr>
                <w:rFonts w:ascii="Times New Roman" w:hAnsi="Times New Roman" w:cs="Times New Roman"/>
                <w:sz w:val="24"/>
                <w:szCs w:val="24"/>
              </w:rPr>
              <w:t>Skills gap limits BIM adoption; adapted training required for sustainability strategies</w:t>
            </w:r>
          </w:p>
        </w:tc>
        <w:tc>
          <w:tcPr>
            <w:tcW w:w="1989" w:type="dxa"/>
          </w:tcPr>
          <w:p w14:paraId="471B2106">
            <w:pPr>
              <w:spacing w:line="240" w:lineRule="auto"/>
              <w:rPr>
                <w:rFonts w:ascii="Times New Roman" w:hAnsi="Times New Roman" w:cs="Times New Roman"/>
                <w:sz w:val="24"/>
                <w:szCs w:val="24"/>
              </w:rPr>
            </w:pPr>
            <w:r>
              <w:rPr>
                <w:rFonts w:ascii="Times New Roman" w:hAnsi="Times New Roman" w:cs="Times New Roman"/>
                <w:sz w:val="24"/>
                <w:szCs w:val="24"/>
              </w:rPr>
              <w:t>REQ-LV-04: Human-layer constraint</w:t>
            </w:r>
          </w:p>
        </w:tc>
      </w:tr>
    </w:tbl>
    <w:p w14:paraId="71D7B5C6">
      <w:pPr>
        <w:spacing w:before="60" w:after="180" w:line="240" w:lineRule="auto"/>
        <w:jc w:val="center"/>
        <w:rPr>
          <w:rFonts w:ascii="Times New Roman" w:hAnsi="Times New Roman" w:cs="Times New Roman"/>
          <w:sz w:val="24"/>
          <w:szCs w:val="24"/>
        </w:rPr>
      </w:pPr>
      <w:r>
        <w:rPr>
          <w:rFonts w:ascii="Times New Roman" w:hAnsi="Times New Roman" w:cs="Times New Roman"/>
          <w:sz w:val="24"/>
          <w:szCs w:val="24"/>
        </w:rPr>
        <w:t>REQ-LV = Lifecycle Visibility Requirement.</w:t>
      </w:r>
    </w:p>
    <w:p w14:paraId="7B655FF1">
      <w:pPr>
        <w:spacing w:before="60" w:after="60" w:line="240" w:lineRule="auto"/>
        <w:jc w:val="both"/>
        <w:rPr>
          <w:rFonts w:ascii="Times New Roman" w:hAnsi="Times New Roman" w:cs="Times New Roman"/>
          <w:sz w:val="24"/>
          <w:szCs w:val="24"/>
        </w:rPr>
      </w:pPr>
      <w:r>
        <w:rPr>
          <w:rFonts w:ascii="Times New Roman" w:hAnsi="Times New Roman" w:cs="Times New Roman"/>
          <w:sz w:val="24"/>
          <w:szCs w:val="24"/>
        </w:rPr>
        <w:t>While Figure 4.1 presents evidence at the level of individual studies, it does not capture the broader distributional patterns across the literature. To address this limitation, a cross-study frequency analysis was conducted based on the full SLR corpus (n = 102), enabling the identification of dominant and emerging technology clusters within lifecycle visibility research. This aggregated perspective provides a higher-level understanding of how different technologies are represented across studies, and highlights their relative maturity and adoption within circular SCM architectures.</w:t>
      </w:r>
    </w:p>
    <w:p w14:paraId="7B1E99DB">
      <w:pPr>
        <w:spacing w:before="180" w:after="240" w:line="240" w:lineRule="auto"/>
        <w:rPr>
          <w:rFonts w:ascii="Times New Roman" w:hAnsi="Times New Roman" w:cs="Times New Roman"/>
          <w:sz w:val="24"/>
          <w:szCs w:val="24"/>
        </w:rPr>
      </w:pPr>
      <w:r>
        <w:rPr>
          <w:rFonts w:ascii="Times New Roman" w:hAnsi="Times New Roman" w:cs="Times New Roman"/>
          <w:b/>
          <w:bCs/>
          <w:sz w:val="24"/>
          <w:szCs w:val="24"/>
        </w:rPr>
        <w:t>Figure 4.1: Frequency of Lifecycle Visibility Technologies Cited Across SLR Corpus (n=102)</w:t>
      </w:r>
    </w:p>
    <w:tbl>
      <w:tblPr>
        <w:tblStyle w:val="14"/>
        <w:tblW w:w="106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7"/>
        <w:gridCol w:w="7199"/>
        <w:gridCol w:w="1230"/>
      </w:tblGrid>
      <w:tr w14:paraId="17688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207" w:type="dxa"/>
          </w:tcPr>
          <w:p w14:paraId="600169C2">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Technology</w:t>
            </w:r>
          </w:p>
        </w:tc>
        <w:tc>
          <w:tcPr>
            <w:tcW w:w="7199" w:type="dxa"/>
          </w:tcPr>
          <w:p w14:paraId="3143136A">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Distribution</w:t>
            </w:r>
          </w:p>
        </w:tc>
        <w:tc>
          <w:tcPr>
            <w:tcW w:w="1230" w:type="dxa"/>
          </w:tcPr>
          <w:p w14:paraId="754C9E79">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Value</w:t>
            </w:r>
          </w:p>
        </w:tc>
      </w:tr>
      <w:tr w14:paraId="7E17D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2207" w:type="dxa"/>
          </w:tcPr>
          <w:p w14:paraId="201F9FF0">
            <w:pPr>
              <w:spacing w:line="240" w:lineRule="auto"/>
              <w:rPr>
                <w:rFonts w:ascii="Times New Roman" w:hAnsi="Times New Roman" w:cs="Times New Roman"/>
                <w:sz w:val="24"/>
                <w:szCs w:val="24"/>
              </w:rPr>
            </w:pPr>
            <w:r>
              <w:rPr>
                <w:rFonts w:ascii="Times New Roman" w:hAnsi="Times New Roman" w:cs="Times New Roman"/>
                <w:sz w:val="24"/>
                <w:szCs w:val="24"/>
              </w:rPr>
              <w:t>BIM / Digital Twins</w:t>
            </w:r>
          </w:p>
        </w:tc>
        <w:tc>
          <w:tcPr>
            <w:tcW w:w="7199" w:type="dxa"/>
          </w:tcPr>
          <w:p w14:paraId="78477707">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30" w:type="dxa"/>
          </w:tcPr>
          <w:p w14:paraId="68AE3443">
            <w:pPr>
              <w:spacing w:line="240" w:lineRule="auto"/>
              <w:jc w:val="center"/>
              <w:rPr>
                <w:rFonts w:ascii="Times New Roman" w:hAnsi="Times New Roman" w:cs="Times New Roman"/>
                <w:sz w:val="24"/>
                <w:szCs w:val="24"/>
              </w:rPr>
            </w:pPr>
            <w:r>
              <w:rPr>
                <w:rFonts w:ascii="Times New Roman" w:hAnsi="Times New Roman" w:cs="Times New Roman"/>
                <w:sz w:val="24"/>
                <w:szCs w:val="24"/>
              </w:rPr>
              <w:t>74%</w:t>
            </w:r>
          </w:p>
        </w:tc>
      </w:tr>
      <w:tr w14:paraId="618B3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2207" w:type="dxa"/>
          </w:tcPr>
          <w:p w14:paraId="74A33922">
            <w:pPr>
              <w:spacing w:line="240" w:lineRule="auto"/>
              <w:rPr>
                <w:rFonts w:ascii="Times New Roman" w:hAnsi="Times New Roman" w:cs="Times New Roman"/>
                <w:sz w:val="24"/>
                <w:szCs w:val="24"/>
              </w:rPr>
            </w:pPr>
            <w:r>
              <w:rPr>
                <w:rFonts w:ascii="Times New Roman" w:hAnsi="Times New Roman" w:cs="Times New Roman"/>
                <w:sz w:val="24"/>
                <w:szCs w:val="24"/>
              </w:rPr>
              <w:t>IoT / RFID / NFC</w:t>
            </w:r>
          </w:p>
        </w:tc>
        <w:tc>
          <w:tcPr>
            <w:tcW w:w="7199" w:type="dxa"/>
          </w:tcPr>
          <w:p w14:paraId="34D3CFA7">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30" w:type="dxa"/>
          </w:tcPr>
          <w:p w14:paraId="3CD20EB6">
            <w:pPr>
              <w:spacing w:line="240" w:lineRule="auto"/>
              <w:jc w:val="center"/>
              <w:rPr>
                <w:rFonts w:ascii="Times New Roman" w:hAnsi="Times New Roman" w:cs="Times New Roman"/>
                <w:sz w:val="24"/>
                <w:szCs w:val="24"/>
              </w:rPr>
            </w:pPr>
            <w:r>
              <w:rPr>
                <w:rFonts w:ascii="Times New Roman" w:hAnsi="Times New Roman" w:cs="Times New Roman"/>
                <w:sz w:val="24"/>
                <w:szCs w:val="24"/>
              </w:rPr>
              <w:t>68%</w:t>
            </w:r>
          </w:p>
        </w:tc>
      </w:tr>
      <w:tr w14:paraId="1CF6C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2207" w:type="dxa"/>
          </w:tcPr>
          <w:p w14:paraId="35905EF1">
            <w:pPr>
              <w:spacing w:line="240" w:lineRule="auto"/>
              <w:rPr>
                <w:rFonts w:ascii="Times New Roman" w:hAnsi="Times New Roman" w:cs="Times New Roman"/>
                <w:sz w:val="24"/>
                <w:szCs w:val="24"/>
              </w:rPr>
            </w:pPr>
            <w:r>
              <w:rPr>
                <w:rFonts w:ascii="Times New Roman" w:hAnsi="Times New Roman" w:cs="Times New Roman"/>
                <w:sz w:val="24"/>
                <w:szCs w:val="24"/>
              </w:rPr>
              <w:t>AI / Predictive Analytics</w:t>
            </w:r>
          </w:p>
        </w:tc>
        <w:tc>
          <w:tcPr>
            <w:tcW w:w="7199" w:type="dxa"/>
          </w:tcPr>
          <w:p w14:paraId="7E972029">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30" w:type="dxa"/>
          </w:tcPr>
          <w:p w14:paraId="06B9B238">
            <w:pPr>
              <w:spacing w:line="240" w:lineRule="auto"/>
              <w:jc w:val="center"/>
              <w:rPr>
                <w:rFonts w:ascii="Times New Roman" w:hAnsi="Times New Roman" w:cs="Times New Roman"/>
                <w:sz w:val="24"/>
                <w:szCs w:val="24"/>
              </w:rPr>
            </w:pPr>
            <w:r>
              <w:rPr>
                <w:rFonts w:ascii="Times New Roman" w:hAnsi="Times New Roman" w:cs="Times New Roman"/>
                <w:sz w:val="24"/>
                <w:szCs w:val="24"/>
              </w:rPr>
              <w:t>52%</w:t>
            </w:r>
          </w:p>
        </w:tc>
      </w:tr>
      <w:tr w14:paraId="160AC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2207" w:type="dxa"/>
          </w:tcPr>
          <w:p w14:paraId="418D65ED">
            <w:pPr>
              <w:spacing w:line="240" w:lineRule="auto"/>
              <w:rPr>
                <w:rFonts w:ascii="Times New Roman" w:hAnsi="Times New Roman" w:cs="Times New Roman"/>
                <w:sz w:val="24"/>
                <w:szCs w:val="24"/>
              </w:rPr>
            </w:pPr>
            <w:r>
              <w:rPr>
                <w:rFonts w:ascii="Times New Roman" w:hAnsi="Times New Roman" w:cs="Times New Roman"/>
                <w:sz w:val="24"/>
                <w:szCs w:val="24"/>
              </w:rPr>
              <w:t>Blockchain / DLT</w:t>
            </w:r>
          </w:p>
        </w:tc>
        <w:tc>
          <w:tcPr>
            <w:tcW w:w="7199" w:type="dxa"/>
          </w:tcPr>
          <w:p w14:paraId="688C13E1">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30" w:type="dxa"/>
          </w:tcPr>
          <w:p w14:paraId="60E39652">
            <w:pPr>
              <w:spacing w:line="240" w:lineRule="auto"/>
              <w:jc w:val="center"/>
              <w:rPr>
                <w:rFonts w:ascii="Times New Roman" w:hAnsi="Times New Roman" w:cs="Times New Roman"/>
                <w:sz w:val="24"/>
                <w:szCs w:val="24"/>
              </w:rPr>
            </w:pPr>
            <w:r>
              <w:rPr>
                <w:rFonts w:ascii="Times New Roman" w:hAnsi="Times New Roman" w:cs="Times New Roman"/>
                <w:sz w:val="24"/>
                <w:szCs w:val="24"/>
              </w:rPr>
              <w:t>61%</w:t>
            </w:r>
          </w:p>
        </w:tc>
      </w:tr>
      <w:tr w14:paraId="6BAD0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2207" w:type="dxa"/>
          </w:tcPr>
          <w:p w14:paraId="3611B3AC">
            <w:pPr>
              <w:spacing w:line="240" w:lineRule="auto"/>
              <w:rPr>
                <w:rFonts w:ascii="Times New Roman" w:hAnsi="Times New Roman" w:cs="Times New Roman"/>
                <w:sz w:val="24"/>
                <w:szCs w:val="24"/>
              </w:rPr>
            </w:pPr>
            <w:r>
              <w:rPr>
                <w:rFonts w:ascii="Times New Roman" w:hAnsi="Times New Roman" w:cs="Times New Roman"/>
                <w:sz w:val="24"/>
                <w:szCs w:val="24"/>
              </w:rPr>
              <w:t>Digital Product Passports</w:t>
            </w:r>
          </w:p>
        </w:tc>
        <w:tc>
          <w:tcPr>
            <w:tcW w:w="7199" w:type="dxa"/>
          </w:tcPr>
          <w:p w14:paraId="602696FD">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30" w:type="dxa"/>
          </w:tcPr>
          <w:p w14:paraId="437B4904">
            <w:pPr>
              <w:spacing w:line="240" w:lineRule="auto"/>
              <w:jc w:val="center"/>
              <w:rPr>
                <w:rFonts w:ascii="Times New Roman" w:hAnsi="Times New Roman" w:cs="Times New Roman"/>
                <w:sz w:val="24"/>
                <w:szCs w:val="24"/>
              </w:rPr>
            </w:pPr>
            <w:r>
              <w:rPr>
                <w:rFonts w:ascii="Times New Roman" w:hAnsi="Times New Roman" w:cs="Times New Roman"/>
                <w:sz w:val="24"/>
                <w:szCs w:val="24"/>
              </w:rPr>
              <w:t>38%</w:t>
            </w:r>
          </w:p>
        </w:tc>
      </w:tr>
    </w:tbl>
    <w:p w14:paraId="68140C04">
      <w:pPr>
        <w:spacing w:before="60" w:after="180" w:line="240" w:lineRule="auto"/>
        <w:jc w:val="center"/>
        <w:rPr>
          <w:rFonts w:ascii="Times New Roman" w:hAnsi="Times New Roman" w:cs="Times New Roman"/>
          <w:sz w:val="24"/>
          <w:szCs w:val="24"/>
        </w:rPr>
      </w:pPr>
      <w:r>
        <w:rPr>
          <w:rFonts w:ascii="Times New Roman" w:hAnsi="Times New Roman" w:cs="Times New Roman"/>
          <w:sz w:val="24"/>
          <w:szCs w:val="24"/>
        </w:rPr>
        <w:t>Values represent percentage of the 102 sources that discuss each technology in a lifecycle visibility context. Source: Authors’ coding.</w:t>
      </w:r>
    </w:p>
    <w:p w14:paraId="641DE82B">
      <w:pPr>
        <w:spacing w:before="240" w:after="240" w:line="240" w:lineRule="auto"/>
        <w:jc w:val="both"/>
        <w:rPr>
          <w:rFonts w:ascii="Times New Roman" w:hAnsi="Times New Roman" w:cs="Times New Roman"/>
          <w:sz w:val="24"/>
          <w:szCs w:val="24"/>
          <w:lang w:val="en-MY"/>
        </w:rPr>
      </w:pPr>
      <w:r>
        <w:rPr>
          <w:rFonts w:ascii="Times New Roman" w:hAnsi="Times New Roman" w:cs="Times New Roman"/>
          <w:sz w:val="24"/>
          <w:szCs w:val="24"/>
          <w:lang w:val="en-MY"/>
        </w:rPr>
        <w:t>Beyond presenting distributional evidence, Figure 4.4 provides a deeper indication of the maturity and functional stratification of lifecycle visibility technologies within circular SCM research. BIM and digital twin technologies (74%) dominate the literature, reflecting their established role as structural and simulation foundations for lifecycle modelling. IoT, RFID, and NFC technologies (68%) closely follow, reinforcing their position as primary enablers of real-time data acquisition from physical assets.</w:t>
      </w:r>
    </w:p>
    <w:p w14:paraId="6A6096FB">
      <w:pPr>
        <w:spacing w:before="240" w:after="240" w:line="240" w:lineRule="auto"/>
        <w:jc w:val="both"/>
        <w:rPr>
          <w:rFonts w:ascii="Times New Roman" w:hAnsi="Times New Roman" w:cs="Times New Roman"/>
          <w:sz w:val="24"/>
          <w:szCs w:val="24"/>
          <w:lang w:val="en-MY"/>
        </w:rPr>
      </w:pPr>
      <w:r>
        <w:rPr>
          <w:rFonts w:ascii="Times New Roman" w:hAnsi="Times New Roman" w:cs="Times New Roman"/>
          <w:sz w:val="24"/>
          <w:szCs w:val="24"/>
          <w:lang w:val="en-MY"/>
        </w:rPr>
        <w:t>In comparison, blockchain and distributed ledger technologies (61%) occupy a secondary but still substantial position, indicating their importance in trust, verification, and auditability, while remaining dependent on upstream sensing and modelling infrastructures. AI and predictive analytics (52%) represent a mid-stage capability, increasingly used for optimisation and forecasting but not yet universally embedded in lifecycle systems. Digital product passports (38%) show the lowest adoption, suggesting a conceptual-to-implementation gap where policy-driven circular economy instruments have not yet fully matured into widely deployed technical standards.</w:t>
      </w:r>
    </w:p>
    <w:p w14:paraId="168D0177">
      <w:pPr>
        <w:spacing w:before="240" w:after="240" w:line="240" w:lineRule="auto"/>
        <w:jc w:val="both"/>
        <w:rPr>
          <w:rFonts w:ascii="Times New Roman" w:hAnsi="Times New Roman" w:cs="Times New Roman"/>
          <w:sz w:val="24"/>
          <w:szCs w:val="24"/>
          <w:lang w:val="en-MY"/>
        </w:rPr>
      </w:pPr>
      <w:r>
        <w:rPr>
          <w:rFonts w:ascii="Times New Roman" w:hAnsi="Times New Roman" w:cs="Times New Roman"/>
          <w:sz w:val="24"/>
          <w:szCs w:val="24"/>
          <w:lang w:val="en-MY"/>
        </w:rPr>
        <w:t>Overall, the distribution confirms that lifecycle visibility is not enabled by a single dominant technology but instead emerges from a layered ecosystem of sensing, modelling, verification, and intelligence capabilities operating at different stages of maturity and integration.</w:t>
      </w:r>
    </w:p>
    <w:p w14:paraId="3A7DE362">
      <w:pPr>
        <w:spacing w:before="240" w:after="240" w:line="240" w:lineRule="auto"/>
        <w:jc w:val="both"/>
        <w:rPr>
          <w:rFonts w:ascii="Times New Roman" w:hAnsi="Times New Roman" w:cs="Times New Roman"/>
          <w:sz w:val="24"/>
          <w:szCs w:val="24"/>
          <w:lang w:val="en-MY"/>
        </w:rPr>
      </w:pPr>
      <w:r>
        <w:rPr>
          <w:rFonts w:ascii="Times New Roman" w:hAnsi="Times New Roman" w:cs="Times New Roman"/>
          <w:sz w:val="24"/>
          <w:szCs w:val="24"/>
          <w:lang w:val="en-MY"/>
        </w:rPr>
        <w:t>The literature therefore suggests that effective lifecycle visibility architectures require the concurrent integration of BIM, IoT, AI, and digital twin technologies. No single technology is sufficient: BIM provides the structured data schema, IoT supplies live sensing, AI enables predictive modelling, and digital twins provide a dynamic simulation environment. Together, these technologies transform lifecycle visibility from passive record-keeping into active decision support for circularity. Within the MBSE framework, this requirement is captured through Activity Diagrams for deconstruction and recycling processes, and Parametric Diagrams for lifecycle forecasting models.</w:t>
      </w:r>
    </w:p>
    <w:p w14:paraId="0A890670">
      <w:pPr>
        <w:spacing w:before="240" w:after="240" w:line="240" w:lineRule="auto"/>
        <w:jc w:val="both"/>
        <w:rPr>
          <w:rFonts w:ascii="Times New Roman" w:hAnsi="Times New Roman" w:cs="Times New Roman"/>
          <w:b/>
          <w:bCs/>
          <w:sz w:val="24"/>
          <w:szCs w:val="24"/>
        </w:rPr>
      </w:pPr>
      <w:r>
        <w:rPr>
          <w:rFonts w:ascii="Times New Roman" w:hAnsi="Times New Roman" w:cs="Times New Roman"/>
          <w:b/>
          <w:bCs/>
          <w:sz w:val="24"/>
          <w:szCs w:val="24"/>
        </w:rPr>
        <w:t>Interoperability and Standards</w:t>
      </w:r>
    </w:p>
    <w:p w14:paraId="45C8B660">
      <w:pPr>
        <w:spacing w:before="240" w:after="240" w:line="240" w:lineRule="auto"/>
        <w:jc w:val="both"/>
        <w:rPr>
          <w:rFonts w:ascii="Times New Roman" w:hAnsi="Times New Roman" w:cs="Times New Roman"/>
          <w:sz w:val="24"/>
          <w:szCs w:val="24"/>
        </w:rPr>
      </w:pPr>
      <w:r>
        <w:rPr>
          <w:rFonts w:ascii="Times New Roman" w:hAnsi="Times New Roman" w:cs="Times New Roman"/>
          <w:sz w:val="24"/>
          <w:szCs w:val="24"/>
        </w:rPr>
        <w:t>Interoperability remains one of the most persistent challenges in circular supply chain management due to the reliance on continuous information exchange across highly fragmented stakeholder networks. Unlike traditional linear supply chains, circular systems require manufacturers, logistics providers, recyclers, contractors, and regulatory bodies to share data across multiple lifecycle stages and heterogeneous technology platforms. In the absence of standardised communication mechanisms, information becomes isolated within organisational silos, thereby undermining traceability and lifecycle visibility capabilities.</w:t>
      </w:r>
    </w:p>
    <w:p w14:paraId="400969DA">
      <w:pPr>
        <w:spacing w:before="240" w:after="240" w:line="240" w:lineRule="auto"/>
        <w:jc w:val="both"/>
        <w:rPr>
          <w:rFonts w:ascii="Times New Roman" w:hAnsi="Times New Roman" w:cs="Times New Roman"/>
          <w:sz w:val="24"/>
          <w:szCs w:val="24"/>
          <w:lang w:val="en-MY"/>
        </w:rPr>
      </w:pPr>
      <w:r>
        <w:rPr>
          <w:rFonts w:ascii="Times New Roman" w:hAnsi="Times New Roman" w:cs="Times New Roman"/>
          <w:sz w:val="24"/>
          <w:szCs w:val="24"/>
          <w:lang w:val="en-MY"/>
        </w:rPr>
        <w:t>The literature consistently positions interoperability not merely as a technical compatibility issue, but as a structural requirement for enabling coordinated circular operations. Banerjee and Nayaka (2022) identify Industry Foundation Classes (IFC) and mvdXML as foundational BIM interoperability standards that facilitate automated model validation and cross-platform data exchange. IFC functions as a neutral and open data schema developed by buildingSMART, enabling model interoperability across platforms such as Autodesk Revit, Tekla, and ArchiCAD. Complementing this, mvdXML defines workflow-specific subsets of IFC information, allowing stakeholders to exchange only operationally relevant data rather than entire models. This selective exchange mechanism becomes particularly important in circular SCM environments where organisations may need access to material composition data without exposing proprietary design information.</w:t>
      </w:r>
    </w:p>
    <w:p w14:paraId="442E9607">
      <w:pPr>
        <w:spacing w:before="240" w:after="240" w:line="240" w:lineRule="auto"/>
        <w:jc w:val="both"/>
        <w:rPr>
          <w:rFonts w:ascii="Times New Roman" w:hAnsi="Times New Roman" w:cs="Times New Roman"/>
          <w:sz w:val="24"/>
          <w:szCs w:val="24"/>
          <w:lang w:val="en-MY"/>
        </w:rPr>
      </w:pPr>
      <w:r>
        <w:rPr>
          <w:rFonts w:ascii="Times New Roman" w:hAnsi="Times New Roman" w:cs="Times New Roman"/>
          <w:sz w:val="24"/>
          <w:szCs w:val="24"/>
          <w:lang w:val="en-MY"/>
        </w:rPr>
        <w:t>The importance of standardisation is further reinforced by Alhamami et al. (2018), who found that inconsistent implementation of interoperability standards contributes directly to data fragmentation and inefficient cross-platform coordination. A broader pattern emerging from the literature suggests that interoperability failures are rarely caused by the absence of technology itself; instead, they arise from incompatible data structures, inconsistent semantics, and isolated system architectures that prevent seamless communication between stakeholders.</w:t>
      </w:r>
    </w:p>
    <w:p w14:paraId="4A3E6F79">
      <w:pPr>
        <w:spacing w:before="240" w:after="240" w:line="240" w:lineRule="auto"/>
        <w:jc w:val="both"/>
        <w:rPr>
          <w:rFonts w:ascii="Times New Roman" w:hAnsi="Times New Roman" w:cs="Times New Roman"/>
          <w:sz w:val="24"/>
          <w:szCs w:val="24"/>
          <w:lang w:val="en-MY"/>
        </w:rPr>
      </w:pPr>
      <w:r>
        <w:rPr>
          <w:rFonts w:ascii="Times New Roman" w:hAnsi="Times New Roman" w:cs="Times New Roman"/>
          <w:sz w:val="24"/>
          <w:szCs w:val="24"/>
          <w:lang w:val="en-MY"/>
        </w:rPr>
        <w:t>At the network architecture level, the literature also demonstrates a transition away from traditional centralised integration models toward decentralised and federated communication structures. Sundmaeker et al. (2016) argue that hub-based architectures become increasingly ineffective within large-scale IoT ecosystems because they introduce scalability limitations and single points of failure. In contrast, decentralised peer-to-peer and federated network models distribute communication responsibilities across multiple nodes, improving resilience and scalability. Salzano et al. (2024) extend this perspective through blockchain-enabled architectures that allow organisations to maintain data sovereignty while selectively sharing cryptographic proofs for verification purposes. This is particularly relevant within circular SCM systems, where organisations often require collaboration without fully relinquishing control over proprietary operational data.</w:t>
      </w:r>
    </w:p>
    <w:p w14:paraId="58474222">
      <w:pPr>
        <w:spacing w:before="240" w:after="240" w:line="240" w:lineRule="auto"/>
        <w:jc w:val="both"/>
        <w:rPr>
          <w:rFonts w:ascii="Times New Roman" w:hAnsi="Times New Roman" w:cs="Times New Roman"/>
          <w:sz w:val="24"/>
          <w:szCs w:val="24"/>
          <w:lang w:val="en-MY"/>
        </w:rPr>
      </w:pPr>
      <w:r>
        <w:rPr>
          <w:rFonts w:ascii="Times New Roman" w:hAnsi="Times New Roman" w:cs="Times New Roman"/>
          <w:sz w:val="24"/>
          <w:szCs w:val="24"/>
          <w:lang w:val="en-MY"/>
        </w:rPr>
        <w:t>Table 4.6 illustrates the architectural distinction between traditional hub-and-spoke integration models and proposed federated interoperability architectures. The comparison demonstrates how decentralised structures better support circular SCM requirements by reducing bottlenecks, improving scalability, and enabling collaborative trust relationships across organisational boundaries.</w:t>
      </w:r>
    </w:p>
    <w:p w14:paraId="40C0EFA3">
      <w:pPr>
        <w:spacing w:before="240" w:after="240" w:line="240" w:lineRule="auto"/>
        <w:jc w:val="both"/>
        <w:rPr>
          <w:rFonts w:ascii="Times New Roman" w:hAnsi="Times New Roman" w:cs="Times New Roman"/>
          <w:sz w:val="24"/>
          <w:szCs w:val="24"/>
          <w:lang w:val="en-MY"/>
        </w:rPr>
      </w:pPr>
    </w:p>
    <w:p w14:paraId="44B61F86">
      <w:pPr>
        <w:spacing w:before="180" w:after="240" w:line="240" w:lineRule="auto"/>
        <w:rPr>
          <w:rFonts w:ascii="Times New Roman" w:hAnsi="Times New Roman" w:cs="Times New Roman"/>
          <w:sz w:val="24"/>
          <w:szCs w:val="24"/>
        </w:rPr>
      </w:pPr>
      <w:r>
        <w:rPr>
          <w:rFonts w:ascii="Times New Roman" w:hAnsi="Times New Roman" w:cs="Times New Roman"/>
          <w:b/>
          <w:bCs/>
          <w:sz w:val="24"/>
          <w:szCs w:val="24"/>
        </w:rPr>
        <w:t>Table 4.6: Interoperability Architecture Hub and Spoke vs. Federated Network Models</w:t>
      </w:r>
    </w:p>
    <w:tbl>
      <w:tblPr>
        <w:tblStyle w:val="14"/>
        <w:tblW w:w="107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0"/>
        <w:gridCol w:w="2288"/>
        <w:gridCol w:w="1836"/>
        <w:gridCol w:w="1625"/>
        <w:gridCol w:w="2701"/>
      </w:tblGrid>
      <w:tr w14:paraId="20F7B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2290" w:type="dxa"/>
          </w:tcPr>
          <w:p w14:paraId="19E43352">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Architecture Type</w:t>
            </w:r>
          </w:p>
        </w:tc>
        <w:tc>
          <w:tcPr>
            <w:tcW w:w="2288" w:type="dxa"/>
          </w:tcPr>
          <w:p w14:paraId="629189E2">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Structure</w:t>
            </w:r>
          </w:p>
        </w:tc>
        <w:tc>
          <w:tcPr>
            <w:tcW w:w="1836" w:type="dxa"/>
          </w:tcPr>
          <w:p w14:paraId="04638CAE">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Data Sovereignty</w:t>
            </w:r>
          </w:p>
        </w:tc>
        <w:tc>
          <w:tcPr>
            <w:tcW w:w="1625" w:type="dxa"/>
          </w:tcPr>
          <w:p w14:paraId="7A18A010">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Scalability</w:t>
            </w:r>
          </w:p>
        </w:tc>
        <w:tc>
          <w:tcPr>
            <w:tcW w:w="2701" w:type="dxa"/>
          </w:tcPr>
          <w:p w14:paraId="1DC17023">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Suitability for Circular SCM</w:t>
            </w:r>
          </w:p>
        </w:tc>
      </w:tr>
      <w:tr w14:paraId="065EE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 w:hRule="atLeast"/>
        </w:trPr>
        <w:tc>
          <w:tcPr>
            <w:tcW w:w="2290" w:type="dxa"/>
          </w:tcPr>
          <w:p w14:paraId="5B65D1CF">
            <w:pPr>
              <w:spacing w:line="240" w:lineRule="auto"/>
              <w:rPr>
                <w:rFonts w:ascii="Times New Roman" w:hAnsi="Times New Roman" w:cs="Times New Roman"/>
                <w:sz w:val="24"/>
                <w:szCs w:val="24"/>
              </w:rPr>
            </w:pPr>
            <w:r>
              <w:rPr>
                <w:rFonts w:ascii="Times New Roman" w:hAnsi="Times New Roman" w:cs="Times New Roman"/>
                <w:sz w:val="24"/>
                <w:szCs w:val="24"/>
              </w:rPr>
              <w:t>Hub-and-Spoke (Traditional)</w:t>
            </w:r>
          </w:p>
        </w:tc>
        <w:tc>
          <w:tcPr>
            <w:tcW w:w="2288" w:type="dxa"/>
          </w:tcPr>
          <w:p w14:paraId="6C2EE85C">
            <w:pPr>
              <w:spacing w:line="240" w:lineRule="auto"/>
              <w:rPr>
                <w:rFonts w:ascii="Times New Roman" w:hAnsi="Times New Roman" w:cs="Times New Roman"/>
                <w:sz w:val="24"/>
                <w:szCs w:val="24"/>
              </w:rPr>
            </w:pPr>
            <w:r>
              <w:rPr>
                <w:rFonts w:ascii="Times New Roman" w:hAnsi="Times New Roman" w:cs="Times New Roman"/>
                <w:sz w:val="24"/>
                <w:szCs w:val="24"/>
              </w:rPr>
              <w:t>Central ESB / ERP receives and distributes all data</w:t>
            </w:r>
          </w:p>
        </w:tc>
        <w:tc>
          <w:tcPr>
            <w:tcW w:w="1836" w:type="dxa"/>
          </w:tcPr>
          <w:p w14:paraId="5E94FC6B">
            <w:pPr>
              <w:spacing w:line="240" w:lineRule="auto"/>
              <w:rPr>
                <w:rFonts w:ascii="Times New Roman" w:hAnsi="Times New Roman" w:cs="Times New Roman"/>
                <w:sz w:val="24"/>
                <w:szCs w:val="24"/>
              </w:rPr>
            </w:pPr>
            <w:r>
              <w:rPr>
                <w:rFonts w:ascii="Times New Roman" w:hAnsi="Times New Roman" w:cs="Times New Roman"/>
                <w:sz w:val="24"/>
                <w:szCs w:val="24"/>
              </w:rPr>
              <w:t>Low – all data passes through central owner</w:t>
            </w:r>
          </w:p>
        </w:tc>
        <w:tc>
          <w:tcPr>
            <w:tcW w:w="1625" w:type="dxa"/>
          </w:tcPr>
          <w:p w14:paraId="14A47D66">
            <w:pPr>
              <w:spacing w:line="240" w:lineRule="auto"/>
              <w:rPr>
                <w:rFonts w:ascii="Times New Roman" w:hAnsi="Times New Roman" w:cs="Times New Roman"/>
                <w:sz w:val="24"/>
                <w:szCs w:val="24"/>
              </w:rPr>
            </w:pPr>
            <w:r>
              <w:rPr>
                <w:rFonts w:ascii="Times New Roman" w:hAnsi="Times New Roman" w:cs="Times New Roman"/>
                <w:sz w:val="24"/>
                <w:szCs w:val="24"/>
              </w:rPr>
              <w:t>Limited – hub is a bottleneck</w:t>
            </w:r>
          </w:p>
        </w:tc>
        <w:tc>
          <w:tcPr>
            <w:tcW w:w="2701" w:type="dxa"/>
          </w:tcPr>
          <w:p w14:paraId="056B7472">
            <w:pPr>
              <w:spacing w:line="240" w:lineRule="auto"/>
              <w:rPr>
                <w:rFonts w:ascii="Times New Roman" w:hAnsi="Times New Roman" w:cs="Times New Roman"/>
                <w:sz w:val="24"/>
                <w:szCs w:val="24"/>
              </w:rPr>
            </w:pPr>
            <w:r>
              <w:rPr>
                <w:rFonts w:ascii="Times New Roman" w:hAnsi="Times New Roman" w:cs="Times New Roman"/>
                <w:sz w:val="24"/>
                <w:szCs w:val="24"/>
              </w:rPr>
              <w:t>POOR – creates single point of failure; incompatible with multi-org trust needs</w:t>
            </w:r>
          </w:p>
        </w:tc>
      </w:tr>
      <w:tr w14:paraId="01FB4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5" w:hRule="atLeast"/>
        </w:trPr>
        <w:tc>
          <w:tcPr>
            <w:tcW w:w="2290" w:type="dxa"/>
          </w:tcPr>
          <w:p w14:paraId="0250FCE7">
            <w:pPr>
              <w:spacing w:line="240" w:lineRule="auto"/>
              <w:rPr>
                <w:rFonts w:ascii="Times New Roman" w:hAnsi="Times New Roman" w:cs="Times New Roman"/>
                <w:sz w:val="24"/>
                <w:szCs w:val="24"/>
              </w:rPr>
            </w:pPr>
            <w:r>
              <w:rPr>
                <w:rFonts w:ascii="Times New Roman" w:hAnsi="Times New Roman" w:cs="Times New Roman"/>
                <w:sz w:val="24"/>
                <w:szCs w:val="24"/>
              </w:rPr>
              <w:t>Federated Network (Proposed)</w:t>
            </w:r>
          </w:p>
        </w:tc>
        <w:tc>
          <w:tcPr>
            <w:tcW w:w="2288" w:type="dxa"/>
          </w:tcPr>
          <w:p w14:paraId="7802CF9B">
            <w:pPr>
              <w:spacing w:line="240" w:lineRule="auto"/>
              <w:rPr>
                <w:rFonts w:ascii="Times New Roman" w:hAnsi="Times New Roman" w:cs="Times New Roman"/>
                <w:sz w:val="24"/>
                <w:szCs w:val="24"/>
              </w:rPr>
            </w:pPr>
            <w:r>
              <w:rPr>
                <w:rFonts w:ascii="Times New Roman" w:hAnsi="Times New Roman" w:cs="Times New Roman"/>
                <w:sz w:val="24"/>
                <w:szCs w:val="24"/>
              </w:rPr>
              <w:t>Peer-to-peer nodes with shared standards (IFC, mvdXML, Sensor Thing API)</w:t>
            </w:r>
          </w:p>
        </w:tc>
        <w:tc>
          <w:tcPr>
            <w:tcW w:w="1836" w:type="dxa"/>
          </w:tcPr>
          <w:p w14:paraId="1EE3552A">
            <w:pPr>
              <w:spacing w:line="240" w:lineRule="auto"/>
              <w:rPr>
                <w:rFonts w:ascii="Times New Roman" w:hAnsi="Times New Roman" w:cs="Times New Roman"/>
                <w:sz w:val="24"/>
                <w:szCs w:val="24"/>
              </w:rPr>
            </w:pPr>
            <w:r>
              <w:rPr>
                <w:rFonts w:ascii="Times New Roman" w:hAnsi="Times New Roman" w:cs="Times New Roman"/>
                <w:sz w:val="24"/>
                <w:szCs w:val="24"/>
              </w:rPr>
              <w:t>High – each org controls its own data; shares cryptographic proofs only</w:t>
            </w:r>
          </w:p>
        </w:tc>
        <w:tc>
          <w:tcPr>
            <w:tcW w:w="1625" w:type="dxa"/>
          </w:tcPr>
          <w:p w14:paraId="1246ED60">
            <w:pPr>
              <w:spacing w:line="240" w:lineRule="auto"/>
              <w:rPr>
                <w:rFonts w:ascii="Times New Roman" w:hAnsi="Times New Roman" w:cs="Times New Roman"/>
                <w:sz w:val="24"/>
                <w:szCs w:val="24"/>
              </w:rPr>
            </w:pPr>
            <w:r>
              <w:rPr>
                <w:rFonts w:ascii="Times New Roman" w:hAnsi="Times New Roman" w:cs="Times New Roman"/>
                <w:sz w:val="24"/>
                <w:szCs w:val="24"/>
              </w:rPr>
              <w:t>High – nodes added without architectural redesign</w:t>
            </w:r>
          </w:p>
        </w:tc>
        <w:tc>
          <w:tcPr>
            <w:tcW w:w="2701" w:type="dxa"/>
          </w:tcPr>
          <w:p w14:paraId="460D296E">
            <w:pPr>
              <w:spacing w:line="240" w:lineRule="auto"/>
              <w:rPr>
                <w:rFonts w:ascii="Times New Roman" w:hAnsi="Times New Roman" w:cs="Times New Roman"/>
                <w:sz w:val="24"/>
                <w:szCs w:val="24"/>
              </w:rPr>
            </w:pPr>
            <w:r>
              <w:rPr>
                <w:rFonts w:ascii="Times New Roman" w:hAnsi="Times New Roman" w:cs="Times New Roman"/>
                <w:sz w:val="24"/>
                <w:szCs w:val="24"/>
              </w:rPr>
              <w:t>STRONG – supports competitive co-operation and decentralised trust</w:t>
            </w:r>
          </w:p>
        </w:tc>
      </w:tr>
    </w:tbl>
    <w:p w14:paraId="208F7F2E">
      <w:pPr>
        <w:spacing w:before="60" w:after="180" w:line="240" w:lineRule="auto"/>
        <w:jc w:val="center"/>
        <w:rPr>
          <w:rFonts w:ascii="Times New Roman" w:hAnsi="Times New Roman" w:cs="Times New Roman"/>
          <w:sz w:val="24"/>
          <w:szCs w:val="24"/>
        </w:rPr>
      </w:pPr>
      <w:r>
        <w:rPr>
          <w:rFonts w:ascii="Times New Roman" w:hAnsi="Times New Roman" w:cs="Times New Roman"/>
          <w:sz w:val="24"/>
          <w:szCs w:val="24"/>
        </w:rPr>
        <w:t>ESB = Enterprise Service Bus; ERP = Enterprise Resource Planning. Source: Authors’ synthesis from Sundmaeker et al. (2016) and Salzano et al. (2024).</w:t>
      </w:r>
    </w:p>
    <w:p w14:paraId="3C0EB858">
      <w:pPr>
        <w:spacing w:before="60" w:after="60" w:line="240" w:lineRule="auto"/>
        <w:jc w:val="both"/>
        <w:rPr>
          <w:rFonts w:ascii="Times New Roman" w:hAnsi="Times New Roman" w:cs="Times New Roman"/>
          <w:sz w:val="24"/>
          <w:szCs w:val="24"/>
        </w:rPr>
      </w:pPr>
      <w:r>
        <w:rPr>
          <w:rFonts w:ascii="Times New Roman" w:hAnsi="Times New Roman" w:cs="Times New Roman"/>
          <w:sz w:val="24"/>
          <w:szCs w:val="24"/>
        </w:rPr>
        <w:t>While Table 4.7 conceptualises interoperability at the architectural level, Table 4.3 identifies the specific standards and protocols most frequently associated with interoperable circular SCM systems within the SLR corpus. Together, these standards form the technical foundation enabling communication between BIM platforms, IoT infrastructures, blockchain systems, and enterprise applications.</w:t>
      </w:r>
    </w:p>
    <w:p w14:paraId="1BC2CE07">
      <w:pPr>
        <w:spacing w:before="180" w:after="240" w:line="240" w:lineRule="auto"/>
        <w:rPr>
          <w:rFonts w:ascii="Times New Roman" w:hAnsi="Times New Roman" w:cs="Times New Roman"/>
          <w:sz w:val="24"/>
          <w:szCs w:val="24"/>
        </w:rPr>
      </w:pPr>
      <w:r>
        <w:rPr>
          <w:rFonts w:ascii="Times New Roman" w:hAnsi="Times New Roman" w:cs="Times New Roman"/>
          <w:b/>
          <w:bCs/>
          <w:sz w:val="24"/>
          <w:szCs w:val="24"/>
        </w:rPr>
        <w:t>Table 4.7: Key Interoperability Standards Identified in the SLR Corpus</w:t>
      </w:r>
    </w:p>
    <w:tbl>
      <w:tblPr>
        <w:tblStyle w:val="14"/>
        <w:tblW w:w="107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20"/>
        <w:gridCol w:w="2203"/>
        <w:gridCol w:w="3516"/>
        <w:gridCol w:w="2240"/>
      </w:tblGrid>
      <w:tr w14:paraId="0ED80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2820" w:type="dxa"/>
          </w:tcPr>
          <w:p w14:paraId="1B66B604">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Standard / Protocol</w:t>
            </w:r>
          </w:p>
        </w:tc>
        <w:tc>
          <w:tcPr>
            <w:tcW w:w="2203" w:type="dxa"/>
          </w:tcPr>
          <w:p w14:paraId="4E617844">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Domain</w:t>
            </w:r>
          </w:p>
        </w:tc>
        <w:tc>
          <w:tcPr>
            <w:tcW w:w="3516" w:type="dxa"/>
          </w:tcPr>
          <w:p w14:paraId="0C4FA71E">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Function</w:t>
            </w:r>
          </w:p>
        </w:tc>
        <w:tc>
          <w:tcPr>
            <w:tcW w:w="2240" w:type="dxa"/>
          </w:tcPr>
          <w:p w14:paraId="66CAD847">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Relevant Source(s)</w:t>
            </w:r>
          </w:p>
        </w:tc>
      </w:tr>
      <w:tr w14:paraId="5AE07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4" w:hRule="atLeast"/>
        </w:trPr>
        <w:tc>
          <w:tcPr>
            <w:tcW w:w="2820" w:type="dxa"/>
          </w:tcPr>
          <w:p w14:paraId="10781CB0">
            <w:pPr>
              <w:spacing w:line="240" w:lineRule="auto"/>
              <w:rPr>
                <w:rFonts w:ascii="Times New Roman" w:hAnsi="Times New Roman" w:cs="Times New Roman"/>
                <w:sz w:val="24"/>
                <w:szCs w:val="24"/>
              </w:rPr>
            </w:pPr>
            <w:r>
              <w:rPr>
                <w:rFonts w:ascii="Times New Roman" w:hAnsi="Times New Roman" w:cs="Times New Roman"/>
                <w:sz w:val="24"/>
                <w:szCs w:val="24"/>
              </w:rPr>
              <w:t>IFC (ISO 16739)</w:t>
            </w:r>
          </w:p>
        </w:tc>
        <w:tc>
          <w:tcPr>
            <w:tcW w:w="2203" w:type="dxa"/>
          </w:tcPr>
          <w:p w14:paraId="6AF140AF">
            <w:pPr>
              <w:spacing w:line="240" w:lineRule="auto"/>
              <w:rPr>
                <w:rFonts w:ascii="Times New Roman" w:hAnsi="Times New Roman" w:cs="Times New Roman"/>
                <w:sz w:val="24"/>
                <w:szCs w:val="24"/>
              </w:rPr>
            </w:pPr>
            <w:r>
              <w:rPr>
                <w:rFonts w:ascii="Times New Roman" w:hAnsi="Times New Roman" w:cs="Times New Roman"/>
                <w:sz w:val="24"/>
                <w:szCs w:val="24"/>
              </w:rPr>
              <w:t>BIM / Construction</w:t>
            </w:r>
          </w:p>
        </w:tc>
        <w:tc>
          <w:tcPr>
            <w:tcW w:w="3516" w:type="dxa"/>
          </w:tcPr>
          <w:p w14:paraId="444B74FB">
            <w:pPr>
              <w:spacing w:line="240" w:lineRule="auto"/>
              <w:rPr>
                <w:rFonts w:ascii="Times New Roman" w:hAnsi="Times New Roman" w:cs="Times New Roman"/>
                <w:sz w:val="24"/>
                <w:szCs w:val="24"/>
              </w:rPr>
            </w:pPr>
            <w:r>
              <w:rPr>
                <w:rFonts w:ascii="Times New Roman" w:hAnsi="Times New Roman" w:cs="Times New Roman"/>
                <w:sz w:val="24"/>
                <w:szCs w:val="24"/>
              </w:rPr>
              <w:t>Neutral, open format for building and infrastructure model exchange across software platforms</w:t>
            </w:r>
          </w:p>
        </w:tc>
        <w:tc>
          <w:tcPr>
            <w:tcW w:w="2240" w:type="dxa"/>
          </w:tcPr>
          <w:p w14:paraId="1DD3A152">
            <w:pPr>
              <w:spacing w:line="240" w:lineRule="auto"/>
              <w:rPr>
                <w:rFonts w:ascii="Times New Roman" w:hAnsi="Times New Roman" w:cs="Times New Roman"/>
                <w:sz w:val="24"/>
                <w:szCs w:val="24"/>
              </w:rPr>
            </w:pPr>
            <w:r>
              <w:rPr>
                <w:rFonts w:ascii="Times New Roman" w:hAnsi="Times New Roman" w:cs="Times New Roman"/>
                <w:sz w:val="24"/>
                <w:szCs w:val="24"/>
              </w:rPr>
              <w:t>Banerjee &amp; Nayaka (2022); Alhamami et al. (2018)</w:t>
            </w:r>
          </w:p>
        </w:tc>
      </w:tr>
      <w:tr w14:paraId="385F1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2820" w:type="dxa"/>
          </w:tcPr>
          <w:p w14:paraId="71017166">
            <w:pPr>
              <w:spacing w:line="240" w:lineRule="auto"/>
              <w:rPr>
                <w:rFonts w:ascii="Times New Roman" w:hAnsi="Times New Roman" w:cs="Times New Roman"/>
                <w:sz w:val="24"/>
                <w:szCs w:val="24"/>
              </w:rPr>
            </w:pPr>
            <w:r>
              <w:rPr>
                <w:rFonts w:ascii="Times New Roman" w:hAnsi="Times New Roman" w:cs="Times New Roman"/>
                <w:sz w:val="24"/>
                <w:szCs w:val="24"/>
              </w:rPr>
              <w:t>mvdXML 1.1 (buildingSMART)</w:t>
            </w:r>
          </w:p>
        </w:tc>
        <w:tc>
          <w:tcPr>
            <w:tcW w:w="2203" w:type="dxa"/>
          </w:tcPr>
          <w:p w14:paraId="5F6843C0">
            <w:pPr>
              <w:spacing w:line="240" w:lineRule="auto"/>
              <w:rPr>
                <w:rFonts w:ascii="Times New Roman" w:hAnsi="Times New Roman" w:cs="Times New Roman"/>
                <w:sz w:val="24"/>
                <w:szCs w:val="24"/>
              </w:rPr>
            </w:pPr>
            <w:r>
              <w:rPr>
                <w:rFonts w:ascii="Times New Roman" w:hAnsi="Times New Roman" w:cs="Times New Roman"/>
                <w:sz w:val="24"/>
                <w:szCs w:val="24"/>
              </w:rPr>
              <w:t>BIM / Workflow</w:t>
            </w:r>
          </w:p>
        </w:tc>
        <w:tc>
          <w:tcPr>
            <w:tcW w:w="3516" w:type="dxa"/>
          </w:tcPr>
          <w:p w14:paraId="3DFBF398">
            <w:pPr>
              <w:spacing w:line="240" w:lineRule="auto"/>
              <w:rPr>
                <w:rFonts w:ascii="Times New Roman" w:hAnsi="Times New Roman" w:cs="Times New Roman"/>
                <w:sz w:val="24"/>
                <w:szCs w:val="24"/>
              </w:rPr>
            </w:pPr>
            <w:r>
              <w:rPr>
                <w:rFonts w:ascii="Times New Roman" w:hAnsi="Times New Roman" w:cs="Times New Roman"/>
                <w:sz w:val="24"/>
                <w:szCs w:val="24"/>
              </w:rPr>
              <w:t>Defines IFC model view requirements for specific workflows (e.g., structural analysis, deconstruction)</w:t>
            </w:r>
          </w:p>
        </w:tc>
        <w:tc>
          <w:tcPr>
            <w:tcW w:w="2240" w:type="dxa"/>
          </w:tcPr>
          <w:p w14:paraId="05BCD5B4">
            <w:pPr>
              <w:spacing w:line="240" w:lineRule="auto"/>
              <w:rPr>
                <w:rFonts w:ascii="Times New Roman" w:hAnsi="Times New Roman" w:cs="Times New Roman"/>
                <w:sz w:val="24"/>
                <w:szCs w:val="24"/>
              </w:rPr>
            </w:pPr>
            <w:r>
              <w:rPr>
                <w:rFonts w:ascii="Times New Roman" w:hAnsi="Times New Roman" w:cs="Times New Roman"/>
                <w:sz w:val="24"/>
                <w:szCs w:val="24"/>
              </w:rPr>
              <w:t>Banerjee &amp; Nayaka (2022)</w:t>
            </w:r>
          </w:p>
        </w:tc>
      </w:tr>
      <w:tr w14:paraId="70C0F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2820" w:type="dxa"/>
          </w:tcPr>
          <w:p w14:paraId="33477C71">
            <w:pPr>
              <w:spacing w:line="240" w:lineRule="auto"/>
              <w:rPr>
                <w:rFonts w:ascii="Times New Roman" w:hAnsi="Times New Roman" w:cs="Times New Roman"/>
                <w:sz w:val="24"/>
                <w:szCs w:val="24"/>
              </w:rPr>
            </w:pPr>
            <w:r>
              <w:rPr>
                <w:rFonts w:ascii="Times New Roman" w:hAnsi="Times New Roman" w:cs="Times New Roman"/>
                <w:sz w:val="24"/>
                <w:szCs w:val="24"/>
              </w:rPr>
              <w:t>MQTT / CoAP</w:t>
            </w:r>
          </w:p>
        </w:tc>
        <w:tc>
          <w:tcPr>
            <w:tcW w:w="2203" w:type="dxa"/>
          </w:tcPr>
          <w:p w14:paraId="587DBA37">
            <w:pPr>
              <w:spacing w:line="240" w:lineRule="auto"/>
              <w:rPr>
                <w:rFonts w:ascii="Times New Roman" w:hAnsi="Times New Roman" w:cs="Times New Roman"/>
                <w:sz w:val="24"/>
                <w:szCs w:val="24"/>
              </w:rPr>
            </w:pPr>
            <w:r>
              <w:rPr>
                <w:rFonts w:ascii="Times New Roman" w:hAnsi="Times New Roman" w:cs="Times New Roman"/>
                <w:sz w:val="24"/>
                <w:szCs w:val="24"/>
              </w:rPr>
              <w:t>IoT / Sensing</w:t>
            </w:r>
          </w:p>
        </w:tc>
        <w:tc>
          <w:tcPr>
            <w:tcW w:w="3516" w:type="dxa"/>
          </w:tcPr>
          <w:p w14:paraId="6A5DAE8A">
            <w:pPr>
              <w:spacing w:line="240" w:lineRule="auto"/>
              <w:rPr>
                <w:rFonts w:ascii="Times New Roman" w:hAnsi="Times New Roman" w:cs="Times New Roman"/>
                <w:sz w:val="24"/>
                <w:szCs w:val="24"/>
              </w:rPr>
            </w:pPr>
            <w:r>
              <w:rPr>
                <w:rFonts w:ascii="Times New Roman" w:hAnsi="Times New Roman" w:cs="Times New Roman"/>
                <w:sz w:val="24"/>
                <w:szCs w:val="24"/>
              </w:rPr>
              <w:t>Lightweight messaging protocols for constrained IoT devices in logistics and warehouse environments</w:t>
            </w:r>
          </w:p>
        </w:tc>
        <w:tc>
          <w:tcPr>
            <w:tcW w:w="2240" w:type="dxa"/>
          </w:tcPr>
          <w:p w14:paraId="26FDC6D1">
            <w:pPr>
              <w:spacing w:line="240" w:lineRule="auto"/>
              <w:rPr>
                <w:rFonts w:ascii="Times New Roman" w:hAnsi="Times New Roman" w:cs="Times New Roman"/>
                <w:sz w:val="24"/>
                <w:szCs w:val="24"/>
              </w:rPr>
            </w:pPr>
            <w:r>
              <w:rPr>
                <w:rFonts w:ascii="Times New Roman" w:hAnsi="Times New Roman" w:cs="Times New Roman"/>
                <w:sz w:val="24"/>
                <w:szCs w:val="24"/>
              </w:rPr>
              <w:t>Sundmaeker et al. (2016); Dave et al. (2016)</w:t>
            </w:r>
          </w:p>
        </w:tc>
      </w:tr>
      <w:tr w14:paraId="022EC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2820" w:type="dxa"/>
          </w:tcPr>
          <w:p w14:paraId="368B597A">
            <w:pPr>
              <w:spacing w:line="240" w:lineRule="auto"/>
              <w:rPr>
                <w:rFonts w:ascii="Times New Roman" w:hAnsi="Times New Roman" w:cs="Times New Roman"/>
                <w:sz w:val="24"/>
                <w:szCs w:val="24"/>
              </w:rPr>
            </w:pPr>
            <w:r>
              <w:rPr>
                <w:rFonts w:ascii="Times New Roman" w:hAnsi="Times New Roman" w:cs="Times New Roman"/>
                <w:sz w:val="24"/>
                <w:szCs w:val="24"/>
              </w:rPr>
              <w:t>OWL / Sensor Thing API</w:t>
            </w:r>
          </w:p>
        </w:tc>
        <w:tc>
          <w:tcPr>
            <w:tcW w:w="2203" w:type="dxa"/>
          </w:tcPr>
          <w:p w14:paraId="1AF47178">
            <w:pPr>
              <w:spacing w:line="240" w:lineRule="auto"/>
              <w:rPr>
                <w:rFonts w:ascii="Times New Roman" w:hAnsi="Times New Roman" w:cs="Times New Roman"/>
                <w:sz w:val="24"/>
                <w:szCs w:val="24"/>
              </w:rPr>
            </w:pPr>
            <w:r>
              <w:rPr>
                <w:rFonts w:ascii="Times New Roman" w:hAnsi="Times New Roman" w:cs="Times New Roman"/>
                <w:sz w:val="24"/>
                <w:szCs w:val="24"/>
              </w:rPr>
              <w:t>Semantic Interoperability</w:t>
            </w:r>
          </w:p>
        </w:tc>
        <w:tc>
          <w:tcPr>
            <w:tcW w:w="3516" w:type="dxa"/>
          </w:tcPr>
          <w:p w14:paraId="2EB1BB66">
            <w:pPr>
              <w:spacing w:line="240" w:lineRule="auto"/>
              <w:rPr>
                <w:rFonts w:ascii="Times New Roman" w:hAnsi="Times New Roman" w:cs="Times New Roman"/>
                <w:sz w:val="24"/>
                <w:szCs w:val="24"/>
              </w:rPr>
            </w:pPr>
            <w:r>
              <w:rPr>
                <w:rFonts w:ascii="Times New Roman" w:hAnsi="Times New Roman" w:cs="Times New Roman"/>
                <w:sz w:val="24"/>
                <w:szCs w:val="24"/>
              </w:rPr>
              <w:t>Ontologies enabling machine-readable data alignment across heterogeneous systems</w:t>
            </w:r>
          </w:p>
        </w:tc>
        <w:tc>
          <w:tcPr>
            <w:tcW w:w="2240" w:type="dxa"/>
          </w:tcPr>
          <w:p w14:paraId="736EF15F">
            <w:pPr>
              <w:spacing w:line="240" w:lineRule="auto"/>
              <w:rPr>
                <w:rFonts w:ascii="Times New Roman" w:hAnsi="Times New Roman" w:cs="Times New Roman"/>
                <w:sz w:val="24"/>
                <w:szCs w:val="24"/>
              </w:rPr>
            </w:pPr>
            <w:r>
              <w:rPr>
                <w:rFonts w:ascii="Times New Roman" w:hAnsi="Times New Roman" w:cs="Times New Roman"/>
                <w:sz w:val="24"/>
                <w:szCs w:val="24"/>
              </w:rPr>
              <w:t>Sundmaeker et al. (2016)</w:t>
            </w:r>
          </w:p>
        </w:tc>
      </w:tr>
      <w:tr w14:paraId="0D721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2820" w:type="dxa"/>
          </w:tcPr>
          <w:p w14:paraId="57BB2620">
            <w:pPr>
              <w:spacing w:line="240" w:lineRule="auto"/>
              <w:rPr>
                <w:rFonts w:ascii="Times New Roman" w:hAnsi="Times New Roman" w:cs="Times New Roman"/>
                <w:sz w:val="24"/>
                <w:szCs w:val="24"/>
              </w:rPr>
            </w:pPr>
            <w:r>
              <w:rPr>
                <w:rFonts w:ascii="Times New Roman" w:hAnsi="Times New Roman" w:cs="Times New Roman"/>
                <w:sz w:val="24"/>
                <w:szCs w:val="24"/>
              </w:rPr>
              <w:t>Hyperledger Fabric / R3 Corda</w:t>
            </w:r>
          </w:p>
        </w:tc>
        <w:tc>
          <w:tcPr>
            <w:tcW w:w="2203" w:type="dxa"/>
          </w:tcPr>
          <w:p w14:paraId="41B28513">
            <w:pPr>
              <w:spacing w:line="240" w:lineRule="auto"/>
              <w:rPr>
                <w:rFonts w:ascii="Times New Roman" w:hAnsi="Times New Roman" w:cs="Times New Roman"/>
                <w:sz w:val="24"/>
                <w:szCs w:val="24"/>
              </w:rPr>
            </w:pPr>
            <w:r>
              <w:rPr>
                <w:rFonts w:ascii="Times New Roman" w:hAnsi="Times New Roman" w:cs="Times New Roman"/>
                <w:sz w:val="24"/>
                <w:szCs w:val="24"/>
              </w:rPr>
              <w:t>Blockchain / Trust</w:t>
            </w:r>
          </w:p>
        </w:tc>
        <w:tc>
          <w:tcPr>
            <w:tcW w:w="3516" w:type="dxa"/>
          </w:tcPr>
          <w:p w14:paraId="78A80683">
            <w:pPr>
              <w:spacing w:line="240" w:lineRule="auto"/>
              <w:rPr>
                <w:rFonts w:ascii="Times New Roman" w:hAnsi="Times New Roman" w:cs="Times New Roman"/>
                <w:sz w:val="24"/>
                <w:szCs w:val="24"/>
              </w:rPr>
            </w:pPr>
            <w:r>
              <w:rPr>
                <w:rFonts w:ascii="Times New Roman" w:hAnsi="Times New Roman" w:cs="Times New Roman"/>
                <w:sz w:val="24"/>
                <w:szCs w:val="24"/>
              </w:rPr>
              <w:t>Permissioned DLT frameworks enabling shared business logic without single-entity governance</w:t>
            </w:r>
          </w:p>
        </w:tc>
        <w:tc>
          <w:tcPr>
            <w:tcW w:w="2240" w:type="dxa"/>
          </w:tcPr>
          <w:p w14:paraId="610EBCE9">
            <w:pPr>
              <w:spacing w:line="240" w:lineRule="auto"/>
              <w:rPr>
                <w:rFonts w:ascii="Times New Roman" w:hAnsi="Times New Roman" w:cs="Times New Roman"/>
                <w:sz w:val="24"/>
                <w:szCs w:val="24"/>
              </w:rPr>
            </w:pPr>
            <w:r>
              <w:rPr>
                <w:rFonts w:ascii="Times New Roman" w:hAnsi="Times New Roman" w:cs="Times New Roman"/>
                <w:sz w:val="24"/>
                <w:szCs w:val="24"/>
              </w:rPr>
              <w:t>Solanki et al. (2025); Azevedo et al. (2023)</w:t>
            </w:r>
          </w:p>
        </w:tc>
      </w:tr>
      <w:tr w14:paraId="75D0C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2820" w:type="dxa"/>
          </w:tcPr>
          <w:p w14:paraId="6C0635AF">
            <w:pPr>
              <w:spacing w:line="240" w:lineRule="auto"/>
              <w:rPr>
                <w:rFonts w:ascii="Times New Roman" w:hAnsi="Times New Roman" w:cs="Times New Roman"/>
                <w:sz w:val="24"/>
                <w:szCs w:val="24"/>
              </w:rPr>
            </w:pPr>
            <w:r>
              <w:rPr>
                <w:rFonts w:ascii="Times New Roman" w:hAnsi="Times New Roman" w:cs="Times New Roman"/>
                <w:sz w:val="24"/>
                <w:szCs w:val="24"/>
              </w:rPr>
              <w:t>REST / gRPC APIs</w:t>
            </w:r>
          </w:p>
        </w:tc>
        <w:tc>
          <w:tcPr>
            <w:tcW w:w="2203" w:type="dxa"/>
          </w:tcPr>
          <w:p w14:paraId="4546595C">
            <w:pPr>
              <w:spacing w:line="240" w:lineRule="auto"/>
              <w:rPr>
                <w:rFonts w:ascii="Times New Roman" w:hAnsi="Times New Roman" w:cs="Times New Roman"/>
                <w:sz w:val="24"/>
                <w:szCs w:val="24"/>
              </w:rPr>
            </w:pPr>
            <w:r>
              <w:rPr>
                <w:rFonts w:ascii="Times New Roman" w:hAnsi="Times New Roman" w:cs="Times New Roman"/>
                <w:sz w:val="24"/>
                <w:szCs w:val="24"/>
              </w:rPr>
              <w:t>System Integration</w:t>
            </w:r>
          </w:p>
        </w:tc>
        <w:tc>
          <w:tcPr>
            <w:tcW w:w="3516" w:type="dxa"/>
          </w:tcPr>
          <w:p w14:paraId="36DEEFB8">
            <w:pPr>
              <w:spacing w:line="240" w:lineRule="auto"/>
              <w:rPr>
                <w:rFonts w:ascii="Times New Roman" w:hAnsi="Times New Roman" w:cs="Times New Roman"/>
                <w:sz w:val="24"/>
                <w:szCs w:val="24"/>
              </w:rPr>
            </w:pPr>
            <w:r>
              <w:rPr>
                <w:rFonts w:ascii="Times New Roman" w:hAnsi="Times New Roman" w:cs="Times New Roman"/>
                <w:sz w:val="24"/>
                <w:szCs w:val="24"/>
              </w:rPr>
              <w:t>Interface standards for connecting WMS, blockchain, and BIM platforms</w:t>
            </w:r>
          </w:p>
        </w:tc>
        <w:tc>
          <w:tcPr>
            <w:tcW w:w="2240" w:type="dxa"/>
          </w:tcPr>
          <w:p w14:paraId="219F42C2">
            <w:pPr>
              <w:spacing w:line="240" w:lineRule="auto"/>
              <w:rPr>
                <w:rFonts w:ascii="Times New Roman" w:hAnsi="Times New Roman" w:cs="Times New Roman"/>
                <w:sz w:val="24"/>
                <w:szCs w:val="24"/>
              </w:rPr>
            </w:pPr>
            <w:r>
              <w:rPr>
                <w:rFonts w:ascii="Times New Roman" w:hAnsi="Times New Roman" w:cs="Times New Roman"/>
                <w:sz w:val="24"/>
                <w:szCs w:val="24"/>
              </w:rPr>
              <w:t>Baskaran &amp; Nguyen (2025)</w:t>
            </w:r>
          </w:p>
        </w:tc>
      </w:tr>
    </w:tbl>
    <w:p w14:paraId="65B9B5CB">
      <w:pPr>
        <w:spacing w:before="60" w:after="180" w:line="240" w:lineRule="auto"/>
        <w:jc w:val="center"/>
        <w:rPr>
          <w:rFonts w:ascii="Times New Roman" w:hAnsi="Times New Roman" w:cs="Times New Roman"/>
          <w:sz w:val="24"/>
          <w:szCs w:val="24"/>
        </w:rPr>
      </w:pPr>
      <w:r>
        <w:rPr>
          <w:rFonts w:ascii="Times New Roman" w:hAnsi="Times New Roman" w:cs="Times New Roman"/>
          <w:sz w:val="24"/>
          <w:szCs w:val="24"/>
        </w:rPr>
        <w:t>DLT = Distributed Ledger Technology; WMS = Warehouse Management System; OWL = Web Ontology Language.</w:t>
      </w:r>
    </w:p>
    <w:p w14:paraId="20800A7C">
      <w:pPr>
        <w:spacing w:before="60" w:after="60" w:line="240" w:lineRule="auto"/>
        <w:jc w:val="both"/>
        <w:rPr>
          <w:rFonts w:ascii="Times New Roman" w:hAnsi="Times New Roman" w:cs="Times New Roman"/>
          <w:sz w:val="24"/>
          <w:szCs w:val="24"/>
          <w:lang w:val="en-MY"/>
        </w:rPr>
      </w:pPr>
      <w:r>
        <w:rPr>
          <w:rFonts w:ascii="Times New Roman" w:hAnsi="Times New Roman" w:cs="Times New Roman"/>
          <w:sz w:val="24"/>
          <w:szCs w:val="24"/>
          <w:lang w:val="en-MY"/>
        </w:rPr>
        <w:t>A clear pattern emerging from Table 4.7 is that interoperability within circular SCM extends beyond simple file compatibility. Instead, the literature points toward a layered interoperability ecosystem comprising data standards (IFC), workflow specifications (mvdXML), communication protocols (MQTT / CoAP), semantic alignment mechanisms (OWL), distributed trust infrastructures (Hyperledger Fabric / R3 Corda), and application-level integration interfaces (REST / gRPC APIs). This indicates that interoperability must be approached as a multi-layer architectural capability rather than a standalone software feature.</w:t>
      </w:r>
    </w:p>
    <w:p w14:paraId="6B1EF370">
      <w:pPr>
        <w:spacing w:before="60" w:after="60" w:line="240" w:lineRule="auto"/>
        <w:jc w:val="both"/>
        <w:rPr>
          <w:rFonts w:ascii="Times New Roman" w:hAnsi="Times New Roman" w:cs="Times New Roman"/>
          <w:sz w:val="24"/>
          <w:szCs w:val="24"/>
          <w:lang w:val="en-MY"/>
        </w:rPr>
      </w:pPr>
    </w:p>
    <w:p w14:paraId="1D6DF8F7">
      <w:pPr>
        <w:spacing w:before="60" w:after="60" w:line="240" w:lineRule="auto"/>
        <w:jc w:val="both"/>
        <w:rPr>
          <w:rFonts w:ascii="Times New Roman" w:hAnsi="Times New Roman" w:cs="Times New Roman"/>
          <w:sz w:val="24"/>
          <w:szCs w:val="24"/>
          <w:lang w:val="en-MY"/>
        </w:rPr>
      </w:pPr>
      <w:r>
        <w:rPr>
          <w:rFonts w:ascii="Times New Roman" w:hAnsi="Times New Roman" w:cs="Times New Roman"/>
          <w:sz w:val="24"/>
          <w:szCs w:val="24"/>
          <w:lang w:val="en-MY"/>
        </w:rPr>
        <w:t>In turn, the literature suggests that future circular SCM architectures must prioritise standardisation, semantic consistency, and decentralised communication models to support scalable multi-stakeholder integration. Effective interoperability therefore depends not only on technical connectivity, but also on governance structures that balance information sharing with organisational autonomy. Within the MBSE framework, this requirement is represented through Block Definition Diagrams showing interface relationships between subsystems and Sequence Diagrams illustrating cross-platform data exchanges between BIM, IoT, blockchain, and enterprise systems.</w:t>
      </w:r>
    </w:p>
    <w:p w14:paraId="1EF4D727">
      <w:pPr>
        <w:spacing w:before="240" w:after="240" w:line="240" w:lineRule="auto"/>
        <w:jc w:val="both"/>
        <w:rPr>
          <w:rFonts w:ascii="Times New Roman" w:hAnsi="Times New Roman" w:cs="Times New Roman"/>
          <w:b/>
          <w:bCs/>
          <w:sz w:val="24"/>
          <w:szCs w:val="24"/>
        </w:rPr>
      </w:pPr>
      <w:r>
        <w:rPr>
          <w:rFonts w:ascii="Times New Roman" w:hAnsi="Times New Roman" w:cs="Times New Roman"/>
          <w:b/>
          <w:bCs/>
          <w:sz w:val="24"/>
          <w:szCs w:val="24"/>
        </w:rPr>
        <w:t>Security and Trust</w:t>
      </w:r>
    </w:p>
    <w:p w14:paraId="31EEA838">
      <w:pPr>
        <w:spacing w:before="240" w:after="240" w:line="240" w:lineRule="auto"/>
        <w:jc w:val="both"/>
        <w:rPr>
          <w:rFonts w:ascii="Times New Roman" w:hAnsi="Times New Roman" w:cs="Times New Roman"/>
          <w:sz w:val="24"/>
          <w:szCs w:val="24"/>
          <w:lang w:val="en-MY"/>
        </w:rPr>
      </w:pPr>
      <w:r>
        <w:rPr>
          <w:rFonts w:ascii="Times New Roman" w:hAnsi="Times New Roman" w:cs="Times New Roman"/>
          <w:sz w:val="24"/>
          <w:szCs w:val="24"/>
          <w:lang w:val="en-MY"/>
        </w:rPr>
        <w:t>Security and trust represent foundational architectural requirements in circular SCM systems because increasing digitalisation exposes supply chains to cybersecurity vulnerabilities, data privacy concerns, and operational risks. As discussed in Chapter I, the integration of IoT devices, cloud infrastructures, blockchain platforms, and cross-organisational data exchange mechanisms significantly expands the attack surface of modern SCM ecosystems (Sapra et al., 2022). These risks become even more pronounced within circular supply chains, where information frequently flows between multiple independent stakeholders, including manufacturers, recyclers, logistics providers, contractors, and regulatory agencies. In such environments, concerns regarding industrial espionage, data leakage, unauthorised access, and provenance manipulation become major barriers to collaboration and trust.</w:t>
      </w:r>
    </w:p>
    <w:p w14:paraId="2BB836E6">
      <w:pPr>
        <w:spacing w:before="240" w:after="240" w:line="240" w:lineRule="auto"/>
        <w:jc w:val="both"/>
        <w:rPr>
          <w:rFonts w:ascii="Times New Roman" w:hAnsi="Times New Roman" w:cs="Times New Roman"/>
          <w:sz w:val="24"/>
          <w:szCs w:val="24"/>
          <w:lang w:val="en-MY"/>
        </w:rPr>
      </w:pPr>
      <w:r>
        <w:rPr>
          <w:rFonts w:ascii="Times New Roman" w:hAnsi="Times New Roman" w:cs="Times New Roman"/>
          <w:sz w:val="24"/>
          <w:szCs w:val="24"/>
          <w:lang w:val="en-MY"/>
        </w:rPr>
        <w:t>The literature consistently frames security in circular SCM not only as a technical defence mechanism, but also as an operational enabler of inter-organisational trust. Sapra et al. (2022) identified IoT-enabled SCM environments as particularly vulnerable due to weak authentication protocols, unsecured communication channels, and the complexity of distributed device ecosystems. Their findings emphasise the importance of layered cybersecurity controls, including Transport Layer Security (TLS) for protecting data in transit, Advanced Encryption Standard (AES) for securing stored information, intrusion detection systems, and Security Information and Event Management (SIEM) frameworks for continuous monitoring and incident response. Without these protections, compromised IoT devices could inject false operational data into the system, such as incorrectly classifying hazardous waste as recyclable feedstock, thereby creating significant downstream safety and compliance risks.</w:t>
      </w:r>
    </w:p>
    <w:p w14:paraId="551EE521">
      <w:pPr>
        <w:spacing w:before="240" w:after="240" w:line="240" w:lineRule="auto"/>
        <w:jc w:val="both"/>
        <w:rPr>
          <w:rFonts w:ascii="Times New Roman" w:hAnsi="Times New Roman" w:cs="Times New Roman"/>
          <w:sz w:val="24"/>
          <w:szCs w:val="24"/>
          <w:lang w:val="en-MY"/>
        </w:rPr>
      </w:pPr>
      <w:r>
        <w:rPr>
          <w:rFonts w:ascii="Times New Roman" w:hAnsi="Times New Roman" w:cs="Times New Roman"/>
          <w:sz w:val="24"/>
          <w:szCs w:val="24"/>
          <w:lang w:val="en-MY"/>
        </w:rPr>
        <w:t>Alongside cybersecurity controls, blockchain technologies are increasingly positioned as trust-enabling infrastructures within circular SCM architectures. Azevedo et al. (2023) demonstrated that blockchain improves information integrity through immutable transaction recording mechanisms that prevent unauthorised modification of provenance data. Once custody transfers are cryptographically hashed and validated through distributed consensus protocols, retroactive tampering becomes computationally infeasible within properly governed permissioned blockchain environments. Salzano et al. (2024) further extend this argument by showing that decentralised trust architectures reduce fraud risks in multi-organisational ecosystems, particularly in applications involving sustainability certification, waste export validation, and conflict mineral compliance.</w:t>
      </w:r>
    </w:p>
    <w:p w14:paraId="1D48F915">
      <w:pPr>
        <w:spacing w:before="240" w:after="240" w:line="240" w:lineRule="auto"/>
        <w:jc w:val="both"/>
        <w:rPr>
          <w:rFonts w:ascii="Times New Roman" w:hAnsi="Times New Roman" w:cs="Times New Roman"/>
          <w:sz w:val="24"/>
          <w:szCs w:val="24"/>
          <w:lang w:val="en-MY"/>
        </w:rPr>
      </w:pPr>
      <w:r>
        <w:rPr>
          <w:rFonts w:ascii="Times New Roman" w:hAnsi="Times New Roman" w:cs="Times New Roman"/>
          <w:sz w:val="24"/>
          <w:szCs w:val="24"/>
          <w:lang w:val="en-MY"/>
        </w:rPr>
        <w:t>The literature also indicates a growing shift toward adaptive and intelligence-driven security architectures. Solanki et al. (2025) proposed Intent-Based Networking (IBN) as an AI-driven approach capable of translating organisational security policies into automated network enforcement mechanisms. Within circular SCM environments, this allows security rules, such as restricting access to sensitive material composition data only to authorised recyclers, to be dynamically enforced through automated segmentation, credential rotation, and firewall reconfiguration. Compared with static security models, IBN architectures improve responsiveness to emerging threats and support behavioural anomaly detection for identifying previously unknown attack patterns.</w:t>
      </w:r>
    </w:p>
    <w:p w14:paraId="13886928">
      <w:pPr>
        <w:spacing w:before="240" w:after="240" w:line="240" w:lineRule="auto"/>
        <w:jc w:val="both"/>
        <w:rPr>
          <w:rFonts w:ascii="Times New Roman" w:hAnsi="Times New Roman" w:cs="Times New Roman"/>
          <w:sz w:val="24"/>
          <w:szCs w:val="24"/>
          <w:lang w:val="en-MY"/>
        </w:rPr>
      </w:pPr>
      <w:r>
        <w:rPr>
          <w:rFonts w:ascii="Times New Roman" w:hAnsi="Times New Roman" w:cs="Times New Roman"/>
          <w:sz w:val="24"/>
          <w:szCs w:val="24"/>
          <w:lang w:val="en-MY"/>
        </w:rPr>
        <w:t>Rather than functioning independently, these technologies collectively form a layered security architecture that protects devices, communications, applications, data repositories, and governance processes simultaneously. Table 4.8 summarises the major threat categories identified in the literature alongside their corresponding architectural controls and industry standards.</w:t>
      </w:r>
    </w:p>
    <w:p w14:paraId="7336E4CA">
      <w:pPr>
        <w:spacing w:before="180" w:after="60" w:line="240" w:lineRule="auto"/>
        <w:rPr>
          <w:rFonts w:ascii="Times New Roman" w:hAnsi="Times New Roman" w:cs="Times New Roman"/>
          <w:sz w:val="24"/>
          <w:szCs w:val="24"/>
        </w:rPr>
      </w:pPr>
      <w:r>
        <w:rPr>
          <w:rFonts w:ascii="Times New Roman" w:hAnsi="Times New Roman" w:cs="Times New Roman"/>
          <w:b/>
          <w:bCs/>
          <w:sz w:val="24"/>
          <w:szCs w:val="24"/>
        </w:rPr>
        <w:t>Table 4.8: Security Framework for Circular SCM Threats, Controls, and Standards</w:t>
      </w:r>
    </w:p>
    <w:tbl>
      <w:tblPr>
        <w:tblStyle w:val="14"/>
        <w:tblW w:w="106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9"/>
        <w:gridCol w:w="2555"/>
        <w:gridCol w:w="3066"/>
        <w:gridCol w:w="2759"/>
      </w:tblGrid>
      <w:tr w14:paraId="0280F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299" w:type="dxa"/>
          </w:tcPr>
          <w:p w14:paraId="1BF4219B">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Threat Category</w:t>
            </w:r>
          </w:p>
        </w:tc>
        <w:tc>
          <w:tcPr>
            <w:tcW w:w="2555" w:type="dxa"/>
          </w:tcPr>
          <w:p w14:paraId="7FB9F379">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Example Attack Vector</w:t>
            </w:r>
          </w:p>
        </w:tc>
        <w:tc>
          <w:tcPr>
            <w:tcW w:w="3066" w:type="dxa"/>
          </w:tcPr>
          <w:p w14:paraId="1BBE63B1">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Architectural Control</w:t>
            </w:r>
          </w:p>
        </w:tc>
        <w:tc>
          <w:tcPr>
            <w:tcW w:w="2759" w:type="dxa"/>
          </w:tcPr>
          <w:p w14:paraId="72034527">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Industry Standard</w:t>
            </w:r>
          </w:p>
        </w:tc>
      </w:tr>
      <w:tr w14:paraId="62E65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9" w:hRule="atLeast"/>
        </w:trPr>
        <w:tc>
          <w:tcPr>
            <w:tcW w:w="2299" w:type="dxa"/>
          </w:tcPr>
          <w:p w14:paraId="27A24688">
            <w:pPr>
              <w:spacing w:line="240" w:lineRule="auto"/>
              <w:rPr>
                <w:rFonts w:ascii="Times New Roman" w:hAnsi="Times New Roman" w:cs="Times New Roman"/>
                <w:sz w:val="24"/>
                <w:szCs w:val="24"/>
              </w:rPr>
            </w:pPr>
            <w:r>
              <w:rPr>
                <w:rFonts w:ascii="Times New Roman" w:hAnsi="Times New Roman" w:cs="Times New Roman"/>
                <w:sz w:val="24"/>
                <w:szCs w:val="24"/>
              </w:rPr>
              <w:t>Device Compromise</w:t>
            </w:r>
          </w:p>
        </w:tc>
        <w:tc>
          <w:tcPr>
            <w:tcW w:w="2555" w:type="dxa"/>
          </w:tcPr>
          <w:p w14:paraId="17789E63">
            <w:pPr>
              <w:spacing w:line="240" w:lineRule="auto"/>
              <w:rPr>
                <w:rFonts w:ascii="Times New Roman" w:hAnsi="Times New Roman" w:cs="Times New Roman"/>
                <w:sz w:val="24"/>
                <w:szCs w:val="24"/>
              </w:rPr>
            </w:pPr>
            <w:r>
              <w:rPr>
                <w:rFonts w:ascii="Times New Roman" w:hAnsi="Times New Roman" w:cs="Times New Roman"/>
                <w:sz w:val="24"/>
                <w:szCs w:val="24"/>
              </w:rPr>
              <w:t>IoT sensor firmware modification or spoofing</w:t>
            </w:r>
          </w:p>
        </w:tc>
        <w:tc>
          <w:tcPr>
            <w:tcW w:w="3066" w:type="dxa"/>
          </w:tcPr>
          <w:p w14:paraId="0960F151">
            <w:pPr>
              <w:spacing w:line="240" w:lineRule="auto"/>
              <w:rPr>
                <w:rFonts w:ascii="Times New Roman" w:hAnsi="Times New Roman" w:cs="Times New Roman"/>
                <w:sz w:val="24"/>
                <w:szCs w:val="24"/>
              </w:rPr>
            </w:pPr>
            <w:r>
              <w:rPr>
                <w:rFonts w:ascii="Times New Roman" w:hAnsi="Times New Roman" w:cs="Times New Roman"/>
                <w:sz w:val="24"/>
                <w:szCs w:val="24"/>
              </w:rPr>
              <w:t>Hardware-based roots of trust; device identity certificates; TLS 1.3 encryption</w:t>
            </w:r>
          </w:p>
        </w:tc>
        <w:tc>
          <w:tcPr>
            <w:tcW w:w="2759" w:type="dxa"/>
          </w:tcPr>
          <w:p w14:paraId="6716707D">
            <w:pPr>
              <w:spacing w:line="240" w:lineRule="auto"/>
              <w:rPr>
                <w:rFonts w:ascii="Times New Roman" w:hAnsi="Times New Roman" w:cs="Times New Roman"/>
                <w:sz w:val="24"/>
                <w:szCs w:val="24"/>
              </w:rPr>
            </w:pPr>
            <w:r>
              <w:rPr>
                <w:rFonts w:ascii="Times New Roman" w:hAnsi="Times New Roman" w:cs="Times New Roman"/>
                <w:sz w:val="24"/>
                <w:szCs w:val="24"/>
              </w:rPr>
              <w:t>IEC 62443; NIST SP 800-82</w:t>
            </w:r>
          </w:p>
        </w:tc>
      </w:tr>
      <w:tr w14:paraId="2ECF9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2299" w:type="dxa"/>
          </w:tcPr>
          <w:p w14:paraId="38B905E1">
            <w:pPr>
              <w:spacing w:line="240" w:lineRule="auto"/>
              <w:rPr>
                <w:rFonts w:ascii="Times New Roman" w:hAnsi="Times New Roman" w:cs="Times New Roman"/>
                <w:sz w:val="24"/>
                <w:szCs w:val="24"/>
              </w:rPr>
            </w:pPr>
            <w:r>
              <w:rPr>
                <w:rFonts w:ascii="Times New Roman" w:hAnsi="Times New Roman" w:cs="Times New Roman"/>
                <w:sz w:val="24"/>
                <w:szCs w:val="24"/>
              </w:rPr>
              <w:t>Data Tampering</w:t>
            </w:r>
          </w:p>
        </w:tc>
        <w:tc>
          <w:tcPr>
            <w:tcW w:w="2555" w:type="dxa"/>
          </w:tcPr>
          <w:p w14:paraId="2D23492E">
            <w:pPr>
              <w:spacing w:line="240" w:lineRule="auto"/>
              <w:rPr>
                <w:rFonts w:ascii="Times New Roman" w:hAnsi="Times New Roman" w:cs="Times New Roman"/>
                <w:sz w:val="24"/>
                <w:szCs w:val="24"/>
              </w:rPr>
            </w:pPr>
            <w:r>
              <w:rPr>
                <w:rFonts w:ascii="Times New Roman" w:hAnsi="Times New Roman" w:cs="Times New Roman"/>
                <w:sz w:val="24"/>
                <w:szCs w:val="24"/>
              </w:rPr>
              <w:t>Falsification of provenance or custody records</w:t>
            </w:r>
          </w:p>
        </w:tc>
        <w:tc>
          <w:tcPr>
            <w:tcW w:w="3066" w:type="dxa"/>
          </w:tcPr>
          <w:p w14:paraId="3DBB2548">
            <w:pPr>
              <w:spacing w:line="240" w:lineRule="auto"/>
              <w:rPr>
                <w:rFonts w:ascii="Times New Roman" w:hAnsi="Times New Roman" w:cs="Times New Roman"/>
                <w:sz w:val="24"/>
                <w:szCs w:val="24"/>
              </w:rPr>
            </w:pPr>
            <w:r>
              <w:rPr>
                <w:rFonts w:ascii="Times New Roman" w:hAnsi="Times New Roman" w:cs="Times New Roman"/>
                <w:sz w:val="24"/>
                <w:szCs w:val="24"/>
              </w:rPr>
              <w:t>Blockchain immutable ledger; SHA-256 hashing; cryptographic time-stamping</w:t>
            </w:r>
          </w:p>
        </w:tc>
        <w:tc>
          <w:tcPr>
            <w:tcW w:w="2759" w:type="dxa"/>
          </w:tcPr>
          <w:p w14:paraId="4F91FE24">
            <w:pPr>
              <w:spacing w:line="240" w:lineRule="auto"/>
              <w:rPr>
                <w:rFonts w:ascii="Times New Roman" w:hAnsi="Times New Roman" w:cs="Times New Roman"/>
                <w:sz w:val="24"/>
                <w:szCs w:val="24"/>
              </w:rPr>
            </w:pPr>
            <w:r>
              <w:rPr>
                <w:rFonts w:ascii="Times New Roman" w:hAnsi="Times New Roman" w:cs="Times New Roman"/>
                <w:sz w:val="24"/>
                <w:szCs w:val="24"/>
              </w:rPr>
              <w:t>ISO 27001; Hyperledger Fabric v2.x</w:t>
            </w:r>
          </w:p>
        </w:tc>
      </w:tr>
      <w:tr w14:paraId="092EC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2299" w:type="dxa"/>
          </w:tcPr>
          <w:p w14:paraId="6C64236F">
            <w:pPr>
              <w:spacing w:line="240" w:lineRule="auto"/>
              <w:rPr>
                <w:rFonts w:ascii="Times New Roman" w:hAnsi="Times New Roman" w:cs="Times New Roman"/>
                <w:sz w:val="24"/>
                <w:szCs w:val="24"/>
              </w:rPr>
            </w:pPr>
            <w:r>
              <w:rPr>
                <w:rFonts w:ascii="Times New Roman" w:hAnsi="Times New Roman" w:cs="Times New Roman"/>
                <w:sz w:val="24"/>
                <w:szCs w:val="24"/>
              </w:rPr>
              <w:t>Unauthorised Access</w:t>
            </w:r>
          </w:p>
        </w:tc>
        <w:tc>
          <w:tcPr>
            <w:tcW w:w="2555" w:type="dxa"/>
          </w:tcPr>
          <w:p w14:paraId="58B04EBC">
            <w:pPr>
              <w:spacing w:line="240" w:lineRule="auto"/>
              <w:rPr>
                <w:rFonts w:ascii="Times New Roman" w:hAnsi="Times New Roman" w:cs="Times New Roman"/>
                <w:sz w:val="24"/>
                <w:szCs w:val="24"/>
              </w:rPr>
            </w:pPr>
            <w:r>
              <w:rPr>
                <w:rFonts w:ascii="Times New Roman" w:hAnsi="Times New Roman" w:cs="Times New Roman"/>
                <w:sz w:val="24"/>
                <w:szCs w:val="24"/>
              </w:rPr>
              <w:t>Insider threat accessing competitor material data</w:t>
            </w:r>
          </w:p>
        </w:tc>
        <w:tc>
          <w:tcPr>
            <w:tcW w:w="3066" w:type="dxa"/>
          </w:tcPr>
          <w:p w14:paraId="7EC97469">
            <w:pPr>
              <w:spacing w:line="240" w:lineRule="auto"/>
              <w:rPr>
                <w:rFonts w:ascii="Times New Roman" w:hAnsi="Times New Roman" w:cs="Times New Roman"/>
                <w:sz w:val="24"/>
                <w:szCs w:val="24"/>
              </w:rPr>
            </w:pPr>
            <w:r>
              <w:rPr>
                <w:rFonts w:ascii="Times New Roman" w:hAnsi="Times New Roman" w:cs="Times New Roman"/>
                <w:sz w:val="24"/>
                <w:szCs w:val="24"/>
              </w:rPr>
              <w:t>Role-Based Access Control (RBAC); Attribute-Based Access Control (ABAC); zero-trust architecture</w:t>
            </w:r>
          </w:p>
        </w:tc>
        <w:tc>
          <w:tcPr>
            <w:tcW w:w="2759" w:type="dxa"/>
          </w:tcPr>
          <w:p w14:paraId="1183D27D">
            <w:pPr>
              <w:spacing w:line="240" w:lineRule="auto"/>
              <w:rPr>
                <w:rFonts w:ascii="Times New Roman" w:hAnsi="Times New Roman" w:cs="Times New Roman"/>
                <w:sz w:val="24"/>
                <w:szCs w:val="24"/>
              </w:rPr>
            </w:pPr>
            <w:r>
              <w:rPr>
                <w:rFonts w:ascii="Times New Roman" w:hAnsi="Times New Roman" w:cs="Times New Roman"/>
                <w:sz w:val="24"/>
                <w:szCs w:val="24"/>
              </w:rPr>
              <w:t>NIST SP 800-207; ISO 27001</w:t>
            </w:r>
          </w:p>
        </w:tc>
      </w:tr>
      <w:tr w14:paraId="2106E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5" w:hRule="atLeast"/>
        </w:trPr>
        <w:tc>
          <w:tcPr>
            <w:tcW w:w="2299" w:type="dxa"/>
          </w:tcPr>
          <w:p w14:paraId="618BA1B8">
            <w:pPr>
              <w:spacing w:line="240" w:lineRule="auto"/>
              <w:rPr>
                <w:rFonts w:ascii="Times New Roman" w:hAnsi="Times New Roman" w:cs="Times New Roman"/>
                <w:sz w:val="24"/>
                <w:szCs w:val="24"/>
              </w:rPr>
            </w:pPr>
            <w:r>
              <w:rPr>
                <w:rFonts w:ascii="Times New Roman" w:hAnsi="Times New Roman" w:cs="Times New Roman"/>
                <w:sz w:val="24"/>
                <w:szCs w:val="24"/>
              </w:rPr>
              <w:t>Network Intrusion</w:t>
            </w:r>
          </w:p>
        </w:tc>
        <w:tc>
          <w:tcPr>
            <w:tcW w:w="2555" w:type="dxa"/>
          </w:tcPr>
          <w:p w14:paraId="44C8039C">
            <w:pPr>
              <w:spacing w:line="240" w:lineRule="auto"/>
              <w:rPr>
                <w:rFonts w:ascii="Times New Roman" w:hAnsi="Times New Roman" w:cs="Times New Roman"/>
                <w:sz w:val="24"/>
                <w:szCs w:val="24"/>
              </w:rPr>
            </w:pPr>
            <w:r>
              <w:rPr>
                <w:rFonts w:ascii="Times New Roman" w:hAnsi="Times New Roman" w:cs="Times New Roman"/>
                <w:sz w:val="24"/>
                <w:szCs w:val="24"/>
              </w:rPr>
              <w:t>Man-in-the-middle attack on API communications</w:t>
            </w:r>
          </w:p>
        </w:tc>
        <w:tc>
          <w:tcPr>
            <w:tcW w:w="3066" w:type="dxa"/>
          </w:tcPr>
          <w:p w14:paraId="483F4380">
            <w:pPr>
              <w:spacing w:line="240" w:lineRule="auto"/>
              <w:rPr>
                <w:rFonts w:ascii="Times New Roman" w:hAnsi="Times New Roman" w:cs="Times New Roman"/>
                <w:sz w:val="24"/>
                <w:szCs w:val="24"/>
              </w:rPr>
            </w:pPr>
            <w:r>
              <w:rPr>
                <w:rFonts w:ascii="Times New Roman" w:hAnsi="Times New Roman" w:cs="Times New Roman"/>
                <w:sz w:val="24"/>
                <w:szCs w:val="24"/>
              </w:rPr>
              <w:t>TLS 1.3; mutual authentication; API gateway with rate limiting</w:t>
            </w:r>
          </w:p>
        </w:tc>
        <w:tc>
          <w:tcPr>
            <w:tcW w:w="2759" w:type="dxa"/>
          </w:tcPr>
          <w:p w14:paraId="3E0D5872">
            <w:pPr>
              <w:spacing w:line="240" w:lineRule="auto"/>
              <w:rPr>
                <w:rFonts w:ascii="Times New Roman" w:hAnsi="Times New Roman" w:cs="Times New Roman"/>
                <w:sz w:val="24"/>
                <w:szCs w:val="24"/>
              </w:rPr>
            </w:pPr>
            <w:r>
              <w:rPr>
                <w:rFonts w:ascii="Times New Roman" w:hAnsi="Times New Roman" w:cs="Times New Roman"/>
                <w:sz w:val="24"/>
                <w:szCs w:val="24"/>
              </w:rPr>
              <w:t>OWASP API Security Top 10; NIST CSF</w:t>
            </w:r>
          </w:p>
        </w:tc>
      </w:tr>
      <w:tr w14:paraId="3958D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atLeast"/>
        </w:trPr>
        <w:tc>
          <w:tcPr>
            <w:tcW w:w="2299" w:type="dxa"/>
          </w:tcPr>
          <w:p w14:paraId="2152953E">
            <w:pPr>
              <w:spacing w:line="240" w:lineRule="auto"/>
              <w:rPr>
                <w:rFonts w:ascii="Times New Roman" w:hAnsi="Times New Roman" w:cs="Times New Roman"/>
                <w:sz w:val="24"/>
                <w:szCs w:val="24"/>
              </w:rPr>
            </w:pPr>
            <w:r>
              <w:rPr>
                <w:rFonts w:ascii="Times New Roman" w:hAnsi="Times New Roman" w:cs="Times New Roman"/>
                <w:sz w:val="24"/>
                <w:szCs w:val="24"/>
              </w:rPr>
              <w:t>Supply Chain Fraud</w:t>
            </w:r>
          </w:p>
        </w:tc>
        <w:tc>
          <w:tcPr>
            <w:tcW w:w="2555" w:type="dxa"/>
          </w:tcPr>
          <w:p w14:paraId="78343DA4">
            <w:pPr>
              <w:spacing w:line="240" w:lineRule="auto"/>
              <w:rPr>
                <w:rFonts w:ascii="Times New Roman" w:hAnsi="Times New Roman" w:cs="Times New Roman"/>
                <w:sz w:val="24"/>
                <w:szCs w:val="24"/>
              </w:rPr>
            </w:pPr>
            <w:r>
              <w:rPr>
                <w:rFonts w:ascii="Times New Roman" w:hAnsi="Times New Roman" w:cs="Times New Roman"/>
                <w:sz w:val="24"/>
                <w:szCs w:val="24"/>
              </w:rPr>
              <w:t>False sustainability certificates or green-washing claims</w:t>
            </w:r>
          </w:p>
        </w:tc>
        <w:tc>
          <w:tcPr>
            <w:tcW w:w="3066" w:type="dxa"/>
          </w:tcPr>
          <w:p w14:paraId="072DBFC8">
            <w:pPr>
              <w:spacing w:line="240" w:lineRule="auto"/>
              <w:rPr>
                <w:rFonts w:ascii="Times New Roman" w:hAnsi="Times New Roman" w:cs="Times New Roman"/>
                <w:sz w:val="24"/>
                <w:szCs w:val="24"/>
              </w:rPr>
            </w:pPr>
            <w:r>
              <w:rPr>
                <w:rFonts w:ascii="Times New Roman" w:hAnsi="Times New Roman" w:cs="Times New Roman"/>
                <w:sz w:val="24"/>
                <w:szCs w:val="24"/>
              </w:rPr>
              <w:t>Smart-contract-enforced compliance verification; AI anomaly detection</w:t>
            </w:r>
          </w:p>
        </w:tc>
        <w:tc>
          <w:tcPr>
            <w:tcW w:w="2759" w:type="dxa"/>
          </w:tcPr>
          <w:p w14:paraId="0123113C">
            <w:pPr>
              <w:spacing w:line="240" w:lineRule="auto"/>
              <w:rPr>
                <w:rFonts w:ascii="Times New Roman" w:hAnsi="Times New Roman" w:cs="Times New Roman"/>
                <w:sz w:val="24"/>
                <w:szCs w:val="24"/>
              </w:rPr>
            </w:pPr>
            <w:r>
              <w:rPr>
                <w:rFonts w:ascii="Times New Roman" w:hAnsi="Times New Roman" w:cs="Times New Roman"/>
                <w:sz w:val="24"/>
                <w:szCs w:val="24"/>
              </w:rPr>
              <w:t>EU ESPR (Digital Product Passport regulation)</w:t>
            </w:r>
          </w:p>
        </w:tc>
      </w:tr>
    </w:tbl>
    <w:p w14:paraId="20991D83">
      <w:pPr>
        <w:spacing w:before="60" w:after="180" w:line="240" w:lineRule="auto"/>
        <w:jc w:val="center"/>
        <w:rPr>
          <w:rFonts w:ascii="Times New Roman" w:hAnsi="Times New Roman" w:cs="Times New Roman"/>
          <w:sz w:val="24"/>
          <w:szCs w:val="24"/>
        </w:rPr>
      </w:pPr>
      <w:r>
        <w:rPr>
          <w:rFonts w:ascii="Times New Roman" w:hAnsi="Times New Roman" w:cs="Times New Roman"/>
          <w:sz w:val="24"/>
          <w:szCs w:val="24"/>
        </w:rPr>
        <w:t>NIST = National Institute of Standards and Technology; CSF = Cybersecurity Framework; ESPR = Ecodesign for Sustainable Products Regulation (EU 2024/1781).</w:t>
      </w:r>
    </w:p>
    <w:p w14:paraId="2D0DE868">
      <w:pPr>
        <w:spacing w:before="60" w:after="180" w:line="240" w:lineRule="auto"/>
        <w:jc w:val="both"/>
        <w:rPr>
          <w:rFonts w:ascii="Times New Roman" w:hAnsi="Times New Roman" w:cs="Times New Roman"/>
          <w:sz w:val="24"/>
          <w:szCs w:val="24"/>
          <w:lang w:val="en-MY"/>
        </w:rPr>
      </w:pPr>
      <w:r>
        <w:rPr>
          <w:rFonts w:ascii="Times New Roman" w:hAnsi="Times New Roman" w:cs="Times New Roman"/>
          <w:sz w:val="24"/>
          <w:szCs w:val="24"/>
          <w:lang w:val="en-MY"/>
        </w:rPr>
        <w:t>Table 4.8 demonstrates that security threats within circular SCM are multidimensional, spanning physical devices, communication infrastructures, application systems, and organisational governance. A key pattern emerging from the literature is that no single security mechanism sufficiently addresses all risk categories. Instead, effective protection requires the coordinated integration of cryptographic controls, identity management systems, AI-driven monitoring, and governance frameworks operating simultaneously across multiple architectural layers.</w:t>
      </w:r>
    </w:p>
    <w:p w14:paraId="0999B201">
      <w:pPr>
        <w:spacing w:before="60" w:after="180" w:line="240" w:lineRule="auto"/>
        <w:jc w:val="both"/>
        <w:rPr>
          <w:rFonts w:ascii="Times New Roman" w:hAnsi="Times New Roman" w:cs="Times New Roman"/>
          <w:sz w:val="24"/>
          <w:szCs w:val="24"/>
          <w:lang w:val="en-MY"/>
        </w:rPr>
      </w:pPr>
      <w:r>
        <w:rPr>
          <w:rFonts w:ascii="Times New Roman" w:hAnsi="Times New Roman" w:cs="Times New Roman"/>
          <w:sz w:val="24"/>
          <w:szCs w:val="24"/>
          <w:lang w:val="en-MY"/>
        </w:rPr>
        <w:t>To further conceptualise this layered approach, Table 4.9 illustrates the security architecture layers identified across the reviewed studies. The figure demonstrates how cybersecurity responsibilities are distributed from the physical device level through communication, application, and governance layers, thereby reinforcing the principle of defence-in-depth within circular SCM systems.</w:t>
      </w:r>
    </w:p>
    <w:p w14:paraId="684E8A22">
      <w:pPr>
        <w:spacing w:before="180" w:after="240" w:line="240" w:lineRule="auto"/>
        <w:rPr>
          <w:rFonts w:ascii="Times New Roman" w:hAnsi="Times New Roman" w:cs="Times New Roman"/>
          <w:sz w:val="24"/>
          <w:szCs w:val="24"/>
        </w:rPr>
      </w:pPr>
      <w:r>
        <w:rPr>
          <w:rFonts w:ascii="Times New Roman" w:hAnsi="Times New Roman" w:cs="Times New Roman"/>
          <w:b/>
          <w:bCs/>
          <w:sz w:val="24"/>
          <w:szCs w:val="24"/>
        </w:rPr>
        <w:t>Table 4.9: Security Architecture Layers in Circular SCM Systems</w:t>
      </w:r>
    </w:p>
    <w:tbl>
      <w:tblPr>
        <w:tblStyle w:val="14"/>
        <w:tblW w:w="108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4"/>
        <w:gridCol w:w="2583"/>
        <w:gridCol w:w="3470"/>
        <w:gridCol w:w="2529"/>
      </w:tblGrid>
      <w:tr w14:paraId="0B8DD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2294" w:type="dxa"/>
          </w:tcPr>
          <w:p w14:paraId="281615EA">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Security Layer</w:t>
            </w:r>
          </w:p>
        </w:tc>
        <w:tc>
          <w:tcPr>
            <w:tcW w:w="2583" w:type="dxa"/>
          </w:tcPr>
          <w:p w14:paraId="72538A7F">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Scope</w:t>
            </w:r>
          </w:p>
        </w:tc>
        <w:tc>
          <w:tcPr>
            <w:tcW w:w="3470" w:type="dxa"/>
          </w:tcPr>
          <w:p w14:paraId="09F517D6">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Technology Controls</w:t>
            </w:r>
          </w:p>
        </w:tc>
        <w:tc>
          <w:tcPr>
            <w:tcW w:w="2529" w:type="dxa"/>
          </w:tcPr>
          <w:p w14:paraId="1AA01D39">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Key Sources</w:t>
            </w:r>
          </w:p>
        </w:tc>
      </w:tr>
      <w:tr w14:paraId="017DA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trPr>
        <w:tc>
          <w:tcPr>
            <w:tcW w:w="2294" w:type="dxa"/>
          </w:tcPr>
          <w:p w14:paraId="5C1EA537">
            <w:pPr>
              <w:spacing w:line="240" w:lineRule="auto"/>
              <w:rPr>
                <w:rFonts w:ascii="Times New Roman" w:hAnsi="Times New Roman" w:cs="Times New Roman"/>
                <w:sz w:val="24"/>
                <w:szCs w:val="24"/>
              </w:rPr>
            </w:pPr>
            <w:r>
              <w:rPr>
                <w:rFonts w:ascii="Times New Roman" w:hAnsi="Times New Roman" w:cs="Times New Roman"/>
                <w:sz w:val="24"/>
                <w:szCs w:val="24"/>
              </w:rPr>
              <w:t>Device Layer</w:t>
            </w:r>
          </w:p>
        </w:tc>
        <w:tc>
          <w:tcPr>
            <w:tcW w:w="2583" w:type="dxa"/>
          </w:tcPr>
          <w:p w14:paraId="1EB51496">
            <w:pPr>
              <w:spacing w:line="240" w:lineRule="auto"/>
              <w:rPr>
                <w:rFonts w:ascii="Times New Roman" w:hAnsi="Times New Roman" w:cs="Times New Roman"/>
                <w:sz w:val="24"/>
                <w:szCs w:val="24"/>
              </w:rPr>
            </w:pPr>
            <w:r>
              <w:rPr>
                <w:rFonts w:ascii="Times New Roman" w:hAnsi="Times New Roman" w:cs="Times New Roman"/>
                <w:sz w:val="24"/>
                <w:szCs w:val="24"/>
              </w:rPr>
              <w:t>IoT sensors, RFID readers, NFC chips at physical nodes</w:t>
            </w:r>
          </w:p>
        </w:tc>
        <w:tc>
          <w:tcPr>
            <w:tcW w:w="3470" w:type="dxa"/>
          </w:tcPr>
          <w:p w14:paraId="23E37DA9">
            <w:pPr>
              <w:spacing w:line="240" w:lineRule="auto"/>
              <w:rPr>
                <w:rFonts w:ascii="Times New Roman" w:hAnsi="Times New Roman" w:cs="Times New Roman"/>
                <w:sz w:val="24"/>
                <w:szCs w:val="24"/>
              </w:rPr>
            </w:pPr>
            <w:r>
              <w:rPr>
                <w:rFonts w:ascii="Times New Roman" w:hAnsi="Times New Roman" w:cs="Times New Roman"/>
                <w:sz w:val="24"/>
                <w:szCs w:val="24"/>
              </w:rPr>
              <w:t>Firmware signing; TPM chips; device certificates; encrypted MQTT</w:t>
            </w:r>
          </w:p>
        </w:tc>
        <w:tc>
          <w:tcPr>
            <w:tcW w:w="2529" w:type="dxa"/>
          </w:tcPr>
          <w:p w14:paraId="69587497">
            <w:pPr>
              <w:spacing w:line="240" w:lineRule="auto"/>
              <w:rPr>
                <w:rFonts w:ascii="Times New Roman" w:hAnsi="Times New Roman" w:cs="Times New Roman"/>
                <w:sz w:val="24"/>
                <w:szCs w:val="24"/>
              </w:rPr>
            </w:pPr>
            <w:r>
              <w:rPr>
                <w:rFonts w:ascii="Times New Roman" w:hAnsi="Times New Roman" w:cs="Times New Roman"/>
                <w:sz w:val="24"/>
                <w:szCs w:val="24"/>
              </w:rPr>
              <w:t>Sapra et al. (2022); Sundmaeker et al. (2016)</w:t>
            </w:r>
          </w:p>
        </w:tc>
      </w:tr>
      <w:tr w14:paraId="55699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2294" w:type="dxa"/>
          </w:tcPr>
          <w:p w14:paraId="4C911513">
            <w:pPr>
              <w:spacing w:line="240" w:lineRule="auto"/>
              <w:rPr>
                <w:rFonts w:ascii="Times New Roman" w:hAnsi="Times New Roman" w:cs="Times New Roman"/>
                <w:sz w:val="24"/>
                <w:szCs w:val="24"/>
              </w:rPr>
            </w:pPr>
            <w:r>
              <w:rPr>
                <w:rFonts w:ascii="Times New Roman" w:hAnsi="Times New Roman" w:cs="Times New Roman"/>
                <w:sz w:val="24"/>
                <w:szCs w:val="24"/>
              </w:rPr>
              <w:t>Communication Layer</w:t>
            </w:r>
          </w:p>
        </w:tc>
        <w:tc>
          <w:tcPr>
            <w:tcW w:w="2583" w:type="dxa"/>
          </w:tcPr>
          <w:p w14:paraId="74E25FBA">
            <w:pPr>
              <w:spacing w:line="240" w:lineRule="auto"/>
              <w:rPr>
                <w:rFonts w:ascii="Times New Roman" w:hAnsi="Times New Roman" w:cs="Times New Roman"/>
                <w:sz w:val="24"/>
                <w:szCs w:val="24"/>
              </w:rPr>
            </w:pPr>
            <w:r>
              <w:rPr>
                <w:rFonts w:ascii="Times New Roman" w:hAnsi="Times New Roman" w:cs="Times New Roman"/>
                <w:sz w:val="24"/>
                <w:szCs w:val="24"/>
              </w:rPr>
              <w:t>Data in transit between nodes, systems, and organisations</w:t>
            </w:r>
          </w:p>
        </w:tc>
        <w:tc>
          <w:tcPr>
            <w:tcW w:w="3470" w:type="dxa"/>
          </w:tcPr>
          <w:p w14:paraId="2B7F6878">
            <w:pPr>
              <w:spacing w:line="240" w:lineRule="auto"/>
              <w:rPr>
                <w:rFonts w:ascii="Times New Roman" w:hAnsi="Times New Roman" w:cs="Times New Roman"/>
                <w:sz w:val="24"/>
                <w:szCs w:val="24"/>
              </w:rPr>
            </w:pPr>
            <w:r>
              <w:rPr>
                <w:rFonts w:ascii="Times New Roman" w:hAnsi="Times New Roman" w:cs="Times New Roman"/>
                <w:sz w:val="24"/>
                <w:szCs w:val="24"/>
              </w:rPr>
              <w:t>TLS 1.3; mutual TLS (mTLS); VPN tunnels; API gateway authentication</w:t>
            </w:r>
          </w:p>
        </w:tc>
        <w:tc>
          <w:tcPr>
            <w:tcW w:w="2529" w:type="dxa"/>
          </w:tcPr>
          <w:p w14:paraId="51D78DD9">
            <w:pPr>
              <w:spacing w:line="240" w:lineRule="auto"/>
              <w:rPr>
                <w:rFonts w:ascii="Times New Roman" w:hAnsi="Times New Roman" w:cs="Times New Roman"/>
                <w:sz w:val="24"/>
                <w:szCs w:val="24"/>
              </w:rPr>
            </w:pPr>
            <w:r>
              <w:rPr>
                <w:rFonts w:ascii="Times New Roman" w:hAnsi="Times New Roman" w:cs="Times New Roman"/>
                <w:sz w:val="24"/>
                <w:szCs w:val="24"/>
              </w:rPr>
              <w:t>Sapra et al. (2022); Solanki et al. (2025)</w:t>
            </w:r>
          </w:p>
        </w:tc>
      </w:tr>
      <w:tr w14:paraId="179A7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2294" w:type="dxa"/>
          </w:tcPr>
          <w:p w14:paraId="4EF512C5">
            <w:pPr>
              <w:spacing w:line="240" w:lineRule="auto"/>
              <w:rPr>
                <w:rFonts w:ascii="Times New Roman" w:hAnsi="Times New Roman" w:cs="Times New Roman"/>
                <w:sz w:val="24"/>
                <w:szCs w:val="24"/>
              </w:rPr>
            </w:pPr>
            <w:r>
              <w:rPr>
                <w:rFonts w:ascii="Times New Roman" w:hAnsi="Times New Roman" w:cs="Times New Roman"/>
                <w:sz w:val="24"/>
                <w:szCs w:val="24"/>
              </w:rPr>
              <w:t>Application Layer</w:t>
            </w:r>
          </w:p>
        </w:tc>
        <w:tc>
          <w:tcPr>
            <w:tcW w:w="2583" w:type="dxa"/>
          </w:tcPr>
          <w:p w14:paraId="2ADDDC98">
            <w:pPr>
              <w:spacing w:line="240" w:lineRule="auto"/>
              <w:rPr>
                <w:rFonts w:ascii="Times New Roman" w:hAnsi="Times New Roman" w:cs="Times New Roman"/>
                <w:sz w:val="24"/>
                <w:szCs w:val="24"/>
              </w:rPr>
            </w:pPr>
            <w:r>
              <w:rPr>
                <w:rFonts w:ascii="Times New Roman" w:hAnsi="Times New Roman" w:cs="Times New Roman"/>
                <w:sz w:val="24"/>
                <w:szCs w:val="24"/>
              </w:rPr>
              <w:t>SCM software, BIM platforms, WMS, ERP systems</w:t>
            </w:r>
          </w:p>
        </w:tc>
        <w:tc>
          <w:tcPr>
            <w:tcW w:w="3470" w:type="dxa"/>
          </w:tcPr>
          <w:p w14:paraId="1C648292">
            <w:pPr>
              <w:spacing w:line="240" w:lineRule="auto"/>
              <w:rPr>
                <w:rFonts w:ascii="Times New Roman" w:hAnsi="Times New Roman" w:cs="Times New Roman"/>
                <w:sz w:val="24"/>
                <w:szCs w:val="24"/>
              </w:rPr>
            </w:pPr>
            <w:r>
              <w:rPr>
                <w:rFonts w:ascii="Times New Roman" w:hAnsi="Times New Roman" w:cs="Times New Roman"/>
                <w:sz w:val="24"/>
                <w:szCs w:val="24"/>
              </w:rPr>
              <w:t>RBAC / ABAC; OAuth 2.0; SIEM monitoring; audit logs</w:t>
            </w:r>
          </w:p>
        </w:tc>
        <w:tc>
          <w:tcPr>
            <w:tcW w:w="2529" w:type="dxa"/>
          </w:tcPr>
          <w:p w14:paraId="56F1DC3A">
            <w:pPr>
              <w:spacing w:line="240" w:lineRule="auto"/>
              <w:rPr>
                <w:rFonts w:ascii="Times New Roman" w:hAnsi="Times New Roman" w:cs="Times New Roman"/>
                <w:sz w:val="24"/>
                <w:szCs w:val="24"/>
              </w:rPr>
            </w:pPr>
            <w:r>
              <w:rPr>
                <w:rFonts w:ascii="Times New Roman" w:hAnsi="Times New Roman" w:cs="Times New Roman"/>
                <w:sz w:val="24"/>
                <w:szCs w:val="24"/>
              </w:rPr>
              <w:t>Solanki et al. (2025); Gupta (2025)</w:t>
            </w:r>
          </w:p>
        </w:tc>
      </w:tr>
      <w:tr w14:paraId="17A4C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trPr>
        <w:tc>
          <w:tcPr>
            <w:tcW w:w="2294" w:type="dxa"/>
          </w:tcPr>
          <w:p w14:paraId="1BF8D882">
            <w:pPr>
              <w:spacing w:line="240" w:lineRule="auto"/>
              <w:rPr>
                <w:rFonts w:ascii="Times New Roman" w:hAnsi="Times New Roman" w:cs="Times New Roman"/>
                <w:sz w:val="24"/>
                <w:szCs w:val="24"/>
              </w:rPr>
            </w:pPr>
            <w:r>
              <w:rPr>
                <w:rFonts w:ascii="Times New Roman" w:hAnsi="Times New Roman" w:cs="Times New Roman"/>
                <w:sz w:val="24"/>
                <w:szCs w:val="24"/>
              </w:rPr>
              <w:t>Data Layer</w:t>
            </w:r>
          </w:p>
        </w:tc>
        <w:tc>
          <w:tcPr>
            <w:tcW w:w="2583" w:type="dxa"/>
          </w:tcPr>
          <w:p w14:paraId="3496B949">
            <w:pPr>
              <w:spacing w:line="240" w:lineRule="auto"/>
              <w:rPr>
                <w:rFonts w:ascii="Times New Roman" w:hAnsi="Times New Roman" w:cs="Times New Roman"/>
                <w:sz w:val="24"/>
                <w:szCs w:val="24"/>
              </w:rPr>
            </w:pPr>
            <w:r>
              <w:rPr>
                <w:rFonts w:ascii="Times New Roman" w:hAnsi="Times New Roman" w:cs="Times New Roman"/>
                <w:sz w:val="24"/>
                <w:szCs w:val="24"/>
              </w:rPr>
              <w:t>Stored records, ledger entries, material passports, BIM files</w:t>
            </w:r>
          </w:p>
        </w:tc>
        <w:tc>
          <w:tcPr>
            <w:tcW w:w="3470" w:type="dxa"/>
          </w:tcPr>
          <w:p w14:paraId="154EF8FE">
            <w:pPr>
              <w:spacing w:line="240" w:lineRule="auto"/>
              <w:rPr>
                <w:rFonts w:ascii="Times New Roman" w:hAnsi="Times New Roman" w:cs="Times New Roman"/>
                <w:sz w:val="24"/>
                <w:szCs w:val="24"/>
              </w:rPr>
            </w:pPr>
            <w:r>
              <w:rPr>
                <w:rFonts w:ascii="Times New Roman" w:hAnsi="Times New Roman" w:cs="Times New Roman"/>
                <w:sz w:val="24"/>
                <w:szCs w:val="24"/>
              </w:rPr>
              <w:t>AES-256 encryption at rest; blockchain immutability; IPFS off-chain storage</w:t>
            </w:r>
          </w:p>
        </w:tc>
        <w:tc>
          <w:tcPr>
            <w:tcW w:w="2529" w:type="dxa"/>
          </w:tcPr>
          <w:p w14:paraId="11B2E917">
            <w:pPr>
              <w:spacing w:line="240" w:lineRule="auto"/>
              <w:rPr>
                <w:rFonts w:ascii="Times New Roman" w:hAnsi="Times New Roman" w:cs="Times New Roman"/>
                <w:sz w:val="24"/>
                <w:szCs w:val="24"/>
              </w:rPr>
            </w:pPr>
            <w:r>
              <w:rPr>
                <w:rFonts w:ascii="Times New Roman" w:hAnsi="Times New Roman" w:cs="Times New Roman"/>
                <w:sz w:val="24"/>
                <w:szCs w:val="24"/>
              </w:rPr>
              <w:t>Azevedo et al. (2023); Salzano et al. (2024)</w:t>
            </w:r>
          </w:p>
        </w:tc>
      </w:tr>
      <w:tr w14:paraId="78041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2294" w:type="dxa"/>
          </w:tcPr>
          <w:p w14:paraId="28B5772A">
            <w:pPr>
              <w:spacing w:line="240" w:lineRule="auto"/>
              <w:rPr>
                <w:rFonts w:ascii="Times New Roman" w:hAnsi="Times New Roman" w:cs="Times New Roman"/>
                <w:sz w:val="24"/>
                <w:szCs w:val="24"/>
              </w:rPr>
            </w:pPr>
            <w:r>
              <w:rPr>
                <w:rFonts w:ascii="Times New Roman" w:hAnsi="Times New Roman" w:cs="Times New Roman"/>
                <w:sz w:val="24"/>
                <w:szCs w:val="24"/>
              </w:rPr>
              <w:t>Governance Layer</w:t>
            </w:r>
          </w:p>
        </w:tc>
        <w:tc>
          <w:tcPr>
            <w:tcW w:w="2583" w:type="dxa"/>
          </w:tcPr>
          <w:p w14:paraId="54A94A71">
            <w:pPr>
              <w:spacing w:line="240" w:lineRule="auto"/>
              <w:rPr>
                <w:rFonts w:ascii="Times New Roman" w:hAnsi="Times New Roman" w:cs="Times New Roman"/>
                <w:sz w:val="24"/>
                <w:szCs w:val="24"/>
              </w:rPr>
            </w:pPr>
            <w:r>
              <w:rPr>
                <w:rFonts w:ascii="Times New Roman" w:hAnsi="Times New Roman" w:cs="Times New Roman"/>
                <w:sz w:val="24"/>
                <w:szCs w:val="24"/>
              </w:rPr>
              <w:t>Policies, contracts, regulatory compliance across organisations</w:t>
            </w:r>
          </w:p>
        </w:tc>
        <w:tc>
          <w:tcPr>
            <w:tcW w:w="3470" w:type="dxa"/>
          </w:tcPr>
          <w:p w14:paraId="7D99B620">
            <w:pPr>
              <w:spacing w:line="240" w:lineRule="auto"/>
              <w:rPr>
                <w:rFonts w:ascii="Times New Roman" w:hAnsi="Times New Roman" w:cs="Times New Roman"/>
                <w:sz w:val="24"/>
                <w:szCs w:val="24"/>
              </w:rPr>
            </w:pPr>
            <w:r>
              <w:rPr>
                <w:rFonts w:ascii="Times New Roman" w:hAnsi="Times New Roman" w:cs="Times New Roman"/>
                <w:sz w:val="24"/>
                <w:szCs w:val="24"/>
              </w:rPr>
              <w:t>Smart contracts; IBN policy enforcement; ISO 27001 ISMS; NIST CSF</w:t>
            </w:r>
          </w:p>
        </w:tc>
        <w:tc>
          <w:tcPr>
            <w:tcW w:w="2529" w:type="dxa"/>
          </w:tcPr>
          <w:p w14:paraId="0CECEB1B">
            <w:pPr>
              <w:spacing w:line="240" w:lineRule="auto"/>
              <w:rPr>
                <w:rFonts w:ascii="Times New Roman" w:hAnsi="Times New Roman" w:cs="Times New Roman"/>
                <w:sz w:val="24"/>
                <w:szCs w:val="24"/>
              </w:rPr>
            </w:pPr>
            <w:r>
              <w:rPr>
                <w:rFonts w:ascii="Times New Roman" w:hAnsi="Times New Roman" w:cs="Times New Roman"/>
                <w:sz w:val="24"/>
                <w:szCs w:val="24"/>
              </w:rPr>
              <w:t>Solanki et al. (2025); Saberi et al. (2020)</w:t>
            </w:r>
          </w:p>
        </w:tc>
      </w:tr>
    </w:tbl>
    <w:p w14:paraId="5052B078">
      <w:pPr>
        <w:spacing w:before="60" w:after="180" w:line="240" w:lineRule="auto"/>
        <w:jc w:val="center"/>
        <w:rPr>
          <w:rFonts w:ascii="Times New Roman" w:hAnsi="Times New Roman" w:cs="Times New Roman"/>
          <w:sz w:val="24"/>
          <w:szCs w:val="24"/>
        </w:rPr>
      </w:pPr>
      <w:r>
        <w:rPr>
          <w:rFonts w:ascii="Times New Roman" w:hAnsi="Times New Roman" w:cs="Times New Roman"/>
          <w:sz w:val="24"/>
          <w:szCs w:val="24"/>
        </w:rPr>
        <w:t>ISMS = Information Security Management System; TPM = Trusted Platform Module; IPFS = InterPlanetary File System.</w:t>
      </w:r>
    </w:p>
    <w:p w14:paraId="0F48C057">
      <w:pPr>
        <w:spacing w:before="240" w:after="240" w:line="240" w:lineRule="auto"/>
        <w:jc w:val="both"/>
        <w:rPr>
          <w:rFonts w:ascii="Times New Roman" w:hAnsi="Times New Roman" w:cs="Times New Roman"/>
          <w:sz w:val="24"/>
          <w:szCs w:val="24"/>
          <w:lang w:val="en-MY"/>
        </w:rPr>
      </w:pPr>
      <w:r>
        <w:rPr>
          <w:rFonts w:ascii="Times New Roman" w:hAnsi="Times New Roman" w:cs="Times New Roman"/>
          <w:sz w:val="24"/>
          <w:szCs w:val="24"/>
          <w:lang w:val="en-MY"/>
        </w:rPr>
        <w:t>The layered distribution shown in Figure 4.6 reinforces the argument that security in circular SCM cannot be treated as a standalone technical module added after system deployment. Instead, security and trust must be embedded directly into the architectural design of sensing infrastructures, communication protocols, data governance mechanisms, and organisational workflows. The literature therefore supports a security-by-design approach in which blockchain enables immutable logging, AI-driven systems support adaptive threat detection, and RBAC/ABAC mechanisms ensure controlled access to sensitive lifecycle information.</w:t>
      </w:r>
    </w:p>
    <w:p w14:paraId="75078DCA">
      <w:pPr>
        <w:spacing w:before="240" w:after="240" w:line="240" w:lineRule="auto"/>
        <w:jc w:val="both"/>
        <w:rPr>
          <w:rFonts w:ascii="Times New Roman" w:hAnsi="Times New Roman" w:cs="Times New Roman"/>
          <w:sz w:val="24"/>
          <w:szCs w:val="24"/>
          <w:lang w:val="en-MY"/>
        </w:rPr>
      </w:pPr>
      <w:r>
        <w:rPr>
          <w:rFonts w:ascii="Times New Roman" w:hAnsi="Times New Roman" w:cs="Times New Roman"/>
          <w:sz w:val="24"/>
          <w:szCs w:val="24"/>
          <w:lang w:val="en-MY"/>
        </w:rPr>
        <w:t>Within the MBSE framework, these requirements are represented through Requirement Diagrams linking security constraints to system components, Block Definition Diagrams illustrating protected subsystem interfaces, and Activity Diagrams modelling secure information exchange processes across organisational boundaries.</w:t>
      </w:r>
    </w:p>
    <w:p w14:paraId="3DD76376">
      <w:pPr>
        <w:spacing w:before="240" w:after="240" w:line="240" w:lineRule="auto"/>
        <w:jc w:val="both"/>
        <w:rPr>
          <w:rFonts w:ascii="Times New Roman" w:hAnsi="Times New Roman" w:cs="Times New Roman"/>
          <w:b/>
          <w:bCs/>
          <w:sz w:val="24"/>
          <w:szCs w:val="24"/>
        </w:rPr>
      </w:pPr>
      <w:r>
        <w:rPr>
          <w:rFonts w:ascii="Times New Roman" w:hAnsi="Times New Roman" w:cs="Times New Roman"/>
          <w:b/>
          <w:bCs/>
          <w:sz w:val="24"/>
          <w:szCs w:val="24"/>
        </w:rPr>
        <w:t>Summary and Integrated Architectural Synthesis</w:t>
      </w:r>
    </w:p>
    <w:p w14:paraId="0B0F810F">
      <w:pPr>
        <w:spacing w:before="240" w:after="240" w:line="240" w:lineRule="auto"/>
        <w:jc w:val="both"/>
        <w:rPr>
          <w:rFonts w:ascii="Times New Roman" w:hAnsi="Times New Roman" w:cs="Times New Roman"/>
          <w:sz w:val="24"/>
          <w:szCs w:val="24"/>
          <w:lang w:val="en-MY"/>
        </w:rPr>
      </w:pPr>
      <w:r>
        <w:rPr>
          <w:rFonts w:ascii="Times New Roman" w:hAnsi="Times New Roman" w:cs="Times New Roman"/>
          <w:sz w:val="24"/>
          <w:szCs w:val="24"/>
          <w:lang w:val="en-MY"/>
        </w:rPr>
        <w:t>The four architectural requirements identified in this chapter, namely traceability and provenance, lifecycle visibility and resource reuse, interoperability and standards, and security and trust, should not be interpreted as isolated technological capabilities. Rather, the literature demonstrates that they function as an interconnected architectural ecosystem in which the effectiveness of one requirement depends heavily on the implementation of the others. Circular SCM systems therefore require simultaneous integration across these dimensions in order to achieve operational continuity, transparency, and resilience.</w:t>
      </w:r>
    </w:p>
    <w:p w14:paraId="6CD6D218">
      <w:pPr>
        <w:spacing w:before="240" w:after="240" w:line="240" w:lineRule="auto"/>
        <w:jc w:val="both"/>
        <w:rPr>
          <w:rFonts w:ascii="Times New Roman" w:hAnsi="Times New Roman" w:cs="Times New Roman"/>
          <w:sz w:val="24"/>
          <w:szCs w:val="24"/>
          <w:lang w:val="en-MY"/>
        </w:rPr>
      </w:pPr>
      <w:r>
        <w:rPr>
          <w:rFonts w:ascii="Times New Roman" w:hAnsi="Times New Roman" w:cs="Times New Roman"/>
          <w:sz w:val="24"/>
          <w:szCs w:val="24"/>
          <w:lang w:val="en-MY"/>
        </w:rPr>
        <w:t>Traceability and provenance establish the foundational ability to monitor material movements and verify chain-of-custody information across reverse logistics processes. However, traceability alone is insufficient if lifecycle visibility mechanisms are absent, because location and ownership records provide limited value without contextual insight into material condition, reuse potential, and recovery timing. Similarly, lifecycle visibility depends heavily on interoperability standards to ensure that BIM models, IoT sensor outputs, digital twin simulations, and enterprise systems can exchange information consistently across organisational boundaries. Without interoperability, lifecycle intelligence remains fragmented within isolated platforms and cannot support coordinated circular decision-making.</w:t>
      </w:r>
    </w:p>
    <w:p w14:paraId="0846E506">
      <w:pPr>
        <w:spacing w:before="240" w:after="240" w:line="240" w:lineRule="auto"/>
        <w:jc w:val="both"/>
        <w:rPr>
          <w:rFonts w:ascii="Times New Roman" w:hAnsi="Times New Roman" w:cs="Times New Roman"/>
          <w:sz w:val="24"/>
          <w:szCs w:val="24"/>
          <w:lang w:val="en-MY"/>
        </w:rPr>
      </w:pPr>
      <w:r>
        <w:rPr>
          <w:rFonts w:ascii="Times New Roman" w:hAnsi="Times New Roman" w:cs="Times New Roman"/>
          <w:sz w:val="24"/>
          <w:szCs w:val="24"/>
          <w:lang w:val="en-MY"/>
        </w:rPr>
        <w:t>Security and trust further reinforce the entire architectural structure by ensuring the integrity, confidentiality, and reliability of exchanged information. Open interoperability frameworks without embedded cybersecurity protections increase exposure to unauthorised access, data tampering, and supply chain fraud. Conversely, security mechanisms alone cannot fully support collaborative circular ecosystems unless supported by trust-enabling infrastructures such as blockchain, cryptographic verification, and transparent governance frameworks. As a result, the literature consistently positions these four requirements as mutually reinforcing components rather than standalone implementation domains.</w:t>
      </w:r>
    </w:p>
    <w:p w14:paraId="22CCC5DD">
      <w:pPr>
        <w:spacing w:before="240" w:after="240" w:line="240" w:lineRule="auto"/>
        <w:jc w:val="both"/>
        <w:rPr>
          <w:rFonts w:ascii="Times New Roman" w:hAnsi="Times New Roman" w:cs="Times New Roman"/>
          <w:sz w:val="24"/>
          <w:szCs w:val="24"/>
          <w:lang w:val="en-MY"/>
        </w:rPr>
      </w:pPr>
      <w:r>
        <w:rPr>
          <w:rFonts w:ascii="Times New Roman" w:hAnsi="Times New Roman" w:cs="Times New Roman"/>
          <w:sz w:val="24"/>
          <w:szCs w:val="24"/>
          <w:lang w:val="en-MY"/>
        </w:rPr>
        <w:t>Table 4.10 summarises these interdependencies by illustrating how each requirement contributes to and depends upon the others within an integrated circular SCM architecture.</w:t>
      </w:r>
    </w:p>
    <w:p w14:paraId="24CF68FB">
      <w:pPr>
        <w:spacing w:before="180" w:after="240" w:line="240" w:lineRule="auto"/>
        <w:rPr>
          <w:rFonts w:ascii="Times New Roman" w:hAnsi="Times New Roman" w:cs="Times New Roman"/>
          <w:sz w:val="24"/>
          <w:szCs w:val="24"/>
        </w:rPr>
      </w:pPr>
      <w:r>
        <w:rPr>
          <w:rFonts w:ascii="Times New Roman" w:hAnsi="Times New Roman" w:cs="Times New Roman"/>
          <w:b/>
          <w:bCs/>
          <w:sz w:val="24"/>
          <w:szCs w:val="24"/>
        </w:rPr>
        <w:t>Figure 4.10: Interdependency Matrix of the Four Core Architectural Requirements</w:t>
      </w:r>
    </w:p>
    <w:tbl>
      <w:tblPr>
        <w:tblStyle w:val="14"/>
        <w:tblW w:w="107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1"/>
        <w:gridCol w:w="2107"/>
        <w:gridCol w:w="2108"/>
        <w:gridCol w:w="2130"/>
        <w:gridCol w:w="2104"/>
      </w:tblGrid>
      <w:tr w14:paraId="5F5B6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2291" w:type="dxa"/>
          </w:tcPr>
          <w:p w14:paraId="43FB39C7">
            <w:pPr>
              <w:spacing w:line="240" w:lineRule="auto"/>
              <w:jc w:val="center"/>
              <w:rPr>
                <w:rFonts w:ascii="Times New Roman" w:hAnsi="Times New Roman" w:cs="Times New Roman"/>
                <w:sz w:val="24"/>
                <w:szCs w:val="24"/>
              </w:rPr>
            </w:pPr>
          </w:p>
        </w:tc>
        <w:tc>
          <w:tcPr>
            <w:tcW w:w="2107" w:type="dxa"/>
          </w:tcPr>
          <w:p w14:paraId="17E463E8">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Traceability (1)</w:t>
            </w:r>
          </w:p>
        </w:tc>
        <w:tc>
          <w:tcPr>
            <w:tcW w:w="2108" w:type="dxa"/>
          </w:tcPr>
          <w:p w14:paraId="2FD9823D">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Lifecycle Visibility (2)</w:t>
            </w:r>
          </w:p>
        </w:tc>
        <w:tc>
          <w:tcPr>
            <w:tcW w:w="2130" w:type="dxa"/>
          </w:tcPr>
          <w:p w14:paraId="46663886">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Interoperability (3)</w:t>
            </w:r>
          </w:p>
        </w:tc>
        <w:tc>
          <w:tcPr>
            <w:tcW w:w="2104" w:type="dxa"/>
          </w:tcPr>
          <w:p w14:paraId="5A9348C4">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Security &amp; Trust (4)</w:t>
            </w:r>
          </w:p>
        </w:tc>
      </w:tr>
      <w:tr w14:paraId="161E4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trPr>
        <w:tc>
          <w:tcPr>
            <w:tcW w:w="2291" w:type="dxa"/>
          </w:tcPr>
          <w:p w14:paraId="51028505">
            <w:pPr>
              <w:spacing w:line="240" w:lineRule="auto"/>
              <w:rPr>
                <w:rFonts w:ascii="Times New Roman" w:hAnsi="Times New Roman" w:cs="Times New Roman"/>
                <w:sz w:val="24"/>
                <w:szCs w:val="24"/>
              </w:rPr>
            </w:pPr>
            <w:r>
              <w:rPr>
                <w:rFonts w:ascii="Times New Roman" w:hAnsi="Times New Roman" w:cs="Times New Roman"/>
                <w:sz w:val="24"/>
                <w:szCs w:val="24"/>
              </w:rPr>
              <w:t>Traceability (1)</w:t>
            </w:r>
          </w:p>
        </w:tc>
        <w:tc>
          <w:tcPr>
            <w:tcW w:w="2107" w:type="dxa"/>
          </w:tcPr>
          <w:p w14:paraId="68B5EA47">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108" w:type="dxa"/>
          </w:tcPr>
          <w:p w14:paraId="25E9A15A">
            <w:pPr>
              <w:spacing w:line="240" w:lineRule="auto"/>
              <w:jc w:val="center"/>
              <w:rPr>
                <w:rFonts w:ascii="Times New Roman" w:hAnsi="Times New Roman" w:cs="Times New Roman"/>
                <w:sz w:val="24"/>
                <w:szCs w:val="24"/>
              </w:rPr>
            </w:pPr>
            <w:r>
              <w:rPr>
                <w:rFonts w:ascii="Times New Roman" w:hAnsi="Times New Roman" w:cs="Times New Roman"/>
                <w:sz w:val="24"/>
                <w:szCs w:val="24"/>
              </w:rPr>
              <w:t>Provenance records enable material reuse decisions</w:t>
            </w:r>
          </w:p>
        </w:tc>
        <w:tc>
          <w:tcPr>
            <w:tcW w:w="2130" w:type="dxa"/>
          </w:tcPr>
          <w:p w14:paraId="0EDFC155">
            <w:pPr>
              <w:spacing w:line="240" w:lineRule="auto"/>
              <w:jc w:val="center"/>
              <w:rPr>
                <w:rFonts w:ascii="Times New Roman" w:hAnsi="Times New Roman" w:cs="Times New Roman"/>
                <w:sz w:val="24"/>
                <w:szCs w:val="24"/>
              </w:rPr>
            </w:pPr>
            <w:r>
              <w:rPr>
                <w:rFonts w:ascii="Times New Roman" w:hAnsi="Times New Roman" w:cs="Times New Roman"/>
                <w:sz w:val="24"/>
                <w:szCs w:val="24"/>
              </w:rPr>
              <w:t>Ledger data must be exchangeable across platforms</w:t>
            </w:r>
          </w:p>
        </w:tc>
        <w:tc>
          <w:tcPr>
            <w:tcW w:w="2104" w:type="dxa"/>
          </w:tcPr>
          <w:p w14:paraId="39087FDE">
            <w:pPr>
              <w:spacing w:line="240" w:lineRule="auto"/>
              <w:jc w:val="center"/>
              <w:rPr>
                <w:rFonts w:ascii="Times New Roman" w:hAnsi="Times New Roman" w:cs="Times New Roman"/>
                <w:sz w:val="24"/>
                <w:szCs w:val="24"/>
              </w:rPr>
            </w:pPr>
            <w:r>
              <w:rPr>
                <w:rFonts w:ascii="Times New Roman" w:hAnsi="Times New Roman" w:cs="Times New Roman"/>
                <w:sz w:val="24"/>
                <w:szCs w:val="24"/>
              </w:rPr>
              <w:t>Immutable records build stakeholder trust</w:t>
            </w:r>
          </w:p>
        </w:tc>
      </w:tr>
      <w:tr w14:paraId="24BD4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2291" w:type="dxa"/>
          </w:tcPr>
          <w:p w14:paraId="224A4401">
            <w:pPr>
              <w:spacing w:line="240" w:lineRule="auto"/>
              <w:rPr>
                <w:rFonts w:ascii="Times New Roman" w:hAnsi="Times New Roman" w:cs="Times New Roman"/>
                <w:sz w:val="24"/>
                <w:szCs w:val="24"/>
              </w:rPr>
            </w:pPr>
            <w:r>
              <w:rPr>
                <w:rFonts w:ascii="Times New Roman" w:hAnsi="Times New Roman" w:cs="Times New Roman"/>
                <w:sz w:val="24"/>
                <w:szCs w:val="24"/>
              </w:rPr>
              <w:t>Lifecycle Visibility (2)</w:t>
            </w:r>
          </w:p>
        </w:tc>
        <w:tc>
          <w:tcPr>
            <w:tcW w:w="2107" w:type="dxa"/>
          </w:tcPr>
          <w:p w14:paraId="161FB1E2">
            <w:pPr>
              <w:spacing w:line="240" w:lineRule="auto"/>
              <w:jc w:val="center"/>
              <w:rPr>
                <w:rFonts w:ascii="Times New Roman" w:hAnsi="Times New Roman" w:cs="Times New Roman"/>
                <w:sz w:val="24"/>
                <w:szCs w:val="24"/>
              </w:rPr>
            </w:pPr>
            <w:r>
              <w:rPr>
                <w:rFonts w:ascii="Times New Roman" w:hAnsi="Times New Roman" w:cs="Times New Roman"/>
                <w:sz w:val="24"/>
                <w:szCs w:val="24"/>
              </w:rPr>
              <w:t>Material passports require traceable provenance data</w:t>
            </w:r>
          </w:p>
        </w:tc>
        <w:tc>
          <w:tcPr>
            <w:tcW w:w="2108" w:type="dxa"/>
          </w:tcPr>
          <w:p w14:paraId="58F7E492">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130" w:type="dxa"/>
          </w:tcPr>
          <w:p w14:paraId="39089B18">
            <w:pPr>
              <w:spacing w:line="240" w:lineRule="auto"/>
              <w:jc w:val="center"/>
              <w:rPr>
                <w:rFonts w:ascii="Times New Roman" w:hAnsi="Times New Roman" w:cs="Times New Roman"/>
                <w:sz w:val="24"/>
                <w:szCs w:val="24"/>
              </w:rPr>
            </w:pPr>
            <w:r>
              <w:rPr>
                <w:rFonts w:ascii="Times New Roman" w:hAnsi="Times New Roman" w:cs="Times New Roman"/>
                <w:sz w:val="24"/>
                <w:szCs w:val="24"/>
              </w:rPr>
              <w:t>BIM/DT data must flow between organisations</w:t>
            </w:r>
          </w:p>
        </w:tc>
        <w:tc>
          <w:tcPr>
            <w:tcW w:w="2104" w:type="dxa"/>
          </w:tcPr>
          <w:p w14:paraId="1A32AA55">
            <w:pPr>
              <w:spacing w:line="240" w:lineRule="auto"/>
              <w:jc w:val="center"/>
              <w:rPr>
                <w:rFonts w:ascii="Times New Roman" w:hAnsi="Times New Roman" w:cs="Times New Roman"/>
                <w:sz w:val="24"/>
                <w:szCs w:val="24"/>
              </w:rPr>
            </w:pPr>
            <w:r>
              <w:rPr>
                <w:rFonts w:ascii="Times New Roman" w:hAnsi="Times New Roman" w:cs="Times New Roman"/>
                <w:sz w:val="24"/>
                <w:szCs w:val="24"/>
              </w:rPr>
              <w:t>Lifecycle data requires access control</w:t>
            </w:r>
          </w:p>
        </w:tc>
      </w:tr>
      <w:tr w14:paraId="7359C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2291" w:type="dxa"/>
          </w:tcPr>
          <w:p w14:paraId="0C01DF0D">
            <w:pPr>
              <w:spacing w:line="240" w:lineRule="auto"/>
              <w:rPr>
                <w:rFonts w:ascii="Times New Roman" w:hAnsi="Times New Roman" w:cs="Times New Roman"/>
                <w:sz w:val="24"/>
                <w:szCs w:val="24"/>
              </w:rPr>
            </w:pPr>
            <w:r>
              <w:rPr>
                <w:rFonts w:ascii="Times New Roman" w:hAnsi="Times New Roman" w:cs="Times New Roman"/>
                <w:sz w:val="24"/>
                <w:szCs w:val="24"/>
              </w:rPr>
              <w:t>Interoperability (3)</w:t>
            </w:r>
          </w:p>
        </w:tc>
        <w:tc>
          <w:tcPr>
            <w:tcW w:w="2107" w:type="dxa"/>
          </w:tcPr>
          <w:p w14:paraId="3ED69C89">
            <w:pPr>
              <w:spacing w:line="240" w:lineRule="auto"/>
              <w:jc w:val="center"/>
              <w:rPr>
                <w:rFonts w:ascii="Times New Roman" w:hAnsi="Times New Roman" w:cs="Times New Roman"/>
                <w:sz w:val="24"/>
                <w:szCs w:val="24"/>
              </w:rPr>
            </w:pPr>
            <w:r>
              <w:rPr>
                <w:rFonts w:ascii="Times New Roman" w:hAnsi="Times New Roman" w:cs="Times New Roman"/>
                <w:sz w:val="24"/>
                <w:szCs w:val="24"/>
              </w:rPr>
              <w:t>Cross-platform APIs enable traceability sharing</w:t>
            </w:r>
          </w:p>
        </w:tc>
        <w:tc>
          <w:tcPr>
            <w:tcW w:w="2108" w:type="dxa"/>
          </w:tcPr>
          <w:p w14:paraId="4A40110E">
            <w:pPr>
              <w:spacing w:line="240" w:lineRule="auto"/>
              <w:jc w:val="center"/>
              <w:rPr>
                <w:rFonts w:ascii="Times New Roman" w:hAnsi="Times New Roman" w:cs="Times New Roman"/>
                <w:sz w:val="24"/>
                <w:szCs w:val="24"/>
              </w:rPr>
            </w:pPr>
            <w:r>
              <w:rPr>
                <w:rFonts w:ascii="Times New Roman" w:hAnsi="Times New Roman" w:cs="Times New Roman"/>
                <w:sz w:val="24"/>
                <w:szCs w:val="24"/>
              </w:rPr>
              <w:t>IFC/mvdXML enable BIM data exchange</w:t>
            </w:r>
          </w:p>
        </w:tc>
        <w:tc>
          <w:tcPr>
            <w:tcW w:w="2130" w:type="dxa"/>
          </w:tcPr>
          <w:p w14:paraId="16DB2566">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104" w:type="dxa"/>
          </w:tcPr>
          <w:p w14:paraId="70366F53">
            <w:pPr>
              <w:spacing w:line="240" w:lineRule="auto"/>
              <w:jc w:val="center"/>
              <w:rPr>
                <w:rFonts w:ascii="Times New Roman" w:hAnsi="Times New Roman" w:cs="Times New Roman"/>
                <w:sz w:val="24"/>
                <w:szCs w:val="24"/>
              </w:rPr>
            </w:pPr>
            <w:r>
              <w:rPr>
                <w:rFonts w:ascii="Times New Roman" w:hAnsi="Times New Roman" w:cs="Times New Roman"/>
                <w:sz w:val="24"/>
                <w:szCs w:val="24"/>
              </w:rPr>
              <w:t>Open interfaces increase attack surface</w:t>
            </w:r>
          </w:p>
        </w:tc>
      </w:tr>
      <w:tr w14:paraId="0A8C2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2291" w:type="dxa"/>
          </w:tcPr>
          <w:p w14:paraId="567FE22E">
            <w:pPr>
              <w:spacing w:line="240" w:lineRule="auto"/>
              <w:rPr>
                <w:rFonts w:ascii="Times New Roman" w:hAnsi="Times New Roman" w:cs="Times New Roman"/>
                <w:sz w:val="24"/>
                <w:szCs w:val="24"/>
              </w:rPr>
            </w:pPr>
            <w:r>
              <w:rPr>
                <w:rFonts w:ascii="Times New Roman" w:hAnsi="Times New Roman" w:cs="Times New Roman"/>
                <w:sz w:val="24"/>
                <w:szCs w:val="24"/>
              </w:rPr>
              <w:t>Security &amp; Trust (4)</w:t>
            </w:r>
          </w:p>
        </w:tc>
        <w:tc>
          <w:tcPr>
            <w:tcW w:w="2107" w:type="dxa"/>
          </w:tcPr>
          <w:p w14:paraId="0314E3F1">
            <w:pPr>
              <w:spacing w:line="240" w:lineRule="auto"/>
              <w:jc w:val="center"/>
              <w:rPr>
                <w:rFonts w:ascii="Times New Roman" w:hAnsi="Times New Roman" w:cs="Times New Roman"/>
                <w:sz w:val="24"/>
                <w:szCs w:val="24"/>
              </w:rPr>
            </w:pPr>
            <w:r>
              <w:rPr>
                <w:rFonts w:ascii="Times New Roman" w:hAnsi="Times New Roman" w:cs="Times New Roman"/>
                <w:sz w:val="24"/>
                <w:szCs w:val="24"/>
              </w:rPr>
              <w:t>Blockchain secures provenance integrity</w:t>
            </w:r>
          </w:p>
        </w:tc>
        <w:tc>
          <w:tcPr>
            <w:tcW w:w="2108" w:type="dxa"/>
          </w:tcPr>
          <w:p w14:paraId="5379573C">
            <w:pPr>
              <w:spacing w:line="240" w:lineRule="auto"/>
              <w:jc w:val="center"/>
              <w:rPr>
                <w:rFonts w:ascii="Times New Roman" w:hAnsi="Times New Roman" w:cs="Times New Roman"/>
                <w:sz w:val="24"/>
                <w:szCs w:val="24"/>
              </w:rPr>
            </w:pPr>
            <w:r>
              <w:rPr>
                <w:rFonts w:ascii="Times New Roman" w:hAnsi="Times New Roman" w:cs="Times New Roman"/>
                <w:sz w:val="24"/>
                <w:szCs w:val="24"/>
              </w:rPr>
              <w:t>Encrypted channels protect lifecycle records</w:t>
            </w:r>
          </w:p>
        </w:tc>
        <w:tc>
          <w:tcPr>
            <w:tcW w:w="2130" w:type="dxa"/>
          </w:tcPr>
          <w:p w14:paraId="71148BF6">
            <w:pPr>
              <w:spacing w:line="240" w:lineRule="auto"/>
              <w:jc w:val="center"/>
              <w:rPr>
                <w:rFonts w:ascii="Times New Roman" w:hAnsi="Times New Roman" w:cs="Times New Roman"/>
                <w:sz w:val="24"/>
                <w:szCs w:val="24"/>
              </w:rPr>
            </w:pPr>
            <w:r>
              <w:rPr>
                <w:rFonts w:ascii="Times New Roman" w:hAnsi="Times New Roman" w:cs="Times New Roman"/>
                <w:sz w:val="24"/>
                <w:szCs w:val="24"/>
              </w:rPr>
              <w:t>Security standards enable trusted data sharing</w:t>
            </w:r>
          </w:p>
        </w:tc>
        <w:tc>
          <w:tcPr>
            <w:tcW w:w="2104" w:type="dxa"/>
          </w:tcPr>
          <w:p w14:paraId="3C4A542E">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r>
    </w:tbl>
    <w:p w14:paraId="3EB191A0">
      <w:pPr>
        <w:spacing w:before="60" w:after="180" w:line="240" w:lineRule="auto"/>
        <w:jc w:val="center"/>
        <w:rPr>
          <w:rFonts w:ascii="Times New Roman" w:hAnsi="Times New Roman" w:cs="Times New Roman"/>
          <w:sz w:val="24"/>
          <w:szCs w:val="24"/>
        </w:rPr>
      </w:pPr>
      <w:r>
        <w:rPr>
          <w:rFonts w:ascii="Times New Roman" w:hAnsi="Times New Roman" w:cs="Times New Roman"/>
          <w:sz w:val="24"/>
          <w:szCs w:val="24"/>
        </w:rPr>
        <w:t>DT = Digital Twin; BIM = Building Information Modelling. Source: Authors’ synthesis.</w:t>
      </w:r>
    </w:p>
    <w:p w14:paraId="3D2C6DA2">
      <w:pPr>
        <w:spacing w:before="180" w:after="60" w:line="240" w:lineRule="auto"/>
        <w:jc w:val="both"/>
        <w:rPr>
          <w:rFonts w:ascii="Times New Roman" w:hAnsi="Times New Roman" w:cs="Times New Roman"/>
          <w:sz w:val="24"/>
          <w:szCs w:val="24"/>
          <w:lang w:val="en-MY"/>
        </w:rPr>
      </w:pPr>
      <w:r>
        <w:rPr>
          <w:rFonts w:ascii="Times New Roman" w:hAnsi="Times New Roman" w:cs="Times New Roman"/>
          <w:sz w:val="24"/>
          <w:szCs w:val="24"/>
          <w:lang w:val="en-MY"/>
        </w:rPr>
        <w:t>The interdependency matrix also highlights an important systems-level insight emerging from the SLR corpus: architectural weaknesses in one requirement area frequently propagate into others. For example, poor interoperability standards weaken lifecycle visibility by restricting data exchange, while inadequate security controls undermine trust in provenance systems. This interconnectedness explains why partial or isolated implementation strategies often fail to produce meaningful circular SCM outcomes despite substantial technological investment.</w:t>
      </w:r>
    </w:p>
    <w:p w14:paraId="6C76B6C4">
      <w:pPr>
        <w:spacing w:before="180" w:after="60" w:line="240" w:lineRule="auto"/>
        <w:jc w:val="both"/>
        <w:rPr>
          <w:rFonts w:ascii="Times New Roman" w:hAnsi="Times New Roman" w:cs="Times New Roman"/>
          <w:sz w:val="24"/>
          <w:szCs w:val="24"/>
        </w:rPr>
      </w:pPr>
      <w:r>
        <w:rPr>
          <w:rFonts w:ascii="Times New Roman" w:hAnsi="Times New Roman" w:cs="Times New Roman"/>
          <w:sz w:val="24"/>
          <w:szCs w:val="24"/>
          <w:lang w:val="en-MY"/>
        </w:rPr>
        <w:t>The MBSE methodology adopted provides the structured modelling framework necessary to integrate these requirements into a coherent system architecture. Rather than treating traceability, visibility, interoperability, and security as separate implementation projects, MBSE enables them to be represented as interacting subsystems connected through formal interfaces, workflows, constraints, and behavioural relationships.</w:t>
      </w:r>
      <w:r>
        <w:t xml:space="preserve"> </w:t>
      </w:r>
      <w:r>
        <w:rPr>
          <w:rFonts w:ascii="Times New Roman" w:hAnsi="Times New Roman" w:cs="Times New Roman"/>
          <w:sz w:val="24"/>
          <w:szCs w:val="24"/>
        </w:rPr>
        <w:t>Table 4.11 presents the complete MBSE mapping developed in this study, linking each architectural requirement to its corresponding SysML diagram type as well as its conceptual role within the overall system architecture.</w:t>
      </w:r>
    </w:p>
    <w:p w14:paraId="214E7205">
      <w:pPr>
        <w:spacing w:before="180" w:after="240" w:line="240" w:lineRule="auto"/>
        <w:jc w:val="both"/>
        <w:rPr>
          <w:rFonts w:ascii="Times New Roman" w:hAnsi="Times New Roman" w:cs="Times New Roman"/>
          <w:sz w:val="24"/>
          <w:szCs w:val="24"/>
        </w:rPr>
      </w:pPr>
      <w:r>
        <w:rPr>
          <w:rFonts w:ascii="Times New Roman" w:hAnsi="Times New Roman" w:cs="Times New Roman"/>
          <w:b/>
          <w:bCs/>
          <w:sz w:val="24"/>
          <w:szCs w:val="24"/>
        </w:rPr>
        <w:t>Table 4.11: MBSE Mapping of Core Architectural Requirements to Research Chapters</w:t>
      </w:r>
    </w:p>
    <w:tbl>
      <w:tblPr>
        <w:tblStyle w:val="14"/>
        <w:tblW w:w="107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8"/>
        <w:gridCol w:w="2183"/>
        <w:gridCol w:w="2068"/>
        <w:gridCol w:w="2068"/>
        <w:gridCol w:w="2137"/>
      </w:tblGrid>
      <w:tr w14:paraId="6D7DF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2298" w:type="dxa"/>
          </w:tcPr>
          <w:p w14:paraId="5978E42F">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Requirement</w:t>
            </w:r>
          </w:p>
        </w:tc>
        <w:tc>
          <w:tcPr>
            <w:tcW w:w="2183" w:type="dxa"/>
          </w:tcPr>
          <w:p w14:paraId="0DD6CC06">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SysML Diagram(s)</w:t>
            </w:r>
          </w:p>
        </w:tc>
        <w:tc>
          <w:tcPr>
            <w:tcW w:w="2068" w:type="dxa"/>
          </w:tcPr>
          <w:p w14:paraId="045DB9B5">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Key System Dependency</w:t>
            </w:r>
          </w:p>
        </w:tc>
        <w:tc>
          <w:tcPr>
            <w:tcW w:w="2068" w:type="dxa"/>
          </w:tcPr>
          <w:p w14:paraId="1AA9F8B9">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Observed Outcome</w:t>
            </w:r>
          </w:p>
        </w:tc>
        <w:tc>
          <w:tcPr>
            <w:tcW w:w="2137" w:type="dxa"/>
          </w:tcPr>
          <w:p w14:paraId="05B78BE1">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Design Implication</w:t>
            </w:r>
          </w:p>
        </w:tc>
      </w:tr>
      <w:tr w14:paraId="7EF4A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1" w:hRule="atLeast"/>
        </w:trPr>
        <w:tc>
          <w:tcPr>
            <w:tcW w:w="2298" w:type="dxa"/>
          </w:tcPr>
          <w:p w14:paraId="13D9A2C8">
            <w:pPr>
              <w:spacing w:line="240" w:lineRule="auto"/>
              <w:rPr>
                <w:rFonts w:ascii="Times New Roman" w:hAnsi="Times New Roman" w:cs="Times New Roman"/>
                <w:sz w:val="24"/>
                <w:szCs w:val="24"/>
              </w:rPr>
            </w:pPr>
            <w:r>
              <w:rPr>
                <w:rFonts w:ascii="Times New Roman" w:hAnsi="Times New Roman" w:cs="Times New Roman"/>
                <w:sz w:val="24"/>
                <w:szCs w:val="24"/>
              </w:rPr>
              <w:t>(1) Traceability &amp; Provenance</w:t>
            </w:r>
          </w:p>
        </w:tc>
        <w:tc>
          <w:tcPr>
            <w:tcW w:w="2183" w:type="dxa"/>
          </w:tcPr>
          <w:p w14:paraId="1F469E90">
            <w:pPr>
              <w:spacing w:line="240" w:lineRule="auto"/>
              <w:rPr>
                <w:rFonts w:ascii="Times New Roman" w:hAnsi="Times New Roman" w:cs="Times New Roman"/>
                <w:sz w:val="24"/>
                <w:szCs w:val="24"/>
              </w:rPr>
            </w:pPr>
            <w:r>
              <w:rPr>
                <w:rFonts w:ascii="Times New Roman" w:hAnsi="Times New Roman" w:cs="Times New Roman"/>
                <w:sz w:val="24"/>
                <w:szCs w:val="24"/>
              </w:rPr>
              <w:t>Activity (reverse logistics); Block Definition (sensor/ledger)</w:t>
            </w:r>
          </w:p>
        </w:tc>
        <w:tc>
          <w:tcPr>
            <w:tcW w:w="2068" w:type="dxa"/>
          </w:tcPr>
          <w:p w14:paraId="733DADDC">
            <w:pPr>
              <w:spacing w:line="240" w:lineRule="auto"/>
              <w:rPr>
                <w:rFonts w:ascii="Times New Roman" w:hAnsi="Times New Roman" w:cs="Times New Roman"/>
                <w:sz w:val="24"/>
                <w:szCs w:val="24"/>
              </w:rPr>
            </w:pPr>
            <w:r>
              <w:rPr>
                <w:rFonts w:ascii="Times New Roman" w:hAnsi="Times New Roman" w:cs="Times New Roman"/>
                <w:sz w:val="24"/>
                <w:szCs w:val="24"/>
              </w:rPr>
              <w:t>Linear SCM lacks reverse flow tracking (Farooque et al., 2019)</w:t>
            </w:r>
          </w:p>
        </w:tc>
        <w:tc>
          <w:tcPr>
            <w:tcW w:w="2068" w:type="dxa"/>
          </w:tcPr>
          <w:p w14:paraId="2043CFED">
            <w:pPr>
              <w:spacing w:line="240" w:lineRule="auto"/>
              <w:rPr>
                <w:rFonts w:ascii="Times New Roman" w:hAnsi="Times New Roman" w:cs="Times New Roman"/>
                <w:sz w:val="24"/>
                <w:szCs w:val="24"/>
              </w:rPr>
            </w:pPr>
            <w:r>
              <w:rPr>
                <w:rFonts w:ascii="Times New Roman" w:hAnsi="Times New Roman" w:cs="Times New Roman"/>
                <w:sz w:val="24"/>
                <w:szCs w:val="24"/>
              </w:rPr>
              <w:t>75% processing time reduction (Baskaran &amp; Nguyen, 2025)</w:t>
            </w:r>
          </w:p>
        </w:tc>
        <w:tc>
          <w:tcPr>
            <w:tcW w:w="2137" w:type="dxa"/>
          </w:tcPr>
          <w:p w14:paraId="648C8C70">
            <w:pPr>
              <w:spacing w:line="240" w:lineRule="auto"/>
              <w:rPr>
                <w:rFonts w:ascii="Times New Roman" w:hAnsi="Times New Roman" w:cs="Times New Roman"/>
                <w:sz w:val="24"/>
                <w:szCs w:val="24"/>
              </w:rPr>
            </w:pPr>
            <w:r>
              <w:rPr>
                <w:rFonts w:ascii="Times New Roman" w:hAnsi="Times New Roman" w:cs="Times New Roman"/>
                <w:sz w:val="24"/>
                <w:szCs w:val="24"/>
              </w:rPr>
              <w:t>Future DPP schema standardisation needed</w:t>
            </w:r>
          </w:p>
        </w:tc>
      </w:tr>
      <w:tr w14:paraId="51267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4" w:hRule="atLeast"/>
        </w:trPr>
        <w:tc>
          <w:tcPr>
            <w:tcW w:w="2298" w:type="dxa"/>
          </w:tcPr>
          <w:p w14:paraId="09C2B7E0">
            <w:pPr>
              <w:spacing w:line="240" w:lineRule="auto"/>
              <w:rPr>
                <w:rFonts w:ascii="Times New Roman" w:hAnsi="Times New Roman" w:cs="Times New Roman"/>
                <w:sz w:val="24"/>
                <w:szCs w:val="24"/>
              </w:rPr>
            </w:pPr>
            <w:r>
              <w:rPr>
                <w:rFonts w:ascii="Times New Roman" w:hAnsi="Times New Roman" w:cs="Times New Roman"/>
                <w:sz w:val="24"/>
                <w:szCs w:val="24"/>
              </w:rPr>
              <w:t>(2) Lifecycle Visibility</w:t>
            </w:r>
          </w:p>
        </w:tc>
        <w:tc>
          <w:tcPr>
            <w:tcW w:w="2183" w:type="dxa"/>
          </w:tcPr>
          <w:p w14:paraId="0E14C433">
            <w:pPr>
              <w:spacing w:line="240" w:lineRule="auto"/>
              <w:rPr>
                <w:rFonts w:ascii="Times New Roman" w:hAnsi="Times New Roman" w:cs="Times New Roman"/>
                <w:sz w:val="24"/>
                <w:szCs w:val="24"/>
              </w:rPr>
            </w:pPr>
            <w:r>
              <w:rPr>
                <w:rFonts w:ascii="Times New Roman" w:hAnsi="Times New Roman" w:cs="Times New Roman"/>
                <w:sz w:val="24"/>
                <w:szCs w:val="24"/>
              </w:rPr>
              <w:t>Activity (deconstruction); Parametric (forecasting)</w:t>
            </w:r>
          </w:p>
        </w:tc>
        <w:tc>
          <w:tcPr>
            <w:tcW w:w="2068" w:type="dxa"/>
          </w:tcPr>
          <w:p w14:paraId="4DB7985E">
            <w:pPr>
              <w:spacing w:line="240" w:lineRule="auto"/>
              <w:rPr>
                <w:rFonts w:ascii="Times New Roman" w:hAnsi="Times New Roman" w:cs="Times New Roman"/>
                <w:sz w:val="24"/>
                <w:szCs w:val="24"/>
              </w:rPr>
            </w:pPr>
            <w:r>
              <w:rPr>
                <w:rFonts w:ascii="Times New Roman" w:hAnsi="Times New Roman" w:cs="Times New Roman"/>
                <w:sz w:val="24"/>
                <w:szCs w:val="24"/>
              </w:rPr>
              <w:t>CE demands full-lifecycle asset management (Alhamami et al., 2018)</w:t>
            </w:r>
          </w:p>
        </w:tc>
        <w:tc>
          <w:tcPr>
            <w:tcW w:w="2068" w:type="dxa"/>
          </w:tcPr>
          <w:p w14:paraId="175D1EB3">
            <w:pPr>
              <w:spacing w:line="240" w:lineRule="auto"/>
              <w:rPr>
                <w:rFonts w:ascii="Times New Roman" w:hAnsi="Times New Roman" w:cs="Times New Roman"/>
                <w:sz w:val="24"/>
                <w:szCs w:val="24"/>
              </w:rPr>
            </w:pPr>
            <w:r>
              <w:rPr>
                <w:rFonts w:ascii="Times New Roman" w:hAnsi="Times New Roman" w:cs="Times New Roman"/>
                <w:sz w:val="24"/>
                <w:szCs w:val="24"/>
              </w:rPr>
              <w:t>16.1% material flow duration reduction (Chen et al., 2020)</w:t>
            </w:r>
          </w:p>
        </w:tc>
        <w:tc>
          <w:tcPr>
            <w:tcW w:w="2137" w:type="dxa"/>
          </w:tcPr>
          <w:p w14:paraId="6A6F769E">
            <w:pPr>
              <w:spacing w:line="240" w:lineRule="auto"/>
              <w:rPr>
                <w:rFonts w:ascii="Times New Roman" w:hAnsi="Times New Roman" w:cs="Times New Roman"/>
                <w:sz w:val="24"/>
                <w:szCs w:val="24"/>
              </w:rPr>
            </w:pPr>
            <w:r>
              <w:rPr>
                <w:rFonts w:ascii="Times New Roman" w:hAnsi="Times New Roman" w:cs="Times New Roman"/>
                <w:sz w:val="24"/>
                <w:szCs w:val="24"/>
              </w:rPr>
              <w:t>Digital twin pilot validations required</w:t>
            </w:r>
          </w:p>
        </w:tc>
      </w:tr>
      <w:tr w14:paraId="76541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4" w:hRule="atLeast"/>
        </w:trPr>
        <w:tc>
          <w:tcPr>
            <w:tcW w:w="2298" w:type="dxa"/>
          </w:tcPr>
          <w:p w14:paraId="4ACCD266">
            <w:pPr>
              <w:spacing w:line="240" w:lineRule="auto"/>
              <w:rPr>
                <w:rFonts w:ascii="Times New Roman" w:hAnsi="Times New Roman" w:cs="Times New Roman"/>
                <w:sz w:val="24"/>
                <w:szCs w:val="24"/>
              </w:rPr>
            </w:pPr>
            <w:r>
              <w:rPr>
                <w:rFonts w:ascii="Times New Roman" w:hAnsi="Times New Roman" w:cs="Times New Roman"/>
                <w:sz w:val="24"/>
                <w:szCs w:val="24"/>
              </w:rPr>
              <w:t>(3) Interoperability</w:t>
            </w:r>
          </w:p>
        </w:tc>
        <w:tc>
          <w:tcPr>
            <w:tcW w:w="2183" w:type="dxa"/>
          </w:tcPr>
          <w:p w14:paraId="2EB06D7F">
            <w:pPr>
              <w:spacing w:line="240" w:lineRule="auto"/>
              <w:rPr>
                <w:rFonts w:ascii="Times New Roman" w:hAnsi="Times New Roman" w:cs="Times New Roman"/>
                <w:sz w:val="24"/>
                <w:szCs w:val="24"/>
              </w:rPr>
            </w:pPr>
            <w:r>
              <w:rPr>
                <w:rFonts w:ascii="Times New Roman" w:hAnsi="Times New Roman" w:cs="Times New Roman"/>
                <w:sz w:val="24"/>
                <w:szCs w:val="24"/>
              </w:rPr>
              <w:t>Interface (subsystem relations); Sequence (data exchange)</w:t>
            </w:r>
          </w:p>
        </w:tc>
        <w:tc>
          <w:tcPr>
            <w:tcW w:w="2068" w:type="dxa"/>
          </w:tcPr>
          <w:p w14:paraId="41655DD4">
            <w:pPr>
              <w:spacing w:line="240" w:lineRule="auto"/>
              <w:rPr>
                <w:rFonts w:ascii="Times New Roman" w:hAnsi="Times New Roman" w:cs="Times New Roman"/>
                <w:sz w:val="24"/>
                <w:szCs w:val="24"/>
              </w:rPr>
            </w:pPr>
            <w:r>
              <w:rPr>
                <w:rFonts w:ascii="Times New Roman" w:hAnsi="Times New Roman" w:cs="Times New Roman"/>
                <w:sz w:val="24"/>
                <w:szCs w:val="24"/>
              </w:rPr>
              <w:t>Fragmented architectures cause data errors (Radivojević et al., 2022)</w:t>
            </w:r>
          </w:p>
        </w:tc>
        <w:tc>
          <w:tcPr>
            <w:tcW w:w="2068" w:type="dxa"/>
          </w:tcPr>
          <w:p w14:paraId="68CD6CCC">
            <w:pPr>
              <w:spacing w:line="240" w:lineRule="auto"/>
              <w:rPr>
                <w:rFonts w:ascii="Times New Roman" w:hAnsi="Times New Roman" w:cs="Times New Roman"/>
                <w:sz w:val="24"/>
                <w:szCs w:val="24"/>
              </w:rPr>
            </w:pPr>
            <w:r>
              <w:rPr>
                <w:rFonts w:ascii="Times New Roman" w:hAnsi="Times New Roman" w:cs="Times New Roman"/>
                <w:sz w:val="24"/>
                <w:szCs w:val="24"/>
              </w:rPr>
              <w:t>Adoption barriers: fragmentation compounds cost (Taddei et al., 2024)</w:t>
            </w:r>
          </w:p>
        </w:tc>
        <w:tc>
          <w:tcPr>
            <w:tcW w:w="2137" w:type="dxa"/>
          </w:tcPr>
          <w:p w14:paraId="2BD3C5B2">
            <w:pPr>
              <w:spacing w:line="240" w:lineRule="auto"/>
              <w:rPr>
                <w:rFonts w:ascii="Times New Roman" w:hAnsi="Times New Roman" w:cs="Times New Roman"/>
                <w:sz w:val="24"/>
                <w:szCs w:val="24"/>
              </w:rPr>
            </w:pPr>
            <w:r>
              <w:rPr>
                <w:rFonts w:ascii="Times New Roman" w:hAnsi="Times New Roman" w:cs="Times New Roman"/>
                <w:sz w:val="24"/>
                <w:szCs w:val="24"/>
              </w:rPr>
              <w:t>Shared reference architectures needed</w:t>
            </w:r>
          </w:p>
        </w:tc>
      </w:tr>
      <w:tr w14:paraId="78BE9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0" w:hRule="atLeast"/>
        </w:trPr>
        <w:tc>
          <w:tcPr>
            <w:tcW w:w="2298" w:type="dxa"/>
          </w:tcPr>
          <w:p w14:paraId="12810843">
            <w:pPr>
              <w:spacing w:line="240" w:lineRule="auto"/>
              <w:rPr>
                <w:rFonts w:ascii="Times New Roman" w:hAnsi="Times New Roman" w:cs="Times New Roman"/>
                <w:sz w:val="24"/>
                <w:szCs w:val="24"/>
              </w:rPr>
            </w:pPr>
            <w:r>
              <w:rPr>
                <w:rFonts w:ascii="Times New Roman" w:hAnsi="Times New Roman" w:cs="Times New Roman"/>
                <w:sz w:val="24"/>
                <w:szCs w:val="24"/>
              </w:rPr>
              <w:t>(4) Security &amp; Trust</w:t>
            </w:r>
          </w:p>
        </w:tc>
        <w:tc>
          <w:tcPr>
            <w:tcW w:w="2183" w:type="dxa"/>
          </w:tcPr>
          <w:p w14:paraId="7B26BBFE">
            <w:pPr>
              <w:spacing w:line="240" w:lineRule="auto"/>
              <w:rPr>
                <w:rFonts w:ascii="Times New Roman" w:hAnsi="Times New Roman" w:cs="Times New Roman"/>
                <w:sz w:val="24"/>
                <w:szCs w:val="24"/>
              </w:rPr>
            </w:pPr>
            <w:r>
              <w:rPr>
                <w:rFonts w:ascii="Times New Roman" w:hAnsi="Times New Roman" w:cs="Times New Roman"/>
                <w:sz w:val="24"/>
                <w:szCs w:val="24"/>
              </w:rPr>
              <w:t>Requirement (constraints); Activity (secure flows)</w:t>
            </w:r>
          </w:p>
        </w:tc>
        <w:tc>
          <w:tcPr>
            <w:tcW w:w="2068" w:type="dxa"/>
          </w:tcPr>
          <w:p w14:paraId="1806EE52">
            <w:pPr>
              <w:spacing w:line="240" w:lineRule="auto"/>
              <w:rPr>
                <w:rFonts w:ascii="Times New Roman" w:hAnsi="Times New Roman" w:cs="Times New Roman"/>
                <w:sz w:val="24"/>
                <w:szCs w:val="24"/>
              </w:rPr>
            </w:pPr>
            <w:r>
              <w:rPr>
                <w:rFonts w:ascii="Times New Roman" w:hAnsi="Times New Roman" w:cs="Times New Roman"/>
                <w:sz w:val="24"/>
                <w:szCs w:val="24"/>
              </w:rPr>
              <w:t>Multi-stakeholder CE requires verified provenance (Chapter I, para 3)</w:t>
            </w:r>
          </w:p>
        </w:tc>
        <w:tc>
          <w:tcPr>
            <w:tcW w:w="2068" w:type="dxa"/>
          </w:tcPr>
          <w:p w14:paraId="5CF17AC2">
            <w:pPr>
              <w:spacing w:line="240" w:lineRule="auto"/>
              <w:rPr>
                <w:rFonts w:ascii="Times New Roman" w:hAnsi="Times New Roman" w:cs="Times New Roman"/>
                <w:sz w:val="24"/>
                <w:szCs w:val="24"/>
              </w:rPr>
            </w:pPr>
            <w:r>
              <w:rPr>
                <w:rFonts w:ascii="Times New Roman" w:hAnsi="Times New Roman" w:cs="Times New Roman"/>
                <w:sz w:val="24"/>
                <w:szCs w:val="24"/>
              </w:rPr>
              <w:t>Stakeholder reluctance driven by data exposure fears (Taddei et al., 2024)</w:t>
            </w:r>
          </w:p>
        </w:tc>
        <w:tc>
          <w:tcPr>
            <w:tcW w:w="2137" w:type="dxa"/>
          </w:tcPr>
          <w:p w14:paraId="36FF3C71">
            <w:pPr>
              <w:spacing w:line="240" w:lineRule="auto"/>
              <w:rPr>
                <w:rFonts w:ascii="Times New Roman" w:hAnsi="Times New Roman" w:cs="Times New Roman"/>
                <w:sz w:val="24"/>
                <w:szCs w:val="24"/>
              </w:rPr>
            </w:pPr>
            <w:r>
              <w:rPr>
                <w:rFonts w:ascii="Times New Roman" w:hAnsi="Times New Roman" w:cs="Times New Roman"/>
                <w:sz w:val="24"/>
                <w:szCs w:val="24"/>
              </w:rPr>
              <w:t>Governance incentive mechanisms needed</w:t>
            </w:r>
          </w:p>
        </w:tc>
      </w:tr>
    </w:tbl>
    <w:p w14:paraId="43CCF034">
      <w:pPr>
        <w:spacing w:before="60" w:after="180" w:line="240" w:lineRule="auto"/>
        <w:jc w:val="center"/>
        <w:rPr>
          <w:rFonts w:ascii="Times New Roman" w:hAnsi="Times New Roman" w:cs="Times New Roman"/>
          <w:sz w:val="24"/>
          <w:szCs w:val="24"/>
        </w:rPr>
      </w:pPr>
      <w:r>
        <w:rPr>
          <w:rFonts w:ascii="Times New Roman" w:hAnsi="Times New Roman" w:cs="Times New Roman"/>
          <w:sz w:val="24"/>
          <w:szCs w:val="24"/>
        </w:rPr>
        <w:t>DPP = Digital Product Passport; CE = Circular Economy. Source: Authors’ MBSE synthesis.</w:t>
      </w:r>
    </w:p>
    <w:p w14:paraId="2827E61D">
      <w:pPr>
        <w:pStyle w:val="11"/>
        <w:jc w:val="both"/>
        <w:rPr>
          <w:lang w:val="en"/>
        </w:rPr>
      </w:pPr>
      <w:r>
        <w:rPr>
          <w:lang w:val="en"/>
        </w:rPr>
        <w:t>Collectively, the findings demonstrate that circular supply chain transformation cannot be achieved through isolated technology adoption or incremental digitalisation efforts. Instead, successful implementation requires architecture-led integration in which sensing infrastructures, lifecycle intelligence systems, interoperability protocols, and security mechanisms operate as a coordinated system.</w:t>
      </w:r>
    </w:p>
    <w:p w14:paraId="37727BE5">
      <w:pPr>
        <w:pStyle w:val="11"/>
        <w:jc w:val="both"/>
        <w:rPr>
          <w:rFonts w:ascii="Times New Roman" w:hAnsi="Times New Roman" w:cs="Times New Roman"/>
          <w:b/>
          <w:bCs/>
          <w:sz w:val="24"/>
          <w:szCs w:val="24"/>
        </w:rPr>
      </w:pPr>
      <w:r>
        <w:rPr>
          <w:lang w:val="en"/>
        </w:rPr>
        <w:t>These requirements are not optional enhancements but foundational conditions for achieving efficiency, resilience, and sustainability in circular supply chain systems</w:t>
      </w:r>
      <w:r>
        <w:t>. The literature indicates that future implementation strategies must prioritise coordinated investment, shared interoperability standards, collaborative governance structures, workforce capability development, and phased validation through pilot ecosystems. Without such integrated approaches, circular SCM initiatives risk remaining fragmented, technologically incompatible, and operationally unsustainable despite significant investment in individual digital technologies (Lahane et al., 2020; Nascimento et al., 2019).</w:t>
      </w:r>
      <w:bookmarkStart w:id="17" w:name="_GoBack"/>
      <w:bookmarkEnd w:id="17"/>
    </w:p>
    <w:p w14:paraId="3E07D6F5">
      <w:pPr>
        <w:pStyle w:val="4"/>
        <w:spacing w:before="140" w:after="0" w:line="240" w:lineRule="auto"/>
        <w:jc w:val="both"/>
      </w:pPr>
      <w:r>
        <w:rPr>
          <w:rFonts w:ascii="Times New Roman" w:hAnsi="Times New Roman"/>
          <w:b/>
          <w:sz w:val="24"/>
        </w:rPr>
        <w:t>DISCUSSION</w:t>
      </w:r>
    </w:p>
    <w:p w14:paraId="4DCE5BE1">
      <w:pPr>
        <w:spacing w:before="120" w:after="120" w:line="240" w:lineRule="auto"/>
        <w:jc w:val="both"/>
      </w:pPr>
      <w:r>
        <w:rPr>
          <w:rFonts w:ascii="Times New Roman" w:hAnsi="Times New Roman"/>
          <w:b/>
          <w:sz w:val="24"/>
        </w:rPr>
        <w:t>Theoretical Contributions</w:t>
      </w:r>
    </w:p>
    <w:p w14:paraId="00A7AFA4">
      <w:pPr>
        <w:spacing w:before="120" w:after="120" w:line="240" w:lineRule="auto"/>
        <w:jc w:val="both"/>
      </w:pPr>
      <w:r>
        <w:rPr>
          <w:rFonts w:ascii="Times New Roman" w:hAnsi="Times New Roman"/>
          <w:sz w:val="24"/>
        </w:rPr>
        <w:t>The findings should be read as more than a confirmation that digital technologies are useful for circular SCM. Their main theoretical implication is that circularity is an architectural problem: reverse flows, multi-lifecycle records, and shared decision rights cannot be managed through isolated deployments of IoT, BIM, blockchain, or AI. This aligns with Farooque et al. (2019) and Taddei et al. (2024), who argue that technology-by-technology approaches leave major gaps in the operationalisation of circular supply chains. The present synthesis extends those arguments by identifying the architectural conditions under which the technologies become mutually reinforcing. Traceability and provenance establish confidence in product histories; lifecycle visibility shows when and where resources can be reused; interoperability allows actors to exchange those records; and security and trust protect the information relationships on which collaboration depends. The so what factor is therefore that the four requirements are not parallel findings but a systems logic for converting circular economy principles into executable SCM design.</w:t>
      </w:r>
    </w:p>
    <w:p w14:paraId="3C09E572">
      <w:pPr>
        <w:spacing w:before="120" w:after="120" w:line="240" w:lineRule="auto"/>
        <w:jc w:val="both"/>
      </w:pPr>
      <w:r>
        <w:rPr>
          <w:rFonts w:ascii="Times New Roman" w:hAnsi="Times New Roman"/>
          <w:sz w:val="24"/>
        </w:rPr>
        <w:t>This interpretation also strengthens the link between the findings and MBSE theory. Earlier studies often describe digital technologies as capabilities, but MBSE reframes them as requirements, interfaces, constraints, and behavioural flows that can be traced across the system architecture (Amiri, 2025; Kizgin &amp; Vietor, 2025). The value of MBSE is not merely methodological neatness; it makes the interdependence between requirements visible. For example, traceability without interoperability produces a closed database rather than a shared circular network, while interoperability without security can expose sensitive commercial data and weaken stakeholder confidence. The study therefore agrees with Nascimento et al. (2019) that Industry 4.0 technologies enable circular practices only when embedded in an integrated operational model, but it adds that the model must also be represented as a traceable architecture. This advances existing literature by moving the debate from whether a technology can support circular SCM to how multiple requirements must be configured together.</w:t>
      </w:r>
    </w:p>
    <w:p w14:paraId="62B4091A">
      <w:pPr>
        <w:spacing w:before="120" w:after="120" w:line="240" w:lineRule="auto"/>
        <w:jc w:val="both"/>
      </w:pPr>
      <w:r>
        <w:rPr>
          <w:rFonts w:ascii="Times New Roman" w:hAnsi="Times New Roman"/>
          <w:sz w:val="24"/>
        </w:rPr>
        <w:t>The study also qualifies some claims made by leading circular economy and supply chain authors. Geissdoerfer et al. (2018) and Farooque et al. (2019) position circular SCM as a shift from linear throughput to value-preserving loops, and the present findings support that view. However, the evidence reviewed here suggests that the shift is not only strategic or environmental; it is also informational. Circular value cannot be preserved unless the system knows the provenance, condition, ownership, and compliance status of each material or component. Similarly, Govindan and Hasanagic (2018) identify knowledge gaps as a major barrier to circular implementation. This study agrees, but it specifies that the knowledge gap is partly architectural: firms often lack a shared model of what data must be captured, how it should move, who governs it, and how decisions should be triggered. The theoretical contribution is therefore a more operational account of circular SCM, one that links sustainability goals to requirements engineering and systems integration.</w:t>
      </w:r>
    </w:p>
    <w:p w14:paraId="2FCE02B6">
      <w:pPr>
        <w:spacing w:before="120" w:after="120" w:line="240" w:lineRule="auto"/>
        <w:jc w:val="both"/>
      </w:pPr>
      <w:r>
        <w:rPr>
          <w:rFonts w:ascii="Times New Roman" w:hAnsi="Times New Roman"/>
          <w:b/>
          <w:sz w:val="24"/>
        </w:rPr>
        <w:t>Practical and Policy Implications</w:t>
      </w:r>
    </w:p>
    <w:p w14:paraId="0D4AD8E9">
      <w:pPr>
        <w:spacing w:before="120" w:after="120" w:line="240" w:lineRule="auto"/>
        <w:jc w:val="both"/>
      </w:pPr>
      <w:r>
        <w:rPr>
          <w:rFonts w:ascii="Times New Roman" w:hAnsi="Times New Roman"/>
          <w:sz w:val="24"/>
        </w:rPr>
        <w:t>For practitioners, the findings indicate that circular SCM performance depends on reducing information friction across organisational boundaries. The operational gains reported in the literature are meaningful because they show what happens when architectural requirements are joined rather than treated separately. RFID-enabled tracking in medical device logistics reduced processing times by approximately 75% and audit completion times by 87.5%, demonstrating how automated provenance records can remove manual reconciliation from both forward and reverse logistics (Baskaran &amp; Nguyen, 2025). BIM-linked look-ahead planning reduced material flow process durations by 16.1%, showing that lifecycle visibility matters most when it is connected to production scheduling and stakeholder coordination (Chen et al., 2020). These results do not imply that every firm will obtain the same efficiency gains immediately. Rather, they suggest that gains are most likely where organisations combine digital sensing, shared records, interoperable data exchange, and clear decision rules so that recovered materials can be evaluated and routed before their value deteriorates.</w:t>
      </w:r>
    </w:p>
    <w:p w14:paraId="0B701F7D">
      <w:pPr>
        <w:spacing w:before="120" w:after="120" w:line="240" w:lineRule="auto"/>
        <w:jc w:val="both"/>
      </w:pPr>
      <w:r>
        <w:rPr>
          <w:rFonts w:ascii="Times New Roman" w:hAnsi="Times New Roman"/>
          <w:sz w:val="24"/>
        </w:rPr>
        <w:t>The most direct practitioner recommendation is therefore to avoid piecemeal technology adoption. Firms should begin with an architectural roadmap that maps the four core requirements to business processes, system interfaces, and governance responsibilities. A blockchain layer should not be procured before the organisation has defined what provenance data must be captured, how Digital Product Passports will be maintained, who can access them, and how those records will connect to BIM, IoT, analytics, and enterprise planning systems. Similarly, predictive analytics and digital twin functions are only useful when the underlying data are timely, standardised, and trusted. Robertshaw et al. (2023) show that digital twins can shift maintenance from a reactive to a predictive posture; in circular SCM, this matters because better timing supports redeployment, refurbishment, and recycling decisions. The practical contribution of this study is thus an implementation logic: practitioners should design the data foundation, interoperability rules, security controls, and decision workflows together, then phase the technology investment around that architecture.</w:t>
      </w:r>
    </w:p>
    <w:p w14:paraId="6774C4C4">
      <w:pPr>
        <w:spacing w:before="120" w:after="120" w:line="240" w:lineRule="auto"/>
        <w:jc w:val="both"/>
      </w:pPr>
      <w:r>
        <w:rPr>
          <w:rFonts w:ascii="Times New Roman" w:hAnsi="Times New Roman"/>
          <w:sz w:val="24"/>
        </w:rPr>
        <w:t>A staged implementation pathway follows from this logic. First, organisations should identify the circular decisions that create the highest value, such as whether a returned component should be reused, refurbished, recycled, or scrapped. Second, they should specify the data needed for those decisions, including location, condition, material composition, ownership, certification, and risk status. Third, they should design interfaces that allow this data to move across organisational boundaries without forcing all actors into a single platform. Fourth, they should embed access control, auditability, and responsibility rules before scaling the system. This sequence turns the findings into a practical design method. It also prevents the common failure in which a firm invests in a digital tool but leaves unresolved the data standards, governance rights, and workflow changes needed to realise value. In circular SCM, the architecture is not an IT back office issue; it is the mechanism through which circular strategy becomes operational behaviour.</w:t>
      </w:r>
    </w:p>
    <w:p w14:paraId="05AD828D">
      <w:pPr>
        <w:spacing w:before="120" w:after="120" w:line="240" w:lineRule="auto"/>
        <w:jc w:val="both"/>
      </w:pPr>
      <w:r>
        <w:rPr>
          <w:rFonts w:ascii="Times New Roman" w:hAnsi="Times New Roman"/>
          <w:sz w:val="24"/>
        </w:rPr>
        <w:t>For policymakers, the findings support a clear policy recommendation: circular SCM should be governed through shared reference architectures and interoperable standards rather than through fragmented incentives for single technologies. Public agencies and industry bodies can accelerate adoption by developing common Digital Product Passport schemas, open API requirements, sector-specific ontologies, and procurement rules that reward traceable reuse and verified material recovery. Such standards would reduce the bespoke integration costs that currently burden especially small and medium-sized enterprises (Solanki et al., 2025). They would also address the stakeholder reluctance identified by Taddei et al. (2024), because common governance rules can define data ownership, access rights, liability, and confidentiality before firms are asked to disclose commercially sensitive information. In this sense, policy should not only subsidise digital tools; it should create the institutional conditions under which those tools can be trusted across organisational boundaries.</w:t>
      </w:r>
    </w:p>
    <w:p w14:paraId="6C760B8D">
      <w:pPr>
        <w:spacing w:before="120" w:after="120" w:line="240" w:lineRule="auto"/>
        <w:jc w:val="both"/>
      </w:pPr>
      <w:r>
        <w:rPr>
          <w:rFonts w:ascii="Times New Roman" w:hAnsi="Times New Roman"/>
          <w:b/>
          <w:sz w:val="24"/>
        </w:rPr>
        <w:t>Human, Organisational, and Future Research Implications</w:t>
      </w:r>
    </w:p>
    <w:p w14:paraId="07A60022">
      <w:pPr>
        <w:spacing w:before="120" w:after="120" w:line="240" w:lineRule="auto"/>
        <w:jc w:val="both"/>
      </w:pPr>
      <w:r>
        <w:rPr>
          <w:rFonts w:ascii="Times New Roman" w:hAnsi="Times New Roman"/>
          <w:sz w:val="24"/>
        </w:rPr>
        <w:t>A further implication is that circular SCM architecture must include the human layer. The literature on BIM adoption shows that technology maturity does not translate automatically into circular capability when practitioners lack the skills to populate, interpret, and act on digital information (Alhamami et al., 2018; Alhamami et al., 2020). Bag et al. (2021) similarly show that advanced manufacturing capabilities depend on workforce competence and management commitment. These findings mean that skills development is not a supporting activity but part of the architecture itself. Training programmes, professional certification, and cross-organisational learning mechanisms should be designed alongside system deployment so that operators, project managers, recyclers, auditors, and suppliers understand the same data definitions and decision rules. Toland and Collery (2023) further suggest that adversarial industry cultures can undermine collaboration even where technical tools are available. Practical implementation must therefore combine system design with relationship governance, including early stakeholder engagement, transparent value-sharing mechanisms, and routines for resolving disputes over data quality or cost allocation.</w:t>
      </w:r>
    </w:p>
    <w:p w14:paraId="065FDF03">
      <w:pPr>
        <w:spacing w:before="120" w:after="120" w:line="240" w:lineRule="auto"/>
        <w:jc w:val="both"/>
      </w:pPr>
      <w:r>
        <w:rPr>
          <w:rFonts w:ascii="Times New Roman" w:hAnsi="Times New Roman"/>
          <w:sz w:val="24"/>
        </w:rPr>
        <w:t>The discussion also identifies research avenues opened by the study. First, future work should test the proposed architecture in live supply chain pilots, since conceptual MBSE validation cannot fully capture behavioural resistance, integration costs, or the distribution of benefits between actors. Second, sector-specific studies are needed to examine whether the same requirement structure applies in electronics, textiles, food, and healthcare, where product lifecycles, regulatory pressure, and recovery economics differ from construction and manufacturing. Third, researchers should examine how governance mechanisms influence adoption. Kouhizadeh et al. (2021) demonstrate that technological, organisational, and environmental barriers cluster together, which means technical performance should be evaluated alongside financing models, data-sharing agreements, workforce capability, and incentives. The policy pitch that follows from the results is simple: circular SCM transformation should be treated as an architecture-led public-private programme, not as a collection of independent digitalisation projects. Only then can the theoretical promise of circularity become a practical, scalable supply chain capability.</w:t>
      </w:r>
    </w:p>
    <w:p w14:paraId="26FB3495">
      <w:pPr>
        <w:pStyle w:val="4"/>
        <w:spacing w:before="140" w:after="0" w:line="240" w:lineRule="auto"/>
        <w:jc w:val="both"/>
      </w:pPr>
      <w:r>
        <w:rPr>
          <w:rFonts w:ascii="Times New Roman" w:hAnsi="Times New Roman"/>
          <w:b/>
          <w:sz w:val="24"/>
        </w:rPr>
        <w:t>CONCLUSION</w:t>
      </w:r>
    </w:p>
    <w:p w14:paraId="0E1CFE57">
      <w:pPr>
        <w:spacing w:before="120" w:after="120" w:line="240" w:lineRule="auto"/>
        <w:jc w:val="both"/>
      </w:pPr>
      <w:r>
        <w:rPr>
          <w:rFonts w:ascii="Times New Roman" w:hAnsi="Times New Roman"/>
          <w:sz w:val="24"/>
        </w:rPr>
        <w:t>This study set out to identify, validate, and explain the core architectural requirements that enable Supply Chain Management systems to support the transition from linear production and logistics models to a circular economy. In relation to that objective, the paper concludes that circular SCM cannot be achieved through isolated adoption of blockchain, IoT, BIM, digital twins, AI, or lean tools. The central finding is that four requirements - traceability and provenance, lifecycle visibility and resource reuse, interoperability and standards, and security and trust - operate as an integrated architectural logic. Traceability records where products and materials have been; lifecycle visibility shows their condition and future recovery potential; interoperability allows these records to move across firms, platforms, and sectors; and security protects the trust relationships that make shared circular operations possible. This conclusion directly answers the problem introduced at the beginning of the paper: traditional linear SCM architectures are not structurally prepared for reverse logistics, multi-lifecycle resource flows, and multi-stakeholder decision-making. By combining a systematic literature review with Model-Based Systems Engineering, the study contributes theoretically by shifting attention from individual enabling technologies to the relationships between requirements, and it contributes methodologically by showing how dispersed literature can be organised into a traceable system architecture (Amiri, 2025; Kizgin &amp; Vietor, 2025). The reviewed evidence also supports a specific operational conclusion: integrated architectures can generate measurable benefits, including reduced processing times, shorter audit cycles, improved material flow coordination, and more reliable lifecycle decisions (Baskaran &amp; Nguyen, 2025; Chen et al., 2020). At the global level, the significance of the findings is that sustainable supply chains require information systems capable of preserving value across repeated cycles of use, recovery, and redeployment. At the specific level, the study indicates that practitioners should design circular SCM as a socio-technical architecture in which digital infrastructure, governance arrangements, workforce capability, and trust-building mechanisms are developed together rather than sequentially. The unique contribution of the research is therefore not the identification of another digital tool, but the clarification of how multiple tools, actors, and rules must be connected if circular economy principles are to become executable supply chain practice. The findings further show that the four requirements are mutually reinforcing conditions rather than a menu of options: a system that records provenance but cannot exchange it across platforms remains a silo, a system that exchanges data but lacks secure governance creates new trust risks, and a system that uses analytics without reliable lifecycle data may optimise the wrong decision.</w:t>
      </w:r>
    </w:p>
    <w:p w14:paraId="09560AA7">
      <w:pPr>
        <w:spacing w:before="120" w:after="120" w:line="240" w:lineRule="auto"/>
        <w:jc w:val="both"/>
      </w:pPr>
      <w:r>
        <w:rPr>
          <w:rFonts w:ascii="Times New Roman" w:hAnsi="Times New Roman"/>
          <w:sz w:val="24"/>
        </w:rPr>
        <w:t>Several limitations should be acknowledged, and they also define the next stage of work. First, the research is based on a synthesis of peer-reviewed literature rather than primary empirical data, so the proposed architecture has not yet been tested in a live industrial implementation. Second, the evidence base is concentrated heavily in construction, manufacturing, logistics, and related Industry 4.0 contexts, which may limit the direct generalisability of the conclusions to sectors such as textiles, electronics, food, or consumer goods. Third, the review is bounded by the selected databases, English-language sources, and the 2016-2025 publication window, which means that relevant grey literature, policy documents, and recent implementation experiments may not be fully represented. A further limitation is that MBSE provides conceptual and structural validation, but it does not by itself measure adoption costs, user acceptance, data quality problems, or the political difficulty of coordinating firms with unequal power and incentives. These limitations do not weaken the value of the findings; rather, they turn the study into work in progress and clarify the future research agenda. Future studies should validate the framework through pilot projects that connect Digital Product Passports, IoT sensing, BIM or digital twin records, analytics, and secure data exchange in real circular supply chain settings. Researchers should also compare sectors to determine which requirements are universal and which must be adapted to different product lifecycles, regulatory regimes, and recovery economics. On the practical side, firms should adopt an architecture-led roadmap that begins with shared data definitions, interoperability standards, access rights, and governance rules before committing to large-scale technology procurement. Policymakers should support this transition by promoting common standards, procurement incentives for verified reuse, support mechanisms for small and medium-sized enterprises, and education programmes that close the digital skills gap identified in the literature (Alhamami et al., 2020; Lahane et al., 2020; Taddei et al., 2024; Toland &amp; Collery, 2023). The overall recommendation is therefore that circular SCM transformation should be treated as a coordinated socio-technical programme. A practical implementation agenda should move on three tracks: technical standardisation through shared semantics, APIs, and Digital Product Passport schemas; organisational capability through cross-functional training, data stewardship, and stakeholder agreements; and policy coordination through minimum interoperability expectations and incentives that reduce adoption risk. Future work can also develop maturity models and cost-benefit evidence to help firms judge when they are ready to scale from pilots to network-wide circular operations. When architectural requirements are designed together, supply chains are better positioned to become resilient, transparent, resource-efficient, and genuinely sustainable; when they are treated separately, circularity remains a principle without an operational system capable of delivering it. In this way, the conclusion closes the loop with the original research problem: the transition to circular SCM is achievable only when architectural integration, organisational readiness, and policy support move together.</w:t>
      </w:r>
    </w:p>
    <w:p w14:paraId="44E3613D">
      <w:pPr>
        <w:pStyle w:val="4"/>
        <w:keepNext w:val="0"/>
        <w:keepLines w:val="0"/>
        <w:spacing w:before="280" w:line="240" w:lineRule="auto"/>
        <w:jc w:val="both"/>
        <w:rPr>
          <w:rFonts w:ascii="Times New Roman" w:hAnsi="Times New Roman" w:cs="Times New Roman"/>
          <w:b/>
          <w:bCs/>
          <w:color w:val="000000"/>
        </w:rPr>
      </w:pPr>
      <w:bookmarkStart w:id="15" w:name="_eb8863vt3ww0" w:colFirst="0" w:colLast="0"/>
      <w:bookmarkEnd w:id="15"/>
      <w:r>
        <w:rPr>
          <w:rFonts w:ascii="Times New Roman" w:hAnsi="Times New Roman" w:cs="Times New Roman"/>
          <w:b/>
          <w:bCs/>
          <w:color w:val="000000"/>
        </w:rPr>
        <w:t>REFERENCES</w:t>
      </w:r>
    </w:p>
    <w:p w14:paraId="62164051">
      <w:pPr>
        <w:pStyle w:val="21"/>
        <w:numPr>
          <w:ilvl w:val="0"/>
          <w:numId w:val="2"/>
        </w:numPr>
        <w:spacing w:line="240" w:lineRule="auto"/>
        <w:rPr>
          <w:rFonts w:ascii="Times New Roman" w:hAnsi="Times New Roman" w:eastAsia="Times New Roman" w:cs="Times New Roman"/>
          <w:sz w:val="24"/>
          <w:szCs w:val="24"/>
        </w:rPr>
      </w:pPr>
      <w:bookmarkStart w:id="16" w:name="_82u5p21iyf9s" w:colFirst="0" w:colLast="0"/>
      <w:bookmarkEnd w:id="16"/>
      <w:r>
        <w:rPr>
          <w:rFonts w:ascii="Times New Roman" w:hAnsi="Times New Roman" w:eastAsia="Times New Roman" w:cs="Times New Roman"/>
          <w:sz w:val="24"/>
          <w:szCs w:val="24"/>
        </w:rPr>
        <w:t>Alhamami</w:t>
      </w:r>
      <w:r>
        <w:rPr>
          <w:rFonts w:ascii="Times New Roman" w:hAnsi="Times New Roman" w:cs="Times New Roman"/>
          <w:sz w:val="24"/>
          <w:szCs w:val="24"/>
        </w:rPr>
        <w:t>, A</w:t>
      </w:r>
      <w:r>
        <w:rPr>
          <w:rFonts w:ascii="Times New Roman" w:hAnsi="Times New Roman" w:eastAsia="Times New Roman" w:cs="Times New Roman"/>
          <w:sz w:val="24"/>
          <w:szCs w:val="24"/>
        </w:rPr>
        <w:t xml:space="preserve">, Petri, I., &amp; Y. Rezgui. (2018). Use-case analysis for assessing the role of Building Information Modeling in energy efficiency. </w:t>
      </w:r>
      <w:r>
        <w:rPr>
          <w:rFonts w:ascii="Times New Roman" w:hAnsi="Times New Roman" w:eastAsia="Times New Roman" w:cs="Times New Roman"/>
          <w:i/>
          <w:iCs/>
          <w:sz w:val="24"/>
          <w:szCs w:val="24"/>
        </w:rPr>
        <w:t>CRC Press EBooks</w:t>
      </w:r>
      <w:r>
        <w:rPr>
          <w:rFonts w:ascii="Times New Roman" w:hAnsi="Times New Roman" w:eastAsia="Times New Roman" w:cs="Times New Roman"/>
          <w:sz w:val="24"/>
          <w:szCs w:val="24"/>
        </w:rPr>
        <w:t>, 31–38. https://doi.org/10.1201/9780429506215-4</w:t>
      </w:r>
    </w:p>
    <w:p w14:paraId="0AAE577E">
      <w:pPr>
        <w:pStyle w:val="21"/>
        <w:numPr>
          <w:ilvl w:val="0"/>
          <w:numId w:val="2"/>
        </w:numPr>
        <w:spacing w:line="240" w:lineRule="auto"/>
        <w:rPr>
          <w:rFonts w:ascii="Times New Roman" w:hAnsi="Times New Roman" w:cs="Times New Roman"/>
          <w:sz w:val="24"/>
          <w:szCs w:val="24"/>
        </w:rPr>
      </w:pPr>
      <w:r>
        <w:rPr>
          <w:rFonts w:ascii="Times New Roman" w:hAnsi="Times New Roman" w:eastAsia="Times New Roman" w:cs="Times New Roman"/>
          <w:sz w:val="24"/>
          <w:szCs w:val="24"/>
        </w:rPr>
        <w:t xml:space="preserve">Alhamami, A., Petri, I., Rezgui, Y., &amp; Kubicki, S. (2020). Promoting Energy Efficiency in the Built Environment through Adapted BIM Training and Education. </w:t>
      </w:r>
      <w:r>
        <w:rPr>
          <w:rFonts w:ascii="Times New Roman" w:hAnsi="Times New Roman" w:eastAsia="Times New Roman" w:cs="Times New Roman"/>
          <w:i/>
          <w:iCs/>
          <w:sz w:val="24"/>
          <w:szCs w:val="24"/>
        </w:rPr>
        <w:t>Energies</w:t>
      </w:r>
      <w:r>
        <w:rPr>
          <w:rFonts w:ascii="Times New Roman" w:hAnsi="Times New Roman" w:eastAsia="Times New Roman" w:cs="Times New Roman"/>
          <w:sz w:val="24"/>
          <w:szCs w:val="24"/>
        </w:rPr>
        <w:t xml:space="preserve">, </w:t>
      </w:r>
      <w:r>
        <w:rPr>
          <w:rFonts w:ascii="Times New Roman" w:hAnsi="Times New Roman" w:eastAsia="Times New Roman" w:cs="Times New Roman"/>
          <w:i/>
          <w:iCs/>
          <w:sz w:val="24"/>
          <w:szCs w:val="24"/>
        </w:rPr>
        <w:t>13</w:t>
      </w:r>
      <w:r>
        <w:rPr>
          <w:rFonts w:ascii="Times New Roman" w:hAnsi="Times New Roman" w:eastAsia="Times New Roman" w:cs="Times New Roman"/>
          <w:sz w:val="24"/>
          <w:szCs w:val="24"/>
        </w:rPr>
        <w:t xml:space="preserve">(9), 2308. </w:t>
      </w:r>
      <w:r>
        <w:fldChar w:fldCharType="begin"/>
      </w:r>
      <w:r>
        <w:instrText xml:space="preserve"> HYPERLINK "https://doi.org/10.3390/en13092308" </w:instrText>
      </w:r>
      <w:r>
        <w:fldChar w:fldCharType="separate"/>
      </w:r>
      <w:r>
        <w:rPr>
          <w:rStyle w:val="16"/>
          <w:rFonts w:ascii="Times New Roman" w:hAnsi="Times New Roman" w:eastAsia="Times New Roman" w:cs="Times New Roman"/>
          <w:sz w:val="24"/>
          <w:szCs w:val="24"/>
        </w:rPr>
        <w:t>https://doi.org/10.3390/en13092308</w:t>
      </w:r>
      <w:r>
        <w:rPr>
          <w:rStyle w:val="16"/>
          <w:rFonts w:ascii="Times New Roman" w:hAnsi="Times New Roman" w:eastAsia="Times New Roman" w:cs="Times New Roman"/>
          <w:sz w:val="24"/>
          <w:szCs w:val="24"/>
        </w:rPr>
        <w:fldChar w:fldCharType="end"/>
      </w:r>
    </w:p>
    <w:p w14:paraId="5D5F3E1C">
      <w:pPr>
        <w:pStyle w:val="21"/>
        <w:numPr>
          <w:ilvl w:val="0"/>
          <w:numId w:val="2"/>
        </w:numPr>
        <w:spacing w:line="240" w:lineRule="auto"/>
        <w:rPr>
          <w:rFonts w:ascii="Times New Roman" w:hAnsi="Times New Roman" w:cs="Times New Roman"/>
          <w:sz w:val="24"/>
          <w:szCs w:val="24"/>
        </w:rPr>
      </w:pPr>
      <w:r>
        <w:rPr>
          <w:rFonts w:ascii="Times New Roman" w:hAnsi="Times New Roman" w:cs="Times New Roman"/>
          <w:sz w:val="24"/>
          <w:szCs w:val="24"/>
        </w:rPr>
        <w:t xml:space="preserve">Alhamami A., et al. (2018). Role of BIM in energy efficiency. </w:t>
      </w:r>
      <w:r>
        <w:rPr>
          <w:rFonts w:ascii="Times New Roman" w:hAnsi="Times New Roman" w:cs="Times New Roman"/>
          <w:i/>
          <w:iCs/>
          <w:sz w:val="24"/>
          <w:szCs w:val="24"/>
        </w:rPr>
        <w:t>ECPPM 2018</w:t>
      </w:r>
      <w:r>
        <w:rPr>
          <w:rFonts w:ascii="Times New Roman" w:hAnsi="Times New Roman" w:cs="Times New Roman"/>
          <w:sz w:val="24"/>
          <w:szCs w:val="24"/>
        </w:rPr>
        <w:t>.</w:t>
      </w:r>
    </w:p>
    <w:p w14:paraId="29DEA100">
      <w:pPr>
        <w:pStyle w:val="21"/>
        <w:numPr>
          <w:ilvl w:val="0"/>
          <w:numId w:val="2"/>
        </w:numPr>
        <w:spacing w:line="240" w:lineRule="auto"/>
        <w:rPr>
          <w:rFonts w:ascii="Times New Roman" w:hAnsi="Times New Roman" w:cs="Times New Roman"/>
          <w:sz w:val="24"/>
          <w:szCs w:val="24"/>
        </w:rPr>
      </w:pPr>
      <w:r>
        <w:rPr>
          <w:rFonts w:ascii="Times New Roman" w:hAnsi="Times New Roman" w:eastAsia="Times New Roman" w:cs="Times New Roman"/>
          <w:sz w:val="24"/>
          <w:szCs w:val="24"/>
        </w:rPr>
        <w:t xml:space="preserve">Ali, A. K., &amp; Badinelli, R. (2016). Novel Integration of Sustainable and Construction Decisions into the Design Bid Build Project Delivery Method Using BPMN. </w:t>
      </w:r>
      <w:r>
        <w:rPr>
          <w:rFonts w:ascii="Times New Roman" w:hAnsi="Times New Roman" w:eastAsia="Times New Roman" w:cs="Times New Roman"/>
          <w:i/>
          <w:iCs/>
          <w:sz w:val="24"/>
          <w:szCs w:val="24"/>
        </w:rPr>
        <w:t>Procedia Engineering</w:t>
      </w:r>
      <w:r>
        <w:rPr>
          <w:rFonts w:ascii="Times New Roman" w:hAnsi="Times New Roman" w:eastAsia="Times New Roman" w:cs="Times New Roman"/>
          <w:sz w:val="24"/>
          <w:szCs w:val="24"/>
        </w:rPr>
        <w:t xml:space="preserve">, </w:t>
      </w:r>
      <w:r>
        <w:rPr>
          <w:rFonts w:ascii="Times New Roman" w:hAnsi="Times New Roman" w:eastAsia="Times New Roman" w:cs="Times New Roman"/>
          <w:i/>
          <w:iCs/>
          <w:sz w:val="24"/>
          <w:szCs w:val="24"/>
        </w:rPr>
        <w:t>145</w:t>
      </w:r>
      <w:r>
        <w:rPr>
          <w:rFonts w:ascii="Times New Roman" w:hAnsi="Times New Roman" w:eastAsia="Times New Roman" w:cs="Times New Roman"/>
          <w:sz w:val="24"/>
          <w:szCs w:val="24"/>
        </w:rPr>
        <w:t xml:space="preserve">, 164–171. </w:t>
      </w:r>
      <w:r>
        <w:fldChar w:fldCharType="begin"/>
      </w:r>
      <w:r>
        <w:instrText xml:space="preserve"> HYPERLINK "https://doi.org/10.1016/j.proeng.2016.04.038" \h </w:instrText>
      </w:r>
      <w:r>
        <w:fldChar w:fldCharType="separate"/>
      </w:r>
      <w:r>
        <w:rPr>
          <w:rFonts w:ascii="Times New Roman" w:hAnsi="Times New Roman" w:eastAsia="Times New Roman" w:cs="Times New Roman"/>
          <w:color w:val="1155CC"/>
          <w:sz w:val="24"/>
          <w:szCs w:val="24"/>
          <w:u w:val="single"/>
        </w:rPr>
        <w:t>https://doi.org/10.1016/j.proeng.2016.04.038</w:t>
      </w:r>
      <w:r>
        <w:rPr>
          <w:rFonts w:ascii="Times New Roman" w:hAnsi="Times New Roman" w:eastAsia="Times New Roman" w:cs="Times New Roman"/>
          <w:color w:val="1155CC"/>
          <w:sz w:val="24"/>
          <w:szCs w:val="24"/>
          <w:u w:val="single"/>
        </w:rPr>
        <w:fldChar w:fldCharType="end"/>
      </w:r>
    </w:p>
    <w:p w14:paraId="5CD334E5">
      <w:pPr>
        <w:pStyle w:val="21"/>
        <w:numPr>
          <w:ilvl w:val="0"/>
          <w:numId w:val="2"/>
        </w:num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Amiri, A. (2025). Requirements validation of event-driven supply chains using MBSE. In Proceedings of the 2025 International Conference on Systems Science and Engineering (SSE 2025). IEEE.</w:t>
      </w:r>
    </w:p>
    <w:p w14:paraId="2DA1225D">
      <w:pPr>
        <w:pStyle w:val="21"/>
        <w:numPr>
          <w:ilvl w:val="0"/>
          <w:numId w:val="2"/>
        </w:num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Azevedo, P., Ferreira, J., &amp; Leitão, J. (2023). Supply chain traceability using blockchain: A systematic literature review. Operations Manageme</w:t>
      </w:r>
      <w:r>
        <w:rPr>
          <w:rFonts w:ascii="Times New Roman" w:hAnsi="Times New Roman" w:eastAsia="Times New Roman" w:cs="Times New Roman"/>
          <w:i/>
          <w:iCs/>
          <w:sz w:val="24"/>
          <w:szCs w:val="24"/>
        </w:rPr>
        <w:t>nt Research</w:t>
      </w:r>
      <w:r>
        <w:rPr>
          <w:rFonts w:ascii="Times New Roman" w:hAnsi="Times New Roman" w:eastAsia="Times New Roman" w:cs="Times New Roman"/>
          <w:sz w:val="24"/>
          <w:szCs w:val="24"/>
        </w:rPr>
        <w:t xml:space="preserve">, </w:t>
      </w:r>
      <w:r>
        <w:rPr>
          <w:rFonts w:ascii="Times New Roman" w:hAnsi="Times New Roman" w:eastAsia="Times New Roman" w:cs="Times New Roman"/>
          <w:i/>
          <w:iCs/>
          <w:sz w:val="24"/>
          <w:szCs w:val="24"/>
        </w:rPr>
        <w:t>16</w:t>
      </w:r>
      <w:r>
        <w:rPr>
          <w:rFonts w:ascii="Times New Roman" w:hAnsi="Times New Roman" w:eastAsia="Times New Roman" w:cs="Times New Roman"/>
          <w:sz w:val="24"/>
          <w:szCs w:val="24"/>
        </w:rPr>
        <w:t>, 1415-1436. https://doi.org/10.1007/s12063-023-00371-5</w:t>
      </w:r>
    </w:p>
    <w:p w14:paraId="19B01637">
      <w:pPr>
        <w:pStyle w:val="21"/>
        <w:numPr>
          <w:ilvl w:val="0"/>
          <w:numId w:val="2"/>
        </w:num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Baskaran, V., &amp; Nguyen, D. (2025). RFID integration in medical device logistics: A human factors approach. </w:t>
      </w:r>
      <w:r>
        <w:rPr>
          <w:rFonts w:ascii="Times New Roman" w:hAnsi="Times New Roman" w:eastAsia="Times New Roman" w:cs="Times New Roman"/>
          <w:i/>
          <w:iCs/>
          <w:sz w:val="24"/>
          <w:szCs w:val="24"/>
        </w:rPr>
        <w:t>Applied Human Factors and Ergonomics International</w:t>
      </w:r>
      <w:r>
        <w:rPr>
          <w:rFonts w:ascii="Times New Roman" w:hAnsi="Times New Roman" w:eastAsia="Times New Roman" w:cs="Times New Roman"/>
          <w:sz w:val="24"/>
          <w:szCs w:val="24"/>
        </w:rPr>
        <w:t>.</w:t>
      </w:r>
    </w:p>
    <w:p w14:paraId="1350F9F3">
      <w:pPr>
        <w:pStyle w:val="21"/>
        <w:numPr>
          <w:ilvl w:val="0"/>
          <w:numId w:val="2"/>
        </w:num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Baskaran, V., &amp; Nguyen, D. (2025). Architectural analysis of RFID integration in medical device logistics: A healthcare information systems study. Human Interaction and Emerging Technologies (IHIET-FS 2025), 196, 105–114. https://doi.org/10.54941/ahfe1005959</w:t>
      </w:r>
    </w:p>
    <w:p w14:paraId="24919B12">
      <w:pPr>
        <w:pStyle w:val="21"/>
        <w:numPr>
          <w:ilvl w:val="0"/>
          <w:numId w:val="2"/>
        </w:num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Banerjee, A., &amp; Nayaka, R. R. (2021). A comprehensive overview on BIM-integrated cyber physical system architectures and practices in the architecture, engineering and construction industry. </w:t>
      </w:r>
      <w:r>
        <w:rPr>
          <w:rFonts w:ascii="Times New Roman" w:hAnsi="Times New Roman" w:eastAsia="Times New Roman" w:cs="Times New Roman"/>
          <w:i/>
          <w:iCs/>
          <w:sz w:val="24"/>
          <w:szCs w:val="24"/>
        </w:rPr>
        <w:t>Construction Innovation</w:t>
      </w:r>
      <w:r>
        <w:rPr>
          <w:rFonts w:ascii="Times New Roman" w:hAnsi="Times New Roman" w:eastAsia="Times New Roman" w:cs="Times New Roman"/>
          <w:sz w:val="24"/>
          <w:szCs w:val="24"/>
        </w:rPr>
        <w:t xml:space="preserve">, </w:t>
      </w:r>
      <w:r>
        <w:rPr>
          <w:rFonts w:ascii="Times New Roman" w:hAnsi="Times New Roman" w:eastAsia="Times New Roman" w:cs="Times New Roman"/>
          <w:i/>
          <w:iCs/>
          <w:sz w:val="24"/>
          <w:szCs w:val="24"/>
        </w:rPr>
        <w:t>ahead-of-print</w:t>
      </w:r>
      <w:r>
        <w:rPr>
          <w:rFonts w:ascii="Times New Roman" w:hAnsi="Times New Roman" w:eastAsia="Times New Roman" w:cs="Times New Roman"/>
          <w:sz w:val="24"/>
          <w:szCs w:val="24"/>
        </w:rPr>
        <w:t xml:space="preserve">(ahead-of-print). </w:t>
      </w:r>
      <w:r>
        <w:fldChar w:fldCharType="begin"/>
      </w:r>
      <w:r>
        <w:instrText xml:space="preserve"> HYPERLINK "https://doi.org/10.1108/ci-02-2021-0029" \h </w:instrText>
      </w:r>
      <w:r>
        <w:fldChar w:fldCharType="separate"/>
      </w:r>
      <w:r>
        <w:rPr>
          <w:rFonts w:ascii="Times New Roman" w:hAnsi="Times New Roman" w:eastAsia="Times New Roman" w:cs="Times New Roman"/>
          <w:color w:val="1155CC"/>
          <w:sz w:val="24"/>
          <w:szCs w:val="24"/>
          <w:u w:val="single"/>
        </w:rPr>
        <w:t>https://doi.org/10.1108/ci-02-2021-0029</w:t>
      </w:r>
      <w:r>
        <w:rPr>
          <w:rFonts w:ascii="Times New Roman" w:hAnsi="Times New Roman" w:eastAsia="Times New Roman" w:cs="Times New Roman"/>
          <w:color w:val="1155CC"/>
          <w:sz w:val="24"/>
          <w:szCs w:val="24"/>
          <w:u w:val="single"/>
        </w:rPr>
        <w:fldChar w:fldCharType="end"/>
      </w:r>
    </w:p>
    <w:p w14:paraId="00F6D96F">
      <w:pPr>
        <w:pStyle w:val="21"/>
        <w:numPr>
          <w:ilvl w:val="0"/>
          <w:numId w:val="2"/>
        </w:num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Bryman, A. (2016). </w:t>
      </w:r>
      <w:r>
        <w:rPr>
          <w:rFonts w:ascii="Times New Roman" w:hAnsi="Times New Roman" w:eastAsia="Times New Roman" w:cs="Times New Roman"/>
          <w:i/>
          <w:iCs/>
          <w:sz w:val="24"/>
          <w:szCs w:val="24"/>
        </w:rPr>
        <w:t>Social research methods</w:t>
      </w:r>
      <w:r>
        <w:rPr>
          <w:rFonts w:ascii="Times New Roman" w:hAnsi="Times New Roman" w:eastAsia="Times New Roman" w:cs="Times New Roman"/>
          <w:sz w:val="24"/>
          <w:szCs w:val="24"/>
        </w:rPr>
        <w:t xml:space="preserve"> (5th ed.). Oxford University Press.</w:t>
      </w:r>
    </w:p>
    <w:p w14:paraId="19002D46">
      <w:pPr>
        <w:pStyle w:val="21"/>
        <w:numPr>
          <w:ilvl w:val="0"/>
          <w:numId w:val="2"/>
        </w:num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Chen, Q., García de Soto, B., &amp; Adey, B. T. (2020). Using look-ahead plans to improve material flow processes on construction projects. </w:t>
      </w:r>
      <w:r>
        <w:rPr>
          <w:rFonts w:ascii="Times New Roman" w:hAnsi="Times New Roman" w:eastAsia="Times New Roman" w:cs="Times New Roman"/>
          <w:i/>
          <w:iCs/>
          <w:sz w:val="24"/>
          <w:szCs w:val="24"/>
        </w:rPr>
        <w:t>Construction Innovation</w:t>
      </w:r>
      <w:r>
        <w:rPr>
          <w:rFonts w:ascii="Times New Roman" w:hAnsi="Times New Roman" w:eastAsia="Times New Roman" w:cs="Times New Roman"/>
          <w:sz w:val="24"/>
          <w:szCs w:val="24"/>
        </w:rPr>
        <w:t xml:space="preserve">, </w:t>
      </w:r>
      <w:r>
        <w:rPr>
          <w:rFonts w:ascii="Times New Roman" w:hAnsi="Times New Roman" w:eastAsia="Times New Roman" w:cs="Times New Roman"/>
          <w:i/>
          <w:iCs/>
          <w:sz w:val="24"/>
          <w:szCs w:val="24"/>
        </w:rPr>
        <w:t>20</w:t>
      </w:r>
      <w:r>
        <w:rPr>
          <w:rFonts w:ascii="Times New Roman" w:hAnsi="Times New Roman" w:eastAsia="Times New Roman" w:cs="Times New Roman"/>
          <w:sz w:val="24"/>
          <w:szCs w:val="24"/>
        </w:rPr>
        <w:t>(1), 87-111. https://doi.org/10.1108/CI-11-2018-0093</w:t>
      </w:r>
    </w:p>
    <w:p w14:paraId="36D5A7E1">
      <w:pPr>
        <w:pStyle w:val="21"/>
        <w:numPr>
          <w:ilvl w:val="0"/>
          <w:numId w:val="2"/>
        </w:num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Das, L., Nag, A., &amp; Alsamhi, S. H. (2023). Convergence of AR &amp; VR with IoT. In M. Alam &amp; A. Malik (Eds.), </w:t>
      </w:r>
      <w:r>
        <w:rPr>
          <w:rFonts w:ascii="Times New Roman" w:hAnsi="Times New Roman" w:eastAsia="Times New Roman" w:cs="Times New Roman"/>
          <w:i/>
          <w:iCs/>
          <w:sz w:val="24"/>
          <w:szCs w:val="24"/>
        </w:rPr>
        <w:t>Handbook of Augmented and Virtual Reality</w:t>
      </w:r>
      <w:r>
        <w:rPr>
          <w:rFonts w:ascii="Times New Roman" w:hAnsi="Times New Roman" w:eastAsia="Times New Roman" w:cs="Times New Roman"/>
          <w:sz w:val="24"/>
          <w:szCs w:val="24"/>
        </w:rPr>
        <w:t xml:space="preserve"> (pp. 1-24). Springer. https://doi.org/10.1007/978-3-030-97044-9_1</w:t>
      </w:r>
    </w:p>
    <w:p w14:paraId="3D9632BA">
      <w:pPr>
        <w:pStyle w:val="21"/>
        <w:numPr>
          <w:ilvl w:val="0"/>
          <w:numId w:val="2"/>
        </w:num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Dave, B., Kubler, S., Främling, K., &amp; Koskela, L. (2016). Opportunities for enhanced lean construction management using Internet of Things standards. </w:t>
      </w:r>
      <w:r>
        <w:rPr>
          <w:rFonts w:ascii="Times New Roman" w:hAnsi="Times New Roman" w:eastAsia="Times New Roman" w:cs="Times New Roman"/>
          <w:i/>
          <w:iCs/>
          <w:sz w:val="24"/>
          <w:szCs w:val="24"/>
        </w:rPr>
        <w:t>Automation in Construction</w:t>
      </w:r>
      <w:r>
        <w:rPr>
          <w:rFonts w:ascii="Times New Roman" w:hAnsi="Times New Roman" w:eastAsia="Times New Roman" w:cs="Times New Roman"/>
          <w:sz w:val="24"/>
          <w:szCs w:val="24"/>
        </w:rPr>
        <w:t xml:space="preserve">, </w:t>
      </w:r>
      <w:r>
        <w:rPr>
          <w:rFonts w:ascii="Times New Roman" w:hAnsi="Times New Roman" w:eastAsia="Times New Roman" w:cs="Times New Roman"/>
          <w:i/>
          <w:iCs/>
          <w:sz w:val="24"/>
          <w:szCs w:val="24"/>
        </w:rPr>
        <w:t>61</w:t>
      </w:r>
      <w:r>
        <w:rPr>
          <w:rFonts w:ascii="Times New Roman" w:hAnsi="Times New Roman" w:eastAsia="Times New Roman" w:cs="Times New Roman"/>
          <w:sz w:val="24"/>
          <w:szCs w:val="24"/>
        </w:rPr>
        <w:t>, 86-97. https://doi.org/10.1016/j.autcon.2015.10.009</w:t>
      </w:r>
    </w:p>
    <w:p w14:paraId="4624CC68">
      <w:pPr>
        <w:pStyle w:val="21"/>
        <w:numPr>
          <w:ilvl w:val="0"/>
          <w:numId w:val="2"/>
        </w:num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Erbel, J., Wittek, S., Grabowski, J., &amp; Rausch, A. (2020). Dynamic Management of Multi-level-simulation Workflows in the Cloud. </w:t>
      </w:r>
      <w:r>
        <w:rPr>
          <w:rFonts w:ascii="Times New Roman" w:hAnsi="Times New Roman" w:eastAsia="Times New Roman" w:cs="Times New Roman"/>
          <w:i/>
          <w:iCs/>
          <w:sz w:val="24"/>
          <w:szCs w:val="24"/>
        </w:rPr>
        <w:t>Communications in Computer and Information Science</w:t>
      </w:r>
      <w:r>
        <w:rPr>
          <w:rFonts w:ascii="Times New Roman" w:hAnsi="Times New Roman" w:eastAsia="Times New Roman" w:cs="Times New Roman"/>
          <w:sz w:val="24"/>
          <w:szCs w:val="24"/>
        </w:rPr>
        <w:t>, 21–38. https://doi.org/10.1007/978-3-030-45718-1_2</w:t>
      </w:r>
    </w:p>
    <w:p w14:paraId="0CC28C86">
      <w:pPr>
        <w:pStyle w:val="21"/>
        <w:numPr>
          <w:ilvl w:val="0"/>
          <w:numId w:val="2"/>
        </w:num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Farooque, M., Zhang, A., Thürer, M., Qu, T., &amp; Huisingh, D. (2019). Circular Supply Chain management: a Definition and Structured Literature Review. </w:t>
      </w:r>
      <w:r>
        <w:rPr>
          <w:rFonts w:ascii="Times New Roman" w:hAnsi="Times New Roman" w:eastAsia="Times New Roman" w:cs="Times New Roman"/>
          <w:i/>
          <w:iCs/>
          <w:sz w:val="24"/>
          <w:szCs w:val="24"/>
        </w:rPr>
        <w:t>Journal of Cleaner Production</w:t>
      </w:r>
      <w:r>
        <w:rPr>
          <w:rFonts w:ascii="Times New Roman" w:hAnsi="Times New Roman" w:eastAsia="Times New Roman" w:cs="Times New Roman"/>
          <w:sz w:val="24"/>
          <w:szCs w:val="24"/>
        </w:rPr>
        <w:t xml:space="preserve">, </w:t>
      </w:r>
      <w:r>
        <w:rPr>
          <w:rFonts w:ascii="Times New Roman" w:hAnsi="Times New Roman" w:eastAsia="Times New Roman" w:cs="Times New Roman"/>
          <w:i/>
          <w:iCs/>
          <w:sz w:val="24"/>
          <w:szCs w:val="24"/>
        </w:rPr>
        <w:t>228</w:t>
      </w:r>
      <w:r>
        <w:rPr>
          <w:rFonts w:ascii="Times New Roman" w:hAnsi="Times New Roman" w:eastAsia="Times New Roman" w:cs="Times New Roman"/>
          <w:sz w:val="24"/>
          <w:szCs w:val="24"/>
        </w:rPr>
        <w:t>(228), 882–900.</w:t>
      </w:r>
    </w:p>
    <w:p w14:paraId="1E95A2E2">
      <w:pPr>
        <w:pStyle w:val="21"/>
        <w:numPr>
          <w:ilvl w:val="0"/>
          <w:numId w:val="2"/>
        </w:num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Geissdoerfer, M., Morioka, S. N., de Carvalho, M. M., &amp; Evans, S. (2018). Business models and supply chains for the circular economy. Journal of Cleaner Production, 190(1), 712–721. </w:t>
      </w:r>
      <w:r>
        <w:rPr>
          <w:rFonts w:ascii="Times New Roman" w:hAnsi="Times New Roman" w:eastAsia="Times New Roman" w:cs="Times New Roman"/>
          <w:sz w:val="24"/>
          <w:szCs w:val="24"/>
        </w:rPr>
        <w:fldChar w:fldCharType="begin"/>
      </w:r>
      <w:r>
        <w:rPr>
          <w:rFonts w:ascii="Times New Roman" w:hAnsi="Times New Roman" w:eastAsia="Times New Roman" w:cs="Times New Roman"/>
          <w:sz w:val="24"/>
          <w:szCs w:val="24"/>
        </w:rPr>
        <w:instrText xml:space="preserve"> HYPERLINK "https://doi.org/10.1016/j.jclepro.2018.04.159" \h </w:instrText>
      </w:r>
      <w:r>
        <w:rPr>
          <w:rFonts w:ascii="Times New Roman" w:hAnsi="Times New Roman" w:eastAsia="Times New Roman" w:cs="Times New Roman"/>
          <w:sz w:val="24"/>
          <w:szCs w:val="24"/>
        </w:rPr>
        <w:fldChar w:fldCharType="separate"/>
      </w:r>
      <w:r>
        <w:rPr>
          <w:rFonts w:ascii="Times New Roman" w:hAnsi="Times New Roman" w:eastAsia="Times New Roman" w:cs="Times New Roman"/>
          <w:sz w:val="24"/>
          <w:szCs w:val="24"/>
        </w:rPr>
        <w:t>https://doi.org/10.1016/j.jclepro.2018.04.159</w:t>
      </w:r>
      <w:r>
        <w:rPr>
          <w:rFonts w:ascii="Times New Roman" w:hAnsi="Times New Roman" w:eastAsia="Times New Roman" w:cs="Times New Roman"/>
          <w:sz w:val="24"/>
          <w:szCs w:val="24"/>
        </w:rPr>
        <w:fldChar w:fldCharType="end"/>
      </w:r>
    </w:p>
    <w:p w14:paraId="6D968666">
      <w:pPr>
        <w:pStyle w:val="21"/>
        <w:numPr>
          <w:ilvl w:val="0"/>
          <w:numId w:val="2"/>
        </w:num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Gupta, P. K. (2025). Intent-based networking architecture: A deep dive into its components and workflow. Journal o</w:t>
      </w:r>
      <w:r>
        <w:rPr>
          <w:rFonts w:ascii="Times New Roman" w:hAnsi="Times New Roman" w:eastAsia="Times New Roman" w:cs="Times New Roman"/>
          <w:sz w:val="24"/>
          <w:szCs w:val="24"/>
        </w:rPr>
        <w:t>f Computer Science and Technology Studies, 7(4), 586–597. https://doi.org/10.32996/jcsts.2025.7.4.69</w:t>
      </w:r>
    </w:p>
    <w:p w14:paraId="42AEF024">
      <w:pPr>
        <w:pStyle w:val="21"/>
        <w:numPr>
          <w:ilvl w:val="0"/>
          <w:numId w:val="2"/>
        </w:num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Khedr, A. M., &amp; Sheeja , R. S. (2024). Enhancing Supply Chain Management with Deep Learning and Machine Learning Techniques: A Review. </w:t>
      </w:r>
      <w:r>
        <w:rPr>
          <w:rFonts w:ascii="Times New Roman" w:hAnsi="Times New Roman" w:eastAsia="Times New Roman" w:cs="Times New Roman"/>
          <w:i/>
          <w:iCs/>
          <w:sz w:val="24"/>
          <w:szCs w:val="24"/>
        </w:rPr>
        <w:t>Journal of Open Innovation Technology Market and Complexity</w:t>
      </w:r>
      <w:r>
        <w:rPr>
          <w:rFonts w:ascii="Times New Roman" w:hAnsi="Times New Roman" w:eastAsia="Times New Roman" w:cs="Times New Roman"/>
          <w:sz w:val="24"/>
          <w:szCs w:val="24"/>
        </w:rPr>
        <w:t xml:space="preserve">, </w:t>
      </w:r>
      <w:r>
        <w:rPr>
          <w:rFonts w:ascii="Times New Roman" w:hAnsi="Times New Roman" w:eastAsia="Times New Roman" w:cs="Times New Roman"/>
          <w:i/>
          <w:iCs/>
          <w:sz w:val="24"/>
          <w:szCs w:val="24"/>
        </w:rPr>
        <w:t>10</w:t>
      </w:r>
      <w:r>
        <w:rPr>
          <w:rFonts w:ascii="Times New Roman" w:hAnsi="Times New Roman" w:eastAsia="Times New Roman" w:cs="Times New Roman"/>
          <w:sz w:val="24"/>
          <w:szCs w:val="24"/>
        </w:rPr>
        <w:t xml:space="preserve">(4), 100379–100379. Sciencedirect. </w:t>
      </w:r>
      <w:r>
        <w:fldChar w:fldCharType="begin"/>
      </w:r>
      <w:r>
        <w:instrText xml:space="preserve"> HYPERLINK "https://www.sciencedirect.com/science/article/pii/S2199853124001732" </w:instrText>
      </w:r>
      <w:r>
        <w:fldChar w:fldCharType="separate"/>
      </w:r>
      <w:r>
        <w:rPr>
          <w:rStyle w:val="16"/>
          <w:rFonts w:ascii="Times New Roman" w:hAnsi="Times New Roman" w:eastAsia="Times New Roman" w:cs="Times New Roman"/>
          <w:sz w:val="24"/>
          <w:szCs w:val="24"/>
        </w:rPr>
        <w:t>https://www.sciencedirect.com/science/article/pii/S2199853124001732</w:t>
      </w:r>
      <w:r>
        <w:rPr>
          <w:rStyle w:val="16"/>
          <w:rFonts w:ascii="Times New Roman" w:hAnsi="Times New Roman" w:eastAsia="Times New Roman" w:cs="Times New Roman"/>
          <w:sz w:val="24"/>
          <w:szCs w:val="24"/>
        </w:rPr>
        <w:fldChar w:fldCharType="end"/>
      </w:r>
    </w:p>
    <w:p w14:paraId="4C3F5CEF">
      <w:pPr>
        <w:pStyle w:val="21"/>
        <w:numPr>
          <w:ilvl w:val="0"/>
          <w:numId w:val="2"/>
        </w:num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Kitchenham, B., &amp; Charters, S. (2007). </w:t>
      </w:r>
      <w:r>
        <w:rPr>
          <w:rFonts w:ascii="Times New Roman" w:hAnsi="Times New Roman" w:eastAsia="Times New Roman" w:cs="Times New Roman"/>
          <w:i/>
          <w:iCs/>
          <w:sz w:val="24"/>
          <w:szCs w:val="24"/>
        </w:rPr>
        <w:t>Guidelines for performing systematic literature reviews in software engineering</w:t>
      </w:r>
      <w:r>
        <w:rPr>
          <w:rFonts w:ascii="Times New Roman" w:hAnsi="Times New Roman" w:eastAsia="Times New Roman" w:cs="Times New Roman"/>
          <w:sz w:val="24"/>
          <w:szCs w:val="24"/>
        </w:rPr>
        <w:t xml:space="preserve"> (EBSE Technical Report EBSE-2007-01). Keele University and University of Durham.</w:t>
      </w:r>
    </w:p>
    <w:p w14:paraId="35DD1E15">
      <w:pPr>
        <w:pStyle w:val="21"/>
        <w:numPr>
          <w:ilvl w:val="0"/>
          <w:numId w:val="2"/>
        </w:num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Kizgin, U. V., &amp; Vietor, T. (2025). A scalable framework for demand-oriented model-based systems engineering application: The MBSE cube. Proceedings of the Design Society.</w:t>
      </w:r>
      <w:r>
        <w:fldChar w:fldCharType="begin"/>
      </w:r>
      <w:r>
        <w:instrText xml:space="preserve"> HYPERLINK "https://doi.org/10.1017/pds.2025.10040" \h </w:instrText>
      </w:r>
      <w:r>
        <w:fldChar w:fldCharType="separate"/>
      </w:r>
      <w:r>
        <w:rPr>
          <w:rFonts w:ascii="Times New Roman" w:hAnsi="Times New Roman" w:eastAsia="Times New Roman" w:cs="Times New Roman"/>
          <w:sz w:val="24"/>
          <w:szCs w:val="24"/>
        </w:rPr>
        <w:t xml:space="preserve"> https://doi.org/10.1017/pds.2025.10040</w:t>
      </w:r>
      <w:r>
        <w:rPr>
          <w:rFonts w:ascii="Times New Roman" w:hAnsi="Times New Roman" w:eastAsia="Times New Roman" w:cs="Times New Roman"/>
          <w:sz w:val="24"/>
          <w:szCs w:val="24"/>
        </w:rPr>
        <w:fldChar w:fldCharType="end"/>
      </w:r>
    </w:p>
    <w:p w14:paraId="7ED7DC9F">
      <w:pPr>
        <w:pStyle w:val="21"/>
        <w:numPr>
          <w:ilvl w:val="0"/>
          <w:numId w:val="2"/>
        </w:num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Lahane, S., Kant, R., &amp; Shankar, R. (2020). Circular supply chain management: A state-of-the-art review and future opportunities. </w:t>
      </w:r>
      <w:r>
        <w:rPr>
          <w:rFonts w:ascii="Times New Roman" w:hAnsi="Times New Roman" w:eastAsia="Times New Roman" w:cs="Times New Roman"/>
          <w:i/>
          <w:iCs/>
          <w:sz w:val="24"/>
          <w:szCs w:val="24"/>
        </w:rPr>
        <w:t>Journal of Cleaner Production, 258</w:t>
      </w:r>
      <w:r>
        <w:rPr>
          <w:rFonts w:ascii="Times New Roman" w:hAnsi="Times New Roman" w:eastAsia="Times New Roman" w:cs="Times New Roman"/>
          <w:sz w:val="24"/>
          <w:szCs w:val="24"/>
        </w:rPr>
        <w:t xml:space="preserve">, 120859. </w:t>
      </w:r>
      <w:r>
        <w:fldChar w:fldCharType="begin"/>
      </w:r>
      <w:r>
        <w:instrText xml:space="preserve"> HYPERLINK "https://doi.org/10.1016/j.jclepro.2020.120859" \t "_new" </w:instrText>
      </w:r>
      <w:r>
        <w:fldChar w:fldCharType="separate"/>
      </w:r>
      <w:r>
        <w:rPr>
          <w:rStyle w:val="16"/>
          <w:rFonts w:ascii="Times New Roman" w:hAnsi="Times New Roman" w:eastAsia="Times New Roman" w:cs="Times New Roman"/>
          <w:sz w:val="24"/>
          <w:szCs w:val="24"/>
        </w:rPr>
        <w:t>https://doi.org/10.1016/j.jclepro.2020.120859</w:t>
      </w:r>
      <w:r>
        <w:rPr>
          <w:rStyle w:val="16"/>
          <w:rFonts w:ascii="Times New Roman" w:hAnsi="Times New Roman" w:eastAsia="Times New Roman" w:cs="Times New Roman"/>
          <w:sz w:val="24"/>
          <w:szCs w:val="24"/>
        </w:rPr>
        <w:fldChar w:fldCharType="end"/>
      </w:r>
    </w:p>
    <w:p w14:paraId="3A37CD87">
      <w:pPr>
        <w:pStyle w:val="21"/>
        <w:numPr>
          <w:ilvl w:val="0"/>
          <w:numId w:val="2"/>
        </w:num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Landis, J. R., &amp; Koch, G. G. (1977). The measurement of observer agreement for categorical data. </w:t>
      </w:r>
      <w:r>
        <w:rPr>
          <w:rFonts w:ascii="Times New Roman" w:hAnsi="Times New Roman" w:eastAsia="Times New Roman" w:cs="Times New Roman"/>
          <w:i/>
          <w:iCs/>
          <w:sz w:val="24"/>
          <w:szCs w:val="24"/>
        </w:rPr>
        <w:t>Biometrics, 33</w:t>
      </w:r>
      <w:r>
        <w:rPr>
          <w:rFonts w:ascii="Times New Roman" w:hAnsi="Times New Roman" w:eastAsia="Times New Roman" w:cs="Times New Roman"/>
          <w:sz w:val="24"/>
          <w:szCs w:val="24"/>
        </w:rPr>
        <w:t xml:space="preserve">(1), 159–174. </w:t>
      </w:r>
      <w:r>
        <w:fldChar w:fldCharType="begin"/>
      </w:r>
      <w:r>
        <w:instrText xml:space="preserve"> HYPERLINK "https://doi.org/10.2307/2529310" \t "_new" </w:instrText>
      </w:r>
      <w:r>
        <w:fldChar w:fldCharType="separate"/>
      </w:r>
      <w:r>
        <w:rPr>
          <w:rStyle w:val="16"/>
          <w:rFonts w:ascii="Times New Roman" w:hAnsi="Times New Roman" w:eastAsia="Times New Roman" w:cs="Times New Roman"/>
          <w:sz w:val="24"/>
          <w:szCs w:val="24"/>
        </w:rPr>
        <w:t>https://doi.org/10.2307/2529310</w:t>
      </w:r>
      <w:r>
        <w:rPr>
          <w:rStyle w:val="16"/>
          <w:rFonts w:ascii="Times New Roman" w:hAnsi="Times New Roman" w:eastAsia="Times New Roman" w:cs="Times New Roman"/>
          <w:sz w:val="24"/>
          <w:szCs w:val="24"/>
        </w:rPr>
        <w:fldChar w:fldCharType="end"/>
      </w:r>
    </w:p>
    <w:p w14:paraId="09D480FF">
      <w:pPr>
        <w:pStyle w:val="21"/>
        <w:numPr>
          <w:ilvl w:val="0"/>
          <w:numId w:val="2"/>
        </w:num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Moher, D., Liberati, A., Tetzlaff, J., &amp; Altman, D. G. (2009). Preferred reporting items for systematic reviews and meta-analyses: The PRISMA statement. </w:t>
      </w:r>
      <w:r>
        <w:rPr>
          <w:rFonts w:ascii="Times New Roman" w:hAnsi="Times New Roman" w:eastAsia="Times New Roman" w:cs="Times New Roman"/>
          <w:i/>
          <w:iCs/>
          <w:sz w:val="24"/>
          <w:szCs w:val="24"/>
        </w:rPr>
        <w:t>PLoS Medicine, 6</w:t>
      </w:r>
      <w:r>
        <w:rPr>
          <w:rFonts w:ascii="Times New Roman" w:hAnsi="Times New Roman" w:eastAsia="Times New Roman" w:cs="Times New Roman"/>
          <w:sz w:val="24"/>
          <w:szCs w:val="24"/>
        </w:rPr>
        <w:t xml:space="preserve">(7), e1000097. </w:t>
      </w:r>
      <w:r>
        <w:fldChar w:fldCharType="begin"/>
      </w:r>
      <w:r>
        <w:instrText xml:space="preserve"> HYPERLINK "https://doi.org/10.1371/journal.pmed.1000097" \t "_new" </w:instrText>
      </w:r>
      <w:r>
        <w:fldChar w:fldCharType="separate"/>
      </w:r>
      <w:r>
        <w:rPr>
          <w:rStyle w:val="16"/>
          <w:rFonts w:ascii="Times New Roman" w:hAnsi="Times New Roman" w:eastAsia="Times New Roman" w:cs="Times New Roman"/>
          <w:sz w:val="24"/>
          <w:szCs w:val="24"/>
        </w:rPr>
        <w:t>https://doi.org/10.1371/journal.pmed.1000097</w:t>
      </w:r>
      <w:r>
        <w:rPr>
          <w:rStyle w:val="16"/>
          <w:rFonts w:ascii="Times New Roman" w:hAnsi="Times New Roman" w:eastAsia="Times New Roman" w:cs="Times New Roman"/>
          <w:sz w:val="24"/>
          <w:szCs w:val="24"/>
        </w:rPr>
        <w:fldChar w:fldCharType="end"/>
      </w:r>
    </w:p>
    <w:p w14:paraId="38657F05">
      <w:pPr>
        <w:pStyle w:val="21"/>
        <w:numPr>
          <w:ilvl w:val="0"/>
          <w:numId w:val="2"/>
        </w:num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Nascimento, D. L. M., Alencastro, V., Quelhas, O. L. G., Caiado, R. G. G., Garza-Reyes, J. A., Rocha-Lona, L., &amp; Tortorella, G. (2019). Exploring Industry 4.0 technologies to enable circular economy practices in a manufacturing context. </w:t>
      </w:r>
      <w:r>
        <w:rPr>
          <w:rFonts w:ascii="Times New Roman" w:hAnsi="Times New Roman" w:eastAsia="Times New Roman" w:cs="Times New Roman"/>
          <w:i/>
          <w:iCs/>
          <w:sz w:val="24"/>
          <w:szCs w:val="24"/>
        </w:rPr>
        <w:t>Journal of Manufacturing Technology Management, 30</w:t>
      </w:r>
      <w:r>
        <w:rPr>
          <w:rFonts w:ascii="Times New Roman" w:hAnsi="Times New Roman" w:eastAsia="Times New Roman" w:cs="Times New Roman"/>
          <w:sz w:val="24"/>
          <w:szCs w:val="24"/>
        </w:rPr>
        <w:t xml:space="preserve">(3), 607–627. </w:t>
      </w:r>
      <w:r>
        <w:fldChar w:fldCharType="begin"/>
      </w:r>
      <w:r>
        <w:instrText xml:space="preserve"> HYPERLINK "https://doi.org/10.1108/JMTM-03-2018-0071" \t "_new" </w:instrText>
      </w:r>
      <w:r>
        <w:fldChar w:fldCharType="separate"/>
      </w:r>
      <w:r>
        <w:rPr>
          <w:rStyle w:val="16"/>
          <w:rFonts w:ascii="Times New Roman" w:hAnsi="Times New Roman" w:eastAsia="Times New Roman" w:cs="Times New Roman"/>
          <w:sz w:val="24"/>
          <w:szCs w:val="24"/>
        </w:rPr>
        <w:t>https://doi.org/10.1108/JMTM-03-2018-0071</w:t>
      </w:r>
      <w:r>
        <w:rPr>
          <w:rStyle w:val="16"/>
          <w:rFonts w:ascii="Times New Roman" w:hAnsi="Times New Roman" w:eastAsia="Times New Roman" w:cs="Times New Roman"/>
          <w:sz w:val="24"/>
          <w:szCs w:val="24"/>
        </w:rPr>
        <w:fldChar w:fldCharType="end"/>
      </w:r>
    </w:p>
    <w:p w14:paraId="28C6A820">
      <w:pPr>
        <w:pStyle w:val="21"/>
        <w:numPr>
          <w:ilvl w:val="0"/>
          <w:numId w:val="2"/>
        </w:num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Perau, Martin &amp; Gaillard, Antoine &amp; Berninger, Stefanie &amp; Caspari, Phil &amp; Urboneit, Justus &amp; Spindeldreier, Svenja &amp; Byl, Achim &amp; Winkler, Maximilian &amp; Welsh, Dominic &amp; Schröer, Tobias &amp; Boos, Wolfgang. (2025). Enterprise Architecture Model for Digitally Enabled Reverse Logistics. 10.1007/978-3-032-03538-7_37. </w:t>
      </w:r>
    </w:p>
    <w:p w14:paraId="682CAE23">
      <w:pPr>
        <w:pStyle w:val="21"/>
        <w:numPr>
          <w:ilvl w:val="0"/>
          <w:numId w:val="2"/>
        </w:num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Radivojević, D., Milica, M., &amp; Dražen , P. (2022). Overview of criteria and methods of machine learning for supplier selection. </w:t>
      </w:r>
      <w:r>
        <w:rPr>
          <w:rFonts w:ascii="Times New Roman" w:hAnsi="Times New Roman" w:eastAsia="Times New Roman" w:cs="Times New Roman"/>
          <w:i/>
          <w:iCs/>
          <w:sz w:val="24"/>
          <w:szCs w:val="24"/>
        </w:rPr>
        <w:t>In Proceedings of the 5th Logistics International Conference,</w:t>
      </w:r>
      <w:r>
        <w:rPr>
          <w:rFonts w:ascii="Times New Roman" w:hAnsi="Times New Roman" w:eastAsia="Times New Roman" w:cs="Times New Roman"/>
          <w:sz w:val="24"/>
          <w:szCs w:val="24"/>
        </w:rPr>
        <w:t xml:space="preserve"> </w:t>
      </w:r>
      <w:r>
        <w:rPr>
          <w:rFonts w:ascii="Times New Roman" w:hAnsi="Times New Roman" w:eastAsia="Times New Roman" w:cs="Times New Roman"/>
          <w:i/>
          <w:iCs/>
          <w:sz w:val="24"/>
          <w:szCs w:val="24"/>
        </w:rPr>
        <w:t>Elsevier</w:t>
      </w:r>
      <w:r>
        <w:rPr>
          <w:rFonts w:ascii="Times New Roman" w:hAnsi="Times New Roman" w:eastAsia="Times New Roman" w:cs="Times New Roman"/>
          <w:sz w:val="24"/>
          <w:szCs w:val="24"/>
        </w:rPr>
        <w:t>, 26–27.</w:t>
      </w:r>
    </w:p>
    <w:p w14:paraId="15215EBE">
      <w:pPr>
        <w:pStyle w:val="21"/>
        <w:numPr>
          <w:ilvl w:val="0"/>
          <w:numId w:val="2"/>
        </w:num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Rangga Primadasa, Tauhida, D., Bellachintya Reira Christata, Imam Abdul Rozaq, Salman Alfarisi, &amp; Ilyas Masudin. (2024). An Investigation of the Interrelationship Among Circular Supply Chain Management Indicators in Small and Medium Enterprises. </w:t>
      </w:r>
      <w:r>
        <w:rPr>
          <w:rFonts w:ascii="Times New Roman" w:hAnsi="Times New Roman" w:eastAsia="Times New Roman" w:cs="Times New Roman"/>
          <w:i/>
          <w:iCs/>
          <w:sz w:val="24"/>
          <w:szCs w:val="24"/>
        </w:rPr>
        <w:t>Supply Chain Analytics</w:t>
      </w:r>
      <w:r>
        <w:rPr>
          <w:rFonts w:ascii="Times New Roman" w:hAnsi="Times New Roman" w:eastAsia="Times New Roman" w:cs="Times New Roman"/>
          <w:sz w:val="24"/>
          <w:szCs w:val="24"/>
        </w:rPr>
        <w:t xml:space="preserve">, </w:t>
      </w:r>
      <w:r>
        <w:rPr>
          <w:rFonts w:ascii="Times New Roman" w:hAnsi="Times New Roman" w:eastAsia="Times New Roman" w:cs="Times New Roman"/>
          <w:i/>
          <w:iCs/>
          <w:sz w:val="24"/>
          <w:szCs w:val="24"/>
        </w:rPr>
        <w:t>7</w:t>
      </w:r>
      <w:r>
        <w:rPr>
          <w:rFonts w:ascii="Times New Roman" w:hAnsi="Times New Roman" w:eastAsia="Times New Roman" w:cs="Times New Roman"/>
          <w:sz w:val="24"/>
          <w:szCs w:val="24"/>
        </w:rPr>
        <w:t>, 100068–100068. https://doi.org/10.1016/j.sca.2024.100068</w:t>
      </w:r>
    </w:p>
    <w:p w14:paraId="3C3C5353">
      <w:pPr>
        <w:pStyle w:val="21"/>
        <w:numPr>
          <w:ilvl w:val="0"/>
          <w:numId w:val="2"/>
        </w:num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Robertshaw, G., Hayes, J., &amp; Lark, R. (2023). Digital asset management on aging port infrastructure: Integration of BIM and IoT for condition monitoring. </w:t>
      </w:r>
      <w:r>
        <w:rPr>
          <w:rFonts w:ascii="Times New Roman" w:hAnsi="Times New Roman" w:eastAsia="Times New Roman" w:cs="Times New Roman"/>
          <w:i/>
          <w:iCs/>
          <w:sz w:val="24"/>
          <w:szCs w:val="24"/>
        </w:rPr>
        <w:t>Australasian Coasts and Ports 2023: Technical Papers</w:t>
      </w:r>
      <w:r>
        <w:rPr>
          <w:rFonts w:ascii="Times New Roman" w:hAnsi="Times New Roman" w:eastAsia="Times New Roman" w:cs="Times New Roman"/>
          <w:sz w:val="24"/>
          <w:szCs w:val="24"/>
        </w:rPr>
        <w:t>, 1176-1182.</w:t>
      </w:r>
    </w:p>
    <w:p w14:paraId="715568BF">
      <w:pPr>
        <w:pStyle w:val="21"/>
        <w:numPr>
          <w:ilvl w:val="0"/>
          <w:numId w:val="2"/>
        </w:num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Saberi, S., Kouhizadeh, M., Sarkis, J., &amp; Shen, L. (2020). Blockchain-enabled circular supply chain management: A system architecture for fast fashion. </w:t>
      </w:r>
      <w:r>
        <w:rPr>
          <w:rFonts w:ascii="Times New Roman" w:hAnsi="Times New Roman" w:eastAsia="Times New Roman" w:cs="Times New Roman"/>
          <w:i/>
          <w:iCs/>
          <w:sz w:val="24"/>
          <w:szCs w:val="24"/>
        </w:rPr>
        <w:t>Computers &amp; Industrial Engineering</w:t>
      </w:r>
      <w:r>
        <w:rPr>
          <w:rFonts w:ascii="Times New Roman" w:hAnsi="Times New Roman" w:eastAsia="Times New Roman" w:cs="Times New Roman"/>
          <w:sz w:val="24"/>
          <w:szCs w:val="24"/>
        </w:rPr>
        <w:t xml:space="preserve">, </w:t>
      </w:r>
      <w:r>
        <w:rPr>
          <w:rFonts w:ascii="Times New Roman" w:hAnsi="Times New Roman" w:eastAsia="Times New Roman" w:cs="Times New Roman"/>
          <w:i/>
          <w:iCs/>
          <w:sz w:val="24"/>
          <w:szCs w:val="24"/>
        </w:rPr>
        <w:t>147</w:t>
      </w:r>
      <w:r>
        <w:rPr>
          <w:rFonts w:ascii="Times New Roman" w:hAnsi="Times New Roman" w:eastAsia="Times New Roman" w:cs="Times New Roman"/>
          <w:sz w:val="24"/>
          <w:szCs w:val="24"/>
        </w:rPr>
        <w:t>, 106622. https://doi.org/10.1016/j.cie.2020.106622</w:t>
      </w:r>
    </w:p>
    <w:p w14:paraId="74A0602B">
      <w:pPr>
        <w:pStyle w:val="21"/>
        <w:numPr>
          <w:ilvl w:val="0"/>
          <w:numId w:val="2"/>
        </w:numPr>
        <w:spacing w:before="240" w:after="240" w:line="240" w:lineRule="auto"/>
        <w:rPr>
          <w:rFonts w:ascii="Times New Roman" w:hAnsi="Times New Roman" w:cs="Times New Roman"/>
          <w:sz w:val="24"/>
          <w:szCs w:val="24"/>
        </w:rPr>
      </w:pPr>
      <w:r>
        <w:rPr>
          <w:rFonts w:ascii="Times New Roman" w:hAnsi="Times New Roman" w:eastAsia="Times New Roman" w:cs="Times New Roman"/>
          <w:sz w:val="24"/>
          <w:szCs w:val="24"/>
        </w:rPr>
        <w:t xml:space="preserve">Salzano, F., Ponsiglione, C., Quinto, I., &amp; Zollo, G. (2024). Integrating blockchain technology within an information ecosystem: A focus on the circular economy. </w:t>
      </w:r>
      <w:r>
        <w:rPr>
          <w:rFonts w:ascii="Times New Roman" w:hAnsi="Times New Roman" w:eastAsia="Times New Roman" w:cs="Times New Roman"/>
          <w:i/>
          <w:iCs/>
          <w:sz w:val="24"/>
          <w:szCs w:val="24"/>
        </w:rPr>
        <w:t>Blockchain: Research and Applications</w:t>
      </w:r>
      <w:r>
        <w:rPr>
          <w:rFonts w:ascii="Times New Roman" w:hAnsi="Times New Roman" w:eastAsia="Times New Roman" w:cs="Times New Roman"/>
          <w:sz w:val="24"/>
          <w:szCs w:val="24"/>
        </w:rPr>
        <w:t xml:space="preserve">, </w:t>
      </w:r>
      <w:r>
        <w:rPr>
          <w:rFonts w:ascii="Times New Roman" w:hAnsi="Times New Roman" w:eastAsia="Times New Roman" w:cs="Times New Roman"/>
          <w:i/>
          <w:iCs/>
          <w:sz w:val="24"/>
          <w:szCs w:val="24"/>
        </w:rPr>
        <w:t>5</w:t>
      </w:r>
      <w:r>
        <w:rPr>
          <w:rFonts w:ascii="Times New Roman" w:hAnsi="Times New Roman" w:eastAsia="Times New Roman" w:cs="Times New Roman"/>
          <w:sz w:val="24"/>
          <w:szCs w:val="24"/>
        </w:rPr>
        <w:t xml:space="preserve">(1), 100155. </w:t>
      </w:r>
      <w:r>
        <w:fldChar w:fldCharType="begin"/>
      </w:r>
      <w:r>
        <w:instrText xml:space="preserve"> HYPERLINK "https://doi.org/10.1016/j.bcra.2023.100155" </w:instrText>
      </w:r>
      <w:r>
        <w:fldChar w:fldCharType="separate"/>
      </w:r>
      <w:r>
        <w:rPr>
          <w:rStyle w:val="16"/>
          <w:rFonts w:ascii="Times New Roman" w:hAnsi="Times New Roman" w:eastAsia="Times New Roman" w:cs="Times New Roman"/>
          <w:sz w:val="24"/>
          <w:szCs w:val="24"/>
        </w:rPr>
        <w:t>https://doi.org/10.1016/j.bcra.2023.100155</w:t>
      </w:r>
      <w:r>
        <w:rPr>
          <w:rStyle w:val="16"/>
          <w:rFonts w:ascii="Times New Roman" w:hAnsi="Times New Roman" w:eastAsia="Times New Roman" w:cs="Times New Roman"/>
          <w:sz w:val="24"/>
          <w:szCs w:val="24"/>
        </w:rPr>
        <w:fldChar w:fldCharType="end"/>
      </w:r>
    </w:p>
    <w:p w14:paraId="47964A55">
      <w:pPr>
        <w:pStyle w:val="21"/>
        <w:numPr>
          <w:ilvl w:val="0"/>
          <w:numId w:val="2"/>
        </w:numPr>
        <w:spacing w:before="240" w:after="240" w:line="240" w:lineRule="auto"/>
        <w:rPr>
          <w:rFonts w:ascii="Times New Roman" w:hAnsi="Times New Roman" w:cs="Times New Roman"/>
          <w:sz w:val="24"/>
          <w:szCs w:val="24"/>
        </w:rPr>
      </w:pPr>
      <w:r>
        <w:rPr>
          <w:rFonts w:ascii="Times New Roman" w:hAnsi="Times New Roman" w:cs="Times New Roman"/>
          <w:sz w:val="24"/>
          <w:szCs w:val="24"/>
        </w:rPr>
        <w:t xml:space="preserve">Sapra P., et al. (2022). Blockchain and IoT for Auto Leak Unearthing. </w:t>
      </w:r>
      <w:r>
        <w:rPr>
          <w:rFonts w:ascii="Times New Roman" w:hAnsi="Times New Roman" w:cs="Times New Roman"/>
          <w:i/>
          <w:iCs/>
          <w:sz w:val="24"/>
          <w:szCs w:val="24"/>
        </w:rPr>
        <w:t>Lecture Notes on Data Engineering</w:t>
      </w:r>
      <w:r>
        <w:rPr>
          <w:rFonts w:ascii="Times New Roman" w:hAnsi="Times New Roman" w:cs="Times New Roman"/>
          <w:sz w:val="24"/>
          <w:szCs w:val="24"/>
        </w:rPr>
        <w:t>.</w:t>
      </w:r>
    </w:p>
    <w:p w14:paraId="6BAE6A54">
      <w:pPr>
        <w:pStyle w:val="21"/>
        <w:numPr>
          <w:ilvl w:val="0"/>
          <w:numId w:val="2"/>
        </w:num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Solanki, R. K., Gupta, S., &amp; Singh, A. (2025). Design paradigms and efficiency trade-offs in blockchain frameworks. </w:t>
      </w:r>
      <w:r>
        <w:rPr>
          <w:rFonts w:ascii="Times New Roman" w:hAnsi="Times New Roman" w:eastAsia="Times New Roman" w:cs="Times New Roman"/>
          <w:i/>
          <w:iCs/>
          <w:sz w:val="24"/>
          <w:szCs w:val="24"/>
        </w:rPr>
        <w:t>EPJ Web of Conferences</w:t>
      </w:r>
      <w:r>
        <w:rPr>
          <w:rFonts w:ascii="Times New Roman" w:hAnsi="Times New Roman" w:eastAsia="Times New Roman" w:cs="Times New Roman"/>
          <w:sz w:val="24"/>
          <w:szCs w:val="24"/>
        </w:rPr>
        <w:t xml:space="preserve">, </w:t>
      </w:r>
      <w:r>
        <w:rPr>
          <w:rFonts w:ascii="Times New Roman" w:hAnsi="Times New Roman" w:eastAsia="Times New Roman" w:cs="Times New Roman"/>
          <w:i/>
          <w:iCs/>
          <w:sz w:val="24"/>
          <w:szCs w:val="24"/>
        </w:rPr>
        <w:t>296</w:t>
      </w:r>
      <w:r>
        <w:rPr>
          <w:rFonts w:ascii="Times New Roman" w:hAnsi="Times New Roman" w:eastAsia="Times New Roman" w:cs="Times New Roman"/>
          <w:sz w:val="24"/>
          <w:szCs w:val="24"/>
        </w:rPr>
        <w:t>, 02003. https://doi.org/10.1051/epjconf/202429602003</w:t>
      </w:r>
    </w:p>
    <w:p w14:paraId="1D321559">
      <w:pPr>
        <w:pStyle w:val="21"/>
        <w:numPr>
          <w:ilvl w:val="0"/>
          <w:numId w:val="2"/>
        </w:num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Sundmaeker, H., Guillemin, P., Friess, P., &amp; Woelfflé, S. (2016). Intelligent networked devices for proactive collaboration. In </w:t>
      </w:r>
      <w:r>
        <w:rPr>
          <w:rFonts w:ascii="Times New Roman" w:hAnsi="Times New Roman" w:eastAsia="Times New Roman" w:cs="Times New Roman"/>
          <w:i/>
          <w:iCs/>
          <w:sz w:val="24"/>
          <w:szCs w:val="24"/>
        </w:rPr>
        <w:t>Proceedings of the 2008 22nd International Conference on Engineering, Construction and Architectural Management</w:t>
      </w:r>
      <w:r>
        <w:rPr>
          <w:rFonts w:ascii="Times New Roman" w:hAnsi="Times New Roman" w:eastAsia="Times New Roman" w:cs="Times New Roman"/>
          <w:sz w:val="24"/>
          <w:szCs w:val="24"/>
        </w:rPr>
        <w:t xml:space="preserve"> (ECAM) (pp. 1-12). IEEE.</w:t>
      </w:r>
    </w:p>
    <w:p w14:paraId="2569C27D">
      <w:pPr>
        <w:pStyle w:val="21"/>
        <w:numPr>
          <w:ilvl w:val="0"/>
          <w:numId w:val="2"/>
        </w:num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Taddei, E., Sassanelli, C., Rosa, P., &amp; Terzi, S. (2024). Circular supply chains theoretical gaps and practical barriers: A model to support approaching firms in the era of industry 4.0. </w:t>
      </w:r>
      <w:r>
        <w:rPr>
          <w:rFonts w:ascii="Times New Roman" w:hAnsi="Times New Roman" w:eastAsia="Times New Roman" w:cs="Times New Roman"/>
          <w:i/>
          <w:iCs/>
          <w:sz w:val="24"/>
          <w:szCs w:val="24"/>
        </w:rPr>
        <w:t>Computers &amp; Industrial Engineering</w:t>
      </w:r>
      <w:r>
        <w:rPr>
          <w:rFonts w:ascii="Times New Roman" w:hAnsi="Times New Roman" w:eastAsia="Times New Roman" w:cs="Times New Roman"/>
          <w:sz w:val="24"/>
          <w:szCs w:val="24"/>
        </w:rPr>
        <w:t xml:space="preserve">, </w:t>
      </w:r>
      <w:r>
        <w:rPr>
          <w:rFonts w:ascii="Times New Roman" w:hAnsi="Times New Roman" w:eastAsia="Times New Roman" w:cs="Times New Roman"/>
          <w:i/>
          <w:iCs/>
          <w:sz w:val="24"/>
          <w:szCs w:val="24"/>
        </w:rPr>
        <w:t>190</w:t>
      </w:r>
      <w:r>
        <w:rPr>
          <w:rFonts w:ascii="Times New Roman" w:hAnsi="Times New Roman" w:eastAsia="Times New Roman" w:cs="Times New Roman"/>
          <w:sz w:val="24"/>
          <w:szCs w:val="24"/>
        </w:rPr>
        <w:t>, 110049–110049. https://doi.org/10.1016/j.cie.2024.110049</w:t>
      </w:r>
    </w:p>
    <w:p w14:paraId="6556F001">
      <w:pPr>
        <w:pStyle w:val="21"/>
        <w:numPr>
          <w:ilvl w:val="0"/>
          <w:numId w:val="2"/>
        </w:num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Toland, P. P., &amp; Collery, D. (2023). How Can the Irish Construction Industry Become Less Fragmented and More Productive? </w:t>
      </w:r>
      <w:r>
        <w:rPr>
          <w:rFonts w:ascii="Times New Roman" w:hAnsi="Times New Roman" w:eastAsia="Times New Roman" w:cs="Times New Roman"/>
          <w:i/>
          <w:iCs/>
          <w:sz w:val="24"/>
          <w:szCs w:val="24"/>
        </w:rPr>
        <w:t>European Conference on Knowledge Management</w:t>
      </w:r>
      <w:r>
        <w:rPr>
          <w:rFonts w:ascii="Times New Roman" w:hAnsi="Times New Roman" w:eastAsia="Times New Roman" w:cs="Times New Roman"/>
          <w:sz w:val="24"/>
          <w:szCs w:val="24"/>
        </w:rPr>
        <w:t xml:space="preserve">, </w:t>
      </w:r>
      <w:r>
        <w:rPr>
          <w:rFonts w:ascii="Times New Roman" w:hAnsi="Times New Roman" w:eastAsia="Times New Roman" w:cs="Times New Roman"/>
          <w:i/>
          <w:iCs/>
          <w:sz w:val="24"/>
          <w:szCs w:val="24"/>
        </w:rPr>
        <w:t>24</w:t>
      </w:r>
      <w:r>
        <w:rPr>
          <w:rFonts w:ascii="Times New Roman" w:hAnsi="Times New Roman" w:eastAsia="Times New Roman" w:cs="Times New Roman"/>
          <w:sz w:val="24"/>
          <w:szCs w:val="24"/>
        </w:rPr>
        <w:t xml:space="preserve">(2), 1643–1650. </w:t>
      </w:r>
      <w:r>
        <w:fldChar w:fldCharType="begin"/>
      </w:r>
      <w:r>
        <w:instrText xml:space="preserve"> HYPERLINK "https://doi.org/10.34190/eckm.24.2.1387" </w:instrText>
      </w:r>
      <w:r>
        <w:fldChar w:fldCharType="separate"/>
      </w:r>
      <w:r>
        <w:rPr>
          <w:rStyle w:val="16"/>
          <w:rFonts w:ascii="Times New Roman" w:hAnsi="Times New Roman" w:eastAsia="Times New Roman" w:cs="Times New Roman"/>
          <w:sz w:val="24"/>
          <w:szCs w:val="24"/>
        </w:rPr>
        <w:t>https://doi.org/10.34190/eckm.24.2.1387</w:t>
      </w:r>
      <w:r>
        <w:rPr>
          <w:rStyle w:val="16"/>
          <w:rFonts w:ascii="Times New Roman" w:hAnsi="Times New Roman" w:eastAsia="Times New Roman" w:cs="Times New Roman"/>
          <w:sz w:val="24"/>
          <w:szCs w:val="24"/>
        </w:rPr>
        <w:fldChar w:fldCharType="end"/>
      </w:r>
    </w:p>
    <w:p w14:paraId="534231DA">
      <w:pPr>
        <w:pStyle w:val="21"/>
        <w:numPr>
          <w:ilvl w:val="0"/>
          <w:numId w:val="2"/>
        </w:num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Tranfield, D., Denyer, D., &amp; Smart, P. (2003). Towards a methodology for developing evidence-informed management knowledge by means of systematic review. </w:t>
      </w:r>
      <w:r>
        <w:rPr>
          <w:rFonts w:ascii="Times New Roman" w:hAnsi="Times New Roman" w:eastAsia="Times New Roman" w:cs="Times New Roman"/>
          <w:i/>
          <w:iCs/>
          <w:sz w:val="24"/>
          <w:szCs w:val="24"/>
        </w:rPr>
        <w:t>British Journal of Management, 14</w:t>
      </w:r>
      <w:r>
        <w:rPr>
          <w:rFonts w:ascii="Times New Roman" w:hAnsi="Times New Roman" w:eastAsia="Times New Roman" w:cs="Times New Roman"/>
          <w:sz w:val="24"/>
          <w:szCs w:val="24"/>
        </w:rPr>
        <w:t xml:space="preserve">(3), 207–222. </w:t>
      </w:r>
      <w:r>
        <w:fldChar w:fldCharType="begin"/>
      </w:r>
      <w:r>
        <w:instrText xml:space="preserve"> HYPERLINK "https://doi.org/10.1111/1467-8551.00375" \t "_new" </w:instrText>
      </w:r>
      <w:r>
        <w:fldChar w:fldCharType="separate"/>
      </w:r>
      <w:r>
        <w:rPr>
          <w:rStyle w:val="16"/>
          <w:rFonts w:ascii="Times New Roman" w:hAnsi="Times New Roman" w:eastAsia="Times New Roman" w:cs="Times New Roman"/>
          <w:sz w:val="24"/>
          <w:szCs w:val="24"/>
        </w:rPr>
        <w:t>https://doi.org/10.1111/1467-8551.00375</w:t>
      </w:r>
      <w:r>
        <w:rPr>
          <w:rStyle w:val="16"/>
          <w:rFonts w:ascii="Times New Roman" w:hAnsi="Times New Roman" w:eastAsia="Times New Roman" w:cs="Times New Roman"/>
          <w:sz w:val="24"/>
          <w:szCs w:val="24"/>
        </w:rPr>
        <w:fldChar w:fldCharType="end"/>
      </w:r>
    </w:p>
    <w:p w14:paraId="2D7F49B8">
      <w:pPr>
        <w:pStyle w:val="21"/>
        <w:numPr>
          <w:ilvl w:val="0"/>
          <w:numId w:val="2"/>
        </w:num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Wang, B., Luo, W., Zhang, A., Tian, Z., &amp; Li, Z. (2020). Blockchain-enabled circular supply chain management: A system architecture for fast fashion. </w:t>
      </w:r>
      <w:r>
        <w:rPr>
          <w:rFonts w:ascii="Times New Roman" w:hAnsi="Times New Roman" w:eastAsia="Times New Roman" w:cs="Times New Roman"/>
          <w:i/>
          <w:iCs/>
          <w:sz w:val="24"/>
          <w:szCs w:val="24"/>
        </w:rPr>
        <w:t>Computers in Industry</w:t>
      </w:r>
      <w:r>
        <w:rPr>
          <w:rFonts w:ascii="Times New Roman" w:hAnsi="Times New Roman" w:eastAsia="Times New Roman" w:cs="Times New Roman"/>
          <w:sz w:val="24"/>
          <w:szCs w:val="24"/>
        </w:rPr>
        <w:t xml:space="preserve">, </w:t>
      </w:r>
      <w:r>
        <w:rPr>
          <w:rFonts w:ascii="Times New Roman" w:hAnsi="Times New Roman" w:eastAsia="Times New Roman" w:cs="Times New Roman"/>
          <w:i/>
          <w:iCs/>
          <w:sz w:val="24"/>
          <w:szCs w:val="24"/>
        </w:rPr>
        <w:t>123</w:t>
      </w:r>
      <w:r>
        <w:rPr>
          <w:rFonts w:ascii="Times New Roman" w:hAnsi="Times New Roman" w:eastAsia="Times New Roman" w:cs="Times New Roman"/>
          <w:sz w:val="24"/>
          <w:szCs w:val="24"/>
        </w:rPr>
        <w:t xml:space="preserve">, 103324. </w:t>
      </w:r>
      <w:r>
        <w:fldChar w:fldCharType="begin"/>
      </w:r>
      <w:r>
        <w:instrText xml:space="preserve"> HYPERLINK "https://www.sciencedirect.com/science/article/pii/S0166361520305583" \h </w:instrText>
      </w:r>
      <w:r>
        <w:fldChar w:fldCharType="separate"/>
      </w:r>
      <w:r>
        <w:rPr>
          <w:rFonts w:ascii="Times New Roman" w:hAnsi="Times New Roman" w:eastAsia="Times New Roman" w:cs="Times New Roman"/>
          <w:color w:val="1155CC"/>
          <w:sz w:val="24"/>
          <w:szCs w:val="24"/>
          <w:u w:val="single"/>
        </w:rPr>
        <w:t>https://www.sciencedirect.com/science/article/pii/S0166361520305583</w:t>
      </w:r>
      <w:r>
        <w:rPr>
          <w:rFonts w:ascii="Times New Roman" w:hAnsi="Times New Roman" w:eastAsia="Times New Roman" w:cs="Times New Roman"/>
          <w:color w:val="1155CC"/>
          <w:sz w:val="24"/>
          <w:szCs w:val="24"/>
          <w:u w:val="single"/>
        </w:rPr>
        <w:fldChar w:fldCharType="end"/>
      </w:r>
    </w:p>
    <w:p w14:paraId="4966B4AE">
      <w:pPr>
        <w:spacing w:line="240" w:lineRule="auto"/>
        <w:jc w:val="both"/>
        <w:rPr>
          <w:rFonts w:ascii="Times New Roman" w:hAnsi="Times New Roman" w:eastAsia="Times New Roman" w:cs="Times New Roman"/>
          <w:sz w:val="24"/>
          <w:szCs w:val="24"/>
        </w:rPr>
      </w:pPr>
    </w:p>
    <w:sectPr>
      <w:footerReference r:id="rId5" w:type="default"/>
      <w:pgSz w:w="11907" w:h="16840"/>
      <w:pgMar w:top="1077" w:right="573" w:bottom="573" w:left="573" w:header="346" w:footer="403" w:gutter="0"/>
      <w:pgNumType w:start="1"/>
      <w:cols w:space="720" w:num="1"/>
      <w:docGrid w:linePitch="299"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365A4F5-B2D4-4D50-AEA0-7344998659E4}"/>
  </w:font>
  <w:font w:name="Arial">
    <w:panose1 w:val="020B0604020202020204"/>
    <w:charset w:val="01"/>
    <w:family w:val="swiss"/>
    <w:pitch w:val="default"/>
    <w:sig w:usb0="E0002EFF" w:usb1="C000785B" w:usb2="00000009" w:usb3="00000000" w:csb0="400001FF" w:csb1="FFFF0000"/>
    <w:embedRegular r:id="rId2" w:fontKey="{63480ACB-719B-4805-94B6-9C312BD91ED3}"/>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880F6FA8-28D8-4015-937C-248322D5DEDF}"/>
  </w:font>
  <w:font w:name="Symbol">
    <w:panose1 w:val="05050102010706020507"/>
    <w:charset w:val="02"/>
    <w:family w:val="roman"/>
    <w:pitch w:val="default"/>
    <w:sig w:usb0="00000000" w:usb1="00000000" w:usb2="00000000" w:usb3="00000000" w:csb0="80000000" w:csb1="00000000"/>
    <w:embedRegular r:id="rId4" w:fontKey="{C2E910B6-D1F4-4CE6-AE72-95528543702C}"/>
  </w:font>
  <w:font w:name="Calibri">
    <w:panose1 w:val="020F0502020204030204"/>
    <w:charset w:val="00"/>
    <w:family w:val="swiss"/>
    <w:pitch w:val="default"/>
    <w:sig w:usb0="E4002EFF" w:usb1="C200247B" w:usb2="00000009" w:usb3="00000000" w:csb0="200001FF" w:csb1="00000000"/>
    <w:embedRegular r:id="rId5" w:fontKey="{5BB4E305-AE8D-4380-B877-AD6FE34A1EE5}"/>
  </w:font>
  <w:font w:name="Arial">
    <w:panose1 w:val="020B0604020202020204"/>
    <w:charset w:val="00"/>
    <w:family w:val="swiss"/>
    <w:pitch w:val="default"/>
    <w:sig w:usb0="E0002EFF" w:usb1="C000785B" w:usb2="00000009" w:usb3="00000000" w:csb0="400001FF" w:csb1="FFFF0000"/>
    <w:embedRegular r:id="rId6" w:fontKey="{9DDF0C56-5142-4C4A-8290-7F31C6E664C8}"/>
  </w:font>
  <w:font w:name="Cordia New">
    <w:altName w:val="Microsoft Sans Serif"/>
    <w:panose1 w:val="020B0304020202020204"/>
    <w:charset w:val="DE"/>
    <w:family w:val="swiss"/>
    <w:pitch w:val="default"/>
    <w:sig w:usb0="00000000" w:usb1="00000000" w:usb2="00000000" w:usb3="00000000" w:csb0="00010001" w:csb1="00000000"/>
    <w:embedRegular r:id="rId7" w:fontKey="{6DA3FE10-0749-44D7-858E-2ED87B523A0E}"/>
  </w:font>
  <w:font w:name="Microsoft Sans Serif">
    <w:panose1 w:val="020B0604020202020204"/>
    <w:charset w:val="00"/>
    <w:family w:val="auto"/>
    <w:pitch w:val="default"/>
    <w:sig w:usb0="E5002EFF" w:usb1="C000605B" w:usb2="00000029" w:usb3="00000000" w:csb0="200101FF" w:csb1="20280000"/>
    <w:embedRegular r:id="rId8" w:fontKey="{A1AB4072-00D7-450B-9D58-C4E2166CBA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30850953"/>
      <w:docPartObj>
        <w:docPartGallery w:val="autotext"/>
      </w:docPartObj>
    </w:sdtPr>
    <w:sdtEndPr>
      <w:rPr>
        <w:rFonts w:ascii="Times New Roman" w:hAnsi="Times New Roman" w:cs="Times New Roman"/>
      </w:rPr>
    </w:sdtEndPr>
    <w:sdtContent>
      <w:p w14:paraId="561FAF9A">
        <w:pPr>
          <w:pStyle w:val="8"/>
          <w:rPr>
            <w:rFonts w:ascii="Times New Roman" w:hAnsi="Times New Roman" w:cs="Times New Roman"/>
          </w:rPr>
        </w:pPr>
        <w:r>
          <w:rPr>
            <w:rFonts w:ascii="Times New Roman" w:hAnsi="Times New Roman" w:cs="Times New Roman"/>
          </w:rPr>
          <w:t xml:space="preserve">Page | </w:t>
        </w: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rPr>
          <w:fldChar w:fldCharType="end"/>
        </w:r>
      </w:p>
    </w:sdtContent>
  </w:sdt>
  <w:p w14:paraId="18A07A1E">
    <w:pPr>
      <w:pStyle w:val="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76" w:lineRule="auto"/>
      </w:pPr>
      <w:r>
        <w:separator/>
      </w:r>
    </w:p>
  </w:footnote>
  <w:footnote w:type="continuationSeparator" w:id="1">
    <w:p>
      <w:pPr>
        <w:spacing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E1C401B"/>
    <w:multiLevelType w:val="multilevel"/>
    <w:tmpl w:val="1E1C401B"/>
    <w:lvl w:ilvl="0" w:tentative="0">
      <w:start w:val="1"/>
      <w:numFmt w:val="decimal"/>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
    <w:nsid w:val="2D4733D5"/>
    <w:multiLevelType w:val="multilevel"/>
    <w:tmpl w:val="2D4733D5"/>
    <w:lvl w:ilvl="0" w:tentative="0">
      <w:start w:val="1"/>
      <w:numFmt w:val="decimal"/>
      <w:lvlText w:val="%1."/>
      <w:lvlJc w:val="left"/>
      <w:pPr>
        <w:ind w:left="720" w:hanging="360"/>
      </w:pPr>
      <w:rPr>
        <w:b w:val="0"/>
        <w:bCs w:val="0"/>
        <w:color w:val="auto"/>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4"/>
  <w:embedTrueTypeFonts/>
  <w:documentProtection w:enforcement="0"/>
  <w:defaultTabStop w:val="720"/>
  <w:noPunctuationKerning w:val="1"/>
  <w:characterSpacingControl w:val="doNotCompress"/>
  <w:footnotePr>
    <w:footnote w:id="0"/>
    <w:footnote w:id="1"/>
  </w:footnotePr>
  <w:endnotePr>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MjExtDAwNzAxMjc1NjVU0lEKTi0uzszPAykwqgUAt4cPsywAAAA="/>
  </w:docVars>
  <w:rsids>
    <w:rsidRoot w:val="00693391"/>
    <w:rsid w:val="00051AEF"/>
    <w:rsid w:val="00073086"/>
    <w:rsid w:val="000C6953"/>
    <w:rsid w:val="00106FC2"/>
    <w:rsid w:val="00193322"/>
    <w:rsid w:val="00215C7C"/>
    <w:rsid w:val="00237C5A"/>
    <w:rsid w:val="00325032"/>
    <w:rsid w:val="003B3BC4"/>
    <w:rsid w:val="0048560A"/>
    <w:rsid w:val="00496C64"/>
    <w:rsid w:val="004A3B6C"/>
    <w:rsid w:val="004B5DB6"/>
    <w:rsid w:val="00531D89"/>
    <w:rsid w:val="0056675F"/>
    <w:rsid w:val="005F4126"/>
    <w:rsid w:val="00661D92"/>
    <w:rsid w:val="00693391"/>
    <w:rsid w:val="00715A33"/>
    <w:rsid w:val="007772F7"/>
    <w:rsid w:val="00880DAA"/>
    <w:rsid w:val="00881CCD"/>
    <w:rsid w:val="00914140"/>
    <w:rsid w:val="0094182E"/>
    <w:rsid w:val="009E106A"/>
    <w:rsid w:val="00B14230"/>
    <w:rsid w:val="00B3452F"/>
    <w:rsid w:val="00C714AF"/>
    <w:rsid w:val="00C75158"/>
    <w:rsid w:val="00C76B30"/>
    <w:rsid w:val="00C853B2"/>
    <w:rsid w:val="00CB4BD4"/>
    <w:rsid w:val="00CE52FA"/>
    <w:rsid w:val="00D665B6"/>
    <w:rsid w:val="00E24DC9"/>
    <w:rsid w:val="00F36F92"/>
    <w:rsid w:val="00FE13C0"/>
    <w:rsid w:val="493556E9"/>
    <w:rsid w:val="49E640CC"/>
    <w:rsid w:val="6954601C"/>
  </w:rsids>
  <m:mathPr>
    <m:mathFont m:val="Cambria Math"/>
    <m:brkBin m:val="before"/>
    <m:brkBinSub m:val="--"/>
    <m:smallFrac m:val="0"/>
    <m:dispDef/>
    <m:lMargin m:val="0"/>
    <m:rMargin m:val="0"/>
    <m:defJc m:val="centerGroup"/>
    <m:wrapIndent m:val="1440"/>
    <m:intLim m:val="subSup"/>
    <m:naryLim m:val="undOvr"/>
  </m:mathPr>
  <w:themeFontLang w:val="en-MY" w:eastAsia="zh-CN" w:bidi="th-TH"/>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276" w:lineRule="auto"/>
    </w:pPr>
    <w:rPr>
      <w:rFonts w:ascii="Arial" w:hAnsi="Arial" w:cs="Arial" w:eastAsiaTheme="minorEastAsia"/>
      <w:sz w:val="22"/>
      <w:szCs w:val="22"/>
      <w:lang w:val="en" w:eastAsia="zh-CN" w:bidi="th-TH"/>
    </w:rPr>
  </w:style>
  <w:style w:type="paragraph" w:styleId="2">
    <w:name w:val="heading 1"/>
    <w:basedOn w:val="1"/>
    <w:next w:val="1"/>
    <w:qFormat/>
    <w:uiPriority w:val="9"/>
    <w:pPr>
      <w:keepNext/>
      <w:keepLines/>
      <w:spacing w:before="400" w:after="120"/>
      <w:outlineLvl w:val="0"/>
    </w:pPr>
    <w:rPr>
      <w:sz w:val="40"/>
      <w:szCs w:val="40"/>
    </w:rPr>
  </w:style>
  <w:style w:type="paragraph" w:styleId="3">
    <w:name w:val="heading 2"/>
    <w:basedOn w:val="1"/>
    <w:next w:val="1"/>
    <w:unhideWhenUsed/>
    <w:qFormat/>
    <w:uiPriority w:val="9"/>
    <w:pPr>
      <w:keepNext/>
      <w:keepLines/>
      <w:spacing w:before="360" w:after="80"/>
      <w:outlineLvl w:val="1"/>
    </w:pPr>
  </w:style>
  <w:style w:type="paragraph" w:styleId="4">
    <w:name w:val="heading 3"/>
    <w:basedOn w:val="1"/>
    <w:next w:val="1"/>
    <w:unhideWhenUsed/>
    <w:qFormat/>
    <w:uiPriority w:val="9"/>
    <w:pPr>
      <w:keepNext/>
      <w:keepLines/>
      <w:spacing w:before="320" w:after="80"/>
      <w:outlineLvl w:val="2"/>
    </w:pPr>
    <w:rPr>
      <w:color w:val="434343"/>
      <w:sz w:val="28"/>
      <w:szCs w:val="28"/>
    </w:rPr>
  </w:style>
  <w:style w:type="paragraph" w:styleId="5">
    <w:name w:val="heading 4"/>
    <w:basedOn w:val="1"/>
    <w:next w:val="1"/>
    <w:semiHidden/>
    <w:unhideWhenUsed/>
    <w:qFormat/>
    <w:uiPriority w:val="9"/>
    <w:pPr>
      <w:keepNext/>
      <w:keepLines/>
      <w:spacing w:before="280" w:after="80"/>
      <w:outlineLvl w:val="3"/>
    </w:pPr>
    <w:rPr>
      <w:color w:val="666666"/>
      <w:sz w:val="24"/>
      <w:szCs w:val="24"/>
    </w:rPr>
  </w:style>
  <w:style w:type="paragraph" w:styleId="6">
    <w:name w:val="heading 5"/>
    <w:basedOn w:val="1"/>
    <w:next w:val="1"/>
    <w:semiHidden/>
    <w:unhideWhenUsed/>
    <w:qFormat/>
    <w:uiPriority w:val="9"/>
    <w:pPr>
      <w:keepNext/>
      <w:keepLines/>
      <w:spacing w:before="240" w:after="80"/>
      <w:outlineLvl w:val="4"/>
    </w:pPr>
    <w:rPr>
      <w:color w:val="666666"/>
    </w:rPr>
  </w:style>
  <w:style w:type="paragraph" w:styleId="7">
    <w:name w:val="heading 6"/>
    <w:basedOn w:val="1"/>
    <w:next w:val="1"/>
    <w:semiHidden/>
    <w:unhideWhenUsed/>
    <w:qFormat/>
    <w:uiPriority w:val="9"/>
    <w:pPr>
      <w:keepNext/>
      <w:keepLines/>
      <w:spacing w:before="240" w:after="80"/>
      <w:outlineLvl w:val="5"/>
    </w:pPr>
    <w:rPr>
      <w:i/>
      <w:iCs/>
      <w:color w:val="666666"/>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8">
    <w:name w:val="footer"/>
    <w:basedOn w:val="1"/>
    <w:link w:val="19"/>
    <w:unhideWhenUsed/>
    <w:qFormat/>
    <w:uiPriority w:val="99"/>
    <w:pPr>
      <w:tabs>
        <w:tab w:val="center" w:pos="4513"/>
        <w:tab w:val="right" w:pos="9026"/>
      </w:tabs>
      <w:spacing w:line="240" w:lineRule="auto"/>
    </w:pPr>
    <w:rPr>
      <w:rFonts w:cs="Cordia New"/>
      <w:szCs w:val="28"/>
    </w:rPr>
  </w:style>
  <w:style w:type="paragraph" w:styleId="9">
    <w:name w:val="header"/>
    <w:basedOn w:val="1"/>
    <w:link w:val="18"/>
    <w:unhideWhenUsed/>
    <w:qFormat/>
    <w:uiPriority w:val="99"/>
    <w:pPr>
      <w:tabs>
        <w:tab w:val="center" w:pos="4513"/>
        <w:tab w:val="right" w:pos="9026"/>
      </w:tabs>
      <w:spacing w:line="240" w:lineRule="auto"/>
    </w:pPr>
    <w:rPr>
      <w:rFonts w:cs="Cordia New"/>
      <w:szCs w:val="28"/>
    </w:rPr>
  </w:style>
  <w:style w:type="paragraph" w:styleId="10">
    <w:name w:val="Subtitle"/>
    <w:basedOn w:val="1"/>
    <w:next w:val="1"/>
    <w:qFormat/>
    <w:uiPriority w:val="11"/>
    <w:pPr>
      <w:keepNext/>
      <w:keepLines/>
      <w:spacing w:after="320"/>
    </w:pPr>
    <w:rPr>
      <w:rFonts w:eastAsia="Arial"/>
      <w:color w:val="666666"/>
      <w:sz w:val="30"/>
      <w:szCs w:val="30"/>
    </w:rPr>
  </w:style>
  <w:style w:type="paragraph" w:styleId="11">
    <w:name w:val="Normal (Web)"/>
    <w:basedOn w:val="1"/>
    <w:semiHidden/>
    <w:unhideWhenUsed/>
    <w:qFormat/>
    <w:uiPriority w:val="99"/>
    <w:pPr>
      <w:spacing w:before="100" w:beforeAutospacing="1" w:after="100" w:afterAutospacing="1" w:line="240" w:lineRule="auto"/>
    </w:pPr>
    <w:rPr>
      <w:rFonts w:ascii="Times New Roman" w:hAnsi="Times New Roman" w:eastAsia="Times New Roman" w:cs="Times New Roman"/>
      <w:sz w:val="24"/>
      <w:szCs w:val="24"/>
      <w:lang w:val="en-MY" w:bidi="ar-SA"/>
    </w:rPr>
  </w:style>
  <w:style w:type="paragraph" w:styleId="12">
    <w:name w:val="Title"/>
    <w:basedOn w:val="1"/>
    <w:next w:val="1"/>
    <w:qFormat/>
    <w:uiPriority w:val="10"/>
    <w:pPr>
      <w:keepNext/>
      <w:keepLines/>
      <w:spacing w:after="60"/>
    </w:pPr>
    <w:rPr>
      <w:sz w:val="52"/>
      <w:szCs w:val="52"/>
    </w:rPr>
  </w:style>
  <w:style w:type="table" w:styleId="14">
    <w:name w:val="Table Grid"/>
    <w:basedOn w:val="1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Hyperlink"/>
    <w:basedOn w:val="15"/>
    <w:unhideWhenUsed/>
    <w:qFormat/>
    <w:uiPriority w:val="99"/>
    <w:rPr>
      <w:color w:val="0000FF" w:themeColor="hyperlink"/>
      <w:u w:val="single"/>
      <w14:textFill>
        <w14:solidFill>
          <w14:schemeClr w14:val="hlink"/>
        </w14:solidFill>
      </w14:textFill>
    </w:rPr>
  </w:style>
  <w:style w:type="table" w:customStyle="1" w:styleId="17">
    <w:name w:val="TableNormal"/>
    <w:qFormat/>
    <w:uiPriority w:val="0"/>
    <w:tblPr>
      <w:tblCellMar>
        <w:top w:w="100" w:type="dxa"/>
        <w:left w:w="100" w:type="dxa"/>
        <w:bottom w:w="100" w:type="dxa"/>
        <w:right w:w="100" w:type="dxa"/>
      </w:tblCellMar>
    </w:tblPr>
  </w:style>
  <w:style w:type="character" w:customStyle="1" w:styleId="18">
    <w:name w:val="Header Char"/>
    <w:basedOn w:val="15"/>
    <w:link w:val="9"/>
    <w:qFormat/>
    <w:uiPriority w:val="99"/>
    <w:rPr>
      <w:rFonts w:cs="Cordia New"/>
      <w:szCs w:val="28"/>
    </w:rPr>
  </w:style>
  <w:style w:type="character" w:customStyle="1" w:styleId="19">
    <w:name w:val="Footer Char"/>
    <w:basedOn w:val="15"/>
    <w:link w:val="8"/>
    <w:qFormat/>
    <w:uiPriority w:val="99"/>
    <w:rPr>
      <w:rFonts w:cs="Cordia New"/>
      <w:szCs w:val="28"/>
    </w:rPr>
  </w:style>
  <w:style w:type="character" w:customStyle="1" w:styleId="20">
    <w:name w:val="Unresolved Mention1"/>
    <w:basedOn w:val="15"/>
    <w:semiHidden/>
    <w:unhideWhenUsed/>
    <w:qFormat/>
    <w:uiPriority w:val="99"/>
    <w:rPr>
      <w:color w:val="605E5C"/>
      <w:shd w:val="clear" w:color="auto" w:fill="E1DFDD"/>
    </w:rPr>
  </w:style>
  <w:style w:type="paragraph" w:styleId="21">
    <w:name w:val="List Paragraph"/>
    <w:basedOn w:val="1"/>
    <w:qFormat/>
    <w:uiPriority w:val="34"/>
    <w:pPr>
      <w:ind w:left="720"/>
      <w:contextualSpacing/>
    </w:pPr>
    <w:rPr>
      <w:rFonts w:cs="Cordia New"/>
      <w:szCs w:val="28"/>
    </w:rPr>
  </w:style>
  <w:style w:type="paragraph" w:customStyle="1" w:styleId="22">
    <w:name w:val="isselectedend"/>
    <w:basedOn w:val="1"/>
    <w:qFormat/>
    <w:uiPriority w:val="0"/>
    <w:pPr>
      <w:spacing w:before="100" w:beforeAutospacing="1" w:after="100" w:afterAutospacing="1" w:line="240" w:lineRule="auto"/>
    </w:pPr>
    <w:rPr>
      <w:rFonts w:ascii="Times New Roman" w:hAnsi="Times New Roman" w:eastAsia="Times New Roman" w:cs="Times New Roman"/>
      <w:sz w:val="24"/>
      <w:szCs w:val="24"/>
      <w:lang w:val="en-MY" w:bidi="ar-SA"/>
    </w:rPr>
  </w:style>
  <w:style w:type="character" w:customStyle="1" w:styleId="23">
    <w:name w:val="Unresolved Mention"/>
    <w:basedOn w:val="15"/>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419B10-07E0-4B55-B336-267076460F87}">
  <ds:schemaRefs/>
</ds:datastoreItem>
</file>

<file path=docProps/app.xml><?xml version="1.0" encoding="utf-8"?>
<Properties xmlns="http://schemas.openxmlformats.org/officeDocument/2006/extended-properties" xmlns:vt="http://schemas.openxmlformats.org/officeDocument/2006/docPropsVTypes">
  <Template>Normal</Template>
  <Pages>27</Pages>
  <Words>13813</Words>
  <Characters>90822</Characters>
  <Lines>749</Lines>
  <Paragraphs>210</Paragraphs>
  <TotalTime>161</TotalTime>
  <ScaleCrop>false</ScaleCrop>
  <LinksUpToDate>false</LinksUpToDate>
  <CharactersWithSpaces>104022</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2026-05-20T08:36:00Z</dcterms:created>
  <dc:creator>Jazlyn</dc:creator>
  <cp:lastModifiedBy>鮮卑菇</cp:lastModifiedBy>
  <dcterms:modified xsi:type="dcterms:W3CDTF">2026-06-25T10:41:06Z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eyJoZGlkIjoiMTI0YzEwMTM3NTcxZTExOGE1ZDViZjhiZDExYTU0ZmUiLCJ1c2VySWQiOiIzMTQ3NDYyNzMifQ==</vt:lpwstr>
  </property>
  <property fmtid="{D5CDD505-2E9C-101B-9397-08002B2CF9AE}" pid="3" name="KSOProductBuildVer">
    <vt:lpwstr>2052-12.1.0.26895</vt:lpwstr>
  </property>
  <property fmtid="{D5CDD505-2E9C-101B-9397-08002B2CF9AE}" pid="4" name="ICV">
    <vt:lpwstr>A1834476E5964FB8904406910401288A_12</vt:lpwstr>
  </property>
</Properties>
</file>