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8E9" w:rsidRPr="00A33B69" w:rsidRDefault="004228E9" w:rsidP="004228E9">
      <w:pPr>
        <w:jc w:val="center"/>
        <w:rPr>
          <w:rFonts w:ascii="Times New Roman" w:hAnsi="Times New Roman" w:cs="Times New Roman"/>
          <w:b/>
          <w:sz w:val="36"/>
          <w:szCs w:val="36"/>
        </w:rPr>
      </w:pPr>
      <w:r w:rsidRPr="00A33B69">
        <w:rPr>
          <w:rFonts w:ascii="Times New Roman" w:hAnsi="Times New Roman" w:cs="Times New Roman"/>
          <w:b/>
          <w:sz w:val="36"/>
          <w:szCs w:val="36"/>
        </w:rPr>
        <w:t>POLICY AND GOVERNANCE DIMENSIONS OF CIRCULAR ECONOMY: PATHWAYS TO SUSTAINABLE DESTINATION COMPETITIVENESS IN KENYA’S COASTAL TOURISM CIRCUIT</w:t>
      </w:r>
    </w:p>
    <w:p w:rsidR="00736A47" w:rsidRPr="00674B07" w:rsidRDefault="00736A47" w:rsidP="00736A47">
      <w:pPr>
        <w:shd w:val="clear" w:color="auto" w:fill="FFFFFF"/>
        <w:spacing w:after="0" w:line="240" w:lineRule="auto"/>
        <w:jc w:val="center"/>
        <w:rPr>
          <w:rFonts w:ascii="Times New Roman" w:eastAsia="Times New Roman" w:hAnsi="Times New Roman" w:cs="Times New Roman"/>
          <w:color w:val="0D0D0D"/>
          <w:sz w:val="24"/>
          <w:szCs w:val="24"/>
          <w:lang w:eastAsia="en-KE"/>
        </w:rPr>
      </w:pPr>
    </w:p>
    <w:p w:rsidR="00A33B69" w:rsidRPr="00FC0F2C" w:rsidRDefault="00A33B69" w:rsidP="00A33B69">
      <w:pPr>
        <w:pStyle w:val="NoSpacing"/>
        <w:jc w:val="center"/>
        <w:rPr>
          <w:rFonts w:ascii="Times New Roman" w:hAnsi="Times New Roman" w:cs="Times New Roman"/>
          <w:b/>
          <w:sz w:val="24"/>
          <w:szCs w:val="24"/>
          <w:lang w:val="en-US"/>
        </w:rPr>
      </w:pPr>
      <w:r w:rsidRPr="00FC0F2C">
        <w:rPr>
          <w:rFonts w:ascii="Times New Roman" w:hAnsi="Times New Roman" w:cs="Times New Roman"/>
          <w:b/>
          <w:sz w:val="24"/>
          <w:szCs w:val="24"/>
          <w:lang w:val="en-US"/>
        </w:rPr>
        <w:t/>
      </w:r>
    </w:p>
    <w:p w:rsidR="00A33B69" w:rsidRPr="00FC0F2C" w:rsidRDefault="00A33B69" w:rsidP="00A33B69">
      <w:pPr>
        <w:pStyle w:val="NoSpacing"/>
        <w:jc w:val="center"/>
        <w:rPr>
          <w:rFonts w:ascii="Times New Roman" w:hAnsi="Times New Roman" w:cs="Times New Roman"/>
          <w:b/>
          <w:sz w:val="24"/>
          <w:szCs w:val="24"/>
          <w:lang w:val="en-US"/>
        </w:rPr>
      </w:pPr>
      <w:r w:rsidRPr="00FC0F2C">
        <w:rPr>
          <w:rFonts w:ascii="Times New Roman" w:hAnsi="Times New Roman" w:cs="Times New Roman"/>
          <w:b/>
          <w:sz w:val="24"/>
          <w:szCs w:val="24"/>
          <w:lang w:val="en-US"/>
        </w:rPr>
        <w:t xml:space="preserve"/>
      </w:r>
      <w:hyperlink r:id="rId5" w:history="1">
        <w:r w:rsidRPr="00FC0F2C">
          <w:rPr>
            <w:rStyle w:val="Hyperlink"/>
            <w:rFonts w:ascii="Times New Roman" w:hAnsi="Times New Roman" w:cs="Times New Roman"/>
            <w:b/>
            <w:sz w:val="24"/>
            <w:szCs w:val="24"/>
            <w:lang w:val="en-US"/>
          </w:rPr>
          <w:t/>
        </w:r>
      </w:hyperlink>
    </w:p>
    <w:p w:rsidR="00C80F90" w:rsidRDefault="00C80F90" w:rsidP="00AE40FF">
      <w:pPr>
        <w:jc w:val="both"/>
        <w:rPr>
          <w:rFonts w:ascii="Times New Roman" w:hAnsi="Times New Roman" w:cs="Times New Roman"/>
          <w:b/>
          <w:lang w:val="en-US"/>
        </w:rPr>
      </w:pPr>
    </w:p>
    <w:p w:rsidR="0073540B" w:rsidRPr="00D91EB5" w:rsidRDefault="00D91EB5" w:rsidP="00AE40FF">
      <w:pPr>
        <w:jc w:val="both"/>
        <w:rPr>
          <w:rFonts w:ascii="Times New Roman" w:hAnsi="Times New Roman" w:cs="Times New Roman"/>
          <w:b/>
          <w:sz w:val="28"/>
          <w:szCs w:val="28"/>
          <w:lang w:val="en-US"/>
        </w:rPr>
      </w:pPr>
      <w:r w:rsidRPr="00D91EB5">
        <w:rPr>
          <w:rFonts w:ascii="Times New Roman" w:hAnsi="Times New Roman" w:cs="Times New Roman"/>
          <w:b/>
          <w:sz w:val="28"/>
          <w:szCs w:val="28"/>
          <w:lang w:val="en-US"/>
        </w:rPr>
        <w:t xml:space="preserve">ABSTRACT </w:t>
      </w:r>
    </w:p>
    <w:p w:rsidR="00945BB9" w:rsidRDefault="00AE40FF" w:rsidP="00480EDE">
      <w:pPr>
        <w:pStyle w:val="NoSpacing"/>
        <w:jc w:val="both"/>
        <w:rPr>
          <w:rFonts w:ascii="Times New Roman" w:hAnsi="Times New Roman" w:cs="Times New Roman"/>
          <w:sz w:val="24"/>
          <w:szCs w:val="24"/>
        </w:rPr>
      </w:pPr>
      <w:r w:rsidRPr="00AE40FF">
        <w:rPr>
          <w:rFonts w:ascii="Times New Roman" w:hAnsi="Times New Roman" w:cs="Times New Roman"/>
          <w:sz w:val="24"/>
          <w:szCs w:val="24"/>
        </w:rPr>
        <w:t xml:space="preserve">The circular economy has emerged as a strategic framework for advancing sustainable tourism development and enhancing destination competitiveness. Anchored on Ecological Modernization Theory, Stakeholder Theory, and Institutional Theory, this study investigated the effects of policy and governance aspects of the circular economy on sustainable destination competitiveness in Kenya’s Coastal Tourism Circuit and assessed the mediating role of stakeholder collaboration on this relationship. A descriptive, cross-sectional survey design was employed, targeting managers and operators of accommodation facilities in Mombasa, Kwale, Kilifi, and </w:t>
      </w:r>
      <w:proofErr w:type="spellStart"/>
      <w:r w:rsidRPr="00AE40FF">
        <w:rPr>
          <w:rFonts w:ascii="Times New Roman" w:hAnsi="Times New Roman" w:cs="Times New Roman"/>
          <w:sz w:val="24"/>
          <w:szCs w:val="24"/>
        </w:rPr>
        <w:t>Lamu</w:t>
      </w:r>
      <w:proofErr w:type="spellEnd"/>
      <w:r w:rsidRPr="00AE40FF">
        <w:rPr>
          <w:rFonts w:ascii="Times New Roman" w:hAnsi="Times New Roman" w:cs="Times New Roman"/>
          <w:sz w:val="24"/>
          <w:szCs w:val="24"/>
        </w:rPr>
        <w:t xml:space="preserve"> Counties. Stratified and simple random sampling techniques yielded a sample of 346 respondents, of whom 309 provided valid responses, resulting in a response rate of 89.31%. Primary data were gathered through structured online questionnaires, while secondary data were sourced from peer-reviewed journals, books, and the Government of Kenya policy documents. Descriptive and inferential statistics were used to analyze data. The results indicated a high level of adoption of circular economy governance practices, particularly in compliance with waste-sorting and recycling guidelines (</w:t>
      </w:r>
      <w:r w:rsidRPr="00CD3C2D">
        <w:rPr>
          <w:rFonts w:ascii="Times New Roman" w:hAnsi="Times New Roman" w:cs="Times New Roman"/>
          <w:i/>
          <w:sz w:val="24"/>
          <w:szCs w:val="24"/>
        </w:rPr>
        <w:t>M = 4.61, SD = 0.76),</w:t>
      </w:r>
      <w:r w:rsidRPr="00AE40FF">
        <w:rPr>
          <w:rFonts w:ascii="Times New Roman" w:hAnsi="Times New Roman" w:cs="Times New Roman"/>
          <w:sz w:val="24"/>
          <w:szCs w:val="24"/>
        </w:rPr>
        <w:t xml:space="preserve"> as well as robust stakeholder collaboration with county governments on environmental sustainability initiatives </w:t>
      </w:r>
      <w:r w:rsidRPr="00CD3C2D">
        <w:rPr>
          <w:rFonts w:ascii="Times New Roman" w:hAnsi="Times New Roman" w:cs="Times New Roman"/>
          <w:i/>
          <w:sz w:val="24"/>
          <w:szCs w:val="24"/>
        </w:rPr>
        <w:t>(M = 4.61, SD = 0.76</w:t>
      </w:r>
      <w:r w:rsidRPr="00AE40FF">
        <w:rPr>
          <w:rFonts w:ascii="Times New Roman" w:hAnsi="Times New Roman" w:cs="Times New Roman"/>
          <w:sz w:val="24"/>
          <w:szCs w:val="24"/>
        </w:rPr>
        <w:t>). Inferential analyses demonstrated significant positive associations between policy and governance dimensions of the circular economy and sustainable destination competitiveness (</w:t>
      </w:r>
      <w:r w:rsidRPr="00CD3C2D">
        <w:rPr>
          <w:rFonts w:ascii="Times New Roman" w:hAnsi="Times New Roman" w:cs="Times New Roman"/>
          <w:i/>
          <w:sz w:val="24"/>
          <w:szCs w:val="24"/>
        </w:rPr>
        <w:t>ρ = .668, p &lt; .001</w:t>
      </w:r>
      <w:r w:rsidRPr="00AE40FF">
        <w:rPr>
          <w:rFonts w:ascii="Times New Roman" w:hAnsi="Times New Roman" w:cs="Times New Roman"/>
          <w:sz w:val="24"/>
          <w:szCs w:val="24"/>
        </w:rPr>
        <w:t>), with stakeholder collaboration fully mediating this relationship (</w:t>
      </w:r>
      <w:r w:rsidRPr="00CD3C2D">
        <w:rPr>
          <w:rFonts w:ascii="Times New Roman" w:hAnsi="Times New Roman" w:cs="Times New Roman"/>
          <w:i/>
          <w:sz w:val="24"/>
          <w:szCs w:val="24"/>
        </w:rPr>
        <w:t>Z = 9.955, p &lt; .001</w:t>
      </w:r>
      <w:r w:rsidRPr="00AE40FF">
        <w:rPr>
          <w:rFonts w:ascii="Times New Roman" w:hAnsi="Times New Roman" w:cs="Times New Roman"/>
          <w:sz w:val="24"/>
          <w:szCs w:val="24"/>
        </w:rPr>
        <w:t xml:space="preserve">). The study recommends strengthening policy enforcement, institutional coordination, sustainability incentives, and community-focused stakeholder collaboration. </w:t>
      </w:r>
    </w:p>
    <w:p w:rsidR="00480EDE" w:rsidRPr="00480EDE" w:rsidRDefault="00480EDE" w:rsidP="00480EDE">
      <w:pPr>
        <w:pStyle w:val="NoSpacing"/>
        <w:jc w:val="both"/>
        <w:rPr>
          <w:rFonts w:ascii="Times New Roman" w:hAnsi="Times New Roman" w:cs="Times New Roman"/>
          <w:sz w:val="24"/>
          <w:szCs w:val="24"/>
        </w:rPr>
      </w:pPr>
    </w:p>
    <w:p w:rsidR="00945BB9" w:rsidRPr="00AE40FF" w:rsidRDefault="00AE40FF" w:rsidP="0073540B">
      <w:pPr>
        <w:rPr>
          <w:rFonts w:ascii="Times New Roman" w:hAnsi="Times New Roman" w:cs="Times New Roman"/>
          <w:b/>
          <w:lang w:val="en-US"/>
        </w:rPr>
      </w:pPr>
      <w:r w:rsidRPr="00AE40FF">
        <w:rPr>
          <w:rFonts w:ascii="Times New Roman" w:hAnsi="Times New Roman" w:cs="Times New Roman"/>
          <w:b/>
          <w:lang w:val="en-US"/>
        </w:rPr>
        <w:t xml:space="preserve">Key Words </w:t>
      </w:r>
    </w:p>
    <w:p w:rsidR="00AE40FF" w:rsidRDefault="00144E82" w:rsidP="0073540B">
      <w:pPr>
        <w:rPr>
          <w:rFonts w:ascii="Times New Roman" w:hAnsi="Times New Roman" w:cs="Times New Roman"/>
          <w:lang w:val="en-US"/>
        </w:rPr>
      </w:pPr>
      <w:r>
        <w:rPr>
          <w:rFonts w:ascii="Times New Roman" w:hAnsi="Times New Roman" w:cs="Times New Roman"/>
          <w:lang w:val="en-US"/>
        </w:rPr>
        <w:t xml:space="preserve">Circular economy, </w:t>
      </w:r>
      <w:r w:rsidR="004B75ED">
        <w:rPr>
          <w:rFonts w:ascii="Times New Roman" w:hAnsi="Times New Roman" w:cs="Times New Roman"/>
          <w:lang w:val="en-US"/>
        </w:rPr>
        <w:t xml:space="preserve">tourism </w:t>
      </w:r>
      <w:r>
        <w:rPr>
          <w:rFonts w:ascii="Times New Roman" w:hAnsi="Times New Roman" w:cs="Times New Roman"/>
          <w:lang w:val="en-US"/>
        </w:rPr>
        <w:t>governance, destination competitiveness, Ecological modernization theory</w:t>
      </w:r>
      <w:r w:rsidR="00FC785A">
        <w:rPr>
          <w:rFonts w:ascii="Times New Roman" w:hAnsi="Times New Roman" w:cs="Times New Roman"/>
          <w:lang w:val="en-US"/>
        </w:rPr>
        <w:t>, coastal circuit</w:t>
      </w:r>
      <w:r w:rsidR="00CD3C2D">
        <w:rPr>
          <w:rFonts w:ascii="Times New Roman" w:hAnsi="Times New Roman" w:cs="Times New Roman"/>
          <w:lang w:val="en-US"/>
        </w:rPr>
        <w:t>, Kenya</w:t>
      </w:r>
    </w:p>
    <w:p w:rsidR="00945BB9" w:rsidRPr="00D91EB5" w:rsidRDefault="00D91EB5" w:rsidP="00D91EB5">
      <w:pPr>
        <w:pStyle w:val="NoSpacing"/>
        <w:rPr>
          <w:rFonts w:ascii="Times New Roman" w:hAnsi="Times New Roman" w:cs="Times New Roman"/>
          <w:b/>
          <w:sz w:val="28"/>
          <w:szCs w:val="28"/>
          <w:lang w:val="en-US"/>
        </w:rPr>
      </w:pPr>
      <w:r w:rsidRPr="00D91EB5">
        <w:rPr>
          <w:rFonts w:ascii="Times New Roman" w:hAnsi="Times New Roman" w:cs="Times New Roman"/>
          <w:b/>
          <w:sz w:val="28"/>
          <w:szCs w:val="28"/>
          <w:lang w:val="en-US"/>
        </w:rPr>
        <w:t xml:space="preserve">INTRODUCTION </w:t>
      </w:r>
    </w:p>
    <w:p w:rsidR="00D7774B" w:rsidRPr="00D7774B" w:rsidRDefault="00480EDE" w:rsidP="00D7774B">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The global tourism industry is transitioning from the traditional linear “take-make-dispose” economic model to circular economy approaches that emphasize resource efficiency, environmental regeneration, sustainable consumption, and long-term destination resilience. This shift is driven by escalating concerns about climate change, biodiversity loss, overtourism, marine pollution, excessive waste generation, and unsustainable resource use linked to tourism development (</w:t>
      </w:r>
      <w:proofErr w:type="spellStart"/>
      <w:r>
        <w:rPr>
          <w:rFonts w:ascii="Times New Roman" w:hAnsi="Times New Roman" w:cs="Times New Roman"/>
          <w:sz w:val="24"/>
          <w:szCs w:val="24"/>
          <w:lang w:val="en-US"/>
        </w:rPr>
        <w:t>Geissdoerfer</w:t>
      </w:r>
      <w:proofErr w:type="spellEnd"/>
      <w:r>
        <w:rPr>
          <w:rFonts w:ascii="Times New Roman" w:hAnsi="Times New Roman" w:cs="Times New Roman"/>
          <w:sz w:val="24"/>
          <w:szCs w:val="24"/>
          <w:lang w:val="en-US"/>
        </w:rPr>
        <w:t xml:space="preserve"> et al., 2017; Rodríguez et al., 2020). In this context, the circular economy has emerged as a transformative sustainability paradigm, aiming to preserve the value of resources, products, and ecosystems through restorative and regenerative systems while enhancing socio-economic benefits for destinations and local communities (De Angelis et al., 2024). Consequently, tourism policymakers, destination management organizations, and governance institutions are increasingly adopting circular economy principles as strategic pathways to achieve sustainable destination competitiveness, environmental stewardship, and resilient governance frameworks. The circular economy in tourism is often operationalized through the 9R framework, i.e., Refuse, Rethink, Reduce, Repair, Refurbish, Remanufacture, Repurpose, Recycle, and Recover (</w:t>
      </w:r>
      <w:proofErr w:type="spellStart"/>
      <w:r>
        <w:rPr>
          <w:rFonts w:ascii="Times New Roman" w:hAnsi="Times New Roman" w:cs="Times New Roman"/>
          <w:sz w:val="24"/>
          <w:szCs w:val="24"/>
          <w:lang w:val="en-US"/>
        </w:rPr>
        <w:t>Kirchherr</w:t>
      </w:r>
      <w:proofErr w:type="spellEnd"/>
      <w:r>
        <w:rPr>
          <w:rFonts w:ascii="Times New Roman" w:hAnsi="Times New Roman" w:cs="Times New Roman"/>
          <w:sz w:val="24"/>
          <w:szCs w:val="24"/>
          <w:lang w:val="en-US"/>
        </w:rPr>
        <w:t xml:space="preserve"> et al., 2017). This framework provides a comprehensive hierarchy for minimizing waste, extending product life cycles, regenerating natural systems, and promoting sustainable production and consumption practices (Potting et al., 2017; Rodríguez et al., 2020). In tourism destinations, the 9R principles are reflected in initiatives such as eliminating single-use plastics, rethinking tourism value chains, reducing energy and water consumption, repairing and refurbishing infrastructure, repurposing waste materials, recycling solid waste, and recovering energy and resources through circular systems (</w:t>
      </w:r>
      <w:proofErr w:type="spellStart"/>
      <w:r>
        <w:rPr>
          <w:rFonts w:ascii="Times New Roman" w:hAnsi="Times New Roman" w:cs="Times New Roman"/>
          <w:sz w:val="24"/>
          <w:szCs w:val="24"/>
          <w:lang w:val="en-US"/>
        </w:rPr>
        <w:t>Strippoli</w:t>
      </w:r>
      <w:proofErr w:type="spellEnd"/>
      <w:r>
        <w:rPr>
          <w:rFonts w:ascii="Times New Roman" w:hAnsi="Times New Roman" w:cs="Times New Roman"/>
          <w:sz w:val="24"/>
          <w:szCs w:val="24"/>
          <w:lang w:val="en-US"/>
        </w:rPr>
        <w:t xml:space="preserve"> et al., 2024). As a result, the circular </w:t>
      </w:r>
      <w:r>
        <w:rPr>
          <w:rFonts w:ascii="Times New Roman" w:hAnsi="Times New Roman" w:cs="Times New Roman"/>
          <w:sz w:val="24"/>
          <w:szCs w:val="24"/>
          <w:lang w:val="en-US"/>
        </w:rPr>
        <w:lastRenderedPageBreak/>
        <w:t xml:space="preserve">economy </w:t>
      </w:r>
      <w:r w:rsidR="000C6AA5">
        <w:rPr>
          <w:rFonts w:ascii="Times New Roman" w:hAnsi="Times New Roman" w:cs="Times New Roman"/>
          <w:sz w:val="24"/>
          <w:szCs w:val="24"/>
          <w:lang w:val="en-US"/>
        </w:rPr>
        <w:t xml:space="preserve">has been </w:t>
      </w:r>
      <w:r>
        <w:rPr>
          <w:rFonts w:ascii="Times New Roman" w:hAnsi="Times New Roman" w:cs="Times New Roman"/>
          <w:sz w:val="24"/>
          <w:szCs w:val="24"/>
          <w:lang w:val="en-US"/>
        </w:rPr>
        <w:t>recognized not only as an environmental management strategy but also as a governance-oriented development framework that can enhance destination resilience, innovation, competitiveness, and sustainability performance.</w:t>
      </w:r>
    </w:p>
    <w:p w:rsidR="00D7774B" w:rsidRPr="00D7774B" w:rsidRDefault="00D7774B" w:rsidP="00D7774B">
      <w:pPr>
        <w:pStyle w:val="NoSpacing"/>
        <w:jc w:val="both"/>
        <w:rPr>
          <w:rFonts w:ascii="Times New Roman" w:hAnsi="Times New Roman" w:cs="Times New Roman"/>
          <w:sz w:val="24"/>
          <w:szCs w:val="24"/>
          <w:lang w:val="en-US"/>
        </w:rPr>
      </w:pPr>
    </w:p>
    <w:p w:rsidR="00D7774B" w:rsidRDefault="00BF1811" w:rsidP="00D7774B">
      <w:pPr>
        <w:pStyle w:val="NoSpacing"/>
        <w:jc w:val="both"/>
        <w:rPr>
          <w:rFonts w:ascii="Times New Roman" w:hAnsi="Times New Roman" w:cs="Times New Roman"/>
          <w:sz w:val="24"/>
          <w:szCs w:val="24"/>
          <w:highlight w:val="yellow"/>
          <w:lang w:val="en-US"/>
        </w:rPr>
      </w:pPr>
      <w:r>
        <w:rPr>
          <w:rFonts w:ascii="Times New Roman" w:hAnsi="Times New Roman" w:cs="Times New Roman"/>
          <w:sz w:val="24"/>
          <w:szCs w:val="24"/>
          <w:lang w:val="en-US"/>
        </w:rPr>
        <w:t xml:space="preserve">Globally, several leading tourism destinations have adopted the circular economy and integrated the 9R principles into governance and sustainable tourism development strategies. For instance, in Vietnam, Con Dao Island exemplifies a circular and regenerative tourism transition in Southeast Asia. In response to mounting environmental pressures from mass tourism, Con Dao implemented circular economy policies targeting plastic reduction, ecosystem restoration, renewable energy adoption, water recycling, composting, sustainable mobility, and community-based conservation initiatives (Tran, 2025). As noted by </w:t>
      </w:r>
      <w:r w:rsidRPr="00685FBF">
        <w:rPr>
          <w:rFonts w:ascii="Times New Roman" w:hAnsi="Times New Roman" w:cs="Times New Roman"/>
          <w:sz w:val="24"/>
          <w:szCs w:val="24"/>
          <w:lang w:val="en-US"/>
        </w:rPr>
        <w:t>VOV World (2025</w:t>
      </w:r>
      <w:r>
        <w:rPr>
          <w:rFonts w:ascii="Times New Roman" w:hAnsi="Times New Roman" w:cs="Times New Roman"/>
          <w:sz w:val="24"/>
          <w:szCs w:val="24"/>
          <w:lang w:val="en-US"/>
        </w:rPr>
        <w:t>), the destination operationalized the 9R framework by restricting single-use plastics (“Refuse”), minimizing resource consumption and waste (“Reduce”), transforming waste into reusable products (“Repurpose” and “Recycle”), and implementing organic waste composting and wastewater reuse systems (“Recover”). Additionally, Con Dao has prioritized “Rethink” by redesigning governance structures around regenerative tourism models that foster stakeholder collaboration, environmental stewardship, and circular value chains (Tran, 2025). These interventions have enhanced Con Dao’s ecological sustainability, destination branding, and competitiveness. Similarly, Mediterranean destinations such as Italy, Spain, Greece, Malta, and Cyprus have incorporated circular economy approaches into broader sustainable tourism governance strategies. Initiatives such as the INCIRCLE Project and the European Union’s circular tourism frameworks have promoted renewable energy transitions, circular waste management, sustainable mobility, local sourcing, water reuse technologies, and environmentally responsible tourism operations (European Commission, 2025). Italy, in particular, has advanced circular tourism through resource recovery, refurbishment of heritage infrastructure, sustainable building renovation, and reduction of tourism-related waste and emissions (</w:t>
      </w:r>
      <w:proofErr w:type="spellStart"/>
      <w:r>
        <w:rPr>
          <w:rFonts w:ascii="Times New Roman" w:hAnsi="Times New Roman" w:cs="Times New Roman"/>
          <w:sz w:val="24"/>
          <w:szCs w:val="24"/>
          <w:lang w:val="en-US"/>
        </w:rPr>
        <w:t>Strippoli</w:t>
      </w:r>
      <w:proofErr w:type="spellEnd"/>
      <w:r>
        <w:rPr>
          <w:rFonts w:ascii="Times New Roman" w:hAnsi="Times New Roman" w:cs="Times New Roman"/>
          <w:sz w:val="24"/>
          <w:szCs w:val="24"/>
          <w:lang w:val="en-US"/>
        </w:rPr>
        <w:t xml:space="preserve"> et al., 2024). These destinations apply the 9R framework by encouraging the refusal of environmentally harmful products, the reduction of resource-intensive activities, the repair and refurbishment of facilities, the repurposing of heritage spaces, and the recovery of resources through renewable energy and waste-to-energy systems. The Mediterranean experience underscores that successful circular transitions in the tourism sector rely on coordinated policy frameworks, institutional capacity, and collaborative governance among public authorities, tourism enterprises, local communities, and environmental stakeholders. </w:t>
      </w:r>
    </w:p>
    <w:p w:rsidR="001A75F0" w:rsidRPr="00D7774B" w:rsidRDefault="001A75F0" w:rsidP="00D7774B">
      <w:pPr>
        <w:pStyle w:val="NoSpacing"/>
        <w:jc w:val="both"/>
        <w:rPr>
          <w:rFonts w:ascii="Times New Roman" w:hAnsi="Times New Roman" w:cs="Times New Roman"/>
          <w:sz w:val="24"/>
          <w:szCs w:val="24"/>
          <w:lang w:val="en-US"/>
        </w:rPr>
      </w:pPr>
    </w:p>
    <w:p w:rsidR="00D7774B" w:rsidRDefault="00D7774B" w:rsidP="00D7774B">
      <w:pPr>
        <w:pStyle w:val="NoSpacing"/>
        <w:jc w:val="both"/>
        <w:rPr>
          <w:rFonts w:ascii="Times New Roman" w:hAnsi="Times New Roman" w:cs="Times New Roman"/>
          <w:sz w:val="24"/>
          <w:szCs w:val="24"/>
          <w:lang w:val="en-US"/>
        </w:rPr>
      </w:pPr>
      <w:r w:rsidRPr="00D7774B">
        <w:rPr>
          <w:rFonts w:ascii="Times New Roman" w:hAnsi="Times New Roman" w:cs="Times New Roman"/>
          <w:sz w:val="24"/>
          <w:szCs w:val="24"/>
          <w:lang w:val="en-US"/>
        </w:rPr>
        <w:t xml:space="preserve">At the regional level, African tourism destinations are </w:t>
      </w:r>
      <w:r w:rsidR="00365291" w:rsidRPr="00D7774B">
        <w:rPr>
          <w:rFonts w:ascii="Times New Roman" w:hAnsi="Times New Roman" w:cs="Times New Roman"/>
          <w:sz w:val="24"/>
          <w:szCs w:val="24"/>
          <w:lang w:val="en-US"/>
        </w:rPr>
        <w:t>gradually</w:t>
      </w:r>
      <w:r w:rsidRPr="00D7774B">
        <w:rPr>
          <w:rFonts w:ascii="Times New Roman" w:hAnsi="Times New Roman" w:cs="Times New Roman"/>
          <w:sz w:val="24"/>
          <w:szCs w:val="24"/>
          <w:lang w:val="en-US"/>
        </w:rPr>
        <w:t xml:space="preserve"> acknowledging the significance of circular economy principles as pathways to sustainable tourism development and destination resilience. Rwanda</w:t>
      </w:r>
      <w:r w:rsidR="00BF1811">
        <w:rPr>
          <w:rFonts w:ascii="Times New Roman" w:hAnsi="Times New Roman" w:cs="Times New Roman"/>
          <w:sz w:val="24"/>
          <w:szCs w:val="24"/>
          <w:lang w:val="en-US"/>
        </w:rPr>
        <w:t>, for instance,</w:t>
      </w:r>
      <w:r w:rsidRPr="00D7774B">
        <w:rPr>
          <w:rFonts w:ascii="Times New Roman" w:hAnsi="Times New Roman" w:cs="Times New Roman"/>
          <w:sz w:val="24"/>
          <w:szCs w:val="24"/>
          <w:lang w:val="en-US"/>
        </w:rPr>
        <w:t xml:space="preserve"> exemplifies environmental governance and sustainable tourism management through policies focused on plastic bans, environmental restoration, eco-tourism conservation, renewable energy adoption, and community participation (</w:t>
      </w:r>
      <w:proofErr w:type="spellStart"/>
      <w:r w:rsidRPr="00D7774B">
        <w:rPr>
          <w:rFonts w:ascii="Times New Roman" w:hAnsi="Times New Roman" w:cs="Times New Roman"/>
          <w:sz w:val="24"/>
          <w:szCs w:val="24"/>
          <w:lang w:val="en-US"/>
        </w:rPr>
        <w:t>Nibigira</w:t>
      </w:r>
      <w:proofErr w:type="spellEnd"/>
      <w:r w:rsidRPr="00D7774B">
        <w:rPr>
          <w:rFonts w:ascii="Times New Roman" w:hAnsi="Times New Roman" w:cs="Times New Roman"/>
          <w:sz w:val="24"/>
          <w:szCs w:val="24"/>
          <w:lang w:val="en-US"/>
        </w:rPr>
        <w:t>, 2023; UNEP &amp; UNWTO, 2020). Rwanda’s sustainability model incorporates several 9R principles, including the strict prohibition of non-biodegradable plastics as part of its “Refuse” strategy, resource-efficient operations to “Reduce” waste, and initiatives designed to promote circular economy practices within its manufacturing sector (</w:t>
      </w:r>
      <w:proofErr w:type="spellStart"/>
      <w:r w:rsidRPr="00D7774B">
        <w:rPr>
          <w:rFonts w:ascii="Times New Roman" w:hAnsi="Times New Roman" w:cs="Times New Roman"/>
          <w:sz w:val="24"/>
          <w:szCs w:val="24"/>
          <w:lang w:val="en-US"/>
        </w:rPr>
        <w:t>Ogutu</w:t>
      </w:r>
      <w:proofErr w:type="spellEnd"/>
      <w:r w:rsidRPr="00D7774B">
        <w:rPr>
          <w:rFonts w:ascii="Times New Roman" w:hAnsi="Times New Roman" w:cs="Times New Roman"/>
          <w:sz w:val="24"/>
          <w:szCs w:val="24"/>
          <w:lang w:val="en-US"/>
        </w:rPr>
        <w:t xml:space="preserve"> et al., 2023). These measures contribute to Rwanda’s reputation as a leader in sustainable tourism and reflect broader efforts to enhance environmental sustainability and competitiveness. Similarly, Ghana has promoted sustainable tourism in coastal destinations through community-centered waste management, sustainable coastal governance, recycling initiatives, and environmental awareness campaigns </w:t>
      </w:r>
      <w:r w:rsidR="004F73A5">
        <w:rPr>
          <w:rFonts w:ascii="Times New Roman" w:hAnsi="Times New Roman" w:cs="Times New Roman"/>
          <w:sz w:val="24"/>
          <w:szCs w:val="24"/>
          <w:lang w:val="en-US"/>
        </w:rPr>
        <w:t>to reduce</w:t>
      </w:r>
      <w:r w:rsidRPr="00D7774B">
        <w:rPr>
          <w:rFonts w:ascii="Times New Roman" w:hAnsi="Times New Roman" w:cs="Times New Roman"/>
          <w:sz w:val="24"/>
          <w:szCs w:val="24"/>
          <w:lang w:val="en-US"/>
        </w:rPr>
        <w:t xml:space="preserve"> pollution and degradation (Mensah, 2019; </w:t>
      </w:r>
      <w:proofErr w:type="spellStart"/>
      <w:r w:rsidRPr="00D7774B">
        <w:rPr>
          <w:rFonts w:ascii="Times New Roman" w:hAnsi="Times New Roman" w:cs="Times New Roman"/>
          <w:sz w:val="24"/>
          <w:szCs w:val="24"/>
          <w:lang w:val="en-US"/>
        </w:rPr>
        <w:t>Amankwah</w:t>
      </w:r>
      <w:proofErr w:type="spellEnd"/>
      <w:r w:rsidRPr="00D7774B">
        <w:rPr>
          <w:rFonts w:ascii="Times New Roman" w:hAnsi="Times New Roman" w:cs="Times New Roman"/>
          <w:sz w:val="24"/>
          <w:szCs w:val="24"/>
          <w:lang w:val="en-US"/>
        </w:rPr>
        <w:t xml:space="preserve">-Amoah et al., 2021). </w:t>
      </w:r>
      <w:r w:rsidR="00365291">
        <w:rPr>
          <w:rFonts w:ascii="Times New Roman" w:hAnsi="Times New Roman" w:cs="Times New Roman"/>
          <w:sz w:val="24"/>
          <w:szCs w:val="24"/>
          <w:lang w:val="en-US"/>
        </w:rPr>
        <w:t>Moreover, c</w:t>
      </w:r>
      <w:r w:rsidRPr="00D7774B">
        <w:rPr>
          <w:rFonts w:ascii="Times New Roman" w:hAnsi="Times New Roman" w:cs="Times New Roman"/>
          <w:sz w:val="24"/>
          <w:szCs w:val="24"/>
          <w:lang w:val="en-US"/>
        </w:rPr>
        <w:t xml:space="preserve">ircular economy practices </w:t>
      </w:r>
      <w:r w:rsidR="00365291">
        <w:rPr>
          <w:rFonts w:ascii="Times New Roman" w:hAnsi="Times New Roman" w:cs="Times New Roman"/>
          <w:sz w:val="24"/>
          <w:szCs w:val="24"/>
          <w:lang w:val="en-US"/>
        </w:rPr>
        <w:t>in Ghana’s tourism sector emphasize waste management, recycling, and mitigation of</w:t>
      </w:r>
      <w:r w:rsidRPr="00D7774B">
        <w:rPr>
          <w:rFonts w:ascii="Times New Roman" w:hAnsi="Times New Roman" w:cs="Times New Roman"/>
          <w:sz w:val="24"/>
          <w:szCs w:val="24"/>
          <w:lang w:val="en-US"/>
        </w:rPr>
        <w:t xml:space="preserve"> environmental impacts associated with unplanned urban </w:t>
      </w:r>
      <w:r w:rsidR="004F73A5">
        <w:rPr>
          <w:rFonts w:ascii="Times New Roman" w:hAnsi="Times New Roman" w:cs="Times New Roman"/>
          <w:sz w:val="24"/>
          <w:szCs w:val="24"/>
          <w:lang w:val="en-US"/>
        </w:rPr>
        <w:t>expansion</w:t>
      </w:r>
      <w:r w:rsidRPr="00D7774B">
        <w:rPr>
          <w:rFonts w:ascii="Times New Roman" w:hAnsi="Times New Roman" w:cs="Times New Roman"/>
          <w:sz w:val="24"/>
          <w:szCs w:val="24"/>
          <w:lang w:val="en-US"/>
        </w:rPr>
        <w:t>, which are essential for fostering environmental sustainability and supporting tourism development (</w:t>
      </w:r>
      <w:proofErr w:type="spellStart"/>
      <w:r w:rsidRPr="00D7774B">
        <w:rPr>
          <w:rFonts w:ascii="Times New Roman" w:hAnsi="Times New Roman" w:cs="Times New Roman"/>
          <w:sz w:val="24"/>
          <w:szCs w:val="24"/>
          <w:lang w:val="en-US"/>
        </w:rPr>
        <w:t>Siakwa</w:t>
      </w:r>
      <w:r w:rsidR="0097155F">
        <w:rPr>
          <w:rFonts w:ascii="Times New Roman" w:hAnsi="Times New Roman" w:cs="Times New Roman"/>
          <w:sz w:val="24"/>
          <w:szCs w:val="24"/>
          <w:lang w:val="en-US"/>
        </w:rPr>
        <w:t>h</w:t>
      </w:r>
      <w:proofErr w:type="spellEnd"/>
      <w:r w:rsidRPr="00D7774B">
        <w:rPr>
          <w:rFonts w:ascii="Times New Roman" w:hAnsi="Times New Roman" w:cs="Times New Roman"/>
          <w:sz w:val="24"/>
          <w:szCs w:val="24"/>
          <w:lang w:val="en-US"/>
        </w:rPr>
        <w:t>, 2018). These regional experiences demonstrate a growing recognition among African tourism destinations that sustainable competitiveness is inseparable from environmental sustainability, institutional coordination, and collaborative governance</w:t>
      </w:r>
    </w:p>
    <w:p w:rsidR="00CA708A" w:rsidRDefault="00CA708A" w:rsidP="00D7774B">
      <w:pPr>
        <w:pStyle w:val="NoSpacing"/>
        <w:jc w:val="both"/>
        <w:rPr>
          <w:rFonts w:ascii="Times New Roman" w:hAnsi="Times New Roman" w:cs="Times New Roman"/>
          <w:sz w:val="24"/>
          <w:szCs w:val="24"/>
          <w:lang w:val="en-US"/>
        </w:rPr>
      </w:pPr>
    </w:p>
    <w:p w:rsidR="00450E44" w:rsidRPr="00450E44" w:rsidRDefault="00450E44" w:rsidP="00450E44">
      <w:pPr>
        <w:pStyle w:val="NoSpacing"/>
        <w:jc w:val="both"/>
        <w:rPr>
          <w:rFonts w:ascii="Times New Roman" w:hAnsi="Times New Roman" w:cs="Times New Roman"/>
          <w:sz w:val="24"/>
          <w:szCs w:val="24"/>
          <w:lang w:val="en-US"/>
        </w:rPr>
      </w:pPr>
      <w:r w:rsidRPr="00450E44">
        <w:rPr>
          <w:rFonts w:ascii="Times New Roman" w:hAnsi="Times New Roman" w:cs="Times New Roman"/>
          <w:sz w:val="24"/>
          <w:szCs w:val="24"/>
          <w:lang w:val="en-US"/>
        </w:rPr>
        <w:t xml:space="preserve">Although circular economy principles </w:t>
      </w:r>
      <w:r w:rsidR="00561408">
        <w:rPr>
          <w:rFonts w:ascii="Times New Roman" w:hAnsi="Times New Roman" w:cs="Times New Roman"/>
          <w:sz w:val="24"/>
          <w:szCs w:val="24"/>
          <w:lang w:val="en-US"/>
        </w:rPr>
        <w:t>have been</w:t>
      </w:r>
      <w:r w:rsidRPr="00450E44">
        <w:rPr>
          <w:rFonts w:ascii="Times New Roman" w:hAnsi="Times New Roman" w:cs="Times New Roman"/>
          <w:sz w:val="24"/>
          <w:szCs w:val="24"/>
          <w:lang w:val="en-US"/>
        </w:rPr>
        <w:t xml:space="preserve"> adopted globally and regionally within the tourism sector, the literature remains fragmented and predominantly addresses micro-level operational sustainability practices in hospitality establishments, such as enterprise-specific waste management and energy efficiency (De Angelis et al., 2024; Rodríguez et al., 2020). As a result, there is limited empirical research on macro-level policy and governance dimensions necessary for destination-wide circular transitions, including regulatory enforcement, institutional coordination, and structured stakeholder governance frameworks. </w:t>
      </w:r>
      <w:r>
        <w:rPr>
          <w:rFonts w:ascii="Times New Roman" w:hAnsi="Times New Roman" w:cs="Times New Roman"/>
          <w:sz w:val="24"/>
          <w:szCs w:val="24"/>
          <w:lang w:val="en-US"/>
        </w:rPr>
        <w:t>Moreover, t</w:t>
      </w:r>
      <w:r w:rsidRPr="00450E44">
        <w:rPr>
          <w:rFonts w:ascii="Times New Roman" w:hAnsi="Times New Roman" w:cs="Times New Roman"/>
          <w:sz w:val="24"/>
          <w:szCs w:val="24"/>
          <w:lang w:val="en-US"/>
        </w:rPr>
        <w:t xml:space="preserve">he mainstream </w:t>
      </w:r>
      <w:r w:rsidRPr="00450E44">
        <w:rPr>
          <w:rFonts w:ascii="Times New Roman" w:hAnsi="Times New Roman" w:cs="Times New Roman"/>
          <w:sz w:val="24"/>
          <w:szCs w:val="24"/>
          <w:lang w:val="en-US"/>
        </w:rPr>
        <w:lastRenderedPageBreak/>
        <w:t>discourse on the circular economy is geographically concentrated in European and Asian tourism contexts</w:t>
      </w:r>
      <w:r>
        <w:rPr>
          <w:rFonts w:ascii="Times New Roman" w:hAnsi="Times New Roman" w:cs="Times New Roman"/>
          <w:sz w:val="24"/>
          <w:szCs w:val="24"/>
          <w:lang w:val="en-US"/>
        </w:rPr>
        <w:t xml:space="preserve">, denoting a </w:t>
      </w:r>
      <w:r w:rsidRPr="00450E44">
        <w:rPr>
          <w:rFonts w:ascii="Times New Roman" w:hAnsi="Times New Roman" w:cs="Times New Roman"/>
          <w:sz w:val="24"/>
          <w:szCs w:val="24"/>
          <w:lang w:val="en-US"/>
        </w:rPr>
        <w:t xml:space="preserve">significant empirical gap for African destinations, where institutional fragmentation, weak policy implementation, and uncoordinated governance structures create distinct barriers to </w:t>
      </w:r>
      <w:r w:rsidR="00E6615F">
        <w:rPr>
          <w:rFonts w:ascii="Times New Roman" w:hAnsi="Times New Roman" w:cs="Times New Roman"/>
          <w:sz w:val="24"/>
          <w:szCs w:val="24"/>
          <w:lang w:val="en-US"/>
        </w:rPr>
        <w:t xml:space="preserve">circular </w:t>
      </w:r>
      <w:r w:rsidRPr="00450E44">
        <w:rPr>
          <w:rFonts w:ascii="Times New Roman" w:hAnsi="Times New Roman" w:cs="Times New Roman"/>
          <w:sz w:val="24"/>
          <w:szCs w:val="24"/>
          <w:lang w:val="en-US"/>
        </w:rPr>
        <w:t xml:space="preserve">tourism transitions (Dredge &amp; Jamal, 2015; Rodríguez et al., 2020; </w:t>
      </w:r>
      <w:proofErr w:type="spellStart"/>
      <w:r w:rsidRPr="00450E44">
        <w:rPr>
          <w:rFonts w:ascii="Times New Roman" w:hAnsi="Times New Roman" w:cs="Times New Roman"/>
          <w:sz w:val="24"/>
          <w:szCs w:val="24"/>
          <w:lang w:val="en-US"/>
        </w:rPr>
        <w:t>Tosun</w:t>
      </w:r>
      <w:proofErr w:type="spellEnd"/>
      <w:r w:rsidRPr="00450E44">
        <w:rPr>
          <w:rFonts w:ascii="Times New Roman" w:hAnsi="Times New Roman" w:cs="Times New Roman"/>
          <w:sz w:val="24"/>
          <w:szCs w:val="24"/>
          <w:lang w:val="en-US"/>
        </w:rPr>
        <w:t xml:space="preserve">, 2000). Additionally, the structural mechanisms </w:t>
      </w:r>
      <w:r w:rsidR="00561408">
        <w:rPr>
          <w:rFonts w:ascii="Times New Roman" w:hAnsi="Times New Roman" w:cs="Times New Roman"/>
          <w:sz w:val="24"/>
          <w:szCs w:val="24"/>
          <w:lang w:val="en-US"/>
        </w:rPr>
        <w:t>through which stakeholder collaboration mediates the relationship between macro-governance frameworks and destination competitiveness remain underexplored</w:t>
      </w:r>
      <w:r w:rsidRPr="00450E44">
        <w:rPr>
          <w:rFonts w:ascii="Times New Roman" w:hAnsi="Times New Roman" w:cs="Times New Roman"/>
          <w:sz w:val="24"/>
          <w:szCs w:val="24"/>
          <w:lang w:val="en-US"/>
        </w:rPr>
        <w:t xml:space="preserve"> in developing tourism economies.</w:t>
      </w:r>
    </w:p>
    <w:p w:rsidR="00450E44" w:rsidRPr="00450E44" w:rsidRDefault="00450E44" w:rsidP="00450E44">
      <w:pPr>
        <w:pStyle w:val="NoSpacing"/>
        <w:jc w:val="both"/>
        <w:rPr>
          <w:rFonts w:ascii="Times New Roman" w:hAnsi="Times New Roman" w:cs="Times New Roman"/>
          <w:sz w:val="24"/>
          <w:szCs w:val="24"/>
          <w:lang w:val="en-US"/>
        </w:rPr>
      </w:pPr>
    </w:p>
    <w:p w:rsidR="00450E44" w:rsidRPr="00450E44" w:rsidRDefault="00DB0FB1" w:rsidP="00450E44">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Kenya’s </w:t>
      </w:r>
      <w:r w:rsidR="00E6615F" w:rsidRPr="00E6615F">
        <w:rPr>
          <w:rFonts w:ascii="Times New Roman" w:hAnsi="Times New Roman" w:cs="Times New Roman"/>
          <w:sz w:val="24"/>
          <w:szCs w:val="24"/>
          <w:lang w:val="en-US"/>
        </w:rPr>
        <w:t xml:space="preserve">Coastal Tourism Circuit, which includes destinations such as Mombasa, Diani, </w:t>
      </w:r>
      <w:proofErr w:type="spellStart"/>
      <w:r w:rsidR="00E6615F" w:rsidRPr="00E6615F">
        <w:rPr>
          <w:rFonts w:ascii="Times New Roman" w:hAnsi="Times New Roman" w:cs="Times New Roman"/>
          <w:sz w:val="24"/>
          <w:szCs w:val="24"/>
          <w:lang w:val="en-US"/>
        </w:rPr>
        <w:t>Watamu</w:t>
      </w:r>
      <w:proofErr w:type="spellEnd"/>
      <w:r w:rsidR="00E6615F" w:rsidRPr="00E6615F">
        <w:rPr>
          <w:rFonts w:ascii="Times New Roman" w:hAnsi="Times New Roman" w:cs="Times New Roman"/>
          <w:sz w:val="24"/>
          <w:szCs w:val="24"/>
          <w:lang w:val="en-US"/>
        </w:rPr>
        <w:t xml:space="preserve">, Malindi, Kilifi, and </w:t>
      </w:r>
      <w:proofErr w:type="spellStart"/>
      <w:r w:rsidR="00E6615F" w:rsidRPr="00E6615F">
        <w:rPr>
          <w:rFonts w:ascii="Times New Roman" w:hAnsi="Times New Roman" w:cs="Times New Roman"/>
          <w:sz w:val="24"/>
          <w:szCs w:val="24"/>
          <w:lang w:val="en-US"/>
        </w:rPr>
        <w:t>Lamu</w:t>
      </w:r>
      <w:proofErr w:type="spellEnd"/>
      <w:r w:rsidR="00E6615F" w:rsidRPr="00E6615F">
        <w:rPr>
          <w:rFonts w:ascii="Times New Roman" w:hAnsi="Times New Roman" w:cs="Times New Roman"/>
          <w:sz w:val="24"/>
          <w:szCs w:val="24"/>
          <w:lang w:val="en-US"/>
        </w:rPr>
        <w:t>, is among the country’s most strategic tourism regions due to its rich marine biodiversity, beach tourism assets, cultural heritage, and hospitality infrastructure (</w:t>
      </w:r>
      <w:proofErr w:type="spellStart"/>
      <w:r w:rsidR="00E6615F" w:rsidRPr="00E6615F">
        <w:rPr>
          <w:rFonts w:ascii="Times New Roman" w:hAnsi="Times New Roman" w:cs="Times New Roman"/>
          <w:sz w:val="24"/>
          <w:szCs w:val="24"/>
          <w:lang w:val="en-US"/>
        </w:rPr>
        <w:t>GoK</w:t>
      </w:r>
      <w:proofErr w:type="spellEnd"/>
      <w:r w:rsidR="00E6615F" w:rsidRPr="00E6615F">
        <w:rPr>
          <w:rFonts w:ascii="Times New Roman" w:hAnsi="Times New Roman" w:cs="Times New Roman"/>
          <w:sz w:val="24"/>
          <w:szCs w:val="24"/>
          <w:lang w:val="en-US"/>
        </w:rPr>
        <w:t>, 2023). However, this region faces increasing sustainability challenges, including marine pollution, unmanaged solid waste, plastic contamination, ecosystem degradation, climate vulnerability, and unsustainable tourism consumption patterns (UNEP, 2021; NEMA, 2022).</w:t>
      </w:r>
      <w:r>
        <w:rPr>
          <w:rFonts w:ascii="Times New Roman" w:hAnsi="Times New Roman" w:cs="Times New Roman"/>
          <w:sz w:val="24"/>
          <w:szCs w:val="24"/>
          <w:lang w:val="en-US"/>
        </w:rPr>
        <w:t xml:space="preserve"> </w:t>
      </w:r>
      <w:r w:rsidR="00450E44" w:rsidRPr="00450E44">
        <w:rPr>
          <w:rFonts w:ascii="Times New Roman" w:hAnsi="Times New Roman" w:cs="Times New Roman"/>
          <w:sz w:val="24"/>
          <w:szCs w:val="24"/>
          <w:lang w:val="en-US"/>
        </w:rPr>
        <w:t>Although the Government of Kenya has introduced progressive frameworks, such as single-use plastic bans, national blue economy strategies, and sustainable tourism policies, the integration of these circular principles into local destination governance remains fragmented and weakly institutionalized (</w:t>
      </w:r>
      <w:proofErr w:type="spellStart"/>
      <w:r w:rsidR="00450E44" w:rsidRPr="00450E44">
        <w:rPr>
          <w:rFonts w:ascii="Times New Roman" w:hAnsi="Times New Roman" w:cs="Times New Roman"/>
          <w:sz w:val="24"/>
          <w:szCs w:val="24"/>
          <w:lang w:val="en-US"/>
        </w:rPr>
        <w:t>GoK</w:t>
      </w:r>
      <w:proofErr w:type="spellEnd"/>
      <w:r w:rsidR="00450E44" w:rsidRPr="00450E44">
        <w:rPr>
          <w:rFonts w:ascii="Times New Roman" w:hAnsi="Times New Roman" w:cs="Times New Roman"/>
          <w:sz w:val="24"/>
          <w:szCs w:val="24"/>
          <w:lang w:val="en-US"/>
        </w:rPr>
        <w:t xml:space="preserve">, 2022, 2023). </w:t>
      </w:r>
      <w:r>
        <w:rPr>
          <w:rFonts w:ascii="Times New Roman" w:hAnsi="Times New Roman" w:cs="Times New Roman"/>
          <w:sz w:val="24"/>
          <w:szCs w:val="24"/>
          <w:lang w:val="en-US"/>
        </w:rPr>
        <w:t>Further, c</w:t>
      </w:r>
      <w:r w:rsidR="00450E44" w:rsidRPr="00450E44">
        <w:rPr>
          <w:rFonts w:ascii="Times New Roman" w:hAnsi="Times New Roman" w:cs="Times New Roman"/>
          <w:sz w:val="24"/>
          <w:szCs w:val="24"/>
          <w:lang w:val="en-US"/>
        </w:rPr>
        <w:t xml:space="preserve">urrent initiatives </w:t>
      </w:r>
      <w:r>
        <w:rPr>
          <w:rFonts w:ascii="Times New Roman" w:hAnsi="Times New Roman" w:cs="Times New Roman"/>
          <w:sz w:val="24"/>
          <w:szCs w:val="24"/>
          <w:lang w:val="en-US"/>
        </w:rPr>
        <w:t xml:space="preserve">have </w:t>
      </w:r>
      <w:r w:rsidR="00450E44" w:rsidRPr="00450E44">
        <w:rPr>
          <w:rFonts w:ascii="Times New Roman" w:hAnsi="Times New Roman" w:cs="Times New Roman"/>
          <w:sz w:val="24"/>
          <w:szCs w:val="24"/>
          <w:lang w:val="en-US"/>
        </w:rPr>
        <w:t xml:space="preserve">often </w:t>
      </w:r>
      <w:r>
        <w:rPr>
          <w:rFonts w:ascii="Times New Roman" w:hAnsi="Times New Roman" w:cs="Times New Roman"/>
          <w:sz w:val="24"/>
          <w:szCs w:val="24"/>
          <w:lang w:val="en-US"/>
        </w:rPr>
        <w:t>addressed</w:t>
      </w:r>
      <w:r w:rsidR="00450E44" w:rsidRPr="00450E44">
        <w:rPr>
          <w:rFonts w:ascii="Times New Roman" w:hAnsi="Times New Roman" w:cs="Times New Roman"/>
          <w:sz w:val="24"/>
          <w:szCs w:val="24"/>
          <w:lang w:val="en-US"/>
        </w:rPr>
        <w:t xml:space="preserve"> sustainability as an operational environmental concern rather than as a strategic governance imperative, resulting in a lack of empirical evidence on how systematic policy measures and inter-sectoral collaboration enhance destination resilience. This study addresse</w:t>
      </w:r>
      <w:r>
        <w:rPr>
          <w:rFonts w:ascii="Times New Roman" w:hAnsi="Times New Roman" w:cs="Times New Roman"/>
          <w:sz w:val="24"/>
          <w:szCs w:val="24"/>
          <w:lang w:val="en-US"/>
        </w:rPr>
        <w:t xml:space="preserve">d </w:t>
      </w:r>
      <w:r w:rsidR="00450E44" w:rsidRPr="00450E44">
        <w:rPr>
          <w:rFonts w:ascii="Times New Roman" w:hAnsi="Times New Roman" w:cs="Times New Roman"/>
          <w:sz w:val="24"/>
          <w:szCs w:val="24"/>
          <w:lang w:val="en-US"/>
        </w:rPr>
        <w:t>these theoretical and contextual gaps by investigating the influence of policy and governance dimensions of the circular economy on sustainable destination competitiveness in Kenya’s Coastal Tourism Circuit, with a specific focus on the mediating role of stakeholder collaboration.</w:t>
      </w:r>
    </w:p>
    <w:p w:rsidR="003F767B" w:rsidRDefault="003F767B" w:rsidP="00650868">
      <w:pPr>
        <w:pStyle w:val="NoSpacing"/>
        <w:jc w:val="both"/>
        <w:rPr>
          <w:rFonts w:ascii="Times New Roman" w:hAnsi="Times New Roman" w:cs="Times New Roman"/>
          <w:sz w:val="24"/>
          <w:szCs w:val="24"/>
          <w:lang w:val="en-US"/>
        </w:rPr>
      </w:pPr>
    </w:p>
    <w:p w:rsidR="00112D20" w:rsidRPr="003F767B" w:rsidRDefault="00650868" w:rsidP="00650868">
      <w:pPr>
        <w:pStyle w:val="NoSpacing"/>
        <w:jc w:val="both"/>
        <w:rPr>
          <w:rFonts w:ascii="Times New Roman" w:hAnsi="Times New Roman" w:cs="Times New Roman"/>
          <w:sz w:val="24"/>
          <w:szCs w:val="24"/>
          <w:lang w:val="en-US"/>
        </w:rPr>
      </w:pPr>
      <w:r w:rsidRPr="00650868">
        <w:rPr>
          <w:rFonts w:ascii="Times New Roman" w:hAnsi="Times New Roman" w:cs="Times New Roman"/>
          <w:sz w:val="24"/>
          <w:szCs w:val="24"/>
        </w:rPr>
        <w:t>This study</w:t>
      </w:r>
      <w:r w:rsidR="00112D20">
        <w:rPr>
          <w:rFonts w:ascii="Times New Roman" w:hAnsi="Times New Roman" w:cs="Times New Roman"/>
          <w:sz w:val="24"/>
          <w:szCs w:val="24"/>
          <w:lang w:val="en-US"/>
        </w:rPr>
        <w:t xml:space="preserve"> was</w:t>
      </w:r>
      <w:r w:rsidRPr="00650868">
        <w:rPr>
          <w:rFonts w:ascii="Times New Roman" w:hAnsi="Times New Roman" w:cs="Times New Roman"/>
          <w:sz w:val="24"/>
          <w:szCs w:val="24"/>
        </w:rPr>
        <w:t xml:space="preserve"> anchored on Ecological Modernization Theory (EMT), Stakeholder Theory, and Institutional Theory, which collectively provide</w:t>
      </w:r>
      <w:r w:rsidR="003F767B">
        <w:rPr>
          <w:rFonts w:ascii="Times New Roman" w:hAnsi="Times New Roman" w:cs="Times New Roman"/>
          <w:sz w:val="24"/>
          <w:szCs w:val="24"/>
          <w:lang w:val="en-US"/>
        </w:rPr>
        <w:t>d</w:t>
      </w:r>
      <w:r w:rsidRPr="00650868">
        <w:rPr>
          <w:rFonts w:ascii="Times New Roman" w:hAnsi="Times New Roman" w:cs="Times New Roman"/>
          <w:sz w:val="24"/>
          <w:szCs w:val="24"/>
        </w:rPr>
        <w:t xml:space="preserve"> a comprehensive framework for understanding how governance-oriented circular economy interventions can enhance sustainable destination competitiveness within tourism destinations. </w:t>
      </w:r>
      <w:r w:rsidR="00112D20" w:rsidRPr="00112D20">
        <w:rPr>
          <w:rFonts w:ascii="Times New Roman" w:hAnsi="Times New Roman" w:cs="Times New Roman"/>
          <w:sz w:val="24"/>
          <w:szCs w:val="24"/>
        </w:rPr>
        <w:t>Ecological Modernization Theory, as articulated by Mol and Spaargaren (2000), posits that environmental sustainability and economic competitiveness are mutually reinforcing when supported by policy innovation, institutional reform, and sustainable production and consumption systems. In the tourism sector, this theory elucidates how circular economy practices</w:t>
      </w:r>
      <w:r w:rsidR="00112D20">
        <w:rPr>
          <w:rFonts w:ascii="Times New Roman" w:hAnsi="Times New Roman" w:cs="Times New Roman"/>
          <w:sz w:val="24"/>
          <w:szCs w:val="24"/>
          <w:lang w:val="en-US"/>
        </w:rPr>
        <w:t xml:space="preserve">, </w:t>
      </w:r>
      <w:r w:rsidR="00112D20" w:rsidRPr="00112D20">
        <w:rPr>
          <w:rFonts w:ascii="Times New Roman" w:hAnsi="Times New Roman" w:cs="Times New Roman"/>
          <w:sz w:val="24"/>
          <w:szCs w:val="24"/>
        </w:rPr>
        <w:t>including waste reduction, renewable energy adoption, recycling systems, and resource efficiency</w:t>
      </w:r>
      <w:r w:rsidR="00112D20">
        <w:rPr>
          <w:rFonts w:ascii="Times New Roman" w:hAnsi="Times New Roman" w:cs="Times New Roman"/>
          <w:sz w:val="24"/>
          <w:szCs w:val="24"/>
        </w:rPr>
        <w:t>, can simultaneously advance environmental sustainability and destination competitiveness (York &amp; Rosa, 2003; Odhiambo et al.,</w:t>
      </w:r>
      <w:r w:rsidR="00112D20" w:rsidRPr="00112D20">
        <w:rPr>
          <w:rFonts w:ascii="Times New Roman" w:hAnsi="Times New Roman" w:cs="Times New Roman"/>
          <w:sz w:val="24"/>
          <w:szCs w:val="24"/>
        </w:rPr>
        <w:t xml:space="preserve"> 2023). Thus, EMT is pertinent for understanding how policy and governance aspects of the circular economy facilitate sustainable tourism transitions within Kenya’s coastal tourism circuit. Stakeholder Theory, developed by Freeman (1984), further informs this analysis by emphasizing the </w:t>
      </w:r>
      <w:r w:rsidR="00112D20">
        <w:rPr>
          <w:rFonts w:ascii="Times New Roman" w:hAnsi="Times New Roman" w:cs="Times New Roman"/>
          <w:sz w:val="24"/>
          <w:szCs w:val="24"/>
        </w:rPr>
        <w:t>importance of collaboration, participation, and shared decision-making among diverse stakeholders to achieve</w:t>
      </w:r>
      <w:r w:rsidR="00112D20" w:rsidRPr="00112D20">
        <w:rPr>
          <w:rFonts w:ascii="Times New Roman" w:hAnsi="Times New Roman" w:cs="Times New Roman"/>
          <w:sz w:val="24"/>
          <w:szCs w:val="24"/>
        </w:rPr>
        <w:t xml:space="preserve"> sustainable outcomes.</w:t>
      </w:r>
      <w:r w:rsidR="00586335">
        <w:rPr>
          <w:rFonts w:ascii="Times New Roman" w:hAnsi="Times New Roman" w:cs="Times New Roman"/>
          <w:sz w:val="24"/>
          <w:szCs w:val="24"/>
          <w:lang w:val="en-US"/>
        </w:rPr>
        <w:t xml:space="preserve"> As such, </w:t>
      </w:r>
      <w:r w:rsidR="00201DF3" w:rsidRPr="00112D20">
        <w:rPr>
          <w:rFonts w:ascii="Times New Roman" w:hAnsi="Times New Roman" w:cs="Times New Roman"/>
          <w:sz w:val="24"/>
          <w:szCs w:val="24"/>
        </w:rPr>
        <w:t>effective</w:t>
      </w:r>
      <w:r w:rsidR="00112D20" w:rsidRPr="00112D20">
        <w:rPr>
          <w:rFonts w:ascii="Times New Roman" w:hAnsi="Times New Roman" w:cs="Times New Roman"/>
          <w:sz w:val="24"/>
          <w:szCs w:val="24"/>
        </w:rPr>
        <w:t xml:space="preserve"> implementation of circular economy practices in tourism destinations necessitates coordinated action among governments, tourism enterprises, local communities, environmental agencies, and destination management organizations. Stakeholder Theory</w:t>
      </w:r>
      <w:r w:rsidR="00201DF3">
        <w:rPr>
          <w:rFonts w:ascii="Times New Roman" w:hAnsi="Times New Roman" w:cs="Times New Roman"/>
          <w:sz w:val="24"/>
          <w:szCs w:val="24"/>
        </w:rPr>
        <w:t>, therefore,</w:t>
      </w:r>
      <w:r w:rsidR="00112D20" w:rsidRPr="00112D20">
        <w:rPr>
          <w:rFonts w:ascii="Times New Roman" w:hAnsi="Times New Roman" w:cs="Times New Roman"/>
          <w:sz w:val="24"/>
          <w:szCs w:val="24"/>
        </w:rPr>
        <w:t xml:space="preserve"> provide</w:t>
      </w:r>
      <w:r w:rsidR="004442D2">
        <w:rPr>
          <w:rFonts w:ascii="Times New Roman" w:hAnsi="Times New Roman" w:cs="Times New Roman"/>
          <w:sz w:val="24"/>
          <w:szCs w:val="24"/>
          <w:lang w:val="en-US"/>
        </w:rPr>
        <w:t>d</w:t>
      </w:r>
      <w:r w:rsidR="00112D20" w:rsidRPr="00112D20">
        <w:rPr>
          <w:rFonts w:ascii="Times New Roman" w:hAnsi="Times New Roman" w:cs="Times New Roman"/>
          <w:sz w:val="24"/>
          <w:szCs w:val="24"/>
        </w:rPr>
        <w:t xml:space="preserve"> a valuable perspective for examining the mediating role of stakeholder collaboration in the relationship between circular economy governance and sustainable destination competitiveness. </w:t>
      </w:r>
      <w:r w:rsidR="004D08CB">
        <w:rPr>
          <w:rFonts w:ascii="Times New Roman" w:hAnsi="Times New Roman" w:cs="Times New Roman"/>
          <w:sz w:val="24"/>
          <w:szCs w:val="24"/>
          <w:lang w:val="en-US"/>
        </w:rPr>
        <w:t xml:space="preserve">Given that </w:t>
      </w:r>
      <w:r w:rsidR="00431D8D" w:rsidRPr="00112D20">
        <w:rPr>
          <w:rFonts w:ascii="Times New Roman" w:hAnsi="Times New Roman" w:cs="Times New Roman"/>
          <w:sz w:val="24"/>
          <w:szCs w:val="24"/>
        </w:rPr>
        <w:t>empirical</w:t>
      </w:r>
      <w:r w:rsidR="00112D20" w:rsidRPr="00112D20">
        <w:rPr>
          <w:rFonts w:ascii="Times New Roman" w:hAnsi="Times New Roman" w:cs="Times New Roman"/>
          <w:sz w:val="24"/>
          <w:szCs w:val="24"/>
        </w:rPr>
        <w:t xml:space="preserve"> studies have shown that collaborative governance mechanisms strengthen sustainable tourism planning, environmental management, destination resilience, and long-term competitiveness</w:t>
      </w:r>
      <w:r w:rsidR="004D08CB">
        <w:rPr>
          <w:rFonts w:ascii="Times New Roman" w:hAnsi="Times New Roman" w:cs="Times New Roman"/>
          <w:sz w:val="24"/>
          <w:szCs w:val="24"/>
          <w:lang w:val="en-US"/>
        </w:rPr>
        <w:t>,</w:t>
      </w:r>
      <w:r w:rsidR="00112D20" w:rsidRPr="00112D20">
        <w:rPr>
          <w:rFonts w:ascii="Times New Roman" w:hAnsi="Times New Roman" w:cs="Times New Roman"/>
          <w:sz w:val="24"/>
          <w:szCs w:val="24"/>
        </w:rPr>
        <w:t xml:space="preserve"> </w:t>
      </w:r>
      <w:r w:rsidR="005D62F1">
        <w:rPr>
          <w:rFonts w:ascii="Times New Roman" w:hAnsi="Times New Roman" w:cs="Times New Roman"/>
          <w:sz w:val="24"/>
          <w:szCs w:val="24"/>
          <w:lang w:val="en-US"/>
        </w:rPr>
        <w:t xml:space="preserve">stakeholder </w:t>
      </w:r>
      <w:r w:rsidR="00112D20" w:rsidRPr="00112D20">
        <w:rPr>
          <w:rFonts w:ascii="Times New Roman" w:hAnsi="Times New Roman" w:cs="Times New Roman"/>
          <w:sz w:val="24"/>
          <w:szCs w:val="24"/>
        </w:rPr>
        <w:t>theory supports the assertion that successful circular economy transitions within Kenya’s coastal tourism circuit are contingent upon effective stakeholder engagement and institutional partnerships</w:t>
      </w:r>
      <w:r w:rsidR="004D08CB">
        <w:rPr>
          <w:rFonts w:ascii="Times New Roman" w:hAnsi="Times New Roman" w:cs="Times New Roman"/>
          <w:sz w:val="24"/>
          <w:szCs w:val="24"/>
          <w:lang w:val="en-US"/>
        </w:rPr>
        <w:t xml:space="preserve"> </w:t>
      </w:r>
      <w:r w:rsidR="004D08CB" w:rsidRPr="00112D20">
        <w:rPr>
          <w:rFonts w:ascii="Times New Roman" w:hAnsi="Times New Roman" w:cs="Times New Roman"/>
          <w:sz w:val="24"/>
          <w:szCs w:val="24"/>
        </w:rPr>
        <w:t>(Byrd, 2007)</w:t>
      </w:r>
      <w:r w:rsidR="00112D20" w:rsidRPr="00112D20">
        <w:rPr>
          <w:rFonts w:ascii="Times New Roman" w:hAnsi="Times New Roman" w:cs="Times New Roman"/>
          <w:sz w:val="24"/>
          <w:szCs w:val="24"/>
        </w:rPr>
        <w:t>. Institutional Theory complement</w:t>
      </w:r>
      <w:r w:rsidR="00594342">
        <w:rPr>
          <w:rFonts w:ascii="Times New Roman" w:hAnsi="Times New Roman" w:cs="Times New Roman"/>
          <w:sz w:val="24"/>
          <w:szCs w:val="24"/>
          <w:lang w:val="en-US"/>
        </w:rPr>
        <w:t>ed</w:t>
      </w:r>
      <w:r w:rsidR="00112D20" w:rsidRPr="00112D20">
        <w:rPr>
          <w:rFonts w:ascii="Times New Roman" w:hAnsi="Times New Roman" w:cs="Times New Roman"/>
          <w:sz w:val="24"/>
          <w:szCs w:val="24"/>
        </w:rPr>
        <w:t xml:space="preserve"> this framework by elucidating how regulatory frameworks, governance systems, institutional norms, and policy pressures shape organizational and destination-level adoption of sustainable practices (Scott, 2008). According to this theory, organizations and destinations respond to coercive, normative, and regulatory pressures by adopting practices that enhance legitimacy and institutional conformity (DiMaggio &amp; Powell, 1983). In the context of tourism sustainability, Institutional Theory clarifies how environmental regulations, blue economy strategies, and sustainability governance frameworks can drive the adoption of circular economy practices within tourism destinations. Collectively, these three theories provide</w:t>
      </w:r>
      <w:r w:rsidR="005D62F1">
        <w:rPr>
          <w:rFonts w:ascii="Times New Roman" w:hAnsi="Times New Roman" w:cs="Times New Roman"/>
          <w:sz w:val="24"/>
          <w:szCs w:val="24"/>
          <w:lang w:val="en-US"/>
        </w:rPr>
        <w:t>d</w:t>
      </w:r>
      <w:r w:rsidR="00112D20" w:rsidRPr="00112D20">
        <w:rPr>
          <w:rFonts w:ascii="Times New Roman" w:hAnsi="Times New Roman" w:cs="Times New Roman"/>
          <w:sz w:val="24"/>
          <w:szCs w:val="24"/>
        </w:rPr>
        <w:t xml:space="preserve"> a robust theoretical foundation for investigating how policy and governance dimensions of the circular economy influence sustainable destination competitiveness through stakeholder collaboration in Kenya’s coastal tourism circuit.</w:t>
      </w:r>
    </w:p>
    <w:p w:rsidR="00473C55" w:rsidRDefault="00473C55" w:rsidP="00650868">
      <w:pPr>
        <w:pStyle w:val="NoSpacing"/>
        <w:jc w:val="both"/>
        <w:rPr>
          <w:rFonts w:ascii="Times New Roman" w:hAnsi="Times New Roman" w:cs="Times New Roman"/>
          <w:sz w:val="24"/>
          <w:szCs w:val="24"/>
        </w:rPr>
      </w:pPr>
    </w:p>
    <w:p w:rsidR="002F7F6E" w:rsidRDefault="002F7F6E" w:rsidP="00650868">
      <w:pPr>
        <w:pStyle w:val="NoSpacing"/>
        <w:jc w:val="both"/>
        <w:rPr>
          <w:rFonts w:ascii="Times New Roman" w:hAnsi="Times New Roman" w:cs="Times New Roman"/>
          <w:sz w:val="24"/>
          <w:szCs w:val="24"/>
        </w:rPr>
      </w:pPr>
    </w:p>
    <w:p w:rsidR="002F7F6E" w:rsidRDefault="002F7F6E" w:rsidP="00650868">
      <w:pPr>
        <w:pStyle w:val="NoSpacing"/>
        <w:jc w:val="both"/>
        <w:rPr>
          <w:rFonts w:ascii="Times New Roman" w:hAnsi="Times New Roman" w:cs="Times New Roman"/>
          <w:sz w:val="24"/>
          <w:szCs w:val="24"/>
        </w:rPr>
      </w:pPr>
    </w:p>
    <w:p w:rsidR="00473C55" w:rsidRPr="002F7F6E" w:rsidRDefault="00473C55" w:rsidP="00650868">
      <w:pPr>
        <w:pStyle w:val="NoSpacing"/>
        <w:jc w:val="both"/>
        <w:rPr>
          <w:rFonts w:ascii="Times New Roman" w:hAnsi="Times New Roman" w:cs="Times New Roman"/>
          <w:b/>
          <w:sz w:val="28"/>
          <w:szCs w:val="28"/>
          <w:lang w:val="en-US"/>
        </w:rPr>
      </w:pPr>
      <w:r w:rsidRPr="002F7F6E">
        <w:rPr>
          <w:rFonts w:ascii="Times New Roman" w:hAnsi="Times New Roman" w:cs="Times New Roman"/>
          <w:b/>
          <w:sz w:val="28"/>
          <w:szCs w:val="28"/>
          <w:lang w:val="en-US"/>
        </w:rPr>
        <w:t xml:space="preserve">METHODS </w:t>
      </w:r>
    </w:p>
    <w:p w:rsidR="00473C55" w:rsidRDefault="0031126C"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Research Design</w:t>
      </w:r>
    </w:p>
    <w:p w:rsidR="00A10203" w:rsidRPr="00A10203" w:rsidRDefault="00A10203" w:rsidP="00A10203">
      <w:pPr>
        <w:pStyle w:val="NoSpacing"/>
        <w:jc w:val="both"/>
        <w:rPr>
          <w:rFonts w:ascii="Times New Roman" w:hAnsi="Times New Roman" w:cs="Times New Roman"/>
          <w:sz w:val="24"/>
          <w:szCs w:val="24"/>
          <w:lang w:eastAsia="en-KE"/>
        </w:rPr>
      </w:pPr>
      <w:r w:rsidRPr="00A10203">
        <w:rPr>
          <w:rFonts w:ascii="Times New Roman" w:hAnsi="Times New Roman" w:cs="Times New Roman"/>
          <w:sz w:val="24"/>
          <w:szCs w:val="24"/>
          <w:lang w:eastAsia="en-KE"/>
        </w:rPr>
        <w:t xml:space="preserve">A descriptive survey research design utilizing a cross-sectional approach was employed to examine the influence of policy and governance dimensions of the circular economy on sustainable destination competitiveness in Kenya’s Coastal Tourism Circuit, as well as to determine the mediating role of stakeholder collaboration in this relationship. </w:t>
      </w:r>
      <w:r>
        <w:rPr>
          <w:rFonts w:ascii="Times New Roman" w:hAnsi="Times New Roman" w:cs="Times New Roman"/>
          <w:sz w:val="24"/>
          <w:szCs w:val="24"/>
          <w:lang w:val="en-US" w:eastAsia="en-KE"/>
        </w:rPr>
        <w:t xml:space="preserve">According to </w:t>
      </w:r>
      <w:r w:rsidRPr="00A10203">
        <w:rPr>
          <w:rFonts w:ascii="Times New Roman" w:hAnsi="Times New Roman" w:cs="Times New Roman"/>
          <w:sz w:val="24"/>
          <w:szCs w:val="24"/>
          <w:lang w:eastAsia="en-KE"/>
        </w:rPr>
        <w:t>Saunders et al.</w:t>
      </w:r>
      <w:r>
        <w:rPr>
          <w:rFonts w:ascii="Times New Roman" w:hAnsi="Times New Roman" w:cs="Times New Roman"/>
          <w:sz w:val="24"/>
          <w:szCs w:val="24"/>
          <w:lang w:eastAsia="en-KE"/>
        </w:rPr>
        <w:t xml:space="preserve"> (</w:t>
      </w:r>
      <w:r w:rsidRPr="00A10203">
        <w:rPr>
          <w:rFonts w:ascii="Times New Roman" w:hAnsi="Times New Roman" w:cs="Times New Roman"/>
          <w:sz w:val="24"/>
          <w:szCs w:val="24"/>
          <w:lang w:eastAsia="en-KE"/>
        </w:rPr>
        <w:t>2019)</w:t>
      </w:r>
      <w:r w:rsidR="00DA7816">
        <w:rPr>
          <w:rFonts w:ascii="Times New Roman" w:hAnsi="Times New Roman" w:cs="Times New Roman"/>
          <w:sz w:val="24"/>
          <w:szCs w:val="24"/>
          <w:lang w:val="en-US" w:eastAsia="en-KE"/>
        </w:rPr>
        <w:t xml:space="preserve"> and Kothari (2004)</w:t>
      </w:r>
      <w:r>
        <w:rPr>
          <w:rFonts w:ascii="Times New Roman" w:hAnsi="Times New Roman" w:cs="Times New Roman"/>
          <w:sz w:val="24"/>
          <w:szCs w:val="24"/>
          <w:lang w:eastAsia="en-KE"/>
        </w:rPr>
        <w:t>,</w:t>
      </w:r>
      <w:r>
        <w:rPr>
          <w:rFonts w:ascii="Times New Roman" w:hAnsi="Times New Roman" w:cs="Times New Roman"/>
          <w:sz w:val="24"/>
          <w:szCs w:val="24"/>
          <w:lang w:val="en-US" w:eastAsia="en-KE"/>
        </w:rPr>
        <w:t xml:space="preserve"> t</w:t>
      </w:r>
      <w:r w:rsidRPr="00A10203">
        <w:rPr>
          <w:rFonts w:ascii="Times New Roman" w:hAnsi="Times New Roman" w:cs="Times New Roman"/>
          <w:sz w:val="24"/>
          <w:szCs w:val="24"/>
          <w:lang w:eastAsia="en-KE"/>
        </w:rPr>
        <w:t>his design enables the systematic collection, description, and analysis of data from a target population to establish patterns, relationships, perceptions, and prevailing conditions related to specific study variables</w:t>
      </w:r>
      <w:r>
        <w:rPr>
          <w:rFonts w:ascii="Times New Roman" w:hAnsi="Times New Roman" w:cs="Times New Roman"/>
          <w:sz w:val="24"/>
          <w:szCs w:val="24"/>
          <w:lang w:val="en-US" w:eastAsia="en-KE"/>
        </w:rPr>
        <w:t xml:space="preserve">. </w:t>
      </w:r>
      <w:r w:rsidRPr="00A10203">
        <w:rPr>
          <w:rFonts w:ascii="Times New Roman" w:hAnsi="Times New Roman" w:cs="Times New Roman"/>
          <w:sz w:val="24"/>
          <w:szCs w:val="24"/>
          <w:lang w:eastAsia="en-KE"/>
        </w:rPr>
        <w:t xml:space="preserve"> </w:t>
      </w:r>
      <w:r>
        <w:rPr>
          <w:rFonts w:ascii="Times New Roman" w:hAnsi="Times New Roman" w:cs="Times New Roman"/>
          <w:sz w:val="24"/>
          <w:szCs w:val="24"/>
          <w:lang w:val="en-US" w:eastAsia="en-KE"/>
        </w:rPr>
        <w:t xml:space="preserve">Moreover, </w:t>
      </w:r>
      <w:r w:rsidRPr="00A10203">
        <w:rPr>
          <w:rFonts w:ascii="Times New Roman" w:hAnsi="Times New Roman" w:cs="Times New Roman"/>
          <w:sz w:val="24"/>
          <w:szCs w:val="24"/>
          <w:lang w:eastAsia="en-KE"/>
        </w:rPr>
        <w:t xml:space="preserve">descriptive survey designs are widely </w:t>
      </w:r>
      <w:r>
        <w:rPr>
          <w:rFonts w:ascii="Times New Roman" w:hAnsi="Times New Roman" w:cs="Times New Roman"/>
          <w:sz w:val="24"/>
          <w:szCs w:val="24"/>
          <w:lang w:eastAsia="en-KE"/>
        </w:rPr>
        <w:t>used in social science and tourism research because they facilitate the collection of quantitative data from relatively large populations and enable the description of attitudes, behaviours, and organizational practices as they exist in</w:t>
      </w:r>
      <w:r w:rsidRPr="00A10203">
        <w:rPr>
          <w:rFonts w:ascii="Times New Roman" w:hAnsi="Times New Roman" w:cs="Times New Roman"/>
          <w:sz w:val="24"/>
          <w:szCs w:val="24"/>
          <w:lang w:eastAsia="en-KE"/>
        </w:rPr>
        <w:t xml:space="preserve"> natural settings (Creswell &amp; Creswell, 2018). In </w:t>
      </w:r>
      <w:r w:rsidR="00DA7816">
        <w:rPr>
          <w:rFonts w:ascii="Times New Roman" w:hAnsi="Times New Roman" w:cs="Times New Roman"/>
          <w:sz w:val="24"/>
          <w:szCs w:val="24"/>
          <w:lang w:val="en-US" w:eastAsia="en-KE"/>
        </w:rPr>
        <w:t>addition</w:t>
      </w:r>
      <w:r w:rsidRPr="00A10203">
        <w:rPr>
          <w:rFonts w:ascii="Times New Roman" w:hAnsi="Times New Roman" w:cs="Times New Roman"/>
          <w:sz w:val="24"/>
          <w:szCs w:val="24"/>
          <w:lang w:eastAsia="en-KE"/>
        </w:rPr>
        <w:t xml:space="preserve">, a cross-sectional research approach was specifically used, with data collected from respondents at a single point in time. </w:t>
      </w:r>
      <w:r>
        <w:rPr>
          <w:rFonts w:ascii="Times New Roman" w:hAnsi="Times New Roman" w:cs="Times New Roman"/>
          <w:sz w:val="24"/>
          <w:szCs w:val="24"/>
          <w:lang w:val="en-US" w:eastAsia="en-KE"/>
        </w:rPr>
        <w:t xml:space="preserve">According to </w:t>
      </w:r>
      <w:r w:rsidRPr="00A10203">
        <w:rPr>
          <w:rFonts w:ascii="Times New Roman" w:hAnsi="Times New Roman" w:cs="Times New Roman"/>
          <w:sz w:val="24"/>
          <w:szCs w:val="24"/>
          <w:lang w:eastAsia="en-KE"/>
        </w:rPr>
        <w:t xml:space="preserve">Bryman </w:t>
      </w:r>
      <w:r>
        <w:rPr>
          <w:rFonts w:ascii="Times New Roman" w:hAnsi="Times New Roman" w:cs="Times New Roman"/>
          <w:sz w:val="24"/>
          <w:szCs w:val="24"/>
          <w:lang w:val="en-US" w:eastAsia="en-KE"/>
        </w:rPr>
        <w:t>(</w:t>
      </w:r>
      <w:r w:rsidRPr="00A10203">
        <w:rPr>
          <w:rFonts w:ascii="Times New Roman" w:hAnsi="Times New Roman" w:cs="Times New Roman"/>
          <w:sz w:val="24"/>
          <w:szCs w:val="24"/>
          <w:lang w:eastAsia="en-KE"/>
        </w:rPr>
        <w:t>2016)</w:t>
      </w:r>
      <w:r>
        <w:rPr>
          <w:rFonts w:ascii="Times New Roman" w:hAnsi="Times New Roman" w:cs="Times New Roman"/>
          <w:sz w:val="24"/>
          <w:szCs w:val="24"/>
          <w:lang w:val="en-US" w:eastAsia="en-KE"/>
        </w:rPr>
        <w:t>, c</w:t>
      </w:r>
      <w:r w:rsidRPr="00A10203">
        <w:rPr>
          <w:rFonts w:ascii="Times New Roman" w:hAnsi="Times New Roman" w:cs="Times New Roman"/>
          <w:sz w:val="24"/>
          <w:szCs w:val="24"/>
          <w:lang w:eastAsia="en-KE"/>
        </w:rPr>
        <w:t>ross-sectional designs are suitable for examining relationships among variables without manipulating the study environment, particularly when the objective is to generate empirical insights regarding current conditions, perceptions, and practices within a population</w:t>
      </w:r>
      <w:r>
        <w:rPr>
          <w:rFonts w:ascii="Times New Roman" w:hAnsi="Times New Roman" w:cs="Times New Roman"/>
          <w:sz w:val="24"/>
          <w:szCs w:val="24"/>
          <w:lang w:val="en-US" w:eastAsia="en-KE"/>
        </w:rPr>
        <w:t>.</w:t>
      </w:r>
      <w:r w:rsidRPr="00A10203">
        <w:rPr>
          <w:rFonts w:ascii="Times New Roman" w:hAnsi="Times New Roman" w:cs="Times New Roman"/>
          <w:sz w:val="24"/>
          <w:szCs w:val="24"/>
          <w:lang w:eastAsia="en-KE"/>
        </w:rPr>
        <w:t xml:space="preserve"> Thus, the selected research design was appropriate for generating empirical evidence regarding the governance pathways through which circular economy practices influence sustainable destination competitiveness within the tourism sector.</w:t>
      </w:r>
    </w:p>
    <w:p w:rsidR="0031126C" w:rsidRDefault="0031126C" w:rsidP="00650868">
      <w:pPr>
        <w:pStyle w:val="NoSpacing"/>
        <w:jc w:val="both"/>
        <w:rPr>
          <w:rFonts w:ascii="Times New Roman" w:hAnsi="Times New Roman" w:cs="Times New Roman"/>
          <w:b/>
          <w:sz w:val="24"/>
          <w:szCs w:val="24"/>
          <w:lang w:val="en-US"/>
        </w:rPr>
      </w:pPr>
    </w:p>
    <w:p w:rsidR="0031126C" w:rsidRDefault="0031126C"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Population &amp; Sample</w:t>
      </w:r>
    </w:p>
    <w:p w:rsidR="008E5FF5" w:rsidRPr="008E5FF5" w:rsidRDefault="008E5FF5" w:rsidP="008E5FF5">
      <w:pPr>
        <w:pStyle w:val="NoSpacing"/>
        <w:jc w:val="both"/>
        <w:rPr>
          <w:rFonts w:ascii="Times New Roman" w:hAnsi="Times New Roman" w:cs="Times New Roman"/>
          <w:sz w:val="24"/>
          <w:szCs w:val="24"/>
        </w:rPr>
      </w:pPr>
      <w:r w:rsidRPr="008E5FF5">
        <w:rPr>
          <w:rFonts w:ascii="Times New Roman" w:hAnsi="Times New Roman" w:cs="Times New Roman"/>
          <w:sz w:val="24"/>
          <w:szCs w:val="24"/>
        </w:rPr>
        <w:t>The Yamane (1967) formula was applied to determine the appropriate sample size from a total population of 2,547 registered accommodation facilities within the coastal tourism circuit. With a 95% confidence level and a margin of error of 0.05, the resulting sample size was 346 facilities. This statistical method ensured that the sample was sufficiently large to reliably represent the tourism sector in the region. To achieve adequate representation across the circuit</w:t>
      </w:r>
      <w:r w:rsidR="00C233C5">
        <w:rPr>
          <w:rFonts w:ascii="Times New Roman" w:hAnsi="Times New Roman" w:cs="Times New Roman"/>
          <w:sz w:val="24"/>
          <w:szCs w:val="24"/>
          <w:lang w:val="en-US"/>
        </w:rPr>
        <w:t>’s</w:t>
      </w:r>
      <w:r w:rsidRPr="008E5FF5">
        <w:rPr>
          <w:rFonts w:ascii="Times New Roman" w:hAnsi="Times New Roman" w:cs="Times New Roman"/>
          <w:sz w:val="24"/>
          <w:szCs w:val="24"/>
        </w:rPr>
        <w:t xml:space="preserve"> distinct geographic areas, </w:t>
      </w:r>
      <w:r>
        <w:rPr>
          <w:rFonts w:ascii="Times New Roman" w:hAnsi="Times New Roman" w:cs="Times New Roman"/>
          <w:sz w:val="24"/>
          <w:szCs w:val="24"/>
        </w:rPr>
        <w:t>probability-proportional-to-size</w:t>
      </w:r>
      <w:r w:rsidRPr="008E5FF5">
        <w:rPr>
          <w:rFonts w:ascii="Times New Roman" w:hAnsi="Times New Roman" w:cs="Times New Roman"/>
          <w:sz w:val="24"/>
          <w:szCs w:val="24"/>
        </w:rPr>
        <w:t xml:space="preserve"> (PPS) sampling was employed, and the sample size for each county was determined as shown in Table 1. Subsequently, simple random sampling was conducted within each stratum to select specific participants. This two-stage sampling process, which combine</w:t>
      </w:r>
      <w:r>
        <w:rPr>
          <w:rFonts w:ascii="Times New Roman" w:hAnsi="Times New Roman" w:cs="Times New Roman"/>
          <w:sz w:val="24"/>
          <w:szCs w:val="24"/>
          <w:lang w:val="en-US"/>
        </w:rPr>
        <w:t>d</w:t>
      </w:r>
      <w:r w:rsidRPr="008E5FF5">
        <w:rPr>
          <w:rFonts w:ascii="Times New Roman" w:hAnsi="Times New Roman" w:cs="Times New Roman"/>
          <w:sz w:val="24"/>
          <w:szCs w:val="24"/>
        </w:rPr>
        <w:t xml:space="preserve"> proportional allocation with randomized selection, minimize</w:t>
      </w:r>
      <w:r>
        <w:rPr>
          <w:rFonts w:ascii="Times New Roman" w:hAnsi="Times New Roman" w:cs="Times New Roman"/>
          <w:sz w:val="24"/>
          <w:szCs w:val="24"/>
          <w:lang w:val="en-US"/>
        </w:rPr>
        <w:t xml:space="preserve">d </w:t>
      </w:r>
      <w:r w:rsidRPr="008E5FF5">
        <w:rPr>
          <w:rFonts w:ascii="Times New Roman" w:hAnsi="Times New Roman" w:cs="Times New Roman"/>
          <w:sz w:val="24"/>
          <w:szCs w:val="24"/>
        </w:rPr>
        <w:t xml:space="preserve">sampling bias and </w:t>
      </w:r>
      <w:r>
        <w:rPr>
          <w:rFonts w:ascii="Times New Roman" w:hAnsi="Times New Roman" w:cs="Times New Roman"/>
          <w:sz w:val="24"/>
          <w:szCs w:val="24"/>
        </w:rPr>
        <w:t>ensured</w:t>
      </w:r>
      <w:r w:rsidRPr="008E5FF5">
        <w:rPr>
          <w:rFonts w:ascii="Times New Roman" w:hAnsi="Times New Roman" w:cs="Times New Roman"/>
          <w:sz w:val="24"/>
          <w:szCs w:val="24"/>
        </w:rPr>
        <w:t xml:space="preserve"> that the findings accurately reflect the diverse operational scales and policy environments across the four counties of the coastal tourism circuit.</w:t>
      </w:r>
    </w:p>
    <w:p w:rsidR="008E5FF5" w:rsidRDefault="008E5FF5" w:rsidP="00650868">
      <w:pPr>
        <w:pStyle w:val="NoSpacing"/>
        <w:jc w:val="both"/>
        <w:rPr>
          <w:rFonts w:ascii="Times New Roman" w:hAnsi="Times New Roman" w:cs="Times New Roman"/>
          <w:b/>
          <w:sz w:val="24"/>
          <w:szCs w:val="24"/>
          <w:lang w:val="en-US"/>
        </w:rPr>
      </w:pPr>
    </w:p>
    <w:p w:rsidR="003B79C6" w:rsidRDefault="003B79C6" w:rsidP="008F785D">
      <w:pPr>
        <w:pStyle w:val="NoSpacing"/>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Table 1: Sample Size </w:t>
      </w:r>
      <w:r w:rsidR="00367D44">
        <w:rPr>
          <w:rFonts w:ascii="Times New Roman" w:hAnsi="Times New Roman" w:cs="Times New Roman"/>
          <w:b/>
          <w:sz w:val="24"/>
          <w:szCs w:val="24"/>
          <w:lang w:val="en-US"/>
        </w:rPr>
        <w:t>Computation</w:t>
      </w:r>
      <w:r>
        <w:rPr>
          <w:rFonts w:ascii="Times New Roman" w:hAnsi="Times New Roman" w:cs="Times New Roman"/>
          <w:b/>
          <w:sz w:val="24"/>
          <w:szCs w:val="24"/>
          <w:lang w:val="en-US"/>
        </w:rPr>
        <w:t xml:space="preserve"> for </w:t>
      </w:r>
      <w:r w:rsidR="00367D44">
        <w:rPr>
          <w:rFonts w:ascii="Times New Roman" w:hAnsi="Times New Roman" w:cs="Times New Roman"/>
          <w:b/>
          <w:sz w:val="24"/>
          <w:szCs w:val="24"/>
          <w:lang w:val="en-US"/>
        </w:rPr>
        <w:t>R</w:t>
      </w:r>
      <w:r>
        <w:rPr>
          <w:rFonts w:ascii="Times New Roman" w:hAnsi="Times New Roman" w:cs="Times New Roman"/>
          <w:b/>
          <w:sz w:val="24"/>
          <w:szCs w:val="24"/>
          <w:lang w:val="en-US"/>
        </w:rPr>
        <w:t xml:space="preserve">egistered Accommodation Facilities </w:t>
      </w:r>
      <w:r w:rsidR="00367D44">
        <w:rPr>
          <w:rFonts w:ascii="Times New Roman" w:hAnsi="Times New Roman" w:cs="Times New Roman"/>
          <w:b/>
          <w:sz w:val="24"/>
          <w:szCs w:val="24"/>
          <w:lang w:val="en-US"/>
        </w:rPr>
        <w:t>i</w:t>
      </w:r>
      <w:r>
        <w:rPr>
          <w:rFonts w:ascii="Times New Roman" w:hAnsi="Times New Roman" w:cs="Times New Roman"/>
          <w:b/>
          <w:sz w:val="24"/>
          <w:szCs w:val="24"/>
          <w:lang w:val="en-US"/>
        </w:rPr>
        <w:t xml:space="preserve">n </w:t>
      </w:r>
      <w:r w:rsidR="00367D44">
        <w:rPr>
          <w:rFonts w:ascii="Times New Roman" w:hAnsi="Times New Roman" w:cs="Times New Roman"/>
          <w:b/>
          <w:sz w:val="24"/>
          <w:szCs w:val="24"/>
          <w:lang w:val="en-US"/>
        </w:rPr>
        <w:t>Kenya’s</w:t>
      </w:r>
      <w:r>
        <w:rPr>
          <w:rFonts w:ascii="Times New Roman" w:hAnsi="Times New Roman" w:cs="Times New Roman"/>
          <w:b/>
          <w:sz w:val="24"/>
          <w:szCs w:val="24"/>
          <w:lang w:val="en-US"/>
        </w:rPr>
        <w:t xml:space="preserve"> Coastal </w:t>
      </w:r>
      <w:r w:rsidR="008124EB">
        <w:rPr>
          <w:rFonts w:ascii="Times New Roman" w:hAnsi="Times New Roman" w:cs="Times New Roman"/>
          <w:b/>
          <w:sz w:val="24"/>
          <w:szCs w:val="24"/>
          <w:lang w:val="en-US"/>
        </w:rPr>
        <w:t xml:space="preserve">Tourism </w:t>
      </w:r>
      <w:r>
        <w:rPr>
          <w:rFonts w:ascii="Times New Roman" w:hAnsi="Times New Roman" w:cs="Times New Roman"/>
          <w:b/>
          <w:sz w:val="24"/>
          <w:szCs w:val="24"/>
          <w:lang w:val="en-US"/>
        </w:rPr>
        <w:t>Ci</w:t>
      </w:r>
      <w:r w:rsidR="00367D44">
        <w:rPr>
          <w:rFonts w:ascii="Times New Roman" w:hAnsi="Times New Roman" w:cs="Times New Roman"/>
          <w:b/>
          <w:sz w:val="24"/>
          <w:szCs w:val="24"/>
          <w:lang w:val="en-US"/>
        </w:rPr>
        <w:t>rcuit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2979"/>
        <w:gridCol w:w="4093"/>
        <w:gridCol w:w="2631"/>
      </w:tblGrid>
      <w:tr w:rsidR="003B79C6" w:rsidRPr="008820ED" w:rsidTr="002F7F6E">
        <w:trPr>
          <w:trHeight w:val="501"/>
        </w:trPr>
        <w:tc>
          <w:tcPr>
            <w:tcW w:w="821" w:type="dxa"/>
            <w:tcBorders>
              <w:top w:val="single" w:sz="4" w:space="0" w:color="auto"/>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No.</w:t>
            </w:r>
          </w:p>
        </w:tc>
        <w:tc>
          <w:tcPr>
            <w:tcW w:w="2979" w:type="dxa"/>
            <w:tcBorders>
              <w:top w:val="single" w:sz="4" w:space="0" w:color="auto"/>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Region/County</w:t>
            </w:r>
          </w:p>
        </w:tc>
        <w:tc>
          <w:tcPr>
            <w:tcW w:w="4093" w:type="dxa"/>
            <w:tcBorders>
              <w:top w:val="single" w:sz="4" w:space="0" w:color="auto"/>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 xml:space="preserve">No. of registered Accommodation facilities  </w:t>
            </w:r>
          </w:p>
        </w:tc>
        <w:tc>
          <w:tcPr>
            <w:tcW w:w="2631" w:type="dxa"/>
            <w:tcBorders>
              <w:top w:val="single" w:sz="4" w:space="0" w:color="auto"/>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Sample size</w:t>
            </w:r>
          </w:p>
        </w:tc>
      </w:tr>
      <w:tr w:rsidR="003B79C6" w:rsidRPr="008820ED" w:rsidTr="002F7F6E">
        <w:trPr>
          <w:trHeight w:val="245"/>
        </w:trPr>
        <w:tc>
          <w:tcPr>
            <w:tcW w:w="821" w:type="dxa"/>
            <w:tcBorders>
              <w:top w:val="single" w:sz="4" w:space="0" w:color="auto"/>
            </w:tcBorders>
          </w:tcPr>
          <w:p w:rsidR="003B79C6" w:rsidRPr="008820ED" w:rsidRDefault="003B79C6" w:rsidP="003B79C6">
            <w:pPr>
              <w:pStyle w:val="ListParagraph"/>
              <w:numPr>
                <w:ilvl w:val="0"/>
                <w:numId w:val="2"/>
              </w:numPr>
              <w:rPr>
                <w:rFonts w:ascii="Times New Roman" w:hAnsi="Times New Roman" w:cs="Times New Roman"/>
                <w:sz w:val="24"/>
                <w:szCs w:val="24"/>
                <w:lang w:val="en-US"/>
              </w:rPr>
            </w:pPr>
          </w:p>
        </w:tc>
        <w:tc>
          <w:tcPr>
            <w:tcW w:w="2979" w:type="dxa"/>
            <w:tcBorders>
              <w:top w:val="single" w:sz="4" w:space="0" w:color="auto"/>
            </w:tcBorders>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Kilifi</w:t>
            </w:r>
          </w:p>
        </w:tc>
        <w:tc>
          <w:tcPr>
            <w:tcW w:w="4093" w:type="dxa"/>
            <w:tcBorders>
              <w:top w:val="single" w:sz="4" w:space="0" w:color="auto"/>
            </w:tcBorders>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1,370</w:t>
            </w:r>
          </w:p>
        </w:tc>
        <w:tc>
          <w:tcPr>
            <w:tcW w:w="2631" w:type="dxa"/>
            <w:tcBorders>
              <w:top w:val="single" w:sz="4" w:space="0" w:color="auto"/>
            </w:tcBorders>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186</w:t>
            </w:r>
          </w:p>
        </w:tc>
      </w:tr>
      <w:tr w:rsidR="003B79C6" w:rsidRPr="008820ED" w:rsidTr="002F7F6E">
        <w:trPr>
          <w:trHeight w:val="245"/>
        </w:trPr>
        <w:tc>
          <w:tcPr>
            <w:tcW w:w="821" w:type="dxa"/>
          </w:tcPr>
          <w:p w:rsidR="003B79C6" w:rsidRPr="008820ED" w:rsidRDefault="003B79C6" w:rsidP="003B79C6">
            <w:pPr>
              <w:pStyle w:val="ListParagraph"/>
              <w:numPr>
                <w:ilvl w:val="0"/>
                <w:numId w:val="2"/>
              </w:numPr>
              <w:rPr>
                <w:rFonts w:ascii="Times New Roman" w:hAnsi="Times New Roman" w:cs="Times New Roman"/>
                <w:sz w:val="24"/>
                <w:szCs w:val="24"/>
                <w:lang w:val="en-US"/>
              </w:rPr>
            </w:pPr>
          </w:p>
        </w:tc>
        <w:tc>
          <w:tcPr>
            <w:tcW w:w="2979"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Kwale</w:t>
            </w:r>
          </w:p>
        </w:tc>
        <w:tc>
          <w:tcPr>
            <w:tcW w:w="4093"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574</w:t>
            </w:r>
          </w:p>
        </w:tc>
        <w:tc>
          <w:tcPr>
            <w:tcW w:w="2631"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78</w:t>
            </w:r>
          </w:p>
        </w:tc>
      </w:tr>
      <w:tr w:rsidR="003B79C6" w:rsidRPr="008820ED" w:rsidTr="002F7F6E">
        <w:trPr>
          <w:trHeight w:val="245"/>
        </w:trPr>
        <w:tc>
          <w:tcPr>
            <w:tcW w:w="821" w:type="dxa"/>
          </w:tcPr>
          <w:p w:rsidR="003B79C6" w:rsidRPr="008820ED" w:rsidRDefault="003B79C6" w:rsidP="003B79C6">
            <w:pPr>
              <w:pStyle w:val="ListParagraph"/>
              <w:numPr>
                <w:ilvl w:val="0"/>
                <w:numId w:val="2"/>
              </w:numPr>
              <w:rPr>
                <w:rFonts w:ascii="Times New Roman" w:hAnsi="Times New Roman" w:cs="Times New Roman"/>
                <w:sz w:val="24"/>
                <w:szCs w:val="24"/>
                <w:lang w:val="en-US"/>
              </w:rPr>
            </w:pPr>
          </w:p>
        </w:tc>
        <w:tc>
          <w:tcPr>
            <w:tcW w:w="2979"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Lamu</w:t>
            </w:r>
          </w:p>
        </w:tc>
        <w:tc>
          <w:tcPr>
            <w:tcW w:w="4093"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159</w:t>
            </w:r>
          </w:p>
        </w:tc>
        <w:tc>
          <w:tcPr>
            <w:tcW w:w="2631"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22</w:t>
            </w:r>
          </w:p>
        </w:tc>
      </w:tr>
      <w:tr w:rsidR="003B79C6" w:rsidRPr="008820ED" w:rsidTr="002F7F6E">
        <w:trPr>
          <w:trHeight w:val="255"/>
        </w:trPr>
        <w:tc>
          <w:tcPr>
            <w:tcW w:w="821" w:type="dxa"/>
          </w:tcPr>
          <w:p w:rsidR="003B79C6" w:rsidRPr="008820ED" w:rsidRDefault="003B79C6" w:rsidP="003B79C6">
            <w:pPr>
              <w:pStyle w:val="ListParagraph"/>
              <w:numPr>
                <w:ilvl w:val="0"/>
                <w:numId w:val="2"/>
              </w:numPr>
              <w:rPr>
                <w:rFonts w:ascii="Times New Roman" w:hAnsi="Times New Roman" w:cs="Times New Roman"/>
                <w:sz w:val="24"/>
                <w:szCs w:val="24"/>
                <w:lang w:val="en-US"/>
              </w:rPr>
            </w:pPr>
          </w:p>
        </w:tc>
        <w:tc>
          <w:tcPr>
            <w:tcW w:w="2979"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Mombasa</w:t>
            </w:r>
          </w:p>
        </w:tc>
        <w:tc>
          <w:tcPr>
            <w:tcW w:w="4093"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444</w:t>
            </w:r>
          </w:p>
        </w:tc>
        <w:tc>
          <w:tcPr>
            <w:tcW w:w="2631" w:type="dxa"/>
          </w:tcPr>
          <w:p w:rsidR="003B79C6" w:rsidRPr="008820ED" w:rsidRDefault="003B79C6" w:rsidP="008D0078">
            <w:pPr>
              <w:rPr>
                <w:rFonts w:ascii="Times New Roman" w:hAnsi="Times New Roman" w:cs="Times New Roman"/>
                <w:sz w:val="24"/>
                <w:szCs w:val="24"/>
                <w:lang w:val="en-US"/>
              </w:rPr>
            </w:pPr>
            <w:r w:rsidRPr="008820ED">
              <w:rPr>
                <w:rFonts w:ascii="Times New Roman" w:hAnsi="Times New Roman" w:cs="Times New Roman"/>
                <w:sz w:val="24"/>
                <w:szCs w:val="24"/>
                <w:lang w:val="en-US"/>
              </w:rPr>
              <w:t>60</w:t>
            </w:r>
          </w:p>
        </w:tc>
      </w:tr>
      <w:tr w:rsidR="003B79C6" w:rsidRPr="008820ED" w:rsidTr="002F7F6E">
        <w:trPr>
          <w:trHeight w:val="245"/>
        </w:trPr>
        <w:tc>
          <w:tcPr>
            <w:tcW w:w="821" w:type="dxa"/>
            <w:tcBorders>
              <w:bottom w:val="single" w:sz="4" w:space="0" w:color="auto"/>
            </w:tcBorders>
          </w:tcPr>
          <w:p w:rsidR="003B79C6" w:rsidRPr="008820ED" w:rsidRDefault="003B79C6" w:rsidP="008D0078">
            <w:pPr>
              <w:pStyle w:val="ListParagraph"/>
              <w:rPr>
                <w:rFonts w:ascii="Times New Roman" w:hAnsi="Times New Roman" w:cs="Times New Roman"/>
                <w:b/>
                <w:sz w:val="24"/>
                <w:szCs w:val="24"/>
                <w:lang w:val="en-US"/>
              </w:rPr>
            </w:pPr>
          </w:p>
        </w:tc>
        <w:tc>
          <w:tcPr>
            <w:tcW w:w="2979" w:type="dxa"/>
            <w:tcBorders>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 xml:space="preserve">Total </w:t>
            </w:r>
          </w:p>
        </w:tc>
        <w:tc>
          <w:tcPr>
            <w:tcW w:w="4093" w:type="dxa"/>
            <w:tcBorders>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2,547</w:t>
            </w:r>
          </w:p>
        </w:tc>
        <w:tc>
          <w:tcPr>
            <w:tcW w:w="2631" w:type="dxa"/>
            <w:tcBorders>
              <w:bottom w:val="single" w:sz="4" w:space="0" w:color="auto"/>
            </w:tcBorders>
          </w:tcPr>
          <w:p w:rsidR="003B79C6" w:rsidRPr="008820ED" w:rsidRDefault="003B79C6" w:rsidP="008D0078">
            <w:pPr>
              <w:rPr>
                <w:rFonts w:ascii="Times New Roman" w:hAnsi="Times New Roman" w:cs="Times New Roman"/>
                <w:b/>
                <w:sz w:val="24"/>
                <w:szCs w:val="24"/>
                <w:lang w:val="en-US"/>
              </w:rPr>
            </w:pPr>
            <w:r w:rsidRPr="008820ED">
              <w:rPr>
                <w:rFonts w:ascii="Times New Roman" w:hAnsi="Times New Roman" w:cs="Times New Roman"/>
                <w:b/>
                <w:sz w:val="24"/>
                <w:szCs w:val="24"/>
                <w:lang w:val="en-US"/>
              </w:rPr>
              <w:t>346</w:t>
            </w:r>
          </w:p>
        </w:tc>
      </w:tr>
    </w:tbl>
    <w:p w:rsidR="0031126C" w:rsidRPr="0091538F" w:rsidRDefault="00CB76FA" w:rsidP="00650868">
      <w:pPr>
        <w:pStyle w:val="NoSpacing"/>
        <w:jc w:val="both"/>
        <w:rPr>
          <w:rFonts w:ascii="Times New Roman" w:hAnsi="Times New Roman" w:cs="Times New Roman"/>
          <w:sz w:val="24"/>
          <w:szCs w:val="24"/>
          <w:lang w:val="en-US"/>
        </w:rPr>
      </w:pPr>
      <w:r w:rsidRPr="0091538F">
        <w:rPr>
          <w:rFonts w:ascii="Times New Roman" w:hAnsi="Times New Roman" w:cs="Times New Roman"/>
          <w:sz w:val="24"/>
          <w:szCs w:val="24"/>
          <w:lang w:val="en-US"/>
        </w:rPr>
        <w:t>Source: Tourism</w:t>
      </w:r>
      <w:r w:rsidR="00D46162" w:rsidRPr="0091538F">
        <w:rPr>
          <w:rFonts w:ascii="Times New Roman" w:hAnsi="Times New Roman" w:cs="Times New Roman"/>
          <w:sz w:val="24"/>
          <w:szCs w:val="24"/>
          <w:lang w:val="en-US"/>
        </w:rPr>
        <w:t xml:space="preserve"> Regulatory Authority, 2025</w:t>
      </w:r>
    </w:p>
    <w:p w:rsidR="0031126C" w:rsidRDefault="0031126C" w:rsidP="00650868">
      <w:pPr>
        <w:pStyle w:val="NoSpacing"/>
        <w:jc w:val="both"/>
        <w:rPr>
          <w:rFonts w:ascii="Times New Roman" w:hAnsi="Times New Roman" w:cs="Times New Roman"/>
          <w:b/>
          <w:sz w:val="24"/>
          <w:szCs w:val="24"/>
          <w:lang w:val="en-US"/>
        </w:rPr>
      </w:pPr>
    </w:p>
    <w:p w:rsidR="0031126C" w:rsidRDefault="0031126C"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Research Instruments</w:t>
      </w:r>
    </w:p>
    <w:p w:rsidR="0031126C" w:rsidRPr="00907AF4" w:rsidRDefault="00907AF4" w:rsidP="00907AF4">
      <w:pPr>
        <w:pStyle w:val="NoSpacing"/>
        <w:jc w:val="both"/>
        <w:rPr>
          <w:rFonts w:ascii="Times New Roman" w:hAnsi="Times New Roman" w:cs="Times New Roman"/>
          <w:sz w:val="24"/>
          <w:szCs w:val="24"/>
        </w:rPr>
      </w:pPr>
      <w:r w:rsidRPr="00907AF4">
        <w:rPr>
          <w:rFonts w:ascii="Times New Roman" w:hAnsi="Times New Roman" w:cs="Times New Roman"/>
          <w:sz w:val="24"/>
          <w:szCs w:val="24"/>
        </w:rPr>
        <w:t xml:space="preserve">A structured questionnaire was administered to managers and operators of registered accommodation facilities in Mombasa, Kwale, Kilifi, and </w:t>
      </w:r>
      <w:proofErr w:type="spellStart"/>
      <w:r w:rsidRPr="00907AF4">
        <w:rPr>
          <w:rFonts w:ascii="Times New Roman" w:hAnsi="Times New Roman" w:cs="Times New Roman"/>
          <w:sz w:val="24"/>
          <w:szCs w:val="24"/>
        </w:rPr>
        <w:t>Lamu</w:t>
      </w:r>
      <w:proofErr w:type="spellEnd"/>
      <w:r w:rsidRPr="00907AF4">
        <w:rPr>
          <w:rFonts w:ascii="Times New Roman" w:hAnsi="Times New Roman" w:cs="Times New Roman"/>
          <w:sz w:val="24"/>
          <w:szCs w:val="24"/>
        </w:rPr>
        <w:t xml:space="preserve"> Counties within Kenya’s Coastal Tourism Circuit to collect primary data. This approach facilitated the collection of standardized quantitative data from a large sample, thereby enhancing the consistency, objectivity, and comparability of responses (Creswell &amp; Creswell, 2018). The questionnaire consisted of closed-ended items measured on a five-point Likert scale, ranging from 1 (Strongly Disagree) to 5 (Strongly Agree). The instrument was designed to capture perceptions regarding policy and governance dimensions of the circular economy, stakeholder collaboration, and sustainable destination competitiveness. Questionnaire items were adapted from existing literature on circular economy practices, tourism governance, stakeholder collaboration, and sustainable tourism competitiveness, and contextualized to reflect the operational realities of tourism enterprises in Kenya’s coastal region. Construct validity was assessed using Exploratory </w:t>
      </w:r>
      <w:r w:rsidRPr="00907AF4">
        <w:rPr>
          <w:rFonts w:ascii="Times New Roman" w:hAnsi="Times New Roman" w:cs="Times New Roman"/>
          <w:sz w:val="24"/>
          <w:szCs w:val="24"/>
        </w:rPr>
        <w:lastRenderedPageBreak/>
        <w:t>Factor Analysis (EFA), and reliability was established using Cronbach’s alpha coefficient, which confirmed satisfactory internal consistency of the measurement items (Hair et al., 2019; Tabachnick &amp; Fidell, 2019).</w:t>
      </w:r>
    </w:p>
    <w:p w:rsidR="0031126C" w:rsidRDefault="0031126C" w:rsidP="00650868">
      <w:pPr>
        <w:pStyle w:val="NoSpacing"/>
        <w:jc w:val="both"/>
        <w:rPr>
          <w:rFonts w:ascii="Times New Roman" w:hAnsi="Times New Roman" w:cs="Times New Roman"/>
          <w:b/>
          <w:sz w:val="24"/>
          <w:szCs w:val="24"/>
          <w:lang w:val="en-US"/>
        </w:rPr>
      </w:pPr>
    </w:p>
    <w:p w:rsidR="0031126C" w:rsidRDefault="0031126C"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Data Collection Techniques</w:t>
      </w:r>
    </w:p>
    <w:p w:rsidR="0031126C" w:rsidRPr="005D0E87" w:rsidRDefault="0019105F" w:rsidP="005D0E87">
      <w:pPr>
        <w:pStyle w:val="NoSpacing"/>
        <w:jc w:val="both"/>
        <w:rPr>
          <w:rFonts w:ascii="Times New Roman" w:hAnsi="Times New Roman" w:cs="Times New Roman"/>
          <w:sz w:val="24"/>
          <w:szCs w:val="24"/>
        </w:rPr>
      </w:pPr>
      <w:r w:rsidRPr="0019105F">
        <w:rPr>
          <w:rFonts w:ascii="Times New Roman" w:hAnsi="Times New Roman" w:cs="Times New Roman"/>
          <w:sz w:val="24"/>
          <w:szCs w:val="24"/>
        </w:rPr>
        <w:t xml:space="preserve">The study employed both primary and secondary data collection methods to gather comprehensive information on policy and governance aspects of the circular economy, stakeholder collaboration, and sustainable destination competitiveness within Kenya’s Coastal Tourism Circuit. Primary data were obtained through structured online questionnaires created using Google Forms and administered to managers and operators of accommodation facilities in Mombasa, Kwale, Kilifi, and </w:t>
      </w:r>
      <w:proofErr w:type="spellStart"/>
      <w:r w:rsidRPr="0019105F">
        <w:rPr>
          <w:rFonts w:ascii="Times New Roman" w:hAnsi="Times New Roman" w:cs="Times New Roman"/>
          <w:sz w:val="24"/>
          <w:szCs w:val="24"/>
        </w:rPr>
        <w:t>Lamu</w:t>
      </w:r>
      <w:proofErr w:type="spellEnd"/>
      <w:r w:rsidRPr="0019105F">
        <w:rPr>
          <w:rFonts w:ascii="Times New Roman" w:hAnsi="Times New Roman" w:cs="Times New Roman"/>
          <w:sz w:val="24"/>
          <w:szCs w:val="24"/>
        </w:rPr>
        <w:t xml:space="preserve"> Counties. The questionnaires were distributed </w:t>
      </w:r>
      <w:r w:rsidR="00C233C5">
        <w:rPr>
          <w:rFonts w:ascii="Times New Roman" w:hAnsi="Times New Roman" w:cs="Times New Roman"/>
          <w:sz w:val="24"/>
          <w:szCs w:val="24"/>
          <w:lang w:val="en-US"/>
        </w:rPr>
        <w:t xml:space="preserve">electronically via email and other online communication platforms from 4 August 2025 to 13 October 2025 </w:t>
      </w:r>
      <w:r w:rsidRPr="0019105F">
        <w:rPr>
          <w:rFonts w:ascii="Times New Roman" w:hAnsi="Times New Roman" w:cs="Times New Roman"/>
          <w:sz w:val="24"/>
          <w:szCs w:val="24"/>
        </w:rPr>
        <w:t>to ensure broader coverage, increase accessibility, and improve response rates among participants across the geographically dispersed coastal tourism region.</w:t>
      </w:r>
      <w:r>
        <w:rPr>
          <w:rFonts w:ascii="Times New Roman" w:hAnsi="Times New Roman" w:cs="Times New Roman"/>
          <w:sz w:val="24"/>
          <w:szCs w:val="24"/>
          <w:lang w:val="en-US"/>
        </w:rPr>
        <w:t xml:space="preserve"> </w:t>
      </w:r>
      <w:r w:rsidR="005D0E87" w:rsidRPr="005D0E87">
        <w:rPr>
          <w:rFonts w:ascii="Times New Roman" w:hAnsi="Times New Roman" w:cs="Times New Roman"/>
          <w:sz w:val="24"/>
          <w:szCs w:val="24"/>
        </w:rPr>
        <w:t xml:space="preserve">Secondary data were sourced from peer-reviewed journal articles, academic books, and Government of Kenya policy documents related to circular economy practices, tourism governance, sustainable tourism development, stakeholder collaboration, and destination competitiveness. These secondary sources offered theoretical, empirical, and policy-based insights that informed the conceptualization of study variables, </w:t>
      </w:r>
      <w:r w:rsidR="00146AB9">
        <w:rPr>
          <w:rFonts w:ascii="Times New Roman" w:hAnsi="Times New Roman" w:cs="Times New Roman"/>
          <w:sz w:val="24"/>
          <w:szCs w:val="24"/>
        </w:rPr>
        <w:t xml:space="preserve">the development of the research instrument, and the </w:t>
      </w:r>
      <w:r w:rsidR="005D0E87" w:rsidRPr="005D0E87">
        <w:rPr>
          <w:rFonts w:ascii="Times New Roman" w:hAnsi="Times New Roman" w:cs="Times New Roman"/>
          <w:sz w:val="24"/>
          <w:szCs w:val="24"/>
        </w:rPr>
        <w:t>interpretation of findings. As noted by Saunders et al. (2019), secondary data sources are essential for strengthening research by providing contextual understanding, theoretical grounding, and comparative perspectives relevant to the study problem. The integration of primary and secondary data collection techniques enhanced the comprehensiveness and credibility of the study by enabling triangulation of empirical findings with existing theoretical and policy literature. This methodological approach further reinforced the capacity to generate contextually relevant insights regarding governance pathways through which circular economy practices influence sustainable destination competitiveness within Kenya’s Coastal Tourism Circuit.</w:t>
      </w:r>
    </w:p>
    <w:p w:rsidR="008E5FF5" w:rsidRDefault="008E5FF5" w:rsidP="00650868">
      <w:pPr>
        <w:pStyle w:val="NoSpacing"/>
        <w:jc w:val="both"/>
        <w:rPr>
          <w:rFonts w:ascii="Times New Roman" w:hAnsi="Times New Roman" w:cs="Times New Roman"/>
          <w:b/>
          <w:sz w:val="24"/>
          <w:szCs w:val="24"/>
          <w:lang w:val="en-US"/>
        </w:rPr>
      </w:pPr>
    </w:p>
    <w:p w:rsidR="0031126C" w:rsidRDefault="0031126C"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Data Analysis Techniques </w:t>
      </w:r>
    </w:p>
    <w:p w:rsidR="0031126C" w:rsidRPr="00EC2B9B" w:rsidRDefault="00EC2B9B" w:rsidP="00EC2B9B">
      <w:pPr>
        <w:pStyle w:val="NoSpacing"/>
        <w:jc w:val="both"/>
        <w:rPr>
          <w:rFonts w:ascii="Times New Roman" w:hAnsi="Times New Roman" w:cs="Times New Roman"/>
          <w:sz w:val="24"/>
          <w:szCs w:val="24"/>
        </w:rPr>
      </w:pPr>
      <w:r w:rsidRPr="00EC2B9B">
        <w:rPr>
          <w:rFonts w:ascii="Times New Roman" w:hAnsi="Times New Roman" w:cs="Times New Roman"/>
          <w:sz w:val="24"/>
          <w:szCs w:val="24"/>
        </w:rPr>
        <w:t xml:space="preserve">Descriptive and inferential statistical techniques were employed to analyze the collected data in accordance with the study objective and hypothesis. Descriptive statistics, such as means and standard deviations, summarized respondents’ perceptions of policy and governance dimensions of the circular economy, stakeholder collaboration, and sustainable destination competitiveness within Kenya’s Coastal Tourism Circuit. </w:t>
      </w:r>
      <w:r w:rsidR="00787922">
        <w:rPr>
          <w:rFonts w:ascii="Times New Roman" w:hAnsi="Times New Roman" w:cs="Times New Roman"/>
          <w:sz w:val="24"/>
          <w:szCs w:val="24"/>
          <w:lang w:val="en-US"/>
        </w:rPr>
        <w:t>Given that the data were ordinal in nature, having been collected using a five-point Likert scale,</w:t>
      </w:r>
      <w:r w:rsidRPr="00EC2B9B">
        <w:rPr>
          <w:rFonts w:ascii="Times New Roman" w:hAnsi="Times New Roman" w:cs="Times New Roman"/>
          <w:sz w:val="24"/>
          <w:szCs w:val="24"/>
        </w:rPr>
        <w:t xml:space="preserve"> descriptive analysis was deemed appropriate because Likert scale data are typically analyzed using measures of central tendency and dispersion to determine the direction, magnitude, and variability of respondents’ perceptions (Boone &amp; Boone, 2012; Field, 2018). Prior to hypothesis testing, construct validity of the measurement instrument was evaluated using Exploratory Factor Analysis (EFA) with Principal Axis Factoring and Promax oblique rotation. EFA assessed whether the questionnaire items adequately represented the underlying latent constructs and established the dimensional structure of the instrument (Hair et al., 2019; Tabachnick &amp; Fidell, 2019). The suitability of the data for factor analysis was determined using the Kaiser</w:t>
      </w:r>
      <w:r w:rsidR="003B0C40">
        <w:rPr>
          <w:rFonts w:ascii="Times New Roman" w:hAnsi="Times New Roman" w:cs="Times New Roman"/>
          <w:sz w:val="24"/>
          <w:szCs w:val="24"/>
          <w:lang w:val="en-US"/>
        </w:rPr>
        <w:t>-</w:t>
      </w:r>
      <w:r w:rsidRPr="00EC2B9B">
        <w:rPr>
          <w:rFonts w:ascii="Times New Roman" w:hAnsi="Times New Roman" w:cs="Times New Roman"/>
          <w:sz w:val="24"/>
          <w:szCs w:val="24"/>
        </w:rPr>
        <w:t>Meyer</w:t>
      </w:r>
      <w:r w:rsidR="003B0C40">
        <w:rPr>
          <w:rFonts w:ascii="Times New Roman" w:hAnsi="Times New Roman" w:cs="Times New Roman"/>
          <w:sz w:val="24"/>
          <w:szCs w:val="24"/>
          <w:lang w:val="en-US"/>
        </w:rPr>
        <w:t>-</w:t>
      </w:r>
      <w:r w:rsidRPr="00EC2B9B">
        <w:rPr>
          <w:rFonts w:ascii="Times New Roman" w:hAnsi="Times New Roman" w:cs="Times New Roman"/>
          <w:sz w:val="24"/>
          <w:szCs w:val="24"/>
        </w:rPr>
        <w:t xml:space="preserve">Olkin (KMO) Measure of Sampling Adequacy and Bartlett’s Test of Sphericity. </w:t>
      </w:r>
      <w:r w:rsidR="00787922">
        <w:rPr>
          <w:rFonts w:ascii="Times New Roman" w:hAnsi="Times New Roman" w:cs="Times New Roman"/>
          <w:sz w:val="24"/>
          <w:szCs w:val="24"/>
          <w:lang w:val="en-US"/>
        </w:rPr>
        <w:t xml:space="preserve">The </w:t>
      </w:r>
      <w:r w:rsidRPr="00EC2B9B">
        <w:rPr>
          <w:rFonts w:ascii="Times New Roman" w:hAnsi="Times New Roman" w:cs="Times New Roman"/>
          <w:sz w:val="24"/>
          <w:szCs w:val="24"/>
        </w:rPr>
        <w:t>reliability</w:t>
      </w:r>
      <w:r w:rsidR="00787922">
        <w:rPr>
          <w:rFonts w:ascii="Times New Roman" w:hAnsi="Times New Roman" w:cs="Times New Roman"/>
          <w:sz w:val="24"/>
          <w:szCs w:val="24"/>
          <w:lang w:val="en-US"/>
        </w:rPr>
        <w:t xml:space="preserve"> of the instrument</w:t>
      </w:r>
      <w:r w:rsidRPr="00EC2B9B">
        <w:rPr>
          <w:rFonts w:ascii="Times New Roman" w:hAnsi="Times New Roman" w:cs="Times New Roman"/>
          <w:sz w:val="24"/>
          <w:szCs w:val="24"/>
        </w:rPr>
        <w:t xml:space="preserve"> was assessed using Cronbach’s alpha coefficient to evaluate the internal consistency of the measurement items, w</w:t>
      </w:r>
      <w:r w:rsidR="00506309">
        <w:rPr>
          <w:rFonts w:ascii="Times New Roman" w:hAnsi="Times New Roman" w:cs="Times New Roman"/>
          <w:sz w:val="24"/>
          <w:szCs w:val="24"/>
          <w:lang w:val="en-US"/>
        </w:rPr>
        <w:t>hich yielded a value</w:t>
      </w:r>
      <w:r w:rsidRPr="00EC2B9B">
        <w:rPr>
          <w:rFonts w:ascii="Times New Roman" w:hAnsi="Times New Roman" w:cs="Times New Roman"/>
          <w:sz w:val="24"/>
          <w:szCs w:val="24"/>
        </w:rPr>
        <w:t xml:space="preserve"> above the recommended threshold of 0.70</w:t>
      </w:r>
      <w:r w:rsidR="00506309">
        <w:rPr>
          <w:rFonts w:ascii="Times New Roman" w:hAnsi="Times New Roman" w:cs="Times New Roman"/>
          <w:sz w:val="24"/>
          <w:szCs w:val="24"/>
        </w:rPr>
        <w:t xml:space="preserve"> and was therefore</w:t>
      </w:r>
      <w:r w:rsidR="00506309">
        <w:rPr>
          <w:rFonts w:ascii="Times New Roman" w:hAnsi="Times New Roman" w:cs="Times New Roman"/>
          <w:sz w:val="24"/>
          <w:szCs w:val="24"/>
          <w:lang w:val="en-US"/>
        </w:rPr>
        <w:t xml:space="preserve"> </w:t>
      </w:r>
      <w:r w:rsidRPr="00EC2B9B">
        <w:rPr>
          <w:rFonts w:ascii="Times New Roman" w:hAnsi="Times New Roman" w:cs="Times New Roman"/>
          <w:sz w:val="24"/>
          <w:szCs w:val="24"/>
        </w:rPr>
        <w:t xml:space="preserve">considered acceptable (Cronbach, 1951; Nunnally &amp; Bernstein, 1994). Spearman’s rank-order correlation coefficient (Spearman’s rho) was used as a preliminary nonparametric analysis to assess the strength and direction of monotonic relationships among the variables, </w:t>
      </w:r>
      <w:r w:rsidR="00506309">
        <w:rPr>
          <w:rFonts w:ascii="Times New Roman" w:hAnsi="Times New Roman" w:cs="Times New Roman"/>
          <w:sz w:val="24"/>
          <w:szCs w:val="24"/>
          <w:lang w:val="en-US"/>
        </w:rPr>
        <w:t>because</w:t>
      </w:r>
      <w:r w:rsidRPr="00EC2B9B">
        <w:rPr>
          <w:rFonts w:ascii="Times New Roman" w:hAnsi="Times New Roman" w:cs="Times New Roman"/>
          <w:sz w:val="24"/>
          <w:szCs w:val="24"/>
        </w:rPr>
        <w:t xml:space="preserve"> the study variables </w:t>
      </w:r>
      <w:r w:rsidR="00506309">
        <w:rPr>
          <w:rFonts w:ascii="Times New Roman" w:hAnsi="Times New Roman" w:cs="Times New Roman"/>
          <w:sz w:val="24"/>
          <w:szCs w:val="24"/>
          <w:lang w:val="en-US"/>
        </w:rPr>
        <w:t>had been</w:t>
      </w:r>
      <w:r w:rsidRPr="00EC2B9B">
        <w:rPr>
          <w:rFonts w:ascii="Times New Roman" w:hAnsi="Times New Roman" w:cs="Times New Roman"/>
          <w:sz w:val="24"/>
          <w:szCs w:val="24"/>
        </w:rPr>
        <w:t xml:space="preserve"> measured using </w:t>
      </w:r>
      <w:r w:rsidR="00506309">
        <w:rPr>
          <w:rFonts w:ascii="Times New Roman" w:hAnsi="Times New Roman" w:cs="Times New Roman"/>
          <w:sz w:val="24"/>
          <w:szCs w:val="24"/>
          <w:lang w:val="en-US"/>
        </w:rPr>
        <w:t xml:space="preserve">a </w:t>
      </w:r>
      <w:r w:rsidR="00506309">
        <w:rPr>
          <w:rFonts w:ascii="Times New Roman" w:hAnsi="Times New Roman" w:cs="Times New Roman"/>
          <w:sz w:val="24"/>
          <w:szCs w:val="24"/>
        </w:rPr>
        <w:t>Likert scale</w:t>
      </w:r>
      <w:r w:rsidRPr="00EC2B9B">
        <w:rPr>
          <w:rFonts w:ascii="Times New Roman" w:hAnsi="Times New Roman" w:cs="Times New Roman"/>
          <w:sz w:val="24"/>
          <w:szCs w:val="24"/>
        </w:rPr>
        <w:t xml:space="preserve"> (</w:t>
      </w:r>
      <w:proofErr w:type="spellStart"/>
      <w:r w:rsidRPr="00EC2B9B">
        <w:rPr>
          <w:rFonts w:ascii="Times New Roman" w:hAnsi="Times New Roman" w:cs="Times New Roman"/>
          <w:sz w:val="24"/>
          <w:szCs w:val="24"/>
        </w:rPr>
        <w:t>Akoglu</w:t>
      </w:r>
      <w:proofErr w:type="spellEnd"/>
      <w:r w:rsidRPr="00EC2B9B">
        <w:rPr>
          <w:rFonts w:ascii="Times New Roman" w:hAnsi="Times New Roman" w:cs="Times New Roman"/>
          <w:sz w:val="24"/>
          <w:szCs w:val="24"/>
        </w:rPr>
        <w:t>, 2018; Schober et al., 2018). Mediated multiple regression analysis was then conducted to examine the direct and indirect effects of policy and governance dimensions of the circular economy on sustainable destination competitiveness through stakeholder collaboration. The mediation effect was further confirmed using the Sobel test to determine the statistical significance of the indirect effect within the mediation model (Baron &amp; Kenny, 1986; Hayes, 2018). Statistical significance for all inferential analyses was evaluated at the 95% confidence level</w:t>
      </w:r>
      <w:r w:rsidR="00B57CC4">
        <w:rPr>
          <w:rFonts w:ascii="Times New Roman" w:hAnsi="Times New Roman" w:cs="Times New Roman"/>
          <w:sz w:val="24"/>
          <w:szCs w:val="24"/>
          <w:lang w:val="en-US"/>
        </w:rPr>
        <w:t xml:space="preserve"> and </w:t>
      </w:r>
      <w:r w:rsidR="00B02308">
        <w:rPr>
          <w:rFonts w:ascii="Times New Roman" w:hAnsi="Times New Roman" w:cs="Times New Roman"/>
          <w:sz w:val="24"/>
          <w:szCs w:val="24"/>
          <w:lang w:val="en-US"/>
        </w:rPr>
        <w:t>the 5% significance level</w:t>
      </w:r>
      <w:r w:rsidRPr="00EC2B9B">
        <w:rPr>
          <w:rFonts w:ascii="Times New Roman" w:hAnsi="Times New Roman" w:cs="Times New Roman"/>
          <w:sz w:val="24"/>
          <w:szCs w:val="24"/>
        </w:rPr>
        <w:t>.</w:t>
      </w:r>
    </w:p>
    <w:p w:rsidR="00051AC3" w:rsidRDefault="00051AC3" w:rsidP="00051AC3">
      <w:pPr>
        <w:rPr>
          <w:rFonts w:ascii="Times New Roman" w:hAnsi="Times New Roman" w:cs="Times New Roman"/>
          <w:b/>
          <w:sz w:val="24"/>
          <w:szCs w:val="24"/>
          <w:lang w:val="en-US"/>
        </w:rPr>
      </w:pPr>
    </w:p>
    <w:p w:rsidR="0031126C" w:rsidRPr="005A40E1" w:rsidRDefault="0031126C" w:rsidP="005A40E1">
      <w:pPr>
        <w:pStyle w:val="NoSpacing"/>
        <w:jc w:val="both"/>
        <w:rPr>
          <w:rFonts w:ascii="Times New Roman" w:hAnsi="Times New Roman" w:cs="Times New Roman"/>
          <w:b/>
          <w:sz w:val="28"/>
          <w:szCs w:val="28"/>
          <w:lang w:val="en-US"/>
        </w:rPr>
      </w:pPr>
      <w:r w:rsidRPr="005A40E1">
        <w:rPr>
          <w:rFonts w:ascii="Times New Roman" w:hAnsi="Times New Roman" w:cs="Times New Roman"/>
          <w:b/>
          <w:sz w:val="28"/>
          <w:szCs w:val="28"/>
          <w:lang w:val="en-US"/>
        </w:rPr>
        <w:t xml:space="preserve">RESULT </w:t>
      </w:r>
    </w:p>
    <w:p w:rsidR="0031126C" w:rsidRDefault="00424ABD"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Survey Response Rate</w:t>
      </w:r>
    </w:p>
    <w:p w:rsidR="00424ABD" w:rsidRDefault="001A5543" w:rsidP="00650868">
      <w:pPr>
        <w:pStyle w:val="NoSpacing"/>
        <w:jc w:val="both"/>
        <w:rPr>
          <w:rFonts w:ascii="Times New Roman" w:hAnsi="Times New Roman" w:cs="Times New Roman"/>
          <w:b/>
          <w:sz w:val="24"/>
          <w:szCs w:val="24"/>
          <w:lang w:val="en-US"/>
        </w:rPr>
      </w:pPr>
      <w:r w:rsidRPr="001A5543">
        <w:rPr>
          <w:rFonts w:ascii="Times New Roman" w:hAnsi="Times New Roman" w:cs="Times New Roman"/>
          <w:sz w:val="24"/>
          <w:szCs w:val="24"/>
          <w:lang w:val="en-US"/>
        </w:rPr>
        <w:t xml:space="preserve">Out of the 346 questionnaires distributed to managers and operators of tourism enterprises within Kenya’s Coastal Tourism Circuit, 309 were retrieved and deemed suitable for analysis, yielding a response rate of 89.31%. </w:t>
      </w:r>
      <w:r w:rsidRPr="001A5543">
        <w:rPr>
          <w:rFonts w:ascii="Times New Roman" w:hAnsi="Times New Roman" w:cs="Times New Roman"/>
          <w:sz w:val="24"/>
          <w:szCs w:val="24"/>
          <w:lang w:val="en-US"/>
        </w:rPr>
        <w:lastRenderedPageBreak/>
        <w:t xml:space="preserve">This rate was exceptionally high for social science research and exceeded the minimum </w:t>
      </w:r>
      <w:r w:rsidR="000E0F74">
        <w:rPr>
          <w:rFonts w:ascii="Times New Roman" w:hAnsi="Times New Roman" w:cs="Times New Roman"/>
          <w:sz w:val="24"/>
          <w:szCs w:val="24"/>
          <w:lang w:val="en-US"/>
        </w:rPr>
        <w:t xml:space="preserve">50% </w:t>
      </w:r>
      <w:r w:rsidRPr="001A5543">
        <w:rPr>
          <w:rFonts w:ascii="Times New Roman" w:hAnsi="Times New Roman" w:cs="Times New Roman"/>
          <w:sz w:val="24"/>
          <w:szCs w:val="24"/>
          <w:lang w:val="en-US"/>
        </w:rPr>
        <w:t xml:space="preserve">threshold generally considered adequate to minimize non-response bias and </w:t>
      </w:r>
      <w:r w:rsidR="000E0F74">
        <w:rPr>
          <w:rFonts w:ascii="Times New Roman" w:hAnsi="Times New Roman" w:cs="Times New Roman"/>
          <w:sz w:val="24"/>
          <w:szCs w:val="24"/>
          <w:lang w:val="en-US"/>
        </w:rPr>
        <w:t>enhance</w:t>
      </w:r>
      <w:r w:rsidRPr="001A5543">
        <w:rPr>
          <w:rFonts w:ascii="Times New Roman" w:hAnsi="Times New Roman" w:cs="Times New Roman"/>
          <w:sz w:val="24"/>
          <w:szCs w:val="24"/>
          <w:lang w:val="en-US"/>
        </w:rPr>
        <w:t xml:space="preserve"> the reliability and representativeness of survey findings (Babbie, 2020; Fowler, 2014</w:t>
      </w:r>
      <w:r w:rsidR="000E0F74">
        <w:rPr>
          <w:rFonts w:ascii="Times New Roman" w:hAnsi="Times New Roman" w:cs="Times New Roman"/>
          <w:sz w:val="24"/>
          <w:szCs w:val="24"/>
          <w:lang w:val="en-US"/>
        </w:rPr>
        <w:t>; Mugenda &amp; Mugenda, 2003</w:t>
      </w:r>
      <w:r w:rsidRPr="001A5543">
        <w:rPr>
          <w:rFonts w:ascii="Times New Roman" w:hAnsi="Times New Roman" w:cs="Times New Roman"/>
          <w:sz w:val="24"/>
          <w:szCs w:val="24"/>
          <w:lang w:val="en-US"/>
        </w:rPr>
        <w:t xml:space="preserve">). </w:t>
      </w:r>
      <w:r w:rsidR="00115A53">
        <w:rPr>
          <w:rFonts w:ascii="Times New Roman" w:hAnsi="Times New Roman" w:cs="Times New Roman"/>
          <w:sz w:val="24"/>
          <w:szCs w:val="24"/>
          <w:lang w:val="en-US"/>
        </w:rPr>
        <w:t xml:space="preserve">Further, </w:t>
      </w:r>
      <w:r w:rsidRPr="001A5543">
        <w:rPr>
          <w:rFonts w:ascii="Times New Roman" w:hAnsi="Times New Roman" w:cs="Times New Roman"/>
          <w:sz w:val="24"/>
          <w:szCs w:val="24"/>
          <w:lang w:val="en-US"/>
        </w:rPr>
        <w:t xml:space="preserve">Babbie (2020) asserts that response rates above 70% are very good for survey-based studies, while Fowler (2014) emphasizes that high response rates improve data quality and strengthen the credibility of statistical inferences. Consequently, the high </w:t>
      </w:r>
      <w:r w:rsidR="004B79FA">
        <w:rPr>
          <w:rFonts w:ascii="Times New Roman" w:hAnsi="Times New Roman" w:cs="Times New Roman"/>
          <w:sz w:val="24"/>
          <w:szCs w:val="24"/>
          <w:lang w:val="en-US"/>
        </w:rPr>
        <w:t>response</w:t>
      </w:r>
      <w:r w:rsidRPr="001A5543">
        <w:rPr>
          <w:rFonts w:ascii="Times New Roman" w:hAnsi="Times New Roman" w:cs="Times New Roman"/>
          <w:sz w:val="24"/>
          <w:szCs w:val="24"/>
          <w:lang w:val="en-US"/>
        </w:rPr>
        <w:t xml:space="preserve"> rate provided sufficient and reliable data for subsequent statistical analyses, including descriptive, factor, correlation, and mediated multiple regression analyses.</w:t>
      </w:r>
    </w:p>
    <w:p w:rsidR="001A5543" w:rsidRDefault="001A5543" w:rsidP="00650868">
      <w:pPr>
        <w:pStyle w:val="NoSpacing"/>
        <w:jc w:val="both"/>
        <w:rPr>
          <w:rFonts w:ascii="Times New Roman" w:hAnsi="Times New Roman" w:cs="Times New Roman"/>
          <w:b/>
          <w:sz w:val="24"/>
          <w:szCs w:val="24"/>
          <w:lang w:val="en-US"/>
        </w:rPr>
      </w:pPr>
    </w:p>
    <w:p w:rsidR="007B170F" w:rsidRDefault="003713C5" w:rsidP="00501F49">
      <w:pPr>
        <w:pStyle w:val="NoSpacing"/>
        <w:rPr>
          <w:rFonts w:ascii="Times New Roman" w:hAnsi="Times New Roman" w:cs="Times New Roman"/>
          <w:b/>
          <w:sz w:val="24"/>
          <w:szCs w:val="24"/>
          <w:lang w:val="en-US"/>
        </w:rPr>
      </w:pPr>
      <w:r w:rsidRPr="003713C5">
        <w:rPr>
          <w:rFonts w:ascii="Times New Roman" w:hAnsi="Times New Roman" w:cs="Times New Roman"/>
          <w:b/>
          <w:sz w:val="24"/>
          <w:szCs w:val="24"/>
        </w:rPr>
        <w:t xml:space="preserve">Construct Validity of the Survey </w:t>
      </w:r>
      <w:r w:rsidR="00501F49" w:rsidRPr="003713C5">
        <w:rPr>
          <w:rFonts w:ascii="Times New Roman" w:hAnsi="Times New Roman" w:cs="Times New Roman"/>
          <w:b/>
          <w:sz w:val="24"/>
          <w:szCs w:val="24"/>
        </w:rPr>
        <w:t>Instrument</w:t>
      </w:r>
    </w:p>
    <w:p w:rsidR="0019542B" w:rsidRDefault="003341F6" w:rsidP="003341F6">
      <w:pPr>
        <w:pStyle w:val="NoSpacing"/>
        <w:jc w:val="both"/>
        <w:rPr>
          <w:rFonts w:ascii="Times New Roman" w:hAnsi="Times New Roman" w:cs="Times New Roman"/>
          <w:sz w:val="24"/>
          <w:szCs w:val="24"/>
          <w:lang w:val="en-US"/>
        </w:rPr>
      </w:pPr>
      <w:r w:rsidRPr="003341F6">
        <w:rPr>
          <w:rFonts w:ascii="Times New Roman" w:hAnsi="Times New Roman" w:cs="Times New Roman"/>
          <w:sz w:val="24"/>
          <w:szCs w:val="24"/>
        </w:rPr>
        <w:t>Construct validity of the survey instrument was evaluated using Exploratory Factor Analysis (EFA) with Principal Axis Factoring (PAF) extraction and Promax oblique rotation. EFA was deemed suitable as the objective was to determine whether the questionnaire items adequately represented the latent constructs of policy and governance dimensions of the circular economy, stakeholder collaboration, and sustainable destination competitiveness. As noted by Hair et al. (2019) and Tabachnick and Fidell (2019), EFA is widely employed in social science research to examine the dimensional structure of measurement instruments and to establish construct validity, particularly when scales are adapted or developed for specific research contexts. Principal Axis Factoring was chosen for its focus on identifying shared variance among variables and its appropriateness for uncovering latent constructs. Promax rotation was applied because the study constructs were theoretically expected to be correlated.</w:t>
      </w:r>
      <w:r w:rsidR="0019542B">
        <w:rPr>
          <w:rFonts w:ascii="Times New Roman" w:hAnsi="Times New Roman" w:cs="Times New Roman"/>
          <w:sz w:val="24"/>
          <w:szCs w:val="24"/>
          <w:lang w:val="en-US"/>
        </w:rPr>
        <w:t xml:space="preserve"> </w:t>
      </w:r>
      <w:r w:rsidRPr="003341F6">
        <w:rPr>
          <w:rFonts w:ascii="Times New Roman" w:hAnsi="Times New Roman" w:cs="Times New Roman"/>
          <w:sz w:val="24"/>
          <w:szCs w:val="24"/>
        </w:rPr>
        <w:t>Prior to factor extraction, the suitability of the data for factor analysis was assessed using the Kaiser</w:t>
      </w:r>
      <w:r w:rsidR="00235994">
        <w:rPr>
          <w:rFonts w:ascii="Times New Roman" w:hAnsi="Times New Roman" w:cs="Times New Roman"/>
          <w:sz w:val="24"/>
          <w:szCs w:val="24"/>
          <w:lang w:val="en-US"/>
        </w:rPr>
        <w:t>-</w:t>
      </w:r>
      <w:r w:rsidRPr="003341F6">
        <w:rPr>
          <w:rFonts w:ascii="Times New Roman" w:hAnsi="Times New Roman" w:cs="Times New Roman"/>
          <w:sz w:val="24"/>
          <w:szCs w:val="24"/>
        </w:rPr>
        <w:t>Meyer</w:t>
      </w:r>
      <w:r w:rsidR="00235994">
        <w:rPr>
          <w:rFonts w:ascii="Times New Roman" w:hAnsi="Times New Roman" w:cs="Times New Roman"/>
          <w:sz w:val="24"/>
          <w:szCs w:val="24"/>
          <w:lang w:val="en-US"/>
        </w:rPr>
        <w:t>-</w:t>
      </w:r>
      <w:r w:rsidRPr="003341F6">
        <w:rPr>
          <w:rFonts w:ascii="Times New Roman" w:hAnsi="Times New Roman" w:cs="Times New Roman"/>
          <w:sz w:val="24"/>
          <w:szCs w:val="24"/>
        </w:rPr>
        <w:t>Olkin (KMO) Measure of Sampling Adequacy and Bartlett’s Test of Sphericity</w:t>
      </w:r>
      <w:r w:rsidR="0019542B">
        <w:rPr>
          <w:rFonts w:ascii="Times New Roman" w:hAnsi="Times New Roman" w:cs="Times New Roman"/>
          <w:sz w:val="24"/>
          <w:szCs w:val="24"/>
          <w:lang w:val="en-US"/>
        </w:rPr>
        <w:t xml:space="preserve"> presented in Table 2. </w:t>
      </w:r>
    </w:p>
    <w:p w:rsidR="0019542B" w:rsidRDefault="0019542B" w:rsidP="00FD68E5">
      <w:pPr>
        <w:pStyle w:val="NoSpacing"/>
        <w:jc w:val="both"/>
        <w:rPr>
          <w:rFonts w:ascii="Times New Roman" w:hAnsi="Times New Roman" w:cs="Times New Roman"/>
          <w:sz w:val="24"/>
          <w:szCs w:val="24"/>
        </w:rPr>
      </w:pPr>
    </w:p>
    <w:p w:rsidR="00FD68E5" w:rsidRPr="001669E4" w:rsidRDefault="001669E4" w:rsidP="00FD68E5">
      <w:pPr>
        <w:pStyle w:val="NoSpacing"/>
        <w:jc w:val="both"/>
        <w:rPr>
          <w:rFonts w:ascii="Times New Roman" w:hAnsi="Times New Roman" w:cs="Times New Roman"/>
        </w:rPr>
      </w:pPr>
      <w:r w:rsidRPr="001669E4">
        <w:rPr>
          <w:rFonts w:ascii="Times New Roman" w:hAnsi="Times New Roman" w:cs="Times New Roman"/>
          <w:b/>
          <w:bCs/>
          <w:color w:val="000000"/>
          <w:lang w:val="en-US"/>
        </w:rPr>
        <w:t xml:space="preserve">Table 2: </w:t>
      </w:r>
      <w:r w:rsidRPr="001669E4">
        <w:rPr>
          <w:rFonts w:ascii="Times New Roman" w:hAnsi="Times New Roman" w:cs="Times New Roman"/>
          <w:b/>
          <w:bCs/>
          <w:color w:val="000000"/>
        </w:rPr>
        <w:t>KMO and Bartlett's Test</w:t>
      </w:r>
    </w:p>
    <w:tbl>
      <w:tblPr>
        <w:tblW w:w="10445" w:type="dxa"/>
        <w:tblInd w:w="-20" w:type="dxa"/>
        <w:tblLayout w:type="fixed"/>
        <w:tblCellMar>
          <w:left w:w="0" w:type="dxa"/>
          <w:right w:w="0" w:type="dxa"/>
        </w:tblCellMar>
        <w:tblLook w:val="0000" w:firstRow="0" w:lastRow="0" w:firstColumn="0" w:lastColumn="0" w:noHBand="0" w:noVBand="0"/>
      </w:tblPr>
      <w:tblGrid>
        <w:gridCol w:w="4308"/>
        <w:gridCol w:w="4067"/>
        <w:gridCol w:w="2070"/>
      </w:tblGrid>
      <w:tr w:rsidR="0019542B" w:rsidRPr="008820ED" w:rsidTr="005A40E1">
        <w:trPr>
          <w:cantSplit/>
          <w:trHeight w:val="317"/>
        </w:trPr>
        <w:tc>
          <w:tcPr>
            <w:tcW w:w="8375" w:type="dxa"/>
            <w:gridSpan w:val="2"/>
            <w:tcBorders>
              <w:top w:val="single" w:sz="4" w:space="0" w:color="auto"/>
              <w:bottom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rPr>
                <w:rFonts w:ascii="Times New Roman" w:hAnsi="Times New Roman" w:cs="Times New Roman"/>
                <w:color w:val="000000"/>
                <w:sz w:val="24"/>
                <w:szCs w:val="24"/>
              </w:rPr>
            </w:pPr>
            <w:r w:rsidRPr="008820ED">
              <w:rPr>
                <w:rFonts w:ascii="Times New Roman" w:hAnsi="Times New Roman" w:cs="Times New Roman"/>
                <w:color w:val="000000"/>
                <w:sz w:val="24"/>
                <w:szCs w:val="24"/>
              </w:rPr>
              <w:t>Kaiser-Meyer-Olkin Measure of Sampling Adequacy.</w:t>
            </w:r>
          </w:p>
        </w:tc>
        <w:tc>
          <w:tcPr>
            <w:tcW w:w="2070" w:type="dxa"/>
            <w:tcBorders>
              <w:top w:val="single" w:sz="4" w:space="0" w:color="auto"/>
              <w:bottom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.740</w:t>
            </w:r>
          </w:p>
        </w:tc>
      </w:tr>
      <w:tr w:rsidR="0019542B" w:rsidRPr="008820ED" w:rsidTr="005A40E1">
        <w:trPr>
          <w:cantSplit/>
          <w:trHeight w:val="317"/>
        </w:trPr>
        <w:tc>
          <w:tcPr>
            <w:tcW w:w="4308" w:type="dxa"/>
            <w:vMerge w:val="restart"/>
            <w:tcBorders>
              <w:top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rPr>
                <w:rFonts w:ascii="Times New Roman" w:hAnsi="Times New Roman" w:cs="Times New Roman"/>
                <w:color w:val="000000"/>
                <w:sz w:val="24"/>
                <w:szCs w:val="24"/>
              </w:rPr>
            </w:pPr>
            <w:r w:rsidRPr="008820ED">
              <w:rPr>
                <w:rFonts w:ascii="Times New Roman" w:hAnsi="Times New Roman" w:cs="Times New Roman"/>
                <w:color w:val="000000"/>
                <w:sz w:val="24"/>
                <w:szCs w:val="24"/>
              </w:rPr>
              <w:t>Bartlett's Test of Sphericity</w:t>
            </w:r>
          </w:p>
        </w:tc>
        <w:tc>
          <w:tcPr>
            <w:tcW w:w="4067" w:type="dxa"/>
            <w:tcBorders>
              <w:top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rPr>
                <w:rFonts w:ascii="Times New Roman" w:hAnsi="Times New Roman" w:cs="Times New Roman"/>
                <w:color w:val="000000"/>
                <w:sz w:val="24"/>
                <w:szCs w:val="24"/>
              </w:rPr>
            </w:pPr>
            <w:r w:rsidRPr="008820ED">
              <w:rPr>
                <w:rFonts w:ascii="Times New Roman" w:hAnsi="Times New Roman" w:cs="Times New Roman"/>
                <w:color w:val="000000"/>
                <w:sz w:val="24"/>
                <w:szCs w:val="24"/>
              </w:rPr>
              <w:t>Approx. Chi-Square</w:t>
            </w:r>
          </w:p>
        </w:tc>
        <w:tc>
          <w:tcPr>
            <w:tcW w:w="2070" w:type="dxa"/>
            <w:tcBorders>
              <w:top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13286.663</w:t>
            </w:r>
          </w:p>
        </w:tc>
      </w:tr>
      <w:tr w:rsidR="0019542B" w:rsidRPr="008820ED" w:rsidTr="005A40E1">
        <w:trPr>
          <w:cantSplit/>
          <w:trHeight w:val="356"/>
        </w:trPr>
        <w:tc>
          <w:tcPr>
            <w:tcW w:w="4308" w:type="dxa"/>
            <w:vMerge/>
            <w:shd w:val="clear" w:color="auto" w:fill="FFFFFF"/>
            <w:vAlign w:val="center"/>
          </w:tcPr>
          <w:p w:rsidR="0019542B" w:rsidRPr="008820ED" w:rsidRDefault="0019542B" w:rsidP="008D0078">
            <w:pPr>
              <w:autoSpaceDE w:val="0"/>
              <w:autoSpaceDN w:val="0"/>
              <w:adjustRightInd w:val="0"/>
              <w:spacing w:after="0" w:line="240" w:lineRule="auto"/>
              <w:rPr>
                <w:rFonts w:ascii="Times New Roman" w:hAnsi="Times New Roman" w:cs="Times New Roman"/>
                <w:color w:val="000000"/>
                <w:sz w:val="24"/>
                <w:szCs w:val="24"/>
              </w:rPr>
            </w:pPr>
          </w:p>
        </w:tc>
        <w:tc>
          <w:tcPr>
            <w:tcW w:w="4067" w:type="dxa"/>
            <w:shd w:val="clear" w:color="auto" w:fill="FFFFFF"/>
            <w:vAlign w:val="center"/>
          </w:tcPr>
          <w:p w:rsidR="0019542B" w:rsidRPr="008820ED" w:rsidRDefault="0019542B" w:rsidP="008D0078">
            <w:pPr>
              <w:autoSpaceDE w:val="0"/>
              <w:autoSpaceDN w:val="0"/>
              <w:adjustRightInd w:val="0"/>
              <w:spacing w:after="0" w:line="320" w:lineRule="atLeast"/>
              <w:ind w:left="60" w:right="60"/>
              <w:rPr>
                <w:rFonts w:ascii="Times New Roman" w:hAnsi="Times New Roman" w:cs="Times New Roman"/>
                <w:color w:val="000000"/>
                <w:sz w:val="24"/>
                <w:szCs w:val="24"/>
              </w:rPr>
            </w:pPr>
            <w:r w:rsidRPr="008820ED">
              <w:rPr>
                <w:rFonts w:ascii="Times New Roman" w:hAnsi="Times New Roman" w:cs="Times New Roman"/>
                <w:color w:val="000000"/>
                <w:sz w:val="24"/>
                <w:szCs w:val="24"/>
              </w:rPr>
              <w:t>df</w:t>
            </w:r>
          </w:p>
        </w:tc>
        <w:tc>
          <w:tcPr>
            <w:tcW w:w="2070" w:type="dxa"/>
            <w:shd w:val="clear" w:color="auto" w:fill="FFFFFF"/>
            <w:vAlign w:val="center"/>
          </w:tcPr>
          <w:p w:rsidR="0019542B" w:rsidRPr="008820ED" w:rsidRDefault="0019542B"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276</w:t>
            </w:r>
          </w:p>
        </w:tc>
      </w:tr>
      <w:tr w:rsidR="0019542B" w:rsidRPr="008820ED" w:rsidTr="005A40E1">
        <w:trPr>
          <w:cantSplit/>
          <w:trHeight w:val="356"/>
        </w:trPr>
        <w:tc>
          <w:tcPr>
            <w:tcW w:w="4308" w:type="dxa"/>
            <w:vMerge/>
            <w:tcBorders>
              <w:bottom w:val="single" w:sz="4" w:space="0" w:color="auto"/>
            </w:tcBorders>
            <w:shd w:val="clear" w:color="auto" w:fill="FFFFFF"/>
            <w:vAlign w:val="center"/>
          </w:tcPr>
          <w:p w:rsidR="0019542B" w:rsidRPr="008820ED" w:rsidRDefault="0019542B" w:rsidP="008D0078">
            <w:pPr>
              <w:autoSpaceDE w:val="0"/>
              <w:autoSpaceDN w:val="0"/>
              <w:adjustRightInd w:val="0"/>
              <w:spacing w:after="0" w:line="240" w:lineRule="auto"/>
              <w:rPr>
                <w:rFonts w:ascii="Times New Roman" w:hAnsi="Times New Roman" w:cs="Times New Roman"/>
                <w:color w:val="000000"/>
                <w:sz w:val="24"/>
                <w:szCs w:val="24"/>
              </w:rPr>
            </w:pPr>
          </w:p>
        </w:tc>
        <w:tc>
          <w:tcPr>
            <w:tcW w:w="4067" w:type="dxa"/>
            <w:tcBorders>
              <w:bottom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rPr>
                <w:rFonts w:ascii="Times New Roman" w:hAnsi="Times New Roman" w:cs="Times New Roman"/>
                <w:color w:val="000000"/>
                <w:sz w:val="24"/>
                <w:szCs w:val="24"/>
              </w:rPr>
            </w:pPr>
            <w:r w:rsidRPr="008820ED">
              <w:rPr>
                <w:rFonts w:ascii="Times New Roman" w:hAnsi="Times New Roman" w:cs="Times New Roman"/>
                <w:color w:val="000000"/>
                <w:sz w:val="24"/>
                <w:szCs w:val="24"/>
              </w:rPr>
              <w:t>Sig.</w:t>
            </w:r>
          </w:p>
        </w:tc>
        <w:tc>
          <w:tcPr>
            <w:tcW w:w="2070" w:type="dxa"/>
            <w:tcBorders>
              <w:bottom w:val="single" w:sz="4" w:space="0" w:color="auto"/>
            </w:tcBorders>
            <w:shd w:val="clear" w:color="auto" w:fill="FFFFFF"/>
            <w:vAlign w:val="center"/>
          </w:tcPr>
          <w:p w:rsidR="0019542B" w:rsidRPr="008820ED" w:rsidRDefault="0019542B"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.000</w:t>
            </w:r>
          </w:p>
        </w:tc>
      </w:tr>
    </w:tbl>
    <w:p w:rsidR="00FD68E5" w:rsidRDefault="00FD68E5" w:rsidP="00FD68E5">
      <w:pPr>
        <w:pStyle w:val="NoSpacing"/>
        <w:jc w:val="both"/>
        <w:rPr>
          <w:rFonts w:ascii="Times New Roman" w:hAnsi="Times New Roman" w:cs="Times New Roman"/>
          <w:sz w:val="24"/>
          <w:szCs w:val="24"/>
        </w:rPr>
      </w:pPr>
    </w:p>
    <w:p w:rsidR="009D3ED3" w:rsidRPr="005A40E1" w:rsidRDefault="0019542B" w:rsidP="005A40E1">
      <w:pPr>
        <w:pStyle w:val="NoSpacing"/>
        <w:jc w:val="both"/>
        <w:rPr>
          <w:rFonts w:ascii="Times New Roman" w:hAnsi="Times New Roman" w:cs="Times New Roman"/>
          <w:b/>
          <w:sz w:val="24"/>
          <w:szCs w:val="24"/>
          <w:lang w:val="en-US"/>
        </w:rPr>
      </w:pPr>
      <w:r w:rsidRPr="0019542B">
        <w:rPr>
          <w:rFonts w:ascii="Times New Roman" w:hAnsi="Times New Roman" w:cs="Times New Roman"/>
          <w:sz w:val="24"/>
          <w:szCs w:val="24"/>
          <w:lang w:val="en-US"/>
        </w:rPr>
        <w:t xml:space="preserve">As indicated in Table 2, the KMO value was 0.740, </w:t>
      </w:r>
      <w:r>
        <w:rPr>
          <w:rFonts w:ascii="Times New Roman" w:hAnsi="Times New Roman" w:cs="Times New Roman"/>
          <w:sz w:val="24"/>
          <w:szCs w:val="24"/>
          <w:lang w:val="en-US"/>
        </w:rPr>
        <w:t>exceeding the minimum threshold of 0.70 recommended by Kaiser (1974), indicating</w:t>
      </w:r>
      <w:r w:rsidRPr="0019542B">
        <w:rPr>
          <w:rFonts w:ascii="Times New Roman" w:hAnsi="Times New Roman" w:cs="Times New Roman"/>
          <w:sz w:val="24"/>
          <w:szCs w:val="24"/>
          <w:lang w:val="en-US"/>
        </w:rPr>
        <w:t xml:space="preserve"> satisfactory sampling adequacy. Bartlett’s Test of Sphericity was statistically significant (χ² = 13286.663, df = 276, p &lt; .001), confirming that sufficient correlations existed among the variables to justify factor analysis. These results demonstrated that the dataset was appropriate for EFA and that the variables shared sufficient common variance to yield reliable factor solutions.</w:t>
      </w:r>
    </w:p>
    <w:p w:rsidR="00501F49" w:rsidRDefault="009D3ED3" w:rsidP="002348BF">
      <w:pPr>
        <w:pStyle w:val="NoSpacing"/>
        <w:jc w:val="center"/>
        <w:rPr>
          <w:rFonts w:ascii="Times New Roman" w:hAnsi="Times New Roman" w:cs="Times New Roman"/>
          <w:b/>
          <w:sz w:val="24"/>
          <w:szCs w:val="24"/>
          <w:lang w:val="en-US"/>
        </w:rPr>
      </w:pPr>
      <w:r w:rsidRPr="009D3ED3">
        <w:rPr>
          <w:rFonts w:ascii="Times New Roman" w:hAnsi="Times New Roman" w:cs="Times New Roman"/>
          <w:b/>
          <w:lang w:val="en-US"/>
        </w:rPr>
        <w:t xml:space="preserve">Table 3: </w:t>
      </w:r>
      <w:r w:rsidRPr="009D3ED3">
        <w:rPr>
          <w:rFonts w:ascii="Times New Roman" w:hAnsi="Times New Roman" w:cs="Times New Roman"/>
          <w:b/>
        </w:rPr>
        <w:t>Total Variance Explained</w:t>
      </w:r>
    </w:p>
    <w:tbl>
      <w:tblPr>
        <w:tblW w:w="10406" w:type="dxa"/>
        <w:tblInd w:w="-20" w:type="dxa"/>
        <w:tblLayout w:type="fixed"/>
        <w:tblCellMar>
          <w:left w:w="0" w:type="dxa"/>
          <w:right w:w="0" w:type="dxa"/>
        </w:tblCellMar>
        <w:tblLook w:val="0000" w:firstRow="0" w:lastRow="0" w:firstColumn="0" w:lastColumn="0" w:noHBand="0" w:noVBand="0"/>
      </w:tblPr>
      <w:tblGrid>
        <w:gridCol w:w="816"/>
        <w:gridCol w:w="1035"/>
        <w:gridCol w:w="1460"/>
        <w:gridCol w:w="1475"/>
        <w:gridCol w:w="1176"/>
        <w:gridCol w:w="1458"/>
        <w:gridCol w:w="1476"/>
        <w:gridCol w:w="1510"/>
      </w:tblGrid>
      <w:tr w:rsidR="004D6260" w:rsidRPr="008820ED" w:rsidTr="005A40E1">
        <w:trPr>
          <w:cantSplit/>
          <w:trHeight w:val="569"/>
        </w:trPr>
        <w:tc>
          <w:tcPr>
            <w:tcW w:w="816" w:type="dxa"/>
            <w:vMerge w:val="restart"/>
            <w:tcBorders>
              <w:top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Factor</w:t>
            </w:r>
          </w:p>
        </w:tc>
        <w:tc>
          <w:tcPr>
            <w:tcW w:w="3970" w:type="dxa"/>
            <w:gridSpan w:val="3"/>
            <w:tcBorders>
              <w:top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Initial Eigenvalues</w:t>
            </w:r>
          </w:p>
        </w:tc>
        <w:tc>
          <w:tcPr>
            <w:tcW w:w="4110" w:type="dxa"/>
            <w:gridSpan w:val="3"/>
            <w:tcBorders>
              <w:top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Extraction Sums of Squared Loadings</w:t>
            </w:r>
          </w:p>
        </w:tc>
        <w:tc>
          <w:tcPr>
            <w:tcW w:w="1507" w:type="dxa"/>
            <w:tcBorders>
              <w:top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 xml:space="preserve">Rotation Sums of Squared </w:t>
            </w:r>
            <w:proofErr w:type="spellStart"/>
            <w:r w:rsidRPr="008820ED">
              <w:rPr>
                <w:rFonts w:ascii="Times New Roman" w:hAnsi="Times New Roman" w:cs="Times New Roman"/>
                <w:sz w:val="24"/>
                <w:szCs w:val="24"/>
              </w:rPr>
              <w:t>Loadings</w:t>
            </w:r>
            <w:r w:rsidRPr="008820ED">
              <w:rPr>
                <w:rFonts w:ascii="Times New Roman" w:hAnsi="Times New Roman" w:cs="Times New Roman"/>
                <w:sz w:val="24"/>
                <w:szCs w:val="24"/>
                <w:vertAlign w:val="superscript"/>
              </w:rPr>
              <w:t>a</w:t>
            </w:r>
            <w:proofErr w:type="spellEnd"/>
          </w:p>
        </w:tc>
      </w:tr>
      <w:tr w:rsidR="004D6260" w:rsidRPr="008820ED" w:rsidTr="005A40E1">
        <w:trPr>
          <w:cantSplit/>
          <w:trHeight w:val="340"/>
        </w:trPr>
        <w:tc>
          <w:tcPr>
            <w:tcW w:w="816" w:type="dxa"/>
            <w:vMerge/>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p>
        </w:tc>
        <w:tc>
          <w:tcPr>
            <w:tcW w:w="1035"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Total</w:t>
            </w:r>
          </w:p>
        </w:tc>
        <w:tc>
          <w:tcPr>
            <w:tcW w:w="1460"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 of Variance</w:t>
            </w:r>
          </w:p>
        </w:tc>
        <w:tc>
          <w:tcPr>
            <w:tcW w:w="1475"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Cumulative %</w:t>
            </w:r>
          </w:p>
        </w:tc>
        <w:tc>
          <w:tcPr>
            <w:tcW w:w="1176"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Total</w:t>
            </w:r>
          </w:p>
        </w:tc>
        <w:tc>
          <w:tcPr>
            <w:tcW w:w="1458"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 of Variance</w:t>
            </w:r>
          </w:p>
        </w:tc>
        <w:tc>
          <w:tcPr>
            <w:tcW w:w="1475"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Cumulative %</w:t>
            </w:r>
          </w:p>
        </w:tc>
        <w:tc>
          <w:tcPr>
            <w:tcW w:w="1507"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Total</w:t>
            </w:r>
          </w:p>
        </w:tc>
      </w:tr>
      <w:tr w:rsidR="004D6260" w:rsidRPr="008820ED" w:rsidTr="005A40E1">
        <w:trPr>
          <w:cantSplit/>
          <w:trHeight w:val="104"/>
        </w:trPr>
        <w:tc>
          <w:tcPr>
            <w:tcW w:w="816"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w:t>
            </w:r>
          </w:p>
        </w:tc>
        <w:tc>
          <w:tcPr>
            <w:tcW w:w="1035"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9.887</w:t>
            </w:r>
          </w:p>
        </w:tc>
        <w:tc>
          <w:tcPr>
            <w:tcW w:w="1460"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41.197</w:t>
            </w:r>
          </w:p>
        </w:tc>
        <w:tc>
          <w:tcPr>
            <w:tcW w:w="1475"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41.197</w:t>
            </w:r>
          </w:p>
        </w:tc>
        <w:tc>
          <w:tcPr>
            <w:tcW w:w="1176"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9.662</w:t>
            </w:r>
          </w:p>
        </w:tc>
        <w:tc>
          <w:tcPr>
            <w:tcW w:w="1458"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40.258</w:t>
            </w:r>
          </w:p>
        </w:tc>
        <w:tc>
          <w:tcPr>
            <w:tcW w:w="1475"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40.258</w:t>
            </w:r>
          </w:p>
        </w:tc>
        <w:tc>
          <w:tcPr>
            <w:tcW w:w="1507" w:type="dxa"/>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8.359</w:t>
            </w:r>
          </w:p>
        </w:tc>
      </w:tr>
      <w:tr w:rsidR="004D6260" w:rsidRPr="008820ED" w:rsidTr="005A40E1">
        <w:trPr>
          <w:cantSplit/>
          <w:trHeight w:val="213"/>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5.562</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23.176</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64.373</w:t>
            </w:r>
          </w:p>
        </w:tc>
        <w:tc>
          <w:tcPr>
            <w:tcW w:w="117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5.385</w:t>
            </w:r>
          </w:p>
        </w:tc>
        <w:tc>
          <w:tcPr>
            <w:tcW w:w="1458"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22.440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62.697</w:t>
            </w:r>
          </w:p>
        </w:tc>
        <w:tc>
          <w:tcPr>
            <w:tcW w:w="1507"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7.646</w:t>
            </w:r>
          </w:p>
        </w:tc>
      </w:tr>
      <w:tr w:rsidR="004D6260" w:rsidRPr="008820ED" w:rsidTr="005A40E1">
        <w:trPr>
          <w:cantSplit/>
          <w:trHeight w:val="176"/>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3</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4.012</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16.716</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81.089</w:t>
            </w:r>
          </w:p>
        </w:tc>
        <w:tc>
          <w:tcPr>
            <w:tcW w:w="117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3.856</w:t>
            </w:r>
          </w:p>
        </w:tc>
        <w:tc>
          <w:tcPr>
            <w:tcW w:w="1458"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16.067</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78.764</w:t>
            </w:r>
          </w:p>
        </w:tc>
        <w:tc>
          <w:tcPr>
            <w:tcW w:w="1507"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4.723</w:t>
            </w:r>
          </w:p>
        </w:tc>
      </w:tr>
      <w:tr w:rsidR="004D6260" w:rsidRPr="008820ED" w:rsidTr="005A40E1">
        <w:trPr>
          <w:cantSplit/>
          <w:trHeight w:val="153"/>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.965</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4.020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85.109</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302"/>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5</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.547</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2.280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87.389</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230"/>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6</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.492</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2.048</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89.437</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88"/>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7</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.475</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1.981</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91.418</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246"/>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.400</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1.665</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93.083</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26"/>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.307</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1.279</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94.362</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43"/>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10</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.219</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.911</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95.273</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229"/>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11</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.198</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.826</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96.099</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36"/>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12</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.172</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.715</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96.814</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57"/>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13</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.155</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.645</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97.459</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01"/>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14</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.117</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.489</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97.948</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59"/>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15</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.111</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.462</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98.410</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67"/>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lastRenderedPageBreak/>
              <w:t>16</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.106</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.440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98.850</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24"/>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17</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.101</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.419</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99.269</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69"/>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18</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.063</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.261</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99.530</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89"/>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19</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.043</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.177</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99.707</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34"/>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20</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.038</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.158</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99.865</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93"/>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21</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.017</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.070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99.935</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99"/>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22</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.010</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.040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99.975</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157"/>
        </w:trPr>
        <w:tc>
          <w:tcPr>
            <w:tcW w:w="816"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23</w:t>
            </w:r>
          </w:p>
        </w:tc>
        <w:tc>
          <w:tcPr>
            <w:tcW w:w="103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.005</w:t>
            </w:r>
          </w:p>
        </w:tc>
        <w:tc>
          <w:tcPr>
            <w:tcW w:w="1460"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.020</w:t>
            </w:r>
          </w:p>
        </w:tc>
        <w:tc>
          <w:tcPr>
            <w:tcW w:w="1475" w:type="dxa"/>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99.995</w:t>
            </w:r>
          </w:p>
        </w:tc>
        <w:tc>
          <w:tcPr>
            <w:tcW w:w="1176"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302"/>
        </w:trPr>
        <w:tc>
          <w:tcPr>
            <w:tcW w:w="816" w:type="dxa"/>
            <w:tcBorders>
              <w:bottom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24</w:t>
            </w:r>
          </w:p>
        </w:tc>
        <w:tc>
          <w:tcPr>
            <w:tcW w:w="1035" w:type="dxa"/>
            <w:tcBorders>
              <w:bottom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.001</w:t>
            </w:r>
          </w:p>
        </w:tc>
        <w:tc>
          <w:tcPr>
            <w:tcW w:w="1460" w:type="dxa"/>
            <w:tcBorders>
              <w:bottom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.005</w:t>
            </w:r>
          </w:p>
        </w:tc>
        <w:tc>
          <w:tcPr>
            <w:tcW w:w="1475" w:type="dxa"/>
            <w:tcBorders>
              <w:bottom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100.000</w:t>
            </w:r>
          </w:p>
        </w:tc>
        <w:tc>
          <w:tcPr>
            <w:tcW w:w="1176"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58"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p>
        </w:tc>
        <w:tc>
          <w:tcPr>
            <w:tcW w:w="1475"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p>
        </w:tc>
        <w:tc>
          <w:tcPr>
            <w:tcW w:w="1507" w:type="dxa"/>
            <w:tcBorders>
              <w:bottom w:val="single" w:sz="4" w:space="0" w:color="auto"/>
            </w:tcBorders>
            <w:shd w:val="clear" w:color="auto" w:fill="FFFFFF"/>
          </w:tcPr>
          <w:p w:rsidR="004D6260" w:rsidRPr="008820ED" w:rsidRDefault="004D6260" w:rsidP="00D216DF">
            <w:pPr>
              <w:pStyle w:val="NoSpacing"/>
              <w:rPr>
                <w:rFonts w:ascii="Times New Roman" w:hAnsi="Times New Roman" w:cs="Times New Roman"/>
                <w:sz w:val="24"/>
                <w:szCs w:val="24"/>
              </w:rPr>
            </w:pPr>
          </w:p>
        </w:tc>
      </w:tr>
      <w:tr w:rsidR="004D6260" w:rsidRPr="008820ED" w:rsidTr="005A40E1">
        <w:trPr>
          <w:cantSplit/>
          <w:trHeight w:val="302"/>
        </w:trPr>
        <w:tc>
          <w:tcPr>
            <w:tcW w:w="10406" w:type="dxa"/>
            <w:gridSpan w:val="8"/>
            <w:tcBorders>
              <w:top w:val="single" w:sz="4" w:space="0" w:color="auto"/>
            </w:tcBorders>
            <w:shd w:val="clear" w:color="auto" w:fill="FFFFFF"/>
            <w:vAlign w:val="center"/>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Extraction Method: Principal Axis Factoring.</w:t>
            </w:r>
          </w:p>
        </w:tc>
      </w:tr>
      <w:tr w:rsidR="004D6260" w:rsidRPr="008820ED" w:rsidTr="005A40E1">
        <w:trPr>
          <w:cantSplit/>
          <w:trHeight w:val="302"/>
        </w:trPr>
        <w:tc>
          <w:tcPr>
            <w:tcW w:w="10406" w:type="dxa"/>
            <w:gridSpan w:val="8"/>
            <w:shd w:val="clear" w:color="auto" w:fill="FFFFFF"/>
          </w:tcPr>
          <w:p w:rsidR="004D6260" w:rsidRPr="008820ED" w:rsidRDefault="004D6260" w:rsidP="00D216DF">
            <w:pPr>
              <w:pStyle w:val="NoSpacing"/>
              <w:rPr>
                <w:rFonts w:ascii="Times New Roman" w:hAnsi="Times New Roman" w:cs="Times New Roman"/>
                <w:sz w:val="24"/>
                <w:szCs w:val="24"/>
              </w:rPr>
            </w:pPr>
            <w:r w:rsidRPr="008820ED">
              <w:rPr>
                <w:rFonts w:ascii="Times New Roman" w:hAnsi="Times New Roman" w:cs="Times New Roman"/>
                <w:sz w:val="24"/>
                <w:szCs w:val="24"/>
              </w:rPr>
              <w:t>a. When factors are correlated, sums of squared loadings cannot be added to obtain a total variance.</w:t>
            </w:r>
          </w:p>
        </w:tc>
      </w:tr>
    </w:tbl>
    <w:p w:rsidR="004D6260" w:rsidRDefault="004D6260" w:rsidP="00501F49">
      <w:pPr>
        <w:pStyle w:val="NoSpacing"/>
        <w:rPr>
          <w:rFonts w:ascii="Times New Roman" w:hAnsi="Times New Roman" w:cs="Times New Roman"/>
          <w:b/>
          <w:sz w:val="24"/>
          <w:szCs w:val="24"/>
          <w:lang w:val="en-US"/>
        </w:rPr>
      </w:pPr>
    </w:p>
    <w:p w:rsidR="00D223CD" w:rsidRPr="006E7625" w:rsidRDefault="006A4890" w:rsidP="005A40E1">
      <w:pPr>
        <w:pStyle w:val="NoSpacing"/>
        <w:jc w:val="both"/>
        <w:rPr>
          <w:rFonts w:ascii="Times New Roman" w:hAnsi="Times New Roman" w:cs="Times New Roman"/>
          <w:sz w:val="24"/>
          <w:szCs w:val="24"/>
          <w:lang w:val="en-US" w:eastAsia="en-KE"/>
        </w:rPr>
      </w:pPr>
      <w:r w:rsidRPr="006A4890">
        <w:rPr>
          <w:rFonts w:ascii="Times New Roman" w:hAnsi="Times New Roman" w:cs="Times New Roman"/>
          <w:sz w:val="24"/>
          <w:szCs w:val="24"/>
          <w:lang w:eastAsia="en-KE"/>
        </w:rPr>
        <w:t>Table 3 presents the Total Variance Explained results, indicating that three factors with eigenvalues greater than 1.0 were retained according to Kaiser’s criterion. Collectively, these three factors explained 78.76% of the total variance, surpassing the recommended minimum threshold of 60% for social science research (Hair et al., 2019). Factor 1</w:t>
      </w:r>
      <w:r>
        <w:rPr>
          <w:rFonts w:ascii="Times New Roman" w:hAnsi="Times New Roman" w:cs="Times New Roman"/>
          <w:sz w:val="24"/>
          <w:szCs w:val="24"/>
          <w:lang w:val="en-US" w:eastAsia="en-KE"/>
        </w:rPr>
        <w:t xml:space="preserve"> (policy &amp; governance)</w:t>
      </w:r>
      <w:r w:rsidRPr="006A4890">
        <w:rPr>
          <w:rFonts w:ascii="Times New Roman" w:hAnsi="Times New Roman" w:cs="Times New Roman"/>
          <w:sz w:val="24"/>
          <w:szCs w:val="24"/>
          <w:lang w:eastAsia="en-KE"/>
        </w:rPr>
        <w:t xml:space="preserve"> accounted for 40.25% of the variance, Factor 2</w:t>
      </w:r>
      <w:r>
        <w:rPr>
          <w:rFonts w:ascii="Times New Roman" w:hAnsi="Times New Roman" w:cs="Times New Roman"/>
          <w:sz w:val="24"/>
          <w:szCs w:val="24"/>
          <w:lang w:val="en-US" w:eastAsia="en-KE"/>
        </w:rPr>
        <w:t xml:space="preserve"> (stakeholder collaboration)</w:t>
      </w:r>
      <w:r w:rsidRPr="006A4890">
        <w:rPr>
          <w:rFonts w:ascii="Times New Roman" w:hAnsi="Times New Roman" w:cs="Times New Roman"/>
          <w:sz w:val="24"/>
          <w:szCs w:val="24"/>
          <w:lang w:eastAsia="en-KE"/>
        </w:rPr>
        <w:t xml:space="preserve"> explained 22.44%, and Factor 3 </w:t>
      </w:r>
      <w:r>
        <w:rPr>
          <w:rFonts w:ascii="Times New Roman" w:hAnsi="Times New Roman" w:cs="Times New Roman"/>
          <w:sz w:val="24"/>
          <w:szCs w:val="24"/>
          <w:lang w:val="en-US" w:eastAsia="en-KE"/>
        </w:rPr>
        <w:t xml:space="preserve">(destination competitiveness) </w:t>
      </w:r>
      <w:r w:rsidRPr="006A4890">
        <w:rPr>
          <w:rFonts w:ascii="Times New Roman" w:hAnsi="Times New Roman" w:cs="Times New Roman"/>
          <w:sz w:val="24"/>
          <w:szCs w:val="24"/>
          <w:lang w:eastAsia="en-KE"/>
        </w:rPr>
        <w:t>accounted for 16.07%. This high cumulative variance explained demonstrate</w:t>
      </w:r>
      <w:r>
        <w:rPr>
          <w:rFonts w:ascii="Times New Roman" w:hAnsi="Times New Roman" w:cs="Times New Roman"/>
          <w:sz w:val="24"/>
          <w:szCs w:val="24"/>
          <w:lang w:val="en-US" w:eastAsia="en-KE"/>
        </w:rPr>
        <w:t>d</w:t>
      </w:r>
      <w:r w:rsidRPr="006A4890">
        <w:rPr>
          <w:rFonts w:ascii="Times New Roman" w:hAnsi="Times New Roman" w:cs="Times New Roman"/>
          <w:sz w:val="24"/>
          <w:szCs w:val="24"/>
          <w:lang w:eastAsia="en-KE"/>
        </w:rPr>
        <w:t xml:space="preserve"> that the extracted factors effectively represent</w:t>
      </w:r>
      <w:r>
        <w:rPr>
          <w:rFonts w:ascii="Times New Roman" w:hAnsi="Times New Roman" w:cs="Times New Roman"/>
          <w:sz w:val="24"/>
          <w:szCs w:val="24"/>
          <w:lang w:val="en-US" w:eastAsia="en-KE"/>
        </w:rPr>
        <w:t>ed</w:t>
      </w:r>
      <w:r w:rsidRPr="006A4890">
        <w:rPr>
          <w:rFonts w:ascii="Times New Roman" w:hAnsi="Times New Roman" w:cs="Times New Roman"/>
          <w:sz w:val="24"/>
          <w:szCs w:val="24"/>
          <w:lang w:eastAsia="en-KE"/>
        </w:rPr>
        <w:t xml:space="preserve"> the underlying dimensions of the study constructs and </w:t>
      </w:r>
      <w:r>
        <w:rPr>
          <w:rFonts w:ascii="Times New Roman" w:hAnsi="Times New Roman" w:cs="Times New Roman"/>
          <w:sz w:val="24"/>
          <w:szCs w:val="24"/>
          <w:lang w:eastAsia="en-KE"/>
        </w:rPr>
        <w:t>confirmed</w:t>
      </w:r>
      <w:r w:rsidRPr="006A4890">
        <w:rPr>
          <w:rFonts w:ascii="Times New Roman" w:hAnsi="Times New Roman" w:cs="Times New Roman"/>
          <w:sz w:val="24"/>
          <w:szCs w:val="24"/>
          <w:lang w:eastAsia="en-KE"/>
        </w:rPr>
        <w:t xml:space="preserve"> the multidimensional structure of the survey instrument.</w:t>
      </w:r>
      <w:r w:rsidR="006E7625">
        <w:rPr>
          <w:rFonts w:ascii="Times New Roman" w:hAnsi="Times New Roman" w:cs="Times New Roman"/>
          <w:sz w:val="24"/>
          <w:szCs w:val="24"/>
          <w:lang w:val="en-US" w:eastAsia="en-KE"/>
        </w:rPr>
        <w:t xml:space="preserve"> The next evidence considered was the communalities in Table 4. </w:t>
      </w:r>
    </w:p>
    <w:p w:rsidR="000D05D5" w:rsidRPr="000D05D5" w:rsidRDefault="000D05D5" w:rsidP="00DA65B8">
      <w:pPr>
        <w:pStyle w:val="NoSpacing"/>
        <w:jc w:val="center"/>
        <w:rPr>
          <w:rFonts w:ascii="Times New Roman" w:hAnsi="Times New Roman" w:cs="Times New Roman"/>
          <w:b/>
          <w:sz w:val="24"/>
          <w:szCs w:val="24"/>
          <w:lang w:val="en-US" w:eastAsia="en-KE"/>
        </w:rPr>
      </w:pPr>
      <w:r w:rsidRPr="000D05D5">
        <w:rPr>
          <w:rFonts w:ascii="Times New Roman" w:hAnsi="Times New Roman" w:cs="Times New Roman"/>
          <w:b/>
          <w:sz w:val="24"/>
          <w:szCs w:val="24"/>
          <w:lang w:val="en-US" w:eastAsia="en-KE"/>
        </w:rPr>
        <w:t>Table 4: Communalities</w:t>
      </w:r>
    </w:p>
    <w:tbl>
      <w:tblPr>
        <w:tblW w:w="10547" w:type="dxa"/>
        <w:tblInd w:w="-5" w:type="dxa"/>
        <w:tblLayout w:type="fixed"/>
        <w:tblCellMar>
          <w:left w:w="0" w:type="dxa"/>
          <w:right w:w="0" w:type="dxa"/>
        </w:tblCellMar>
        <w:tblLook w:val="0000" w:firstRow="0" w:lastRow="0" w:firstColumn="0" w:lastColumn="0" w:noHBand="0" w:noVBand="0"/>
      </w:tblPr>
      <w:tblGrid>
        <w:gridCol w:w="495"/>
        <w:gridCol w:w="8076"/>
        <w:gridCol w:w="823"/>
        <w:gridCol w:w="1153"/>
      </w:tblGrid>
      <w:tr w:rsidR="000D05D5" w:rsidRPr="008820ED" w:rsidTr="005A40E1">
        <w:trPr>
          <w:cantSplit/>
          <w:trHeight w:val="291"/>
        </w:trPr>
        <w:tc>
          <w:tcPr>
            <w:tcW w:w="495" w:type="dxa"/>
            <w:tcBorders>
              <w:top w:val="single" w:sz="4" w:space="0" w:color="auto"/>
              <w:bottom w:val="single" w:sz="4" w:space="0" w:color="auto"/>
            </w:tcBorders>
            <w:shd w:val="clear" w:color="auto" w:fill="FFFFFF"/>
          </w:tcPr>
          <w:p w:rsidR="000D05D5" w:rsidRPr="008820ED" w:rsidRDefault="00A34D2D" w:rsidP="000D05D5">
            <w:pPr>
              <w:pStyle w:val="NoSpacing"/>
              <w:rPr>
                <w:rFonts w:ascii="Times New Roman" w:hAnsi="Times New Roman" w:cs="Times New Roman"/>
                <w:sz w:val="24"/>
                <w:szCs w:val="24"/>
                <w:lang w:val="en-US"/>
              </w:rPr>
            </w:pPr>
            <w:r w:rsidRPr="008820ED">
              <w:rPr>
                <w:rFonts w:ascii="Times New Roman" w:hAnsi="Times New Roman" w:cs="Times New Roman"/>
                <w:sz w:val="24"/>
                <w:szCs w:val="24"/>
                <w:lang w:val="en-US"/>
              </w:rPr>
              <w:t>No.</w:t>
            </w:r>
          </w:p>
        </w:tc>
        <w:tc>
          <w:tcPr>
            <w:tcW w:w="8076" w:type="dxa"/>
            <w:tcBorders>
              <w:top w:val="single" w:sz="4" w:space="0" w:color="auto"/>
              <w:bottom w:val="single" w:sz="4" w:space="0" w:color="auto"/>
            </w:tcBorders>
            <w:shd w:val="clear" w:color="auto" w:fill="FFFFFF"/>
          </w:tcPr>
          <w:p w:rsidR="000D05D5" w:rsidRPr="008820ED" w:rsidRDefault="000D05D5" w:rsidP="000D05D5">
            <w:pPr>
              <w:pStyle w:val="NoSpacing"/>
              <w:rPr>
                <w:rFonts w:ascii="Times New Roman" w:hAnsi="Times New Roman" w:cs="Times New Roman"/>
                <w:sz w:val="24"/>
                <w:szCs w:val="24"/>
              </w:rPr>
            </w:pPr>
          </w:p>
        </w:tc>
        <w:tc>
          <w:tcPr>
            <w:tcW w:w="823" w:type="dxa"/>
            <w:tcBorders>
              <w:top w:val="single" w:sz="4" w:space="0" w:color="auto"/>
              <w:bottom w:val="single" w:sz="4" w:space="0" w:color="auto"/>
            </w:tcBorders>
            <w:shd w:val="clear" w:color="auto" w:fill="FFFFFF"/>
          </w:tcPr>
          <w:p w:rsidR="000D05D5" w:rsidRPr="008820ED" w:rsidRDefault="000D05D5" w:rsidP="000D05D5">
            <w:pPr>
              <w:pStyle w:val="NoSpacing"/>
              <w:rPr>
                <w:rFonts w:ascii="Times New Roman" w:hAnsi="Times New Roman" w:cs="Times New Roman"/>
                <w:b/>
                <w:sz w:val="24"/>
                <w:szCs w:val="24"/>
              </w:rPr>
            </w:pPr>
            <w:r w:rsidRPr="008820ED">
              <w:rPr>
                <w:rFonts w:ascii="Times New Roman" w:hAnsi="Times New Roman" w:cs="Times New Roman"/>
                <w:b/>
                <w:sz w:val="24"/>
                <w:szCs w:val="24"/>
              </w:rPr>
              <w:t>Initial</w:t>
            </w:r>
          </w:p>
        </w:tc>
        <w:tc>
          <w:tcPr>
            <w:tcW w:w="1152" w:type="dxa"/>
            <w:tcBorders>
              <w:top w:val="single" w:sz="4" w:space="0" w:color="auto"/>
              <w:bottom w:val="single" w:sz="4" w:space="0" w:color="auto"/>
            </w:tcBorders>
            <w:shd w:val="clear" w:color="auto" w:fill="FFFFFF"/>
          </w:tcPr>
          <w:p w:rsidR="000D05D5" w:rsidRPr="008820ED" w:rsidRDefault="000D05D5" w:rsidP="000D05D5">
            <w:pPr>
              <w:pStyle w:val="NoSpacing"/>
              <w:rPr>
                <w:rFonts w:ascii="Times New Roman" w:hAnsi="Times New Roman" w:cs="Times New Roman"/>
                <w:b/>
                <w:sz w:val="24"/>
                <w:szCs w:val="24"/>
              </w:rPr>
            </w:pPr>
            <w:r w:rsidRPr="008820ED">
              <w:rPr>
                <w:rFonts w:ascii="Times New Roman" w:hAnsi="Times New Roman" w:cs="Times New Roman"/>
                <w:b/>
                <w:sz w:val="24"/>
                <w:szCs w:val="24"/>
              </w:rPr>
              <w:t>Extraction</w:t>
            </w:r>
          </w:p>
        </w:tc>
      </w:tr>
      <w:tr w:rsidR="000D05D5" w:rsidRPr="008820ED" w:rsidTr="005A40E1">
        <w:trPr>
          <w:cantSplit/>
          <w:trHeight w:val="243"/>
        </w:trPr>
        <w:tc>
          <w:tcPr>
            <w:tcW w:w="495" w:type="dxa"/>
            <w:tcBorders>
              <w:top w:val="single" w:sz="4" w:space="0" w:color="auto"/>
            </w:tcBorders>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tcBorders>
              <w:top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I am aware of tourism policies that support environmental sustainability</w:t>
            </w:r>
          </w:p>
        </w:tc>
        <w:tc>
          <w:tcPr>
            <w:tcW w:w="823" w:type="dxa"/>
            <w:tcBorders>
              <w:top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.987</w:t>
            </w:r>
          </w:p>
        </w:tc>
        <w:tc>
          <w:tcPr>
            <w:tcW w:w="1152" w:type="dxa"/>
            <w:tcBorders>
              <w:top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.818</w:t>
            </w:r>
          </w:p>
        </w:tc>
      </w:tr>
      <w:tr w:rsidR="000D05D5" w:rsidRPr="008820ED" w:rsidTr="005A40E1">
        <w:trPr>
          <w:cantSplit/>
          <w:trHeight w:val="257"/>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Government agencies encourage my enterprise to reduce the use of single-use plastics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.939</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.830</w:t>
            </w:r>
          </w:p>
        </w:tc>
      </w:tr>
      <w:tr w:rsidR="000D05D5" w:rsidRPr="008820ED" w:rsidTr="005A40E1">
        <w:trPr>
          <w:cantSplit/>
          <w:trHeight w:val="274"/>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implements the sustainable waste management regulations to reduce waste</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.884</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.717</w:t>
            </w:r>
          </w:p>
        </w:tc>
      </w:tr>
      <w:tr w:rsidR="000D05D5" w:rsidRPr="008820ED" w:rsidTr="005A40E1">
        <w:trPr>
          <w:cantSplit/>
          <w:trHeight w:val="46"/>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Tourism regulations encourage the recycling and reuse of materials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.786</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.714</w:t>
            </w:r>
          </w:p>
        </w:tc>
      </w:tr>
      <w:tr w:rsidR="000D05D5" w:rsidRPr="008820ED" w:rsidTr="005A40E1">
        <w:trPr>
          <w:cantSplit/>
          <w:trHeight w:val="227"/>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Environmental regulations are well enforced in the tourism sector</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.780</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.705</w:t>
            </w:r>
          </w:p>
        </w:tc>
      </w:tr>
      <w:tr w:rsidR="000D05D5" w:rsidRPr="008820ED" w:rsidTr="005A40E1">
        <w:trPr>
          <w:cantSplit/>
          <w:trHeight w:val="255"/>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has a formal policy for reusing items (e.g., containers and linen) rather than disposing them</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.801</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.718</w:t>
            </w:r>
          </w:p>
        </w:tc>
      </w:tr>
      <w:tr w:rsidR="000D05D5" w:rsidRPr="008820ED" w:rsidTr="005A40E1">
        <w:trPr>
          <w:cantSplit/>
          <w:trHeight w:val="305"/>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receives enough information on environmental compliance requirements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.836</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.806</w:t>
            </w:r>
          </w:p>
        </w:tc>
      </w:tr>
      <w:tr w:rsidR="000D05D5" w:rsidRPr="008820ED" w:rsidTr="005A40E1">
        <w:trPr>
          <w:cantSplit/>
          <w:trHeight w:val="368"/>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follows government guidelines for sorting and processing waste for recycling and energy recovery</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.633</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.563</w:t>
            </w:r>
          </w:p>
        </w:tc>
      </w:tr>
      <w:tr w:rsidR="000D05D5" w:rsidRPr="008820ED" w:rsidTr="005A40E1">
        <w:trPr>
          <w:cantSplit/>
          <w:trHeight w:val="283"/>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Government support encourages my enterprise to adopt environmentally friendly practices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.940</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.674</w:t>
            </w:r>
          </w:p>
        </w:tc>
      </w:tr>
      <w:tr w:rsidR="000D05D5" w:rsidRPr="008820ED" w:rsidTr="005A40E1">
        <w:trPr>
          <w:cantSplit/>
          <w:trHeight w:val="345"/>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The County government supports my enterprise in implementing circular economy practices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.603</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.556</w:t>
            </w:r>
          </w:p>
        </w:tc>
      </w:tr>
      <w:tr w:rsidR="000D05D5" w:rsidRPr="008820ED" w:rsidTr="005A40E1">
        <w:trPr>
          <w:cantSplit/>
          <w:trHeight w:val="394"/>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Incentives from the government encourage tourism enterprises to implement sustainable practices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.981</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.655</w:t>
            </w:r>
          </w:p>
        </w:tc>
      </w:tr>
      <w:tr w:rsidR="000D05D5" w:rsidRPr="008820ED" w:rsidTr="005A40E1">
        <w:trPr>
          <w:cantSplit/>
          <w:trHeight w:val="322"/>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I collaborate with my suppliers to ensure they provide eco-friendly and sustainably packaged products.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.988</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.869</w:t>
            </w:r>
          </w:p>
        </w:tc>
      </w:tr>
      <w:tr w:rsidR="000D05D5" w:rsidRPr="008820ED" w:rsidTr="005A40E1">
        <w:trPr>
          <w:cantSplit/>
          <w:trHeight w:val="238"/>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business works with other tourism enterprises on environmental sustainability activities.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.967</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.855</w:t>
            </w:r>
          </w:p>
        </w:tc>
      </w:tr>
      <w:tr w:rsidR="000D05D5" w:rsidRPr="008820ED" w:rsidTr="005A40E1">
        <w:trPr>
          <w:cantSplit/>
          <w:trHeight w:val="299"/>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collaborates with county government agencies on waste management and environmental conservation.</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.994</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.910</w:t>
            </w:r>
          </w:p>
        </w:tc>
      </w:tr>
      <w:tr w:rsidR="000D05D5" w:rsidRPr="008820ED" w:rsidTr="005A40E1">
        <w:trPr>
          <w:cantSplit/>
          <w:trHeight w:val="149"/>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participates in community environmental conservation activities.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.994</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.849</w:t>
            </w:r>
          </w:p>
        </w:tc>
      </w:tr>
      <w:tr w:rsidR="000D05D5" w:rsidRPr="008820ED" w:rsidTr="005A40E1">
        <w:trPr>
          <w:cantSplit/>
          <w:trHeight w:val="277"/>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Tourism stakeholders in my area share information on sustainable tourism practices.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.996</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.880</w:t>
            </w:r>
          </w:p>
        </w:tc>
      </w:tr>
      <w:tr w:rsidR="000D05D5" w:rsidRPr="008820ED" w:rsidTr="005A40E1">
        <w:trPr>
          <w:cantSplit/>
          <w:trHeight w:val="192"/>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Tourism enterprises in my area cooperate in reducing waste and pollution.</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.982</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.861</w:t>
            </w:r>
          </w:p>
        </w:tc>
      </w:tr>
      <w:tr w:rsidR="000D05D5" w:rsidRPr="008820ED" w:rsidTr="005A40E1">
        <w:trPr>
          <w:cantSplit/>
          <w:trHeight w:val="80"/>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participates in tourism sustainability meetings or forums.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.996</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.899</w:t>
            </w:r>
          </w:p>
        </w:tc>
      </w:tr>
      <w:tr w:rsidR="000D05D5" w:rsidRPr="008820ED" w:rsidTr="005A40E1">
        <w:trPr>
          <w:cantSplit/>
          <w:trHeight w:val="256"/>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There is good cooperation among tourism stakeholders in protecting coastal resources.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.891</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.761</w:t>
            </w:r>
          </w:p>
        </w:tc>
      </w:tr>
      <w:tr w:rsidR="000D05D5" w:rsidRPr="008820ED" w:rsidTr="005A40E1">
        <w:trPr>
          <w:cantSplit/>
          <w:trHeight w:val="305"/>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My enterprise has gained a better reputation among tourists due to our sustainability practices.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.970</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.953</w:t>
            </w:r>
          </w:p>
        </w:tc>
      </w:tr>
      <w:tr w:rsidR="000D05D5" w:rsidRPr="008820ED" w:rsidTr="005A40E1">
        <w:trPr>
          <w:cantSplit/>
          <w:trHeight w:val="257"/>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I believe our circular economy efforts make the Kenya Coast more attractive than other global beach destinations.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.919</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.781</w:t>
            </w:r>
          </w:p>
        </w:tc>
      </w:tr>
      <w:tr w:rsidR="000D05D5" w:rsidRPr="008820ED" w:rsidTr="005A40E1">
        <w:trPr>
          <w:cantSplit/>
          <w:trHeight w:val="46"/>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I find that our circular practices lead to long-term cost savings for my enterprise</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.685</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.645</w:t>
            </w:r>
          </w:p>
        </w:tc>
      </w:tr>
      <w:tr w:rsidR="000D05D5" w:rsidRPr="008820ED" w:rsidTr="005A40E1">
        <w:trPr>
          <w:cantSplit/>
          <w:trHeight w:val="123"/>
        </w:trPr>
        <w:tc>
          <w:tcPr>
            <w:tcW w:w="495" w:type="dxa"/>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I am confident that my business is more competitive because it aligns with global "green" travel trends.</w:t>
            </w:r>
          </w:p>
        </w:tc>
        <w:tc>
          <w:tcPr>
            <w:tcW w:w="823"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.983</w:t>
            </w:r>
          </w:p>
        </w:tc>
        <w:tc>
          <w:tcPr>
            <w:tcW w:w="1152" w:type="dxa"/>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.960</w:t>
            </w:r>
          </w:p>
        </w:tc>
      </w:tr>
      <w:tr w:rsidR="000D05D5" w:rsidRPr="008820ED" w:rsidTr="005A40E1">
        <w:trPr>
          <w:cantSplit/>
          <w:trHeight w:val="185"/>
        </w:trPr>
        <w:tc>
          <w:tcPr>
            <w:tcW w:w="495" w:type="dxa"/>
            <w:tcBorders>
              <w:bottom w:val="single" w:sz="4" w:space="0" w:color="auto"/>
            </w:tcBorders>
            <w:shd w:val="clear" w:color="auto" w:fill="FFFFFF"/>
          </w:tcPr>
          <w:p w:rsidR="000D05D5" w:rsidRPr="008820ED" w:rsidRDefault="000D05D5" w:rsidP="00A34D2D">
            <w:pPr>
              <w:pStyle w:val="NoSpacing"/>
              <w:numPr>
                <w:ilvl w:val="0"/>
                <w:numId w:val="3"/>
              </w:numPr>
              <w:rPr>
                <w:rFonts w:ascii="Times New Roman" w:hAnsi="Times New Roman" w:cs="Times New Roman"/>
                <w:sz w:val="24"/>
                <w:szCs w:val="24"/>
              </w:rPr>
            </w:pPr>
          </w:p>
        </w:tc>
        <w:tc>
          <w:tcPr>
            <w:tcW w:w="8076" w:type="dxa"/>
            <w:tcBorders>
              <w:bottom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Circular economy practices in the coastal region have benefited local communities.</w:t>
            </w:r>
          </w:p>
        </w:tc>
        <w:tc>
          <w:tcPr>
            <w:tcW w:w="823" w:type="dxa"/>
            <w:tcBorders>
              <w:bottom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.970</w:t>
            </w:r>
          </w:p>
        </w:tc>
        <w:tc>
          <w:tcPr>
            <w:tcW w:w="1152" w:type="dxa"/>
            <w:tcBorders>
              <w:bottom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.925</w:t>
            </w:r>
          </w:p>
        </w:tc>
      </w:tr>
      <w:tr w:rsidR="000D05D5" w:rsidRPr="008820ED" w:rsidTr="005A40E1">
        <w:trPr>
          <w:cantSplit/>
          <w:trHeight w:val="291"/>
        </w:trPr>
        <w:tc>
          <w:tcPr>
            <w:tcW w:w="495" w:type="dxa"/>
            <w:tcBorders>
              <w:top w:val="single" w:sz="4" w:space="0" w:color="auto"/>
            </w:tcBorders>
            <w:shd w:val="clear" w:color="auto" w:fill="FFFFFF"/>
          </w:tcPr>
          <w:p w:rsidR="000D05D5" w:rsidRPr="008820ED" w:rsidRDefault="000D05D5" w:rsidP="000D05D5">
            <w:pPr>
              <w:pStyle w:val="NoSpacing"/>
              <w:rPr>
                <w:rFonts w:ascii="Times New Roman" w:hAnsi="Times New Roman" w:cs="Times New Roman"/>
                <w:sz w:val="24"/>
                <w:szCs w:val="24"/>
              </w:rPr>
            </w:pPr>
          </w:p>
        </w:tc>
        <w:tc>
          <w:tcPr>
            <w:tcW w:w="10052" w:type="dxa"/>
            <w:gridSpan w:val="3"/>
            <w:tcBorders>
              <w:top w:val="single" w:sz="4" w:space="0" w:color="auto"/>
            </w:tcBorders>
            <w:shd w:val="clear" w:color="auto" w:fill="FFFFFF"/>
            <w:vAlign w:val="center"/>
          </w:tcPr>
          <w:p w:rsidR="000D05D5" w:rsidRPr="008820ED" w:rsidRDefault="000D05D5" w:rsidP="000D05D5">
            <w:pPr>
              <w:pStyle w:val="NoSpacing"/>
              <w:rPr>
                <w:rFonts w:ascii="Times New Roman" w:hAnsi="Times New Roman" w:cs="Times New Roman"/>
                <w:sz w:val="24"/>
                <w:szCs w:val="24"/>
              </w:rPr>
            </w:pPr>
            <w:r w:rsidRPr="008820ED">
              <w:rPr>
                <w:rFonts w:ascii="Times New Roman" w:hAnsi="Times New Roman" w:cs="Times New Roman"/>
                <w:sz w:val="24"/>
                <w:szCs w:val="24"/>
              </w:rPr>
              <w:t>Extraction Method: Principal Axis Factoring.</w:t>
            </w:r>
          </w:p>
        </w:tc>
      </w:tr>
    </w:tbl>
    <w:p w:rsidR="000D05D5" w:rsidRPr="006A4890" w:rsidRDefault="000D05D5" w:rsidP="006A4890">
      <w:pPr>
        <w:pStyle w:val="NoSpacing"/>
        <w:jc w:val="both"/>
        <w:rPr>
          <w:rFonts w:ascii="Times New Roman" w:hAnsi="Times New Roman" w:cs="Times New Roman"/>
          <w:sz w:val="24"/>
          <w:szCs w:val="24"/>
          <w:lang w:eastAsia="en-KE"/>
        </w:rPr>
      </w:pPr>
    </w:p>
    <w:p w:rsidR="004D6260" w:rsidRPr="001637DA" w:rsidRDefault="00215FB2" w:rsidP="00215FB2">
      <w:pPr>
        <w:pStyle w:val="NoSpacing"/>
        <w:jc w:val="both"/>
        <w:rPr>
          <w:rFonts w:ascii="Times New Roman" w:hAnsi="Times New Roman" w:cs="Times New Roman"/>
          <w:sz w:val="24"/>
          <w:szCs w:val="24"/>
          <w:lang w:val="en-US"/>
        </w:rPr>
      </w:pPr>
      <w:r w:rsidRPr="00215FB2">
        <w:rPr>
          <w:rFonts w:ascii="Times New Roman" w:hAnsi="Times New Roman" w:cs="Times New Roman"/>
          <w:sz w:val="24"/>
          <w:szCs w:val="24"/>
        </w:rPr>
        <w:t xml:space="preserve">Communality estimates were examined to assess the extent to which each variable shared variance with the retained factors. As indicated in Table 4, all extraction communalities </w:t>
      </w:r>
      <w:r>
        <w:rPr>
          <w:rFonts w:ascii="Times New Roman" w:hAnsi="Times New Roman" w:cs="Times New Roman"/>
          <w:sz w:val="24"/>
          <w:szCs w:val="24"/>
        </w:rPr>
        <w:t>exceeded the recommended minimum threshold of 0.50 after removing</w:t>
      </w:r>
      <w:r w:rsidRPr="00215FB2">
        <w:rPr>
          <w:rFonts w:ascii="Times New Roman" w:hAnsi="Times New Roman" w:cs="Times New Roman"/>
          <w:sz w:val="24"/>
          <w:szCs w:val="24"/>
        </w:rPr>
        <w:t xml:space="preserve"> one item</w:t>
      </w:r>
      <w:r>
        <w:rPr>
          <w:rFonts w:ascii="Times New Roman" w:hAnsi="Times New Roman" w:cs="Times New Roman"/>
          <w:sz w:val="24"/>
          <w:szCs w:val="24"/>
        </w:rPr>
        <w:t>,</w:t>
      </w:r>
      <w:r w:rsidRPr="00215FB2">
        <w:rPr>
          <w:rFonts w:ascii="Times New Roman" w:hAnsi="Times New Roman" w:cs="Times New Roman"/>
          <w:sz w:val="24"/>
          <w:szCs w:val="24"/>
        </w:rPr>
        <w:t xml:space="preserve"> </w:t>
      </w:r>
      <w:r>
        <w:rPr>
          <w:rFonts w:ascii="Times New Roman" w:hAnsi="Times New Roman" w:cs="Times New Roman"/>
          <w:sz w:val="24"/>
          <w:szCs w:val="24"/>
          <w:lang w:val="en-US"/>
        </w:rPr>
        <w:t>which yielded</w:t>
      </w:r>
      <w:r w:rsidRPr="00215FB2">
        <w:rPr>
          <w:rFonts w:ascii="Times New Roman" w:hAnsi="Times New Roman" w:cs="Times New Roman"/>
          <w:sz w:val="24"/>
          <w:szCs w:val="24"/>
        </w:rPr>
        <w:t xml:space="preserve"> a low communality value. Field (2018) states that communalities above 0.50 demonstrate sufficient representation of items within the factor solution. In this study, extraction communalities ranged from 0.556 to 0.960, suggesting that a substantial proportion of variance in each item was explained by the retained factors. The improved communalities following item removal contributed to enhanced construct validity and stability of the factor structure.</w:t>
      </w:r>
      <w:r w:rsidR="001637DA">
        <w:rPr>
          <w:rFonts w:ascii="Times New Roman" w:hAnsi="Times New Roman" w:cs="Times New Roman"/>
          <w:sz w:val="24"/>
          <w:szCs w:val="24"/>
          <w:lang w:val="en-US"/>
        </w:rPr>
        <w:t xml:space="preserve"> The next evidence considered was the pattern matrix in Table 5. </w:t>
      </w:r>
    </w:p>
    <w:p w:rsidR="008A4E09" w:rsidRPr="00215FB2" w:rsidRDefault="008A4E09" w:rsidP="00215FB2">
      <w:pPr>
        <w:pStyle w:val="NoSpacing"/>
        <w:jc w:val="both"/>
        <w:rPr>
          <w:rFonts w:ascii="Times New Roman" w:hAnsi="Times New Roman" w:cs="Times New Roman"/>
          <w:sz w:val="24"/>
          <w:szCs w:val="24"/>
        </w:rPr>
      </w:pPr>
    </w:p>
    <w:p w:rsidR="002E4CEB" w:rsidRPr="008A4E09" w:rsidRDefault="008A4E09" w:rsidP="008A4E09">
      <w:pPr>
        <w:autoSpaceDE w:val="0"/>
        <w:autoSpaceDN w:val="0"/>
        <w:adjustRightInd w:val="0"/>
        <w:spacing w:after="0" w:line="240" w:lineRule="auto"/>
        <w:rPr>
          <w:rFonts w:ascii="Times New Roman" w:hAnsi="Times New Roman" w:cs="Times New Roman"/>
          <w:b/>
          <w:bCs/>
          <w:color w:val="000000"/>
          <w:sz w:val="24"/>
          <w:szCs w:val="24"/>
          <w:vertAlign w:val="superscript"/>
        </w:rPr>
      </w:pPr>
      <w:r w:rsidRPr="008A4E09">
        <w:rPr>
          <w:rFonts w:ascii="Times New Roman" w:hAnsi="Times New Roman" w:cs="Times New Roman"/>
          <w:b/>
          <w:bCs/>
          <w:color w:val="000000"/>
          <w:sz w:val="24"/>
          <w:szCs w:val="24"/>
          <w:lang w:val="en-US"/>
        </w:rPr>
        <w:t xml:space="preserve">Table 5: Table 5: </w:t>
      </w:r>
      <w:r w:rsidRPr="00E83A29">
        <w:rPr>
          <w:rFonts w:ascii="Times New Roman" w:hAnsi="Times New Roman" w:cs="Times New Roman"/>
          <w:b/>
          <w:bCs/>
          <w:color w:val="000000"/>
          <w:sz w:val="24"/>
          <w:szCs w:val="24"/>
        </w:rPr>
        <w:t>Pattern Matrix</w:t>
      </w:r>
      <w:r w:rsidRPr="00E83A29">
        <w:rPr>
          <w:rFonts w:ascii="Times New Roman" w:hAnsi="Times New Roman" w:cs="Times New Roman"/>
          <w:b/>
          <w:bCs/>
          <w:color w:val="000000"/>
          <w:sz w:val="24"/>
          <w:szCs w:val="24"/>
          <w:vertAlign w:val="superscript"/>
        </w:rPr>
        <w:t>a</w:t>
      </w:r>
    </w:p>
    <w:tbl>
      <w:tblPr>
        <w:tblW w:w="10501" w:type="dxa"/>
        <w:tblInd w:w="-20" w:type="dxa"/>
        <w:tblLayout w:type="fixed"/>
        <w:tblCellMar>
          <w:left w:w="0" w:type="dxa"/>
          <w:right w:w="0" w:type="dxa"/>
        </w:tblCellMar>
        <w:tblLook w:val="0000" w:firstRow="0" w:lastRow="0" w:firstColumn="0" w:lastColumn="0" w:noHBand="0" w:noVBand="0"/>
      </w:tblPr>
      <w:tblGrid>
        <w:gridCol w:w="504"/>
        <w:gridCol w:w="7620"/>
        <w:gridCol w:w="811"/>
        <w:gridCol w:w="648"/>
        <w:gridCol w:w="918"/>
      </w:tblGrid>
      <w:tr w:rsidR="00337059" w:rsidRPr="008820ED" w:rsidTr="00A336CB">
        <w:trPr>
          <w:cantSplit/>
          <w:trHeight w:val="307"/>
        </w:trPr>
        <w:tc>
          <w:tcPr>
            <w:tcW w:w="504" w:type="dxa"/>
            <w:tcBorders>
              <w:top w:val="single" w:sz="4" w:space="0" w:color="auto"/>
            </w:tcBorders>
            <w:shd w:val="clear" w:color="auto" w:fill="FFFFFF"/>
          </w:tcPr>
          <w:p w:rsidR="008A4E09" w:rsidRPr="008820ED" w:rsidRDefault="008A4E09" w:rsidP="008A4E09">
            <w:pPr>
              <w:pStyle w:val="NoSpacing"/>
              <w:rPr>
                <w:rFonts w:ascii="Times New Roman" w:hAnsi="Times New Roman" w:cs="Times New Roman"/>
                <w:sz w:val="24"/>
                <w:szCs w:val="24"/>
                <w:lang w:val="en-US"/>
              </w:rPr>
            </w:pPr>
            <w:r w:rsidRPr="008820ED">
              <w:rPr>
                <w:rFonts w:ascii="Times New Roman" w:hAnsi="Times New Roman" w:cs="Times New Roman"/>
                <w:sz w:val="24"/>
                <w:szCs w:val="24"/>
                <w:lang w:val="en-US"/>
              </w:rPr>
              <w:t>No.</w:t>
            </w:r>
          </w:p>
        </w:tc>
        <w:tc>
          <w:tcPr>
            <w:tcW w:w="7620" w:type="dxa"/>
            <w:vMerge w:val="restart"/>
            <w:tcBorders>
              <w:top w:val="single" w:sz="4" w:space="0" w:color="auto"/>
            </w:tcBorders>
            <w:shd w:val="clear" w:color="auto" w:fill="FFFFFF"/>
          </w:tcPr>
          <w:p w:rsidR="008A4E09" w:rsidRPr="008820ED" w:rsidRDefault="008A4E09" w:rsidP="008A4E09">
            <w:pPr>
              <w:pStyle w:val="NoSpacing"/>
              <w:rPr>
                <w:rFonts w:ascii="Times New Roman" w:hAnsi="Times New Roman" w:cs="Times New Roman"/>
                <w:b/>
                <w:sz w:val="24"/>
                <w:szCs w:val="24"/>
              </w:rPr>
            </w:pPr>
          </w:p>
        </w:tc>
        <w:tc>
          <w:tcPr>
            <w:tcW w:w="2377" w:type="dxa"/>
            <w:gridSpan w:val="3"/>
            <w:tcBorders>
              <w:top w:val="single" w:sz="4" w:space="0" w:color="auto"/>
            </w:tcBorders>
            <w:shd w:val="clear" w:color="auto" w:fill="FFFFFF"/>
          </w:tcPr>
          <w:p w:rsidR="008A4E09" w:rsidRPr="008820ED" w:rsidRDefault="008A4E09" w:rsidP="008A4E09">
            <w:pPr>
              <w:pStyle w:val="NoSpacing"/>
              <w:rPr>
                <w:rFonts w:ascii="Times New Roman" w:hAnsi="Times New Roman" w:cs="Times New Roman"/>
                <w:b/>
                <w:sz w:val="24"/>
                <w:szCs w:val="24"/>
              </w:rPr>
            </w:pPr>
            <w:r w:rsidRPr="008820ED">
              <w:rPr>
                <w:rFonts w:ascii="Times New Roman" w:hAnsi="Times New Roman" w:cs="Times New Roman"/>
                <w:b/>
                <w:sz w:val="24"/>
                <w:szCs w:val="24"/>
              </w:rPr>
              <w:t>Factor</w:t>
            </w:r>
          </w:p>
        </w:tc>
      </w:tr>
      <w:tr w:rsidR="008A4E09" w:rsidRPr="008820ED" w:rsidTr="00A336CB">
        <w:trPr>
          <w:cantSplit/>
          <w:trHeight w:val="307"/>
        </w:trPr>
        <w:tc>
          <w:tcPr>
            <w:tcW w:w="504" w:type="dxa"/>
            <w:tcBorders>
              <w:bottom w:val="single" w:sz="4" w:space="0" w:color="auto"/>
            </w:tcBorders>
            <w:shd w:val="clear" w:color="auto" w:fill="FFFFFF"/>
          </w:tcPr>
          <w:p w:rsidR="008A4E09" w:rsidRPr="008820ED" w:rsidRDefault="008A4E09" w:rsidP="008A4E09">
            <w:pPr>
              <w:pStyle w:val="NoSpacing"/>
              <w:rPr>
                <w:rFonts w:ascii="Times New Roman" w:hAnsi="Times New Roman" w:cs="Times New Roman"/>
                <w:sz w:val="24"/>
                <w:szCs w:val="24"/>
              </w:rPr>
            </w:pPr>
          </w:p>
        </w:tc>
        <w:tc>
          <w:tcPr>
            <w:tcW w:w="7620" w:type="dxa"/>
            <w:vMerge/>
            <w:tcBorders>
              <w:bottom w:val="single" w:sz="4" w:space="0" w:color="auto"/>
            </w:tcBorders>
            <w:shd w:val="clear" w:color="auto" w:fill="FFFFFF"/>
          </w:tcPr>
          <w:p w:rsidR="008A4E09" w:rsidRPr="008820ED" w:rsidRDefault="008A4E09" w:rsidP="008A4E09">
            <w:pPr>
              <w:pStyle w:val="NoSpacing"/>
              <w:rPr>
                <w:rFonts w:ascii="Times New Roman" w:hAnsi="Times New Roman" w:cs="Times New Roman"/>
                <w:b/>
                <w:sz w:val="24"/>
                <w:szCs w:val="24"/>
              </w:rPr>
            </w:pPr>
          </w:p>
        </w:tc>
        <w:tc>
          <w:tcPr>
            <w:tcW w:w="811" w:type="dxa"/>
            <w:tcBorders>
              <w:bottom w:val="single" w:sz="4" w:space="0" w:color="auto"/>
            </w:tcBorders>
            <w:shd w:val="clear" w:color="auto" w:fill="FFFFFF"/>
          </w:tcPr>
          <w:p w:rsidR="008A4E09" w:rsidRPr="008820ED" w:rsidRDefault="008A4E09" w:rsidP="008A4E09">
            <w:pPr>
              <w:pStyle w:val="NoSpacing"/>
              <w:rPr>
                <w:rFonts w:ascii="Times New Roman" w:hAnsi="Times New Roman" w:cs="Times New Roman"/>
                <w:b/>
                <w:sz w:val="24"/>
                <w:szCs w:val="24"/>
              </w:rPr>
            </w:pPr>
            <w:r w:rsidRPr="008820ED">
              <w:rPr>
                <w:rFonts w:ascii="Times New Roman" w:hAnsi="Times New Roman" w:cs="Times New Roman"/>
                <w:b/>
                <w:sz w:val="24"/>
                <w:szCs w:val="24"/>
              </w:rPr>
              <w:t>1</w:t>
            </w:r>
          </w:p>
        </w:tc>
        <w:tc>
          <w:tcPr>
            <w:tcW w:w="648" w:type="dxa"/>
            <w:tcBorders>
              <w:bottom w:val="single" w:sz="4" w:space="0" w:color="auto"/>
            </w:tcBorders>
            <w:shd w:val="clear" w:color="auto" w:fill="FFFFFF"/>
          </w:tcPr>
          <w:p w:rsidR="008A4E09" w:rsidRPr="008820ED" w:rsidRDefault="008A4E09" w:rsidP="008A4E09">
            <w:pPr>
              <w:pStyle w:val="NoSpacing"/>
              <w:rPr>
                <w:rFonts w:ascii="Times New Roman" w:hAnsi="Times New Roman" w:cs="Times New Roman"/>
                <w:b/>
                <w:sz w:val="24"/>
                <w:szCs w:val="24"/>
              </w:rPr>
            </w:pPr>
            <w:r w:rsidRPr="008820ED">
              <w:rPr>
                <w:rFonts w:ascii="Times New Roman" w:hAnsi="Times New Roman" w:cs="Times New Roman"/>
                <w:b/>
                <w:sz w:val="24"/>
                <w:szCs w:val="24"/>
              </w:rPr>
              <w:t>2</w:t>
            </w:r>
          </w:p>
        </w:tc>
        <w:tc>
          <w:tcPr>
            <w:tcW w:w="917" w:type="dxa"/>
            <w:tcBorders>
              <w:bottom w:val="single" w:sz="4" w:space="0" w:color="auto"/>
            </w:tcBorders>
            <w:shd w:val="clear" w:color="auto" w:fill="FFFFFF"/>
          </w:tcPr>
          <w:p w:rsidR="008A4E09" w:rsidRPr="008820ED" w:rsidRDefault="008A4E09" w:rsidP="008A4E09">
            <w:pPr>
              <w:pStyle w:val="NoSpacing"/>
              <w:rPr>
                <w:rFonts w:ascii="Times New Roman" w:hAnsi="Times New Roman" w:cs="Times New Roman"/>
                <w:b/>
                <w:sz w:val="24"/>
                <w:szCs w:val="24"/>
              </w:rPr>
            </w:pPr>
            <w:r w:rsidRPr="008820ED">
              <w:rPr>
                <w:rFonts w:ascii="Times New Roman" w:hAnsi="Times New Roman" w:cs="Times New Roman"/>
                <w:b/>
                <w:sz w:val="24"/>
                <w:szCs w:val="24"/>
              </w:rPr>
              <w:t>3</w:t>
            </w:r>
          </w:p>
        </w:tc>
      </w:tr>
      <w:tr w:rsidR="008A4E09" w:rsidRPr="008820ED" w:rsidTr="00DA5E44">
        <w:trPr>
          <w:cantSplit/>
          <w:trHeight w:val="226"/>
        </w:trPr>
        <w:tc>
          <w:tcPr>
            <w:tcW w:w="504" w:type="dxa"/>
            <w:tcBorders>
              <w:top w:val="single" w:sz="4" w:space="0" w:color="auto"/>
            </w:tcBorders>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tcBorders>
              <w:top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Government agencies encourage my enterprise to reduce the use of single-use plastics</w:t>
            </w:r>
          </w:p>
        </w:tc>
        <w:tc>
          <w:tcPr>
            <w:tcW w:w="811" w:type="dxa"/>
            <w:tcBorders>
              <w:top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.952</w:t>
            </w:r>
          </w:p>
        </w:tc>
        <w:tc>
          <w:tcPr>
            <w:tcW w:w="648" w:type="dxa"/>
            <w:tcBorders>
              <w:top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tcBorders>
              <w:top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281"/>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receives enough information on environmental compliance requirements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.937</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143"/>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implements the sustainable waste management regulations to reduce waste</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.886</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338"/>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has a formal policy for reusing items (e.g., containers and linen) rather than disposing them</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.861</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152"/>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I am aware of tourism policies that support environmental sustainability</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.860</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71"/>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Environmental regulations are well enforced in the tourism sector</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.798</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131"/>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Government support encourages my enterprise to adopt environmentally friendly practices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.779</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194"/>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Tourism regulations encourage the recycling and reuse of materials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.777</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237"/>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follows government guidelines for sorting and processing waste for recycling and energy recovery</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.772</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201"/>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Incentives from the government encourage tourism enterprises to implement sustainable practices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.743</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165"/>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The County government supports my enterprise in implementing circular economy practices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.727</w:t>
            </w: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60"/>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Tourism stakeholders in my area share information on sustainable tourism practices.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.952</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270"/>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I collaborate with my suppliers to ensure they provide eco-friendly and sustainably packaged products.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.951</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230"/>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participates in tourism sustainability meetings or forums.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.951</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261"/>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collaborates with county government agencies on waste management and environmental conservation.</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.933</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227"/>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Tourism enterprises in my area cooperate in reducing waste and pollution.</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.925</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132"/>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business works with other tourism enterprises on environmental sustainability activities.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.924</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84"/>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participates in community environmental conservation activities.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.910</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A336CB">
        <w:trPr>
          <w:cantSplit/>
          <w:trHeight w:val="266"/>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There is good cooperation among tourism stakeholders in protecting coastal resources.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.864</w:t>
            </w: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r>
      <w:tr w:rsidR="008A4E09" w:rsidRPr="008820ED" w:rsidTr="00DA5E44">
        <w:trPr>
          <w:cantSplit/>
          <w:trHeight w:val="287"/>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I am confident that my business is more competitive because it aligns with global "green" travel trends.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.979</w:t>
            </w:r>
          </w:p>
        </w:tc>
      </w:tr>
      <w:tr w:rsidR="008A4E09" w:rsidRPr="008820ED" w:rsidTr="00DA5E44">
        <w:trPr>
          <w:cantSplit/>
          <w:trHeight w:val="109"/>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Circular economy practices in the coastal region have benefited local communities.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.967</w:t>
            </w:r>
          </w:p>
        </w:tc>
      </w:tr>
      <w:tr w:rsidR="008A4E09" w:rsidRPr="008820ED" w:rsidTr="00DA5E44">
        <w:trPr>
          <w:cantSplit/>
          <w:trHeight w:val="169"/>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My enterprise has gained a better reputation among tourists due to our sustainability practices.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.961</w:t>
            </w:r>
          </w:p>
        </w:tc>
      </w:tr>
      <w:tr w:rsidR="008A4E09" w:rsidRPr="008820ED" w:rsidTr="00A336CB">
        <w:trPr>
          <w:cantSplit/>
          <w:trHeight w:val="224"/>
        </w:trPr>
        <w:tc>
          <w:tcPr>
            <w:tcW w:w="504" w:type="dxa"/>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I believe our circular economy efforts make the Kenya Coast more attractive than other global beach destinations.</w:t>
            </w:r>
          </w:p>
        </w:tc>
        <w:tc>
          <w:tcPr>
            <w:tcW w:w="811"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.891</w:t>
            </w:r>
          </w:p>
        </w:tc>
      </w:tr>
      <w:tr w:rsidR="008A4E09" w:rsidRPr="008820ED" w:rsidTr="00A336CB">
        <w:trPr>
          <w:cantSplit/>
          <w:trHeight w:val="51"/>
        </w:trPr>
        <w:tc>
          <w:tcPr>
            <w:tcW w:w="504" w:type="dxa"/>
            <w:tcBorders>
              <w:bottom w:val="single" w:sz="4" w:space="0" w:color="auto"/>
            </w:tcBorders>
            <w:shd w:val="clear" w:color="auto" w:fill="FFFFFF"/>
          </w:tcPr>
          <w:p w:rsidR="008A4E09" w:rsidRPr="008820ED" w:rsidRDefault="008A4E09" w:rsidP="008A4E09">
            <w:pPr>
              <w:pStyle w:val="NoSpacing"/>
              <w:numPr>
                <w:ilvl w:val="0"/>
                <w:numId w:val="6"/>
              </w:numPr>
              <w:rPr>
                <w:rFonts w:ascii="Times New Roman" w:hAnsi="Times New Roman" w:cs="Times New Roman"/>
                <w:sz w:val="24"/>
                <w:szCs w:val="24"/>
              </w:rPr>
            </w:pPr>
          </w:p>
        </w:tc>
        <w:tc>
          <w:tcPr>
            <w:tcW w:w="7620" w:type="dxa"/>
            <w:tcBorders>
              <w:bottom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I find that our circular practices lead to long-term cost savings for my enterprise</w:t>
            </w:r>
          </w:p>
        </w:tc>
        <w:tc>
          <w:tcPr>
            <w:tcW w:w="811" w:type="dxa"/>
            <w:tcBorders>
              <w:bottom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648" w:type="dxa"/>
            <w:tcBorders>
              <w:bottom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p>
        </w:tc>
        <w:tc>
          <w:tcPr>
            <w:tcW w:w="917" w:type="dxa"/>
            <w:tcBorders>
              <w:bottom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.808</w:t>
            </w:r>
          </w:p>
        </w:tc>
      </w:tr>
      <w:tr w:rsidR="008A4E09" w:rsidRPr="008820ED" w:rsidTr="00A336CB">
        <w:trPr>
          <w:cantSplit/>
          <w:trHeight w:val="233"/>
        </w:trPr>
        <w:tc>
          <w:tcPr>
            <w:tcW w:w="504" w:type="dxa"/>
            <w:tcBorders>
              <w:top w:val="single" w:sz="4" w:space="0" w:color="auto"/>
            </w:tcBorders>
            <w:shd w:val="clear" w:color="auto" w:fill="FFFFFF"/>
          </w:tcPr>
          <w:p w:rsidR="008A4E09" w:rsidRPr="008820ED" w:rsidRDefault="008A4E09" w:rsidP="00195B5B">
            <w:pPr>
              <w:pStyle w:val="NoSpacing"/>
              <w:ind w:left="360"/>
              <w:rPr>
                <w:rFonts w:ascii="Times New Roman" w:hAnsi="Times New Roman" w:cs="Times New Roman"/>
                <w:sz w:val="24"/>
                <w:szCs w:val="24"/>
              </w:rPr>
            </w:pPr>
          </w:p>
        </w:tc>
        <w:tc>
          <w:tcPr>
            <w:tcW w:w="9997" w:type="dxa"/>
            <w:gridSpan w:val="4"/>
            <w:tcBorders>
              <w:top w:val="single" w:sz="4" w:space="0" w:color="auto"/>
            </w:tcBorders>
            <w:shd w:val="clear" w:color="auto" w:fill="FFFFFF"/>
            <w:vAlign w:val="center"/>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 xml:space="preserve">Extraction Method: Principal Axis Factoring. </w:t>
            </w:r>
          </w:p>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 xml:space="preserve"> Rotation Method: Promax with Kaiser Normalization.</w:t>
            </w:r>
          </w:p>
        </w:tc>
      </w:tr>
      <w:tr w:rsidR="008A4E09" w:rsidRPr="008820ED" w:rsidTr="00A336CB">
        <w:trPr>
          <w:cantSplit/>
          <w:trHeight w:val="186"/>
        </w:trPr>
        <w:tc>
          <w:tcPr>
            <w:tcW w:w="504" w:type="dxa"/>
            <w:shd w:val="clear" w:color="auto" w:fill="FFFFFF"/>
          </w:tcPr>
          <w:p w:rsidR="008A4E09" w:rsidRPr="008820ED" w:rsidRDefault="008A4E09" w:rsidP="008A4E09">
            <w:pPr>
              <w:pStyle w:val="NoSpacing"/>
              <w:rPr>
                <w:rFonts w:ascii="Times New Roman" w:hAnsi="Times New Roman" w:cs="Times New Roman"/>
                <w:sz w:val="24"/>
                <w:szCs w:val="24"/>
              </w:rPr>
            </w:pPr>
          </w:p>
        </w:tc>
        <w:tc>
          <w:tcPr>
            <w:tcW w:w="9997" w:type="dxa"/>
            <w:gridSpan w:val="4"/>
            <w:shd w:val="clear" w:color="auto" w:fill="FFFFFF"/>
          </w:tcPr>
          <w:p w:rsidR="008A4E09" w:rsidRPr="008820ED" w:rsidRDefault="008A4E09" w:rsidP="008A4E09">
            <w:pPr>
              <w:pStyle w:val="NoSpacing"/>
              <w:rPr>
                <w:rFonts w:ascii="Times New Roman" w:hAnsi="Times New Roman" w:cs="Times New Roman"/>
                <w:sz w:val="24"/>
                <w:szCs w:val="24"/>
              </w:rPr>
            </w:pPr>
            <w:r w:rsidRPr="008820ED">
              <w:rPr>
                <w:rFonts w:ascii="Times New Roman" w:hAnsi="Times New Roman" w:cs="Times New Roman"/>
                <w:sz w:val="24"/>
                <w:szCs w:val="24"/>
              </w:rPr>
              <w:t>a. Rotation converged in 4 iterations.</w:t>
            </w:r>
          </w:p>
        </w:tc>
      </w:tr>
    </w:tbl>
    <w:p w:rsidR="006A4890" w:rsidRDefault="006A4890" w:rsidP="00A32372">
      <w:pPr>
        <w:pStyle w:val="NoSpacing"/>
        <w:jc w:val="both"/>
        <w:rPr>
          <w:rFonts w:ascii="Times New Roman" w:hAnsi="Times New Roman" w:cs="Times New Roman"/>
          <w:sz w:val="24"/>
          <w:szCs w:val="24"/>
        </w:rPr>
      </w:pPr>
    </w:p>
    <w:p w:rsidR="001D3677" w:rsidRPr="001D3677" w:rsidRDefault="001D3677" w:rsidP="001D3677">
      <w:pPr>
        <w:pStyle w:val="NoSpacing"/>
        <w:jc w:val="both"/>
        <w:rPr>
          <w:rFonts w:ascii="Times New Roman" w:hAnsi="Times New Roman" w:cs="Times New Roman"/>
          <w:sz w:val="24"/>
          <w:szCs w:val="24"/>
          <w:lang w:eastAsia="en-KE"/>
        </w:rPr>
      </w:pPr>
      <w:r w:rsidRPr="001D3677">
        <w:rPr>
          <w:rFonts w:ascii="Times New Roman" w:hAnsi="Times New Roman" w:cs="Times New Roman"/>
          <w:sz w:val="24"/>
          <w:szCs w:val="24"/>
          <w:lang w:eastAsia="en-KE"/>
        </w:rPr>
        <w:t>The pattern matrix in Table 5 revealed a distinct three-factor structure aligned with the theoretical constructs underpinning the study, after rotation using Promax with Kaiser Normalization. The rotation converged after four iterations, indicating that the factor solution stabilized efficiently and produced a clear, interpretable structure for the study constructs. Items related to regulatory frameworks, environmental governance, policy enforcement, institutional support, incentives, and compliance systems loaded strongly on Factor 1, representing the policy and governance dimensions of the circular economy, with factor loadings ranging from 0.7</w:t>
      </w:r>
      <w:r>
        <w:rPr>
          <w:rFonts w:ascii="Times New Roman" w:hAnsi="Times New Roman" w:cs="Times New Roman"/>
          <w:sz w:val="24"/>
          <w:szCs w:val="24"/>
          <w:lang w:val="en-US" w:eastAsia="en-KE"/>
        </w:rPr>
        <w:t>27</w:t>
      </w:r>
      <w:r w:rsidRPr="001D3677">
        <w:rPr>
          <w:rFonts w:ascii="Times New Roman" w:hAnsi="Times New Roman" w:cs="Times New Roman"/>
          <w:sz w:val="24"/>
          <w:szCs w:val="24"/>
          <w:lang w:eastAsia="en-KE"/>
        </w:rPr>
        <w:t xml:space="preserve"> to 0.</w:t>
      </w:r>
      <w:r>
        <w:rPr>
          <w:rFonts w:ascii="Times New Roman" w:hAnsi="Times New Roman" w:cs="Times New Roman"/>
          <w:sz w:val="24"/>
          <w:szCs w:val="24"/>
          <w:lang w:val="en-US" w:eastAsia="en-KE"/>
        </w:rPr>
        <w:t>952</w:t>
      </w:r>
      <w:r w:rsidRPr="001D3677">
        <w:rPr>
          <w:rFonts w:ascii="Times New Roman" w:hAnsi="Times New Roman" w:cs="Times New Roman"/>
          <w:sz w:val="24"/>
          <w:szCs w:val="24"/>
          <w:lang w:eastAsia="en-KE"/>
        </w:rPr>
        <w:t>. Items assessing stakeholder collaboration loaded strongly on Factor 2, with loadings ranging from 0.8</w:t>
      </w:r>
      <w:r>
        <w:rPr>
          <w:rFonts w:ascii="Times New Roman" w:hAnsi="Times New Roman" w:cs="Times New Roman"/>
          <w:sz w:val="24"/>
          <w:szCs w:val="24"/>
          <w:lang w:val="en-US" w:eastAsia="en-KE"/>
        </w:rPr>
        <w:t>64</w:t>
      </w:r>
      <w:r w:rsidRPr="001D3677">
        <w:rPr>
          <w:rFonts w:ascii="Times New Roman" w:hAnsi="Times New Roman" w:cs="Times New Roman"/>
          <w:sz w:val="24"/>
          <w:szCs w:val="24"/>
          <w:lang w:eastAsia="en-KE"/>
        </w:rPr>
        <w:t xml:space="preserve"> to 0.95</w:t>
      </w:r>
      <w:r>
        <w:rPr>
          <w:rFonts w:ascii="Times New Roman" w:hAnsi="Times New Roman" w:cs="Times New Roman"/>
          <w:sz w:val="24"/>
          <w:szCs w:val="24"/>
          <w:lang w:val="en-US" w:eastAsia="en-KE"/>
        </w:rPr>
        <w:t>2</w:t>
      </w:r>
      <w:r w:rsidRPr="001D3677">
        <w:rPr>
          <w:rFonts w:ascii="Times New Roman" w:hAnsi="Times New Roman" w:cs="Times New Roman"/>
          <w:sz w:val="24"/>
          <w:szCs w:val="24"/>
          <w:lang w:eastAsia="en-KE"/>
        </w:rPr>
        <w:t>, while items evaluating sustainable destination competitiveness loaded strongly on Factor 3, with loadings ranging from 0.8</w:t>
      </w:r>
      <w:r>
        <w:rPr>
          <w:rFonts w:ascii="Times New Roman" w:hAnsi="Times New Roman" w:cs="Times New Roman"/>
          <w:sz w:val="24"/>
          <w:szCs w:val="24"/>
          <w:lang w:val="en-US" w:eastAsia="en-KE"/>
        </w:rPr>
        <w:t>08</w:t>
      </w:r>
      <w:r w:rsidRPr="001D3677">
        <w:rPr>
          <w:rFonts w:ascii="Times New Roman" w:hAnsi="Times New Roman" w:cs="Times New Roman"/>
          <w:sz w:val="24"/>
          <w:szCs w:val="24"/>
          <w:lang w:eastAsia="en-KE"/>
        </w:rPr>
        <w:t xml:space="preserve"> to 0.9</w:t>
      </w:r>
      <w:r>
        <w:rPr>
          <w:rFonts w:ascii="Times New Roman" w:hAnsi="Times New Roman" w:cs="Times New Roman"/>
          <w:sz w:val="24"/>
          <w:szCs w:val="24"/>
          <w:lang w:val="en-US" w:eastAsia="en-KE"/>
        </w:rPr>
        <w:t>79</w:t>
      </w:r>
      <w:r w:rsidRPr="001D3677">
        <w:rPr>
          <w:rFonts w:ascii="Times New Roman" w:hAnsi="Times New Roman" w:cs="Times New Roman"/>
          <w:sz w:val="24"/>
          <w:szCs w:val="24"/>
          <w:lang w:eastAsia="en-KE"/>
        </w:rPr>
        <w:t xml:space="preserve">. All factor loadings exceeded the minimum acceptable threshold of 0.50 recommended by Hair et al. (2019), indicating strong relationships between the observed variables and their respective latent constructs. </w:t>
      </w:r>
      <w:r w:rsidR="00793446">
        <w:rPr>
          <w:rFonts w:ascii="Times New Roman" w:hAnsi="Times New Roman" w:cs="Times New Roman"/>
          <w:sz w:val="24"/>
          <w:szCs w:val="24"/>
          <w:lang w:val="en-US" w:eastAsia="en-KE"/>
        </w:rPr>
        <w:t xml:space="preserve">Moreover, </w:t>
      </w:r>
      <w:r w:rsidR="00793446">
        <w:rPr>
          <w:rFonts w:ascii="Times New Roman" w:hAnsi="Times New Roman" w:cs="Times New Roman"/>
          <w:sz w:val="24"/>
          <w:szCs w:val="24"/>
          <w:lang w:eastAsia="en-KE"/>
        </w:rPr>
        <w:t>the</w:t>
      </w:r>
      <w:r w:rsidRPr="001D3677">
        <w:rPr>
          <w:rFonts w:ascii="Times New Roman" w:hAnsi="Times New Roman" w:cs="Times New Roman"/>
          <w:sz w:val="24"/>
          <w:szCs w:val="24"/>
          <w:lang w:eastAsia="en-KE"/>
        </w:rPr>
        <w:t xml:space="preserve"> absence of problematic cross-loadings further supported construct clarity and discriminant validity among the three study variables. Overall, the exploratory factor analysis (EFA) results confirmed that the survey instrument demonstrated satisfactory construct validity.</w:t>
      </w:r>
      <w:r w:rsidR="005D0306">
        <w:rPr>
          <w:rFonts w:ascii="Times New Roman" w:hAnsi="Times New Roman" w:cs="Times New Roman"/>
          <w:sz w:val="24"/>
          <w:szCs w:val="24"/>
          <w:lang w:val="en-US" w:eastAsia="en-KE"/>
        </w:rPr>
        <w:t xml:space="preserve"> As such, t</w:t>
      </w:r>
      <w:r w:rsidRPr="001D3677">
        <w:rPr>
          <w:rFonts w:ascii="Times New Roman" w:hAnsi="Times New Roman" w:cs="Times New Roman"/>
          <w:sz w:val="24"/>
          <w:szCs w:val="24"/>
          <w:lang w:eastAsia="en-KE"/>
        </w:rPr>
        <w:t>he acceptable Kaiser-Meyer-Olkin (KMO) statistic, significant Bartlett’s Test of Sphericity, high cumulative variance explained, strong communalities, and substantial factor loadings collectively indicated that the questionnaire items effectively measured the intended constructs of policy and governance dimensions of the circular economy, stakeholder collaboration, and sustainable destination competitiveness within Kenya’s Coastal Tourism Circuit.</w:t>
      </w:r>
    </w:p>
    <w:p w:rsidR="006A4890" w:rsidRPr="001D3677" w:rsidRDefault="006A4890" w:rsidP="001D3677">
      <w:pPr>
        <w:pStyle w:val="NoSpacing"/>
        <w:jc w:val="both"/>
        <w:rPr>
          <w:rFonts w:ascii="Times New Roman" w:hAnsi="Times New Roman" w:cs="Times New Roman"/>
          <w:sz w:val="24"/>
          <w:szCs w:val="24"/>
        </w:rPr>
      </w:pPr>
    </w:p>
    <w:p w:rsidR="00AF264F" w:rsidRDefault="00AF264F"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Reliability </w:t>
      </w:r>
      <w:r w:rsidR="00580290">
        <w:rPr>
          <w:rFonts w:ascii="Times New Roman" w:hAnsi="Times New Roman" w:cs="Times New Roman"/>
          <w:b/>
          <w:sz w:val="24"/>
          <w:szCs w:val="24"/>
          <w:lang w:val="en-US"/>
        </w:rPr>
        <w:t>of the Survey Instrument</w:t>
      </w:r>
    </w:p>
    <w:p w:rsidR="00580290" w:rsidRPr="00580290" w:rsidRDefault="00580290" w:rsidP="00580290">
      <w:pPr>
        <w:pStyle w:val="NoSpacing"/>
        <w:jc w:val="both"/>
        <w:rPr>
          <w:rFonts w:ascii="Times New Roman" w:hAnsi="Times New Roman" w:cs="Times New Roman"/>
          <w:sz w:val="24"/>
          <w:szCs w:val="24"/>
          <w:lang w:val="en-US"/>
        </w:rPr>
      </w:pPr>
      <w:r w:rsidRPr="00580290">
        <w:rPr>
          <w:rFonts w:ascii="Times New Roman" w:hAnsi="Times New Roman" w:cs="Times New Roman"/>
          <w:sz w:val="24"/>
          <w:szCs w:val="24"/>
          <w:lang w:val="en-US"/>
        </w:rPr>
        <w:t xml:space="preserve">Reliability and internal consistency of the survey instrument were assessed by computing Cronbach’s alpha coefficients for the measurement items representing the study constructs. This analysis </w:t>
      </w:r>
      <w:r w:rsidR="00800620">
        <w:rPr>
          <w:rFonts w:ascii="Times New Roman" w:hAnsi="Times New Roman" w:cs="Times New Roman"/>
          <w:sz w:val="24"/>
          <w:szCs w:val="24"/>
          <w:lang w:val="en-US"/>
        </w:rPr>
        <w:t>assesses the extent to which items measuring the same latent variable yield consistent results, which is critical for ensuring data stability prior to</w:t>
      </w:r>
      <w:r w:rsidRPr="00580290">
        <w:rPr>
          <w:rFonts w:ascii="Times New Roman" w:hAnsi="Times New Roman" w:cs="Times New Roman"/>
          <w:sz w:val="24"/>
          <w:szCs w:val="24"/>
          <w:lang w:val="en-US"/>
        </w:rPr>
        <w:t xml:space="preserve"> conducting inferential statistical analyses (Cronbach, 1951; Taber, 2018). The reliability analysis indicated that the questionnaire achieved a raw Cronbach’s alpha coefficient of 0.804 and a standardized item alpha coefficient of 0.860 as presented in Table 6, both of which exceeded the conventional minimum threshold of 0.70 recommended for behavioral and exploratory social science research (Hair et al., 2019; Nunnally &amp; Bernstein, 1994). In addition, as noted by George &amp; Mallery (2020),</w:t>
      </w:r>
      <w:r w:rsidR="00800620">
        <w:rPr>
          <w:rFonts w:ascii="Times New Roman" w:hAnsi="Times New Roman" w:cs="Times New Roman"/>
          <w:sz w:val="24"/>
          <w:szCs w:val="24"/>
          <w:lang w:val="en-US"/>
        </w:rPr>
        <w:t xml:space="preserve"> coefficients above 0.80 are considered good indicators of internal consistency, thereby confirming that the instrument’s</w:t>
      </w:r>
      <w:r w:rsidRPr="00580290">
        <w:rPr>
          <w:rFonts w:ascii="Times New Roman" w:hAnsi="Times New Roman" w:cs="Times New Roman"/>
          <w:sz w:val="24"/>
          <w:szCs w:val="24"/>
          <w:lang w:val="en-US"/>
        </w:rPr>
        <w:t xml:space="preserve"> items </w:t>
      </w:r>
      <w:r w:rsidR="00DA50E8">
        <w:rPr>
          <w:rFonts w:ascii="Times New Roman" w:hAnsi="Times New Roman" w:cs="Times New Roman"/>
          <w:sz w:val="24"/>
          <w:szCs w:val="24"/>
          <w:lang w:val="en-US"/>
        </w:rPr>
        <w:t>were</w:t>
      </w:r>
      <w:r w:rsidRPr="00580290">
        <w:rPr>
          <w:rFonts w:ascii="Times New Roman" w:hAnsi="Times New Roman" w:cs="Times New Roman"/>
          <w:sz w:val="24"/>
          <w:szCs w:val="24"/>
          <w:lang w:val="en-US"/>
        </w:rPr>
        <w:t xml:space="preserve"> stable and robust. The instrument was therefore considered sufficiently reliable for subsequent multivariate statistical analyses.</w:t>
      </w:r>
    </w:p>
    <w:p w:rsidR="001D68D0" w:rsidRDefault="001D68D0" w:rsidP="00580290">
      <w:pPr>
        <w:pStyle w:val="NoSpacing"/>
        <w:jc w:val="both"/>
        <w:rPr>
          <w:rFonts w:ascii="Times New Roman" w:hAnsi="Times New Roman" w:cs="Times New Roman"/>
          <w:sz w:val="24"/>
          <w:szCs w:val="24"/>
          <w:lang w:val="en-US"/>
        </w:rPr>
      </w:pPr>
    </w:p>
    <w:p w:rsidR="00AF264F" w:rsidRPr="001D68D0" w:rsidRDefault="001D68D0" w:rsidP="00580290">
      <w:pPr>
        <w:pStyle w:val="NoSpacing"/>
        <w:jc w:val="both"/>
        <w:rPr>
          <w:rFonts w:ascii="Times New Roman" w:hAnsi="Times New Roman" w:cs="Times New Roman"/>
          <w:b/>
          <w:sz w:val="24"/>
          <w:szCs w:val="24"/>
          <w:lang w:val="en-US"/>
        </w:rPr>
      </w:pPr>
      <w:r w:rsidRPr="001D68D0">
        <w:rPr>
          <w:rFonts w:ascii="Times New Roman" w:hAnsi="Times New Roman" w:cs="Times New Roman"/>
          <w:b/>
          <w:sz w:val="24"/>
          <w:szCs w:val="24"/>
          <w:lang w:val="en-US"/>
        </w:rPr>
        <w:t xml:space="preserve">Table 6: </w:t>
      </w:r>
      <w:r w:rsidRPr="001D68D0">
        <w:rPr>
          <w:rFonts w:ascii="Times New Roman" w:hAnsi="Times New Roman" w:cs="Times New Roman"/>
          <w:b/>
          <w:bCs/>
          <w:color w:val="000000"/>
          <w:sz w:val="24"/>
          <w:szCs w:val="24"/>
        </w:rPr>
        <w:t>Reliability Statistics</w:t>
      </w:r>
    </w:p>
    <w:tbl>
      <w:tblPr>
        <w:tblW w:w="10493" w:type="dxa"/>
        <w:tblLayout w:type="fixed"/>
        <w:tblCellMar>
          <w:left w:w="0" w:type="dxa"/>
          <w:right w:w="0" w:type="dxa"/>
        </w:tblCellMar>
        <w:tblLook w:val="0000" w:firstRow="0" w:lastRow="0" w:firstColumn="0" w:lastColumn="0" w:noHBand="0" w:noVBand="0"/>
      </w:tblPr>
      <w:tblGrid>
        <w:gridCol w:w="3785"/>
        <w:gridCol w:w="3787"/>
        <w:gridCol w:w="2921"/>
      </w:tblGrid>
      <w:tr w:rsidR="00AF264F" w:rsidRPr="008820ED" w:rsidTr="004D1F49">
        <w:trPr>
          <w:cantSplit/>
          <w:trHeight w:val="429"/>
        </w:trPr>
        <w:tc>
          <w:tcPr>
            <w:tcW w:w="3785" w:type="dxa"/>
            <w:tcBorders>
              <w:top w:val="single" w:sz="4" w:space="0" w:color="auto"/>
              <w:bottom w:val="single" w:sz="4" w:space="0" w:color="auto"/>
            </w:tcBorders>
            <w:shd w:val="clear" w:color="auto" w:fill="FFFFFF"/>
          </w:tcPr>
          <w:p w:rsidR="00AF264F" w:rsidRPr="008820ED" w:rsidRDefault="00AF264F" w:rsidP="00AF264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Cronbach's Alpha</w:t>
            </w:r>
          </w:p>
        </w:tc>
        <w:tc>
          <w:tcPr>
            <w:tcW w:w="3787" w:type="dxa"/>
            <w:tcBorders>
              <w:top w:val="single" w:sz="4" w:space="0" w:color="auto"/>
              <w:bottom w:val="single" w:sz="4" w:space="0" w:color="auto"/>
            </w:tcBorders>
            <w:shd w:val="clear" w:color="auto" w:fill="FFFFFF"/>
          </w:tcPr>
          <w:p w:rsidR="00AF264F" w:rsidRPr="008820ED" w:rsidRDefault="00AF264F" w:rsidP="00AF264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Cronbach's Alpha Based on Standardized Items</w:t>
            </w:r>
          </w:p>
        </w:tc>
        <w:tc>
          <w:tcPr>
            <w:tcW w:w="2921" w:type="dxa"/>
            <w:tcBorders>
              <w:top w:val="single" w:sz="4" w:space="0" w:color="auto"/>
              <w:bottom w:val="single" w:sz="4" w:space="0" w:color="auto"/>
            </w:tcBorders>
            <w:shd w:val="clear" w:color="auto" w:fill="FFFFFF"/>
          </w:tcPr>
          <w:p w:rsidR="00AF264F" w:rsidRPr="008820ED" w:rsidRDefault="00AF264F" w:rsidP="00AF264F">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N of Items</w:t>
            </w:r>
          </w:p>
        </w:tc>
      </w:tr>
      <w:tr w:rsidR="00AF264F" w:rsidRPr="008820ED" w:rsidTr="004D1F49">
        <w:trPr>
          <w:cantSplit/>
          <w:trHeight w:val="157"/>
        </w:trPr>
        <w:tc>
          <w:tcPr>
            <w:tcW w:w="3785" w:type="dxa"/>
            <w:tcBorders>
              <w:top w:val="single" w:sz="4" w:space="0" w:color="auto"/>
              <w:bottom w:val="single" w:sz="4" w:space="0" w:color="auto"/>
            </w:tcBorders>
            <w:shd w:val="clear" w:color="auto" w:fill="FFFFFF"/>
            <w:vAlign w:val="center"/>
          </w:tcPr>
          <w:p w:rsidR="00AF264F" w:rsidRPr="008820ED" w:rsidRDefault="00AF264F" w:rsidP="003B644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.804</w:t>
            </w:r>
          </w:p>
        </w:tc>
        <w:tc>
          <w:tcPr>
            <w:tcW w:w="3787" w:type="dxa"/>
            <w:tcBorders>
              <w:top w:val="single" w:sz="4" w:space="0" w:color="auto"/>
              <w:bottom w:val="single" w:sz="4" w:space="0" w:color="auto"/>
            </w:tcBorders>
            <w:shd w:val="clear" w:color="auto" w:fill="FFFFFF"/>
            <w:vAlign w:val="center"/>
          </w:tcPr>
          <w:p w:rsidR="00AF264F" w:rsidRPr="008820ED" w:rsidRDefault="00AF264F" w:rsidP="003B644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.860</w:t>
            </w:r>
          </w:p>
        </w:tc>
        <w:tc>
          <w:tcPr>
            <w:tcW w:w="2921" w:type="dxa"/>
            <w:tcBorders>
              <w:top w:val="single" w:sz="4" w:space="0" w:color="auto"/>
              <w:bottom w:val="single" w:sz="4" w:space="0" w:color="auto"/>
            </w:tcBorders>
            <w:shd w:val="clear" w:color="auto" w:fill="FFFFFF"/>
            <w:vAlign w:val="center"/>
          </w:tcPr>
          <w:p w:rsidR="00AF264F" w:rsidRPr="00457AB2" w:rsidRDefault="00AF264F" w:rsidP="003B6447">
            <w:pPr>
              <w:autoSpaceDE w:val="0"/>
              <w:autoSpaceDN w:val="0"/>
              <w:adjustRightInd w:val="0"/>
              <w:spacing w:after="0" w:line="320" w:lineRule="atLeast"/>
              <w:ind w:left="60" w:right="60"/>
              <w:jc w:val="center"/>
              <w:rPr>
                <w:rFonts w:ascii="Times New Roman" w:hAnsi="Times New Roman" w:cs="Times New Roman"/>
                <w:color w:val="000000"/>
                <w:sz w:val="24"/>
                <w:szCs w:val="24"/>
                <w:lang w:val="en-US"/>
              </w:rPr>
            </w:pPr>
            <w:r w:rsidRPr="008820ED">
              <w:rPr>
                <w:rFonts w:ascii="Times New Roman" w:hAnsi="Times New Roman" w:cs="Times New Roman"/>
                <w:color w:val="000000"/>
                <w:sz w:val="24"/>
                <w:szCs w:val="24"/>
              </w:rPr>
              <w:t>2</w:t>
            </w:r>
            <w:r w:rsidR="00457AB2">
              <w:rPr>
                <w:rFonts w:ascii="Times New Roman" w:hAnsi="Times New Roman" w:cs="Times New Roman"/>
                <w:color w:val="000000"/>
                <w:sz w:val="24"/>
                <w:szCs w:val="24"/>
                <w:lang w:val="en-US"/>
              </w:rPr>
              <w:t>4</w:t>
            </w:r>
          </w:p>
        </w:tc>
      </w:tr>
    </w:tbl>
    <w:p w:rsidR="0031126C" w:rsidRDefault="00AF264F"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3D7CC7" w:rsidRPr="003D7CC7">
        <w:rPr>
          <w:rFonts w:ascii="Times New Roman" w:hAnsi="Times New Roman" w:cs="Times New Roman"/>
          <w:b/>
          <w:sz w:val="24"/>
          <w:szCs w:val="24"/>
          <w:lang w:val="en-US"/>
        </w:rPr>
        <w:t>Analysis of</w:t>
      </w:r>
      <w:r w:rsidR="003D7CC7">
        <w:rPr>
          <w:rFonts w:ascii="Times New Roman" w:hAnsi="Times New Roman" w:cs="Times New Roman"/>
          <w:b/>
          <w:sz w:val="24"/>
          <w:szCs w:val="24"/>
          <w:lang w:val="en-US"/>
        </w:rPr>
        <w:t xml:space="preserve"> the</w:t>
      </w:r>
      <w:r w:rsidR="003D7CC7" w:rsidRPr="003D7CC7">
        <w:rPr>
          <w:rFonts w:ascii="Times New Roman" w:hAnsi="Times New Roman" w:cs="Times New Roman"/>
          <w:b/>
          <w:sz w:val="24"/>
          <w:szCs w:val="24"/>
          <w:lang w:val="en-US"/>
        </w:rPr>
        <w:t xml:space="preserve"> Study Objective </w:t>
      </w:r>
    </w:p>
    <w:p w:rsidR="00A97142" w:rsidRPr="00A97142" w:rsidRDefault="008B01F5" w:rsidP="00CF2004">
      <w:pPr>
        <w:pStyle w:val="NoSpacing"/>
        <w:jc w:val="both"/>
        <w:rPr>
          <w:rFonts w:ascii="Times New Roman" w:hAnsi="Times New Roman" w:cs="Times New Roman"/>
          <w:sz w:val="24"/>
          <w:szCs w:val="24"/>
          <w:lang w:val="en-US"/>
        </w:rPr>
      </w:pPr>
      <w:r w:rsidRPr="008B01F5">
        <w:rPr>
          <w:rFonts w:ascii="Times New Roman" w:hAnsi="Times New Roman" w:cs="Times New Roman"/>
          <w:sz w:val="24"/>
          <w:szCs w:val="24"/>
        </w:rPr>
        <w:t>T</w:t>
      </w:r>
      <w:r>
        <w:rPr>
          <w:rFonts w:ascii="Times New Roman" w:hAnsi="Times New Roman" w:cs="Times New Roman"/>
          <w:sz w:val="24"/>
          <w:szCs w:val="24"/>
          <w:lang w:val="en-US"/>
        </w:rPr>
        <w:t>he study sought to</w:t>
      </w:r>
      <w:r w:rsidRPr="008B01F5">
        <w:rPr>
          <w:rFonts w:ascii="Times New Roman" w:hAnsi="Times New Roman" w:cs="Times New Roman"/>
          <w:sz w:val="24"/>
          <w:szCs w:val="24"/>
        </w:rPr>
        <w:t xml:space="preserve"> examine the influence of policy and governance dimensions of the circular economy on sustainable destination competitiveness in Kenya’s Coastal Tourism Circuit, and to determine the mediating role of stakeholder collaboration in this relationship.</w:t>
      </w:r>
      <w:r w:rsidR="00CF2004">
        <w:rPr>
          <w:rFonts w:ascii="Times New Roman" w:hAnsi="Times New Roman" w:cs="Times New Roman"/>
          <w:sz w:val="24"/>
          <w:szCs w:val="24"/>
          <w:lang w:val="en-US"/>
        </w:rPr>
        <w:t xml:space="preserve"> </w:t>
      </w:r>
      <w:r w:rsidR="00A97142" w:rsidRPr="00A97142">
        <w:rPr>
          <w:rFonts w:ascii="Times New Roman" w:eastAsia="Times New Roman" w:hAnsi="Times New Roman" w:cs="Times New Roman"/>
          <w:sz w:val="24"/>
          <w:szCs w:val="24"/>
          <w:lang w:eastAsia="en-KE"/>
        </w:rPr>
        <w:t xml:space="preserve">Descriptive statistics were utilized to analyze and summarize </w:t>
      </w:r>
      <w:r w:rsidR="00A97142" w:rsidRPr="00A97142">
        <w:rPr>
          <w:rFonts w:ascii="Times New Roman" w:eastAsia="Times New Roman" w:hAnsi="Times New Roman" w:cs="Times New Roman"/>
          <w:sz w:val="24"/>
          <w:szCs w:val="24"/>
          <w:lang w:eastAsia="en-KE"/>
        </w:rPr>
        <w:lastRenderedPageBreak/>
        <w:t xml:space="preserve">respondents’ perceptions of policy and governance dimensions of the circular economy, stakeholder collaboration, and sustainable destination competitiveness within Kenya’s Coastal Tourism Circuit. </w:t>
      </w:r>
      <w:r w:rsidR="00D75338">
        <w:rPr>
          <w:rFonts w:ascii="Times New Roman" w:eastAsia="Times New Roman" w:hAnsi="Times New Roman" w:cs="Times New Roman"/>
          <w:sz w:val="24"/>
          <w:szCs w:val="24"/>
          <w:lang w:val="en-US" w:eastAsia="en-KE"/>
        </w:rPr>
        <w:t xml:space="preserve">Given that the </w:t>
      </w:r>
      <w:r w:rsidR="003106A0">
        <w:rPr>
          <w:rFonts w:ascii="Times New Roman" w:eastAsia="Times New Roman" w:hAnsi="Times New Roman" w:cs="Times New Roman"/>
          <w:sz w:val="24"/>
          <w:szCs w:val="24"/>
          <w:lang w:val="en-US" w:eastAsia="en-KE"/>
        </w:rPr>
        <w:t xml:space="preserve">study </w:t>
      </w:r>
      <w:r w:rsidR="00D75338">
        <w:rPr>
          <w:rFonts w:ascii="Times New Roman" w:eastAsia="Times New Roman" w:hAnsi="Times New Roman" w:cs="Times New Roman"/>
          <w:sz w:val="24"/>
          <w:szCs w:val="24"/>
          <w:lang w:val="en-US" w:eastAsia="en-KE"/>
        </w:rPr>
        <w:t>used</w:t>
      </w:r>
      <w:r w:rsidR="00A97142" w:rsidRPr="00A97142">
        <w:rPr>
          <w:rFonts w:ascii="Times New Roman" w:eastAsia="Times New Roman" w:hAnsi="Times New Roman" w:cs="Times New Roman"/>
          <w:sz w:val="24"/>
          <w:szCs w:val="24"/>
          <w:lang w:eastAsia="en-KE"/>
        </w:rPr>
        <w:t xml:space="preserve"> a five-point Likert scale (1 = Strongly Disagree to 5 = Strongly Agree)</w:t>
      </w:r>
      <w:r w:rsidR="00D75338">
        <w:rPr>
          <w:rFonts w:ascii="Times New Roman" w:eastAsia="Times New Roman" w:hAnsi="Times New Roman" w:cs="Times New Roman"/>
          <w:sz w:val="24"/>
          <w:szCs w:val="24"/>
          <w:lang w:val="en-US" w:eastAsia="en-KE"/>
        </w:rPr>
        <w:t xml:space="preserve">, </w:t>
      </w:r>
      <w:r w:rsidR="003106A0" w:rsidRPr="00A97142">
        <w:rPr>
          <w:rFonts w:ascii="Times New Roman" w:eastAsia="Times New Roman" w:hAnsi="Times New Roman" w:cs="Times New Roman"/>
          <w:sz w:val="24"/>
          <w:szCs w:val="24"/>
          <w:lang w:eastAsia="en-KE"/>
        </w:rPr>
        <w:t>descriptive</w:t>
      </w:r>
      <w:r w:rsidR="00A97142" w:rsidRPr="00A97142">
        <w:rPr>
          <w:rFonts w:ascii="Times New Roman" w:eastAsia="Times New Roman" w:hAnsi="Times New Roman" w:cs="Times New Roman"/>
          <w:sz w:val="24"/>
          <w:szCs w:val="24"/>
          <w:lang w:eastAsia="en-KE"/>
        </w:rPr>
        <w:t xml:space="preserve"> analysis was deemed appropriate, as Likert scale data are typically </w:t>
      </w:r>
      <w:r w:rsidR="003D7CC7">
        <w:rPr>
          <w:rFonts w:ascii="Times New Roman" w:eastAsia="Times New Roman" w:hAnsi="Times New Roman" w:cs="Times New Roman"/>
          <w:sz w:val="24"/>
          <w:szCs w:val="24"/>
          <w:lang w:eastAsia="en-KE"/>
        </w:rPr>
        <w:t>analyzed</w:t>
      </w:r>
      <w:r w:rsidR="00A97142" w:rsidRPr="00A97142">
        <w:rPr>
          <w:rFonts w:ascii="Times New Roman" w:eastAsia="Times New Roman" w:hAnsi="Times New Roman" w:cs="Times New Roman"/>
          <w:sz w:val="24"/>
          <w:szCs w:val="24"/>
          <w:lang w:eastAsia="en-KE"/>
        </w:rPr>
        <w:t xml:space="preserve"> using measures of central tendency and dispersion to capture respondents’ attitudes and agreement levels with specific statements (Boone &amp; Boone, 2012; Joshi et al., 2015). </w:t>
      </w:r>
      <w:r w:rsidR="007C615D">
        <w:rPr>
          <w:rFonts w:ascii="Times New Roman" w:eastAsia="Times New Roman" w:hAnsi="Times New Roman" w:cs="Times New Roman"/>
          <w:sz w:val="24"/>
          <w:szCs w:val="24"/>
          <w:lang w:val="en-US" w:eastAsia="en-KE"/>
        </w:rPr>
        <w:t>To this end, m</w:t>
      </w:r>
      <w:proofErr w:type="spellStart"/>
      <w:r w:rsidR="00A97142" w:rsidRPr="00A97142">
        <w:rPr>
          <w:rFonts w:ascii="Times New Roman" w:eastAsia="Times New Roman" w:hAnsi="Times New Roman" w:cs="Times New Roman"/>
          <w:sz w:val="24"/>
          <w:szCs w:val="24"/>
          <w:lang w:eastAsia="en-KE"/>
        </w:rPr>
        <w:t>eans</w:t>
      </w:r>
      <w:proofErr w:type="spellEnd"/>
      <w:r w:rsidR="00A97142" w:rsidRPr="00A97142">
        <w:rPr>
          <w:rFonts w:ascii="Times New Roman" w:eastAsia="Times New Roman" w:hAnsi="Times New Roman" w:cs="Times New Roman"/>
          <w:sz w:val="24"/>
          <w:szCs w:val="24"/>
          <w:lang w:eastAsia="en-KE"/>
        </w:rPr>
        <w:t xml:space="preserve"> and standard deviations were calculated to interpret the data, with mean scores indicating the direction and magnitude of perceptions, and standard deviations assessing the degree of variability or consensus among responses (Field, 2018; Hair et al., 2019). Higher mean scores signified stronger agreement with statements on circular economy governance, stakeholder collaboration, and sustainable destination competitiveness. Lower standard deviation values indicated greater consistency in respondents’ views. Thus, descriptive statistics provided a robust foundation for interpreting the extent to which the study constructs were practiced within </w:t>
      </w:r>
      <w:r w:rsidR="00165D47">
        <w:rPr>
          <w:rFonts w:ascii="Times New Roman" w:eastAsia="Times New Roman" w:hAnsi="Times New Roman" w:cs="Times New Roman"/>
          <w:sz w:val="24"/>
          <w:szCs w:val="24"/>
          <w:lang w:val="en-US" w:eastAsia="en-KE"/>
        </w:rPr>
        <w:t>registered accommodation facilities</w:t>
      </w:r>
      <w:r w:rsidR="00A97142" w:rsidRPr="00A97142">
        <w:rPr>
          <w:rFonts w:ascii="Times New Roman" w:eastAsia="Times New Roman" w:hAnsi="Times New Roman" w:cs="Times New Roman"/>
          <w:sz w:val="24"/>
          <w:szCs w:val="24"/>
          <w:lang w:eastAsia="en-KE"/>
        </w:rPr>
        <w:t xml:space="preserve"> in Kenya’s Coastal Tourism Circuit.</w:t>
      </w:r>
      <w:r w:rsidR="00B55AF6">
        <w:rPr>
          <w:rFonts w:ascii="Times New Roman" w:eastAsia="Times New Roman" w:hAnsi="Times New Roman" w:cs="Times New Roman"/>
          <w:sz w:val="24"/>
          <w:szCs w:val="24"/>
          <w:lang w:val="en-US" w:eastAsia="en-KE"/>
        </w:rPr>
        <w:t xml:space="preserve"> The results of the descriptive analysis are presented in Tables 7 to 9. </w:t>
      </w:r>
    </w:p>
    <w:p w:rsidR="0031126C" w:rsidRDefault="0031126C" w:rsidP="00650868">
      <w:pPr>
        <w:pStyle w:val="NoSpacing"/>
        <w:jc w:val="both"/>
        <w:rPr>
          <w:rFonts w:ascii="Times New Roman" w:hAnsi="Times New Roman" w:cs="Times New Roman"/>
          <w:b/>
          <w:sz w:val="24"/>
          <w:szCs w:val="24"/>
          <w:lang w:val="en-US"/>
        </w:rPr>
      </w:pPr>
    </w:p>
    <w:p w:rsidR="00EB4E57" w:rsidRDefault="00EB4E57" w:rsidP="00EB4E57">
      <w:pPr>
        <w:spacing w:after="120" w:line="240" w:lineRule="auto"/>
        <w:jc w:val="both"/>
        <w:rPr>
          <w:rFonts w:ascii="Times New Roman" w:eastAsia="Times New Roman" w:hAnsi="Times New Roman" w:cs="Times New Roman"/>
          <w:sz w:val="24"/>
          <w:szCs w:val="24"/>
          <w:lang w:eastAsia="en-KE"/>
        </w:rPr>
      </w:pPr>
      <w:r w:rsidRPr="00EB4E57">
        <w:rPr>
          <w:rFonts w:ascii="Times New Roman" w:eastAsia="Times New Roman" w:hAnsi="Times New Roman" w:cs="Times New Roman"/>
          <w:sz w:val="24"/>
          <w:szCs w:val="24"/>
          <w:lang w:eastAsia="en-KE"/>
        </w:rPr>
        <w:t>Regarding the policy and governance aspects of the circular economy, respondents were asked to indicate their level of agreement with eleven statements concerning policies, regulations, and government support for circular economy practices in tourism. The results are summarized in Table 7.</w:t>
      </w:r>
    </w:p>
    <w:p w:rsidR="00DB4BCD" w:rsidRPr="00DB4BCD" w:rsidRDefault="00DB4BCD" w:rsidP="00563490">
      <w:pPr>
        <w:pStyle w:val="NoSpacing"/>
        <w:jc w:val="center"/>
        <w:rPr>
          <w:rFonts w:ascii="Times New Roman" w:hAnsi="Times New Roman" w:cs="Times New Roman"/>
          <w:b/>
          <w:sz w:val="24"/>
          <w:szCs w:val="24"/>
          <w:lang w:val="en-US"/>
        </w:rPr>
      </w:pPr>
      <w:r w:rsidRPr="00DB4BCD">
        <w:rPr>
          <w:rFonts w:ascii="Times New Roman" w:hAnsi="Times New Roman" w:cs="Times New Roman"/>
          <w:b/>
          <w:sz w:val="24"/>
          <w:szCs w:val="24"/>
          <w:lang w:val="en-US"/>
        </w:rPr>
        <w:t xml:space="preserve">Table 7: Descriptive </w:t>
      </w:r>
      <w:r w:rsidR="00563490" w:rsidRPr="00DB4BCD">
        <w:rPr>
          <w:rFonts w:ascii="Times New Roman" w:hAnsi="Times New Roman" w:cs="Times New Roman"/>
          <w:b/>
          <w:sz w:val="24"/>
          <w:szCs w:val="24"/>
          <w:lang w:val="en-US"/>
        </w:rPr>
        <w:t xml:space="preserve">Statistics for Policy and Governance Dimensions of </w:t>
      </w:r>
      <w:r w:rsidR="00563490">
        <w:rPr>
          <w:rFonts w:ascii="Times New Roman" w:hAnsi="Times New Roman" w:cs="Times New Roman"/>
          <w:b/>
          <w:sz w:val="24"/>
          <w:szCs w:val="24"/>
          <w:lang w:val="en-US"/>
        </w:rPr>
        <w:t>t</w:t>
      </w:r>
      <w:r w:rsidR="00563490" w:rsidRPr="00DB4BCD">
        <w:rPr>
          <w:rFonts w:ascii="Times New Roman" w:hAnsi="Times New Roman" w:cs="Times New Roman"/>
          <w:b/>
          <w:sz w:val="24"/>
          <w:szCs w:val="24"/>
          <w:lang w:val="en-US"/>
        </w:rPr>
        <w:t>he Circular Economy</w:t>
      </w:r>
    </w:p>
    <w:tbl>
      <w:tblPr>
        <w:tblW w:w="10533" w:type="dxa"/>
        <w:tblInd w:w="-20" w:type="dxa"/>
        <w:tblLayout w:type="fixed"/>
        <w:tblCellMar>
          <w:left w:w="0" w:type="dxa"/>
          <w:right w:w="0" w:type="dxa"/>
        </w:tblCellMar>
        <w:tblLook w:val="0000" w:firstRow="0" w:lastRow="0" w:firstColumn="0" w:lastColumn="0" w:noHBand="0" w:noVBand="0"/>
      </w:tblPr>
      <w:tblGrid>
        <w:gridCol w:w="664"/>
        <w:gridCol w:w="6955"/>
        <w:gridCol w:w="623"/>
        <w:gridCol w:w="850"/>
        <w:gridCol w:w="1441"/>
      </w:tblGrid>
      <w:tr w:rsidR="00DB4BCD" w:rsidRPr="008820ED" w:rsidTr="00315777">
        <w:trPr>
          <w:cantSplit/>
          <w:trHeight w:val="133"/>
        </w:trPr>
        <w:tc>
          <w:tcPr>
            <w:tcW w:w="664" w:type="dxa"/>
            <w:tcBorders>
              <w:top w:val="single" w:sz="4" w:space="0" w:color="auto"/>
              <w:bottom w:val="single" w:sz="4" w:space="0" w:color="auto"/>
            </w:tcBorders>
            <w:shd w:val="clear" w:color="auto" w:fill="FFFFFF"/>
          </w:tcPr>
          <w:p w:rsidR="00DB4BCD" w:rsidRPr="008820ED" w:rsidRDefault="00DB4BCD" w:rsidP="00DB4BCD">
            <w:pPr>
              <w:pStyle w:val="NoSpacing"/>
              <w:rPr>
                <w:rFonts w:ascii="Times New Roman" w:hAnsi="Times New Roman" w:cs="Times New Roman"/>
                <w:sz w:val="24"/>
                <w:szCs w:val="24"/>
                <w:lang w:val="en-US"/>
              </w:rPr>
            </w:pPr>
            <w:r w:rsidRPr="008820ED">
              <w:rPr>
                <w:rFonts w:ascii="Times New Roman" w:hAnsi="Times New Roman" w:cs="Times New Roman"/>
                <w:sz w:val="24"/>
                <w:szCs w:val="24"/>
                <w:lang w:val="en-US"/>
              </w:rPr>
              <w:t>No</w:t>
            </w:r>
          </w:p>
        </w:tc>
        <w:tc>
          <w:tcPr>
            <w:tcW w:w="6955" w:type="dxa"/>
            <w:tcBorders>
              <w:top w:val="single" w:sz="4" w:space="0" w:color="auto"/>
              <w:bottom w:val="single" w:sz="4" w:space="0" w:color="auto"/>
            </w:tcBorders>
            <w:shd w:val="clear" w:color="auto" w:fill="FFFFFF"/>
          </w:tcPr>
          <w:p w:rsidR="00DB4BCD" w:rsidRPr="008820ED" w:rsidRDefault="00DB4BCD" w:rsidP="00DB4BCD">
            <w:pPr>
              <w:pStyle w:val="NoSpacing"/>
              <w:rPr>
                <w:rFonts w:ascii="Times New Roman" w:hAnsi="Times New Roman" w:cs="Times New Roman"/>
                <w:sz w:val="24"/>
                <w:szCs w:val="24"/>
              </w:rPr>
            </w:pPr>
          </w:p>
        </w:tc>
        <w:tc>
          <w:tcPr>
            <w:tcW w:w="623" w:type="dxa"/>
            <w:tcBorders>
              <w:top w:val="single" w:sz="4" w:space="0" w:color="auto"/>
              <w:bottom w:val="single" w:sz="4" w:space="0" w:color="auto"/>
            </w:tcBorders>
            <w:shd w:val="clear" w:color="auto" w:fill="FFFFFF"/>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N</w:t>
            </w:r>
          </w:p>
        </w:tc>
        <w:tc>
          <w:tcPr>
            <w:tcW w:w="850" w:type="dxa"/>
            <w:tcBorders>
              <w:top w:val="single" w:sz="4" w:space="0" w:color="auto"/>
              <w:bottom w:val="single" w:sz="4" w:space="0" w:color="auto"/>
            </w:tcBorders>
            <w:shd w:val="clear" w:color="auto" w:fill="FFFFFF"/>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Mean</w:t>
            </w:r>
          </w:p>
        </w:tc>
        <w:tc>
          <w:tcPr>
            <w:tcW w:w="1441" w:type="dxa"/>
            <w:tcBorders>
              <w:top w:val="single" w:sz="4" w:space="0" w:color="auto"/>
              <w:bottom w:val="single" w:sz="4" w:space="0" w:color="auto"/>
            </w:tcBorders>
            <w:shd w:val="clear" w:color="auto" w:fill="FFFFFF"/>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Std. Deviation</w:t>
            </w:r>
          </w:p>
        </w:tc>
      </w:tr>
      <w:tr w:rsidR="00DB4BCD" w:rsidRPr="008820ED" w:rsidTr="00315777">
        <w:trPr>
          <w:cantSplit/>
          <w:trHeight w:val="83"/>
        </w:trPr>
        <w:tc>
          <w:tcPr>
            <w:tcW w:w="664" w:type="dxa"/>
            <w:tcBorders>
              <w:top w:val="single" w:sz="4" w:space="0" w:color="auto"/>
            </w:tcBorders>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tcBorders>
              <w:top w:val="single" w:sz="4" w:space="0" w:color="auto"/>
            </w:tcBorders>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I am aware of tourism policies that support environmental sustainability</w:t>
            </w:r>
          </w:p>
        </w:tc>
        <w:tc>
          <w:tcPr>
            <w:tcW w:w="623" w:type="dxa"/>
            <w:tcBorders>
              <w:top w:val="single" w:sz="4" w:space="0" w:color="auto"/>
            </w:tcBorders>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tcBorders>
              <w:top w:val="single" w:sz="4" w:space="0" w:color="auto"/>
            </w:tcBorders>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4.60</w:t>
            </w:r>
          </w:p>
        </w:tc>
        <w:tc>
          <w:tcPr>
            <w:tcW w:w="1441" w:type="dxa"/>
            <w:tcBorders>
              <w:top w:val="single" w:sz="4" w:space="0" w:color="auto"/>
            </w:tcBorders>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.56</w:t>
            </w:r>
          </w:p>
        </w:tc>
      </w:tr>
      <w:tr w:rsidR="00DB4BCD" w:rsidRPr="008820ED" w:rsidTr="00315777">
        <w:trPr>
          <w:cantSplit/>
          <w:trHeight w:val="281"/>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Government agencies encourage my enterprise to reduce the use of single-use plastics</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4.59</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.54</w:t>
            </w:r>
          </w:p>
        </w:tc>
      </w:tr>
      <w:tr w:rsidR="00DB4BCD" w:rsidRPr="008820ED" w:rsidTr="00315777">
        <w:trPr>
          <w:cantSplit/>
          <w:trHeight w:val="427"/>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My enterprise implements the sustainable waste management regulations to reduce waste</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4.60</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.56</w:t>
            </w:r>
          </w:p>
        </w:tc>
      </w:tr>
      <w:tr w:rsidR="00DB4BCD" w:rsidRPr="008820ED" w:rsidTr="00315777">
        <w:trPr>
          <w:cantSplit/>
          <w:trHeight w:val="175"/>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Tourism regulations encourage the recycling and reuse of materials</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4.08</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1.14</w:t>
            </w:r>
          </w:p>
        </w:tc>
      </w:tr>
      <w:tr w:rsidR="00DB4BCD" w:rsidRPr="008820ED" w:rsidTr="00315777">
        <w:trPr>
          <w:cantSplit/>
          <w:trHeight w:val="220"/>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Environmental regulations are well enforced in the tourism sector</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3.77</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1.47</w:t>
            </w:r>
          </w:p>
        </w:tc>
      </w:tr>
      <w:tr w:rsidR="00DB4BCD" w:rsidRPr="008820ED" w:rsidTr="00315777">
        <w:trPr>
          <w:cantSplit/>
          <w:trHeight w:val="266"/>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My enterprise has a formal policy for reusing items (e.g., containers and linen) rather than disposing them</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4.26</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.63</w:t>
            </w:r>
          </w:p>
        </w:tc>
      </w:tr>
      <w:tr w:rsidR="00DB4BCD" w:rsidRPr="008820ED" w:rsidTr="00315777">
        <w:trPr>
          <w:cantSplit/>
          <w:trHeight w:val="357"/>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My enterprise receives enough information on environmental compliance requirements</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4.13</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1.47</w:t>
            </w:r>
          </w:p>
        </w:tc>
      </w:tr>
      <w:tr w:rsidR="00DB4BCD" w:rsidRPr="008820ED" w:rsidTr="00315777">
        <w:trPr>
          <w:cantSplit/>
          <w:trHeight w:val="320"/>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My enterprise follows government guidelines for sorting and processing waste for recycling and energy recovery</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4.61</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.76</w:t>
            </w:r>
          </w:p>
        </w:tc>
      </w:tr>
      <w:tr w:rsidR="00DB4BCD" w:rsidRPr="008820ED" w:rsidTr="00315777">
        <w:trPr>
          <w:cantSplit/>
          <w:trHeight w:val="272"/>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Government support encourages my enterprise to adopt environmentally friendly practices</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3.96</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.55</w:t>
            </w:r>
          </w:p>
        </w:tc>
      </w:tr>
      <w:tr w:rsidR="00DB4BCD" w:rsidRPr="008820ED" w:rsidTr="00315777">
        <w:trPr>
          <w:cantSplit/>
          <w:trHeight w:val="363"/>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The County government supports my enterprise in implementing circular economy practices</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3.89</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1.52</w:t>
            </w:r>
          </w:p>
        </w:tc>
      </w:tr>
      <w:tr w:rsidR="00DB4BCD" w:rsidRPr="008820ED" w:rsidTr="00315777">
        <w:trPr>
          <w:cantSplit/>
          <w:trHeight w:val="187"/>
        </w:trPr>
        <w:tc>
          <w:tcPr>
            <w:tcW w:w="664" w:type="dxa"/>
            <w:shd w:val="clear" w:color="auto" w:fill="FFFFFF"/>
          </w:tcPr>
          <w:p w:rsidR="00DB4BCD" w:rsidRPr="008820ED" w:rsidRDefault="00DB4BCD" w:rsidP="00DB4BCD">
            <w:pPr>
              <w:pStyle w:val="NoSpacing"/>
              <w:numPr>
                <w:ilvl w:val="0"/>
                <w:numId w:val="8"/>
              </w:numPr>
              <w:rPr>
                <w:rFonts w:ascii="Times New Roman" w:hAnsi="Times New Roman" w:cs="Times New Roman"/>
                <w:sz w:val="24"/>
                <w:szCs w:val="24"/>
              </w:rPr>
            </w:pPr>
          </w:p>
        </w:tc>
        <w:tc>
          <w:tcPr>
            <w:tcW w:w="6955" w:type="dxa"/>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Incentives from the government encourage tourism enterprises to implement sustainable practices</w:t>
            </w:r>
          </w:p>
        </w:tc>
        <w:tc>
          <w:tcPr>
            <w:tcW w:w="623" w:type="dxa"/>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shd w:val="clear" w:color="auto" w:fill="FFFFFF"/>
            <w:vAlign w:val="center"/>
          </w:tcPr>
          <w:p w:rsidR="00DB4BCD" w:rsidRPr="008820ED" w:rsidRDefault="00DB4BCD" w:rsidP="0030475F">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3.83</w:t>
            </w:r>
          </w:p>
        </w:tc>
        <w:tc>
          <w:tcPr>
            <w:tcW w:w="1441" w:type="dxa"/>
            <w:shd w:val="clear" w:color="auto" w:fill="FFFFFF"/>
            <w:vAlign w:val="center"/>
          </w:tcPr>
          <w:p w:rsidR="00DB4BCD" w:rsidRPr="008820ED" w:rsidRDefault="00DB4BCD" w:rsidP="00DB4BCD">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1.56</w:t>
            </w:r>
          </w:p>
        </w:tc>
      </w:tr>
      <w:tr w:rsidR="00DB4BCD" w:rsidRPr="008820ED" w:rsidTr="00315777">
        <w:trPr>
          <w:cantSplit/>
          <w:trHeight w:val="312"/>
        </w:trPr>
        <w:tc>
          <w:tcPr>
            <w:tcW w:w="664" w:type="dxa"/>
            <w:tcBorders>
              <w:bottom w:val="single" w:sz="4" w:space="0" w:color="auto"/>
            </w:tcBorders>
            <w:shd w:val="clear" w:color="auto" w:fill="FFFFFF"/>
          </w:tcPr>
          <w:p w:rsidR="00DB4BCD" w:rsidRPr="008820ED" w:rsidRDefault="00DB4BCD" w:rsidP="00DB4BCD">
            <w:pPr>
              <w:pStyle w:val="NoSpacing"/>
              <w:rPr>
                <w:rFonts w:ascii="Times New Roman" w:hAnsi="Times New Roman" w:cs="Times New Roman"/>
                <w:sz w:val="24"/>
                <w:szCs w:val="24"/>
              </w:rPr>
            </w:pPr>
          </w:p>
        </w:tc>
        <w:tc>
          <w:tcPr>
            <w:tcW w:w="6955" w:type="dxa"/>
            <w:tcBorders>
              <w:bottom w:val="single" w:sz="4" w:space="0" w:color="auto"/>
            </w:tcBorders>
            <w:shd w:val="clear" w:color="auto" w:fill="FFFFFF"/>
            <w:vAlign w:val="center"/>
          </w:tcPr>
          <w:p w:rsidR="00DB4BCD" w:rsidRPr="008820ED" w:rsidRDefault="00DB4BCD" w:rsidP="00DB4BCD">
            <w:pPr>
              <w:pStyle w:val="NoSpacing"/>
              <w:rPr>
                <w:rFonts w:ascii="Times New Roman" w:hAnsi="Times New Roman" w:cs="Times New Roman"/>
                <w:sz w:val="24"/>
                <w:szCs w:val="24"/>
              </w:rPr>
            </w:pPr>
            <w:r w:rsidRPr="008820ED">
              <w:rPr>
                <w:rFonts w:ascii="Times New Roman" w:hAnsi="Times New Roman" w:cs="Times New Roman"/>
                <w:sz w:val="24"/>
                <w:szCs w:val="24"/>
              </w:rPr>
              <w:t>Valid N (listwise)</w:t>
            </w:r>
          </w:p>
        </w:tc>
        <w:tc>
          <w:tcPr>
            <w:tcW w:w="623" w:type="dxa"/>
            <w:tcBorders>
              <w:bottom w:val="single" w:sz="4" w:space="0" w:color="auto"/>
            </w:tcBorders>
            <w:shd w:val="clear" w:color="auto" w:fill="FFFFFF"/>
            <w:vAlign w:val="center"/>
          </w:tcPr>
          <w:p w:rsidR="00DB4BCD" w:rsidRPr="008820ED" w:rsidRDefault="00DB4BCD" w:rsidP="00D956CA">
            <w:pPr>
              <w:pStyle w:val="NoSpacing"/>
              <w:jc w:val="center"/>
              <w:rPr>
                <w:rFonts w:ascii="Times New Roman" w:hAnsi="Times New Roman" w:cs="Times New Roman"/>
                <w:sz w:val="24"/>
                <w:szCs w:val="24"/>
              </w:rPr>
            </w:pPr>
            <w:r w:rsidRPr="008820ED">
              <w:rPr>
                <w:rFonts w:ascii="Times New Roman" w:hAnsi="Times New Roman" w:cs="Times New Roman"/>
                <w:sz w:val="24"/>
                <w:szCs w:val="24"/>
              </w:rPr>
              <w:t>309</w:t>
            </w:r>
          </w:p>
        </w:tc>
        <w:tc>
          <w:tcPr>
            <w:tcW w:w="850" w:type="dxa"/>
            <w:tcBorders>
              <w:bottom w:val="single" w:sz="4" w:space="0" w:color="auto"/>
            </w:tcBorders>
            <w:shd w:val="clear" w:color="auto" w:fill="FFFFFF"/>
          </w:tcPr>
          <w:p w:rsidR="00DB4BCD" w:rsidRPr="008820ED" w:rsidRDefault="00DB4BCD" w:rsidP="00DB4BCD">
            <w:pPr>
              <w:pStyle w:val="NoSpacing"/>
              <w:rPr>
                <w:rFonts w:ascii="Times New Roman" w:hAnsi="Times New Roman" w:cs="Times New Roman"/>
                <w:sz w:val="24"/>
                <w:szCs w:val="24"/>
              </w:rPr>
            </w:pPr>
          </w:p>
        </w:tc>
        <w:tc>
          <w:tcPr>
            <w:tcW w:w="1441" w:type="dxa"/>
            <w:tcBorders>
              <w:bottom w:val="single" w:sz="4" w:space="0" w:color="auto"/>
            </w:tcBorders>
            <w:shd w:val="clear" w:color="auto" w:fill="FFFFFF"/>
          </w:tcPr>
          <w:p w:rsidR="00DB4BCD" w:rsidRPr="008820ED" w:rsidRDefault="00DB4BCD" w:rsidP="00DB4BCD">
            <w:pPr>
              <w:pStyle w:val="NoSpacing"/>
              <w:rPr>
                <w:rFonts w:ascii="Times New Roman" w:hAnsi="Times New Roman" w:cs="Times New Roman"/>
                <w:sz w:val="24"/>
                <w:szCs w:val="24"/>
              </w:rPr>
            </w:pPr>
          </w:p>
        </w:tc>
      </w:tr>
    </w:tbl>
    <w:p w:rsidR="000A0AC0" w:rsidRPr="008820ED" w:rsidRDefault="000A0AC0" w:rsidP="000A0AC0">
      <w:pPr>
        <w:pStyle w:val="NoSpacing"/>
        <w:rPr>
          <w:rFonts w:ascii="Times New Roman" w:hAnsi="Times New Roman" w:cs="Times New Roman"/>
          <w:i/>
          <w:sz w:val="24"/>
          <w:szCs w:val="24"/>
          <w:lang w:val="en-US" w:eastAsia="en-KE"/>
        </w:rPr>
      </w:pPr>
      <w:r w:rsidRPr="008820ED">
        <w:rPr>
          <w:rFonts w:ascii="Times New Roman" w:hAnsi="Times New Roman" w:cs="Times New Roman"/>
          <w:i/>
          <w:sz w:val="24"/>
          <w:szCs w:val="24"/>
          <w:lang w:val="en-US" w:eastAsia="en-KE"/>
        </w:rPr>
        <w:t>Source: Survey findings,202</w:t>
      </w:r>
      <w:r w:rsidR="00BF7E05" w:rsidRPr="008820ED">
        <w:rPr>
          <w:rFonts w:ascii="Times New Roman" w:hAnsi="Times New Roman" w:cs="Times New Roman"/>
          <w:i/>
          <w:sz w:val="24"/>
          <w:szCs w:val="24"/>
          <w:lang w:val="en-US" w:eastAsia="en-KE"/>
        </w:rPr>
        <w:t>5</w:t>
      </w:r>
    </w:p>
    <w:p w:rsidR="000A0AC0" w:rsidRDefault="000A0AC0" w:rsidP="000A0AC0">
      <w:pPr>
        <w:pStyle w:val="NoSpacing"/>
        <w:rPr>
          <w:lang w:val="en-US" w:eastAsia="en-KE"/>
        </w:rPr>
      </w:pPr>
    </w:p>
    <w:p w:rsidR="00563490" w:rsidRPr="000A0AC0" w:rsidRDefault="00563490" w:rsidP="000A0AC0">
      <w:pPr>
        <w:pStyle w:val="NoSpacing"/>
        <w:jc w:val="both"/>
        <w:rPr>
          <w:rFonts w:ascii="Times New Roman" w:hAnsi="Times New Roman" w:cs="Times New Roman"/>
          <w:sz w:val="24"/>
          <w:szCs w:val="24"/>
          <w:lang w:val="en-US" w:eastAsia="en-KE"/>
        </w:rPr>
      </w:pPr>
      <w:r w:rsidRPr="000A0AC0">
        <w:rPr>
          <w:rFonts w:ascii="Times New Roman" w:hAnsi="Times New Roman" w:cs="Times New Roman"/>
          <w:sz w:val="24"/>
          <w:szCs w:val="24"/>
          <w:lang w:val="en-US" w:eastAsia="en-KE"/>
        </w:rPr>
        <w:t xml:space="preserve">The findings in Table 7 show that </w:t>
      </w:r>
      <w:r w:rsidRPr="000A0AC0">
        <w:rPr>
          <w:rFonts w:ascii="Times New Roman" w:hAnsi="Times New Roman" w:cs="Times New Roman"/>
          <w:sz w:val="24"/>
          <w:szCs w:val="24"/>
          <w:lang w:eastAsia="en-KE"/>
        </w:rPr>
        <w:t xml:space="preserve">respondents reported the highest compliance alignment with government guidelines for sorting and processing waste for recycling and energy recovery </w:t>
      </w:r>
      <w:r w:rsidRPr="000A0AC0">
        <w:rPr>
          <w:rFonts w:ascii="Times New Roman" w:hAnsi="Times New Roman" w:cs="Times New Roman"/>
          <w:i/>
          <w:sz w:val="24"/>
          <w:szCs w:val="24"/>
          <w:lang w:eastAsia="en-KE"/>
        </w:rPr>
        <w:t>(M = 4.61, SD = 0.76),</w:t>
      </w:r>
      <w:r w:rsidRPr="000A0AC0">
        <w:rPr>
          <w:rFonts w:ascii="Times New Roman" w:hAnsi="Times New Roman" w:cs="Times New Roman"/>
          <w:sz w:val="24"/>
          <w:szCs w:val="24"/>
          <w:lang w:eastAsia="en-KE"/>
        </w:rPr>
        <w:t xml:space="preserve"> closely followed by a high awareness of tourism policies that support environmental sustainability (</w:t>
      </w:r>
      <w:r w:rsidRPr="000A0AC0">
        <w:rPr>
          <w:rFonts w:ascii="Times New Roman" w:hAnsi="Times New Roman" w:cs="Times New Roman"/>
          <w:i/>
          <w:sz w:val="24"/>
          <w:szCs w:val="24"/>
          <w:lang w:eastAsia="en-KE"/>
        </w:rPr>
        <w:t>M = 4.60, SD = 0.560)</w:t>
      </w:r>
      <w:r w:rsidRPr="000A0AC0">
        <w:rPr>
          <w:rFonts w:ascii="Times New Roman" w:hAnsi="Times New Roman" w:cs="Times New Roman"/>
          <w:sz w:val="24"/>
          <w:szCs w:val="24"/>
          <w:lang w:eastAsia="en-KE"/>
        </w:rPr>
        <w:t xml:space="preserve"> and active implementation of sustainable waste management regulations to reduce waste (</w:t>
      </w:r>
      <w:r w:rsidRPr="000A0AC0">
        <w:rPr>
          <w:rFonts w:ascii="Times New Roman" w:hAnsi="Times New Roman" w:cs="Times New Roman"/>
          <w:i/>
          <w:sz w:val="24"/>
          <w:szCs w:val="24"/>
          <w:lang w:eastAsia="en-KE"/>
        </w:rPr>
        <w:t>M = 4.60, SD = 0.56).</w:t>
      </w:r>
      <w:r w:rsidRPr="000A0AC0">
        <w:rPr>
          <w:rFonts w:ascii="Times New Roman" w:hAnsi="Times New Roman" w:cs="Times New Roman"/>
          <w:sz w:val="24"/>
          <w:szCs w:val="24"/>
          <w:lang w:eastAsia="en-KE"/>
        </w:rPr>
        <w:t xml:space="preserve"> Similarly, strong agreement was observed </w:t>
      </w:r>
      <w:r w:rsidR="005B4BA5" w:rsidRPr="000A0AC0">
        <w:rPr>
          <w:rFonts w:ascii="Times New Roman" w:hAnsi="Times New Roman" w:cs="Times New Roman"/>
          <w:sz w:val="24"/>
          <w:szCs w:val="24"/>
          <w:lang w:eastAsia="en-KE"/>
        </w:rPr>
        <w:t>regarding institutional encouragement to reduce single-use plastics (M = 4.59, SD = 0.54) and the existence of formal enterprise-level policies for reusing items such as</w:t>
      </w:r>
      <w:r w:rsidRPr="000A0AC0">
        <w:rPr>
          <w:rFonts w:ascii="Times New Roman" w:hAnsi="Times New Roman" w:cs="Times New Roman"/>
          <w:sz w:val="24"/>
          <w:szCs w:val="24"/>
          <w:lang w:eastAsia="en-KE"/>
        </w:rPr>
        <w:t xml:space="preserve"> containers and linen </w:t>
      </w:r>
      <w:r w:rsidRPr="000A0AC0">
        <w:rPr>
          <w:rFonts w:ascii="Times New Roman" w:hAnsi="Times New Roman" w:cs="Times New Roman"/>
          <w:i/>
          <w:sz w:val="24"/>
          <w:szCs w:val="24"/>
          <w:lang w:eastAsia="en-KE"/>
        </w:rPr>
        <w:t>(M = 4.26, SD = 0.63).</w:t>
      </w:r>
      <w:r w:rsidRPr="000A0AC0">
        <w:rPr>
          <w:rFonts w:ascii="Times New Roman" w:hAnsi="Times New Roman" w:cs="Times New Roman"/>
          <w:sz w:val="24"/>
          <w:szCs w:val="24"/>
          <w:lang w:val="en-US" w:eastAsia="en-KE"/>
        </w:rPr>
        <w:t xml:space="preserve"> </w:t>
      </w:r>
      <w:r w:rsidRPr="000A0AC0">
        <w:rPr>
          <w:rFonts w:ascii="Times New Roman" w:hAnsi="Times New Roman" w:cs="Times New Roman"/>
          <w:sz w:val="24"/>
          <w:szCs w:val="24"/>
          <w:lang w:eastAsia="en-KE"/>
        </w:rPr>
        <w:t xml:space="preserve">Conversely, variables associated with enforcement, institutional support systems, and structural incentives showed lower mean scores and higher standard deviations, indicating greater dispersion and divergence in responses. The lowest level of agreement was recorded for the enforcement of environmental regulations in the tourism sector </w:t>
      </w:r>
      <w:r w:rsidRPr="000A0AC0">
        <w:rPr>
          <w:rFonts w:ascii="Times New Roman" w:hAnsi="Times New Roman" w:cs="Times New Roman"/>
          <w:i/>
          <w:sz w:val="24"/>
          <w:szCs w:val="24"/>
          <w:lang w:eastAsia="en-KE"/>
        </w:rPr>
        <w:t>(M = 3.77, SD = 1.47)</w:t>
      </w:r>
      <w:r w:rsidR="00A634A8" w:rsidRPr="000A0AC0">
        <w:rPr>
          <w:rFonts w:ascii="Times New Roman" w:hAnsi="Times New Roman" w:cs="Times New Roman"/>
          <w:i/>
          <w:sz w:val="24"/>
          <w:szCs w:val="24"/>
          <w:lang w:val="en-US" w:eastAsia="en-KE"/>
        </w:rPr>
        <w:t>,</w:t>
      </w:r>
      <w:r w:rsidRPr="000A0AC0">
        <w:rPr>
          <w:rFonts w:ascii="Times New Roman" w:hAnsi="Times New Roman" w:cs="Times New Roman"/>
          <w:sz w:val="24"/>
          <w:szCs w:val="24"/>
          <w:lang w:eastAsia="en-KE"/>
        </w:rPr>
        <w:t xml:space="preserve"> provision of government incentives to implement sustainable practices (M = 3.83, SD = 1.56), direct county government support in implementing circular economy practices (</w:t>
      </w:r>
      <w:r w:rsidRPr="000A0AC0">
        <w:rPr>
          <w:rFonts w:ascii="Times New Roman" w:hAnsi="Times New Roman" w:cs="Times New Roman"/>
          <w:i/>
          <w:sz w:val="24"/>
          <w:szCs w:val="24"/>
          <w:lang w:eastAsia="en-KE"/>
        </w:rPr>
        <w:t>M = 3.89, SD = 1.52),</w:t>
      </w:r>
      <w:r w:rsidRPr="000A0AC0">
        <w:rPr>
          <w:rFonts w:ascii="Times New Roman" w:hAnsi="Times New Roman" w:cs="Times New Roman"/>
          <w:sz w:val="24"/>
          <w:szCs w:val="24"/>
          <w:lang w:eastAsia="en-KE"/>
        </w:rPr>
        <w:t xml:space="preserve"> and national government support encouraging environmentally friendly practices (</w:t>
      </w:r>
      <w:r w:rsidRPr="000A0AC0">
        <w:rPr>
          <w:rFonts w:ascii="Times New Roman" w:hAnsi="Times New Roman" w:cs="Times New Roman"/>
          <w:i/>
          <w:sz w:val="24"/>
          <w:szCs w:val="24"/>
          <w:lang w:eastAsia="en-KE"/>
        </w:rPr>
        <w:t>M = 3.96, SD = 0.55)</w:t>
      </w:r>
      <w:r w:rsidR="00923172" w:rsidRPr="000A0AC0">
        <w:rPr>
          <w:rFonts w:ascii="Times New Roman" w:hAnsi="Times New Roman" w:cs="Times New Roman"/>
          <w:i/>
          <w:sz w:val="24"/>
          <w:szCs w:val="24"/>
          <w:lang w:val="en-US" w:eastAsia="en-KE"/>
        </w:rPr>
        <w:t>.</w:t>
      </w:r>
    </w:p>
    <w:p w:rsidR="000A0AC0" w:rsidRDefault="000A0AC0" w:rsidP="000A0AC0">
      <w:pPr>
        <w:spacing w:after="120" w:line="240" w:lineRule="auto"/>
        <w:jc w:val="both"/>
        <w:rPr>
          <w:rFonts w:ascii="Times New Roman" w:eastAsia="Times New Roman" w:hAnsi="Times New Roman" w:cs="Times New Roman"/>
          <w:sz w:val="24"/>
          <w:szCs w:val="24"/>
          <w:lang w:val="en-US" w:eastAsia="en-KE"/>
        </w:rPr>
      </w:pPr>
    </w:p>
    <w:p w:rsidR="008148D3" w:rsidRDefault="00DC367F" w:rsidP="000A0AC0">
      <w:pPr>
        <w:spacing w:after="120" w:line="240" w:lineRule="auto"/>
        <w:jc w:val="both"/>
        <w:rPr>
          <w:rFonts w:ascii="Times New Roman" w:eastAsia="Times New Roman" w:hAnsi="Times New Roman" w:cs="Times New Roman"/>
          <w:sz w:val="24"/>
          <w:szCs w:val="24"/>
          <w:lang w:val="en-US" w:eastAsia="en-KE"/>
        </w:rPr>
      </w:pPr>
      <w:r w:rsidRPr="000A0AC0">
        <w:rPr>
          <w:rFonts w:ascii="Times New Roman" w:eastAsia="Times New Roman" w:hAnsi="Times New Roman" w:cs="Times New Roman"/>
          <w:sz w:val="24"/>
          <w:szCs w:val="24"/>
          <w:lang w:val="en-US" w:eastAsia="en-KE"/>
        </w:rPr>
        <w:t xml:space="preserve">Regarding stakeholder collaboration, respondents were asked to indicate their level of agreement </w:t>
      </w:r>
      <w:r w:rsidR="00561E8C">
        <w:rPr>
          <w:rFonts w:ascii="Times New Roman" w:eastAsia="Times New Roman" w:hAnsi="Times New Roman" w:cs="Times New Roman"/>
          <w:sz w:val="24"/>
          <w:szCs w:val="24"/>
          <w:lang w:val="en-US" w:eastAsia="en-KE"/>
        </w:rPr>
        <w:t xml:space="preserve">with </w:t>
      </w:r>
      <w:r w:rsidR="00EB2BE5">
        <w:rPr>
          <w:rFonts w:ascii="Times New Roman" w:eastAsia="Times New Roman" w:hAnsi="Times New Roman" w:cs="Times New Roman"/>
          <w:sz w:val="24"/>
          <w:szCs w:val="24"/>
          <w:lang w:val="en-US" w:eastAsia="en-KE"/>
        </w:rPr>
        <w:t xml:space="preserve">eight indicators touching on </w:t>
      </w:r>
      <w:r w:rsidR="00561E8C">
        <w:rPr>
          <w:rFonts w:ascii="Times New Roman" w:eastAsia="Times New Roman" w:hAnsi="Times New Roman" w:cs="Times New Roman"/>
          <w:sz w:val="24"/>
          <w:szCs w:val="24"/>
          <w:lang w:val="en-US" w:eastAsia="en-KE"/>
        </w:rPr>
        <w:t>collaboration among stakeholders in implementing</w:t>
      </w:r>
      <w:r w:rsidRPr="000A0AC0">
        <w:rPr>
          <w:rFonts w:ascii="Times New Roman" w:eastAsia="Times New Roman" w:hAnsi="Times New Roman" w:cs="Times New Roman"/>
          <w:sz w:val="24"/>
          <w:szCs w:val="24"/>
          <w:lang w:val="en-US" w:eastAsia="en-KE"/>
        </w:rPr>
        <w:t xml:space="preserve"> circular economy practices. The results are shown in Table 8.</w:t>
      </w:r>
    </w:p>
    <w:p w:rsidR="008148D3" w:rsidRPr="00DC367F" w:rsidRDefault="00DC367F" w:rsidP="003106A0">
      <w:pPr>
        <w:pStyle w:val="NoSpacing"/>
        <w:jc w:val="center"/>
        <w:rPr>
          <w:rFonts w:ascii="Times New Roman" w:hAnsi="Times New Roman" w:cs="Times New Roman"/>
          <w:b/>
          <w:sz w:val="24"/>
          <w:szCs w:val="24"/>
          <w:lang w:val="en-US"/>
        </w:rPr>
      </w:pPr>
      <w:r w:rsidRPr="00DC367F">
        <w:rPr>
          <w:rFonts w:ascii="Times New Roman" w:hAnsi="Times New Roman" w:cs="Times New Roman"/>
          <w:b/>
          <w:bCs/>
          <w:color w:val="000000"/>
          <w:sz w:val="24"/>
          <w:szCs w:val="24"/>
          <w:lang w:val="en-US"/>
        </w:rPr>
        <w:t xml:space="preserve">Table 8: </w:t>
      </w:r>
      <w:r w:rsidR="008148D3" w:rsidRPr="00DC367F">
        <w:rPr>
          <w:rFonts w:ascii="Times New Roman" w:hAnsi="Times New Roman" w:cs="Times New Roman"/>
          <w:b/>
          <w:bCs/>
          <w:color w:val="000000"/>
          <w:sz w:val="24"/>
          <w:szCs w:val="24"/>
        </w:rPr>
        <w:t>Descriptive Statistics</w:t>
      </w:r>
      <w:r w:rsidRPr="00DC367F">
        <w:rPr>
          <w:rFonts w:ascii="Times New Roman" w:hAnsi="Times New Roman" w:cs="Times New Roman"/>
          <w:b/>
          <w:bCs/>
          <w:color w:val="000000"/>
          <w:sz w:val="24"/>
          <w:szCs w:val="24"/>
          <w:lang w:val="en-US"/>
        </w:rPr>
        <w:t xml:space="preserve"> for </w:t>
      </w:r>
      <w:r w:rsidR="008148D3" w:rsidRPr="00DC367F">
        <w:rPr>
          <w:rFonts w:ascii="Times New Roman" w:hAnsi="Times New Roman" w:cs="Times New Roman"/>
          <w:b/>
          <w:sz w:val="24"/>
          <w:szCs w:val="24"/>
          <w:lang w:val="en-US"/>
        </w:rPr>
        <w:t>Stakeholder collaboration</w:t>
      </w:r>
      <w:r w:rsidRPr="00DC367F">
        <w:rPr>
          <w:rFonts w:ascii="Times New Roman" w:hAnsi="Times New Roman" w:cs="Times New Roman"/>
          <w:b/>
          <w:sz w:val="24"/>
          <w:szCs w:val="24"/>
          <w:lang w:val="en-US"/>
        </w:rPr>
        <w:t xml:space="preserve"> in circular economy practices</w:t>
      </w:r>
    </w:p>
    <w:tbl>
      <w:tblPr>
        <w:tblW w:w="10293" w:type="dxa"/>
        <w:tblInd w:w="-20" w:type="dxa"/>
        <w:tblLayout w:type="fixed"/>
        <w:tblCellMar>
          <w:left w:w="0" w:type="dxa"/>
          <w:right w:w="0" w:type="dxa"/>
        </w:tblCellMar>
        <w:tblLook w:val="0000" w:firstRow="0" w:lastRow="0" w:firstColumn="0" w:lastColumn="0" w:noHBand="0" w:noVBand="0"/>
      </w:tblPr>
      <w:tblGrid>
        <w:gridCol w:w="891"/>
        <w:gridCol w:w="6353"/>
        <w:gridCol w:w="963"/>
        <w:gridCol w:w="962"/>
        <w:gridCol w:w="1124"/>
      </w:tblGrid>
      <w:tr w:rsidR="00DC367F" w:rsidRPr="008820ED" w:rsidTr="00315777">
        <w:trPr>
          <w:cantSplit/>
          <w:trHeight w:val="320"/>
        </w:trPr>
        <w:tc>
          <w:tcPr>
            <w:tcW w:w="891" w:type="dxa"/>
            <w:tcBorders>
              <w:top w:val="single" w:sz="4" w:space="0" w:color="auto"/>
            </w:tcBorders>
            <w:shd w:val="clear" w:color="auto" w:fill="FFFFFF"/>
          </w:tcPr>
          <w:p w:rsidR="008148D3" w:rsidRPr="008820ED" w:rsidRDefault="00DC367F" w:rsidP="008D0078">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8820ED">
              <w:rPr>
                <w:rFonts w:ascii="Times New Roman" w:hAnsi="Times New Roman" w:cs="Times New Roman"/>
                <w:color w:val="000000"/>
                <w:sz w:val="24"/>
                <w:szCs w:val="24"/>
                <w:lang w:val="en-US"/>
              </w:rPr>
              <w:t>No.</w:t>
            </w:r>
          </w:p>
        </w:tc>
        <w:tc>
          <w:tcPr>
            <w:tcW w:w="6353" w:type="dxa"/>
            <w:tcBorders>
              <w:top w:val="single" w:sz="4" w:space="0" w:color="auto"/>
            </w:tcBorders>
            <w:shd w:val="clear" w:color="auto" w:fill="FFFFFF"/>
          </w:tcPr>
          <w:p w:rsidR="008148D3" w:rsidRPr="008820ED" w:rsidRDefault="008148D3" w:rsidP="008D0078">
            <w:pPr>
              <w:autoSpaceDE w:val="0"/>
              <w:autoSpaceDN w:val="0"/>
              <w:adjustRightInd w:val="0"/>
              <w:spacing w:after="0" w:line="320" w:lineRule="atLeast"/>
              <w:ind w:left="60" w:right="60"/>
              <w:rPr>
                <w:rFonts w:ascii="Times New Roman" w:hAnsi="Times New Roman" w:cs="Times New Roman"/>
                <w:color w:val="000000"/>
                <w:sz w:val="24"/>
                <w:szCs w:val="24"/>
              </w:rPr>
            </w:pPr>
            <w:bookmarkStart w:id="0" w:name="_Hlk230002282"/>
          </w:p>
        </w:tc>
        <w:tc>
          <w:tcPr>
            <w:tcW w:w="963" w:type="dxa"/>
            <w:tcBorders>
              <w:top w:val="single" w:sz="4" w:space="0" w:color="auto"/>
            </w:tcBorders>
            <w:shd w:val="clear" w:color="auto" w:fill="FFFFFF"/>
          </w:tcPr>
          <w:p w:rsidR="008148D3" w:rsidRPr="008820ED" w:rsidRDefault="008148D3" w:rsidP="008D007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N</w:t>
            </w:r>
          </w:p>
        </w:tc>
        <w:tc>
          <w:tcPr>
            <w:tcW w:w="962" w:type="dxa"/>
            <w:tcBorders>
              <w:top w:val="single" w:sz="4" w:space="0" w:color="auto"/>
            </w:tcBorders>
            <w:shd w:val="clear" w:color="auto" w:fill="FFFFFF"/>
          </w:tcPr>
          <w:p w:rsidR="008148D3" w:rsidRPr="008820ED" w:rsidRDefault="008148D3" w:rsidP="008D0078">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Mean</w:t>
            </w:r>
          </w:p>
        </w:tc>
        <w:tc>
          <w:tcPr>
            <w:tcW w:w="1124" w:type="dxa"/>
            <w:tcBorders>
              <w:top w:val="single" w:sz="4" w:space="0" w:color="auto"/>
            </w:tcBorders>
            <w:shd w:val="clear" w:color="auto" w:fill="FFFFFF"/>
          </w:tcPr>
          <w:p w:rsidR="008148D3" w:rsidRPr="008820ED" w:rsidRDefault="008148D3" w:rsidP="00CE3A27">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8820ED">
              <w:rPr>
                <w:rFonts w:ascii="Times New Roman" w:hAnsi="Times New Roman" w:cs="Times New Roman"/>
                <w:color w:val="000000"/>
                <w:sz w:val="24"/>
                <w:szCs w:val="24"/>
              </w:rPr>
              <w:t>Std. Deviation</w:t>
            </w:r>
          </w:p>
        </w:tc>
      </w:tr>
      <w:tr w:rsidR="00DC367F" w:rsidRPr="008820ED" w:rsidTr="00315777">
        <w:trPr>
          <w:cantSplit/>
          <w:trHeight w:val="412"/>
        </w:trPr>
        <w:tc>
          <w:tcPr>
            <w:tcW w:w="891" w:type="dxa"/>
            <w:tcBorders>
              <w:top w:val="single" w:sz="4" w:space="0" w:color="auto"/>
            </w:tcBorders>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tcBorders>
              <w:top w:val="single" w:sz="4" w:space="0" w:color="auto"/>
            </w:tcBorders>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I collaborate with my suppliers to ensure they provide eco-friendly and sustainably packaged products.</w:t>
            </w:r>
          </w:p>
        </w:tc>
        <w:tc>
          <w:tcPr>
            <w:tcW w:w="963" w:type="dxa"/>
            <w:tcBorders>
              <w:top w:val="single" w:sz="4" w:space="0" w:color="auto"/>
            </w:tcBorders>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tcBorders>
              <w:top w:val="single" w:sz="4" w:space="0" w:color="auto"/>
            </w:tcBorders>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3.97</w:t>
            </w:r>
          </w:p>
        </w:tc>
        <w:tc>
          <w:tcPr>
            <w:tcW w:w="1124" w:type="dxa"/>
            <w:tcBorders>
              <w:top w:val="single" w:sz="4" w:space="0" w:color="auto"/>
            </w:tcBorders>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.528</w:t>
            </w:r>
          </w:p>
        </w:tc>
      </w:tr>
      <w:tr w:rsidR="008148D3" w:rsidRPr="008820ED" w:rsidTr="00315777">
        <w:trPr>
          <w:cantSplit/>
          <w:trHeight w:val="506"/>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My business works with other tourism enterprises on environmental sustainability activities.</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4.57</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.629</w:t>
            </w:r>
          </w:p>
        </w:tc>
      </w:tr>
      <w:tr w:rsidR="008148D3" w:rsidRPr="008820ED" w:rsidTr="00315777">
        <w:trPr>
          <w:cantSplit/>
          <w:trHeight w:val="427"/>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My enterprise collaborates with county government agencies on waste management and environmental conservation.</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4.61</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.768</w:t>
            </w:r>
          </w:p>
        </w:tc>
      </w:tr>
      <w:tr w:rsidR="008148D3" w:rsidRPr="008820ED" w:rsidTr="00315777">
        <w:trPr>
          <w:cantSplit/>
          <w:trHeight w:val="389"/>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My enterprise participates in community environmental conservation activities.</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3.69</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.891</w:t>
            </w:r>
          </w:p>
        </w:tc>
      </w:tr>
      <w:tr w:rsidR="008148D3" w:rsidRPr="008820ED" w:rsidTr="00315777">
        <w:trPr>
          <w:cantSplit/>
          <w:trHeight w:val="337"/>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Tourism stakeholders in my area share information on sustainable tourism practices.</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4.61</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.768</w:t>
            </w:r>
          </w:p>
        </w:tc>
      </w:tr>
      <w:tr w:rsidR="008148D3" w:rsidRPr="008820ED" w:rsidTr="00315777">
        <w:trPr>
          <w:cantSplit/>
          <w:trHeight w:val="433"/>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Tourism enterprises in my area cooperate in reducing waste and pollution.</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3.62</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.978</w:t>
            </w:r>
          </w:p>
        </w:tc>
      </w:tr>
      <w:tr w:rsidR="008148D3" w:rsidRPr="008820ED" w:rsidTr="00315777">
        <w:trPr>
          <w:cantSplit/>
          <w:trHeight w:val="396"/>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My enterprise participates in tourism sustainability meetings or forums.</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4.57</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.629</w:t>
            </w:r>
          </w:p>
        </w:tc>
      </w:tr>
      <w:tr w:rsidR="008148D3" w:rsidRPr="008820ED" w:rsidTr="00315777">
        <w:trPr>
          <w:cantSplit/>
          <w:trHeight w:val="343"/>
        </w:trPr>
        <w:tc>
          <w:tcPr>
            <w:tcW w:w="891" w:type="dxa"/>
            <w:shd w:val="clear" w:color="auto" w:fill="FFFFFF"/>
          </w:tcPr>
          <w:p w:rsidR="008148D3" w:rsidRPr="008820ED" w:rsidRDefault="008148D3" w:rsidP="008148D3">
            <w:pPr>
              <w:pStyle w:val="ListParagraph"/>
              <w:numPr>
                <w:ilvl w:val="0"/>
                <w:numId w:val="9"/>
              </w:numPr>
              <w:autoSpaceDE w:val="0"/>
              <w:autoSpaceDN w:val="0"/>
              <w:adjustRightInd w:val="0"/>
              <w:spacing w:after="0" w:line="320" w:lineRule="atLeast"/>
              <w:ind w:right="60"/>
              <w:rPr>
                <w:rFonts w:ascii="Times New Roman" w:hAnsi="Times New Roman" w:cs="Times New Roman"/>
                <w:color w:val="000000"/>
                <w:sz w:val="24"/>
                <w:szCs w:val="24"/>
              </w:rPr>
            </w:pPr>
          </w:p>
        </w:tc>
        <w:tc>
          <w:tcPr>
            <w:tcW w:w="6353" w:type="dxa"/>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There is good cooperation among tourism stakeholders in protecting coastal resources.</w:t>
            </w:r>
          </w:p>
        </w:tc>
        <w:tc>
          <w:tcPr>
            <w:tcW w:w="963"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4.25</w:t>
            </w:r>
          </w:p>
        </w:tc>
        <w:tc>
          <w:tcPr>
            <w:tcW w:w="1124" w:type="dxa"/>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.798</w:t>
            </w:r>
          </w:p>
        </w:tc>
      </w:tr>
      <w:tr w:rsidR="008148D3" w:rsidRPr="008820ED" w:rsidTr="00315777">
        <w:trPr>
          <w:cantSplit/>
          <w:trHeight w:val="320"/>
        </w:trPr>
        <w:tc>
          <w:tcPr>
            <w:tcW w:w="891" w:type="dxa"/>
            <w:tcBorders>
              <w:bottom w:val="single" w:sz="4" w:space="0" w:color="auto"/>
            </w:tcBorders>
            <w:shd w:val="clear" w:color="auto" w:fill="FFFFFF"/>
          </w:tcPr>
          <w:p w:rsidR="008148D3" w:rsidRPr="008820ED" w:rsidRDefault="008148D3" w:rsidP="008D0078">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6353" w:type="dxa"/>
            <w:tcBorders>
              <w:bottom w:val="single" w:sz="4" w:space="0" w:color="auto"/>
            </w:tcBorders>
            <w:shd w:val="clear" w:color="auto" w:fill="FFFFFF"/>
            <w:vAlign w:val="center"/>
          </w:tcPr>
          <w:p w:rsidR="008148D3" w:rsidRPr="008820ED" w:rsidRDefault="008148D3" w:rsidP="00DC367F">
            <w:pPr>
              <w:pStyle w:val="NoSpacing"/>
              <w:rPr>
                <w:rFonts w:ascii="Times New Roman" w:hAnsi="Times New Roman" w:cs="Times New Roman"/>
                <w:sz w:val="24"/>
                <w:szCs w:val="24"/>
              </w:rPr>
            </w:pPr>
            <w:r w:rsidRPr="008820ED">
              <w:rPr>
                <w:rFonts w:ascii="Times New Roman" w:hAnsi="Times New Roman" w:cs="Times New Roman"/>
                <w:sz w:val="24"/>
                <w:szCs w:val="24"/>
              </w:rPr>
              <w:t>Valid N (listwise)</w:t>
            </w:r>
          </w:p>
        </w:tc>
        <w:tc>
          <w:tcPr>
            <w:tcW w:w="963" w:type="dxa"/>
            <w:tcBorders>
              <w:bottom w:val="single" w:sz="4" w:space="0" w:color="auto"/>
            </w:tcBorders>
            <w:shd w:val="clear" w:color="auto" w:fill="FFFFFF"/>
            <w:vAlign w:val="center"/>
          </w:tcPr>
          <w:p w:rsidR="008148D3" w:rsidRPr="008820ED" w:rsidRDefault="008148D3" w:rsidP="008D0078">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8820ED">
              <w:rPr>
                <w:rFonts w:ascii="Times New Roman" w:hAnsi="Times New Roman" w:cs="Times New Roman"/>
                <w:color w:val="000000"/>
                <w:sz w:val="24"/>
                <w:szCs w:val="24"/>
              </w:rPr>
              <w:t>309</w:t>
            </w:r>
          </w:p>
        </w:tc>
        <w:tc>
          <w:tcPr>
            <w:tcW w:w="962" w:type="dxa"/>
            <w:tcBorders>
              <w:bottom w:val="single" w:sz="4" w:space="0" w:color="auto"/>
            </w:tcBorders>
            <w:shd w:val="clear" w:color="auto" w:fill="FFFFFF"/>
          </w:tcPr>
          <w:p w:rsidR="008148D3" w:rsidRPr="008820ED" w:rsidRDefault="008148D3" w:rsidP="008D0078">
            <w:pPr>
              <w:autoSpaceDE w:val="0"/>
              <w:autoSpaceDN w:val="0"/>
              <w:adjustRightInd w:val="0"/>
              <w:spacing w:after="0" w:line="240" w:lineRule="auto"/>
              <w:rPr>
                <w:rFonts w:ascii="Times New Roman" w:hAnsi="Times New Roman" w:cs="Times New Roman"/>
                <w:sz w:val="24"/>
                <w:szCs w:val="24"/>
              </w:rPr>
            </w:pPr>
          </w:p>
        </w:tc>
        <w:tc>
          <w:tcPr>
            <w:tcW w:w="1124" w:type="dxa"/>
            <w:tcBorders>
              <w:bottom w:val="single" w:sz="4" w:space="0" w:color="auto"/>
            </w:tcBorders>
            <w:shd w:val="clear" w:color="auto" w:fill="FFFFFF"/>
          </w:tcPr>
          <w:p w:rsidR="008148D3" w:rsidRPr="008820ED" w:rsidRDefault="008148D3" w:rsidP="008D0078">
            <w:pPr>
              <w:autoSpaceDE w:val="0"/>
              <w:autoSpaceDN w:val="0"/>
              <w:adjustRightInd w:val="0"/>
              <w:spacing w:after="0" w:line="240" w:lineRule="auto"/>
              <w:rPr>
                <w:rFonts w:ascii="Times New Roman" w:hAnsi="Times New Roman" w:cs="Times New Roman"/>
                <w:sz w:val="24"/>
                <w:szCs w:val="24"/>
              </w:rPr>
            </w:pPr>
          </w:p>
        </w:tc>
      </w:tr>
    </w:tbl>
    <w:bookmarkEnd w:id="0"/>
    <w:p w:rsidR="008148D3" w:rsidRPr="008820ED" w:rsidRDefault="00F67277" w:rsidP="008148D3">
      <w:pPr>
        <w:rPr>
          <w:rFonts w:ascii="Times New Roman" w:hAnsi="Times New Roman" w:cs="Times New Roman"/>
          <w:i/>
          <w:sz w:val="24"/>
          <w:szCs w:val="24"/>
          <w:lang w:val="en-US"/>
        </w:rPr>
      </w:pPr>
      <w:r w:rsidRPr="008820ED">
        <w:rPr>
          <w:rFonts w:ascii="Times New Roman" w:hAnsi="Times New Roman" w:cs="Times New Roman"/>
          <w:i/>
          <w:sz w:val="24"/>
          <w:szCs w:val="24"/>
          <w:lang w:val="en-US"/>
        </w:rPr>
        <w:t>Source: Survey Findings, 202</w:t>
      </w:r>
      <w:r w:rsidR="006C3E8B" w:rsidRPr="008820ED">
        <w:rPr>
          <w:rFonts w:ascii="Times New Roman" w:hAnsi="Times New Roman" w:cs="Times New Roman"/>
          <w:i/>
          <w:sz w:val="24"/>
          <w:szCs w:val="24"/>
          <w:lang w:val="en-US"/>
        </w:rPr>
        <w:t>5</w:t>
      </w:r>
    </w:p>
    <w:p w:rsidR="000A0AC0" w:rsidRPr="00F67277" w:rsidRDefault="000A0AC0" w:rsidP="00F67277">
      <w:pPr>
        <w:pStyle w:val="NoSpacing"/>
        <w:jc w:val="both"/>
        <w:rPr>
          <w:rFonts w:ascii="Times New Roman" w:hAnsi="Times New Roman" w:cs="Times New Roman"/>
          <w:i/>
          <w:sz w:val="24"/>
          <w:szCs w:val="24"/>
          <w:lang w:eastAsia="en-KE"/>
        </w:rPr>
      </w:pPr>
      <w:r w:rsidRPr="00F67277">
        <w:rPr>
          <w:rFonts w:ascii="Times New Roman" w:hAnsi="Times New Roman" w:cs="Times New Roman"/>
          <w:sz w:val="24"/>
          <w:szCs w:val="24"/>
          <w:lang w:eastAsia="en-KE"/>
        </w:rPr>
        <w:t xml:space="preserve">Descriptive statistics presented in Table 8 demonstrate that the highest levels of consensus were observed for enterprise collaboration with county government agencies on waste management and environmental conservation </w:t>
      </w:r>
      <w:r w:rsidRPr="00F67277">
        <w:rPr>
          <w:rFonts w:ascii="Times New Roman" w:hAnsi="Times New Roman" w:cs="Times New Roman"/>
          <w:i/>
          <w:sz w:val="24"/>
          <w:szCs w:val="24"/>
          <w:lang w:eastAsia="en-KE"/>
        </w:rPr>
        <w:t>(M = 4.61, SD = 0.76),</w:t>
      </w:r>
      <w:r w:rsidRPr="00F67277">
        <w:rPr>
          <w:rFonts w:ascii="Times New Roman" w:hAnsi="Times New Roman" w:cs="Times New Roman"/>
          <w:sz w:val="24"/>
          <w:szCs w:val="24"/>
          <w:lang w:eastAsia="en-KE"/>
        </w:rPr>
        <w:t xml:space="preserve"> as well as for the active sharing of information on sustainable tourism practices among regional stakeholders </w:t>
      </w:r>
      <w:r w:rsidRPr="00F67277">
        <w:rPr>
          <w:rFonts w:ascii="Times New Roman" w:hAnsi="Times New Roman" w:cs="Times New Roman"/>
          <w:i/>
          <w:iCs/>
          <w:sz w:val="24"/>
          <w:szCs w:val="24"/>
          <w:lang w:eastAsia="en-KE"/>
        </w:rPr>
        <w:t>(M = 4.61, SD = 0.76).</w:t>
      </w:r>
      <w:r w:rsidRPr="00F67277">
        <w:rPr>
          <w:rFonts w:ascii="Times New Roman" w:hAnsi="Times New Roman" w:cs="Times New Roman"/>
          <w:sz w:val="24"/>
          <w:szCs w:val="24"/>
          <w:lang w:eastAsia="en-KE"/>
        </w:rPr>
        <w:t xml:space="preserve"> </w:t>
      </w:r>
      <w:r w:rsidR="00F67277">
        <w:rPr>
          <w:rFonts w:ascii="Times New Roman" w:hAnsi="Times New Roman" w:cs="Times New Roman"/>
          <w:sz w:val="24"/>
          <w:szCs w:val="24"/>
          <w:lang w:val="en-US" w:eastAsia="en-KE"/>
        </w:rPr>
        <w:t>High</w:t>
      </w:r>
      <w:r w:rsidRPr="00F67277">
        <w:rPr>
          <w:rFonts w:ascii="Times New Roman" w:hAnsi="Times New Roman" w:cs="Times New Roman"/>
          <w:sz w:val="24"/>
          <w:szCs w:val="24"/>
          <w:lang w:eastAsia="en-KE"/>
        </w:rPr>
        <w:t xml:space="preserve"> mean scores were also recorded for business cooperation with other tourism enterprises on environmental sustainability activities </w:t>
      </w:r>
      <w:r w:rsidRPr="00F67277">
        <w:rPr>
          <w:rFonts w:ascii="Times New Roman" w:hAnsi="Times New Roman" w:cs="Times New Roman"/>
          <w:i/>
          <w:sz w:val="24"/>
          <w:szCs w:val="24"/>
          <w:lang w:eastAsia="en-KE"/>
        </w:rPr>
        <w:t>(M = 4.57, SD = 0.62</w:t>
      </w:r>
      <w:r w:rsidRPr="00F67277">
        <w:rPr>
          <w:rFonts w:ascii="Times New Roman" w:hAnsi="Times New Roman" w:cs="Times New Roman"/>
          <w:sz w:val="24"/>
          <w:szCs w:val="24"/>
          <w:lang w:eastAsia="en-KE"/>
        </w:rPr>
        <w:t xml:space="preserve">) and for organizational participation in tourism sustainability meetings or forums </w:t>
      </w:r>
      <w:r w:rsidRPr="00F67277">
        <w:rPr>
          <w:rFonts w:ascii="Times New Roman" w:hAnsi="Times New Roman" w:cs="Times New Roman"/>
          <w:i/>
          <w:sz w:val="24"/>
          <w:szCs w:val="24"/>
          <w:lang w:eastAsia="en-KE"/>
        </w:rPr>
        <w:t>(M = 4.57, SD = 0.62).</w:t>
      </w:r>
      <w:r w:rsidRPr="00F67277">
        <w:rPr>
          <w:rFonts w:ascii="Times New Roman" w:hAnsi="Times New Roman" w:cs="Times New Roman"/>
          <w:sz w:val="24"/>
          <w:szCs w:val="24"/>
          <w:lang w:eastAsia="en-KE"/>
        </w:rPr>
        <w:t xml:space="preserve"> Respondents </w:t>
      </w:r>
      <w:r w:rsidR="00F67277">
        <w:rPr>
          <w:rFonts w:ascii="Times New Roman" w:hAnsi="Times New Roman" w:cs="Times New Roman"/>
          <w:sz w:val="24"/>
          <w:szCs w:val="24"/>
          <w:lang w:val="en-US" w:eastAsia="en-KE"/>
        </w:rPr>
        <w:t xml:space="preserve">also </w:t>
      </w:r>
      <w:r w:rsidRPr="00F67277">
        <w:rPr>
          <w:rFonts w:ascii="Times New Roman" w:hAnsi="Times New Roman" w:cs="Times New Roman"/>
          <w:sz w:val="24"/>
          <w:szCs w:val="24"/>
          <w:lang w:eastAsia="en-KE"/>
        </w:rPr>
        <w:t xml:space="preserve">reported a strong positive perception of general cooperation among tourism stakeholders in protecting coastal resources </w:t>
      </w:r>
      <w:r w:rsidRPr="00F67277">
        <w:rPr>
          <w:rFonts w:ascii="Times New Roman" w:hAnsi="Times New Roman" w:cs="Times New Roman"/>
          <w:i/>
          <w:sz w:val="24"/>
          <w:szCs w:val="24"/>
          <w:lang w:eastAsia="en-KE"/>
        </w:rPr>
        <w:t>(M = 4.25, SD = 0.79).</w:t>
      </w:r>
      <w:r w:rsidRPr="00F67277">
        <w:rPr>
          <w:rFonts w:ascii="Times New Roman" w:hAnsi="Times New Roman" w:cs="Times New Roman"/>
          <w:sz w:val="24"/>
          <w:szCs w:val="24"/>
          <w:lang w:eastAsia="en-KE"/>
        </w:rPr>
        <w:t xml:space="preserve"> In contrast, items related to practical, localized implementation and community-level engagement received lower mean scores and exhibited greater response variance. </w:t>
      </w:r>
      <w:r w:rsidR="00F67277">
        <w:rPr>
          <w:rFonts w:ascii="Times New Roman" w:hAnsi="Times New Roman" w:cs="Times New Roman"/>
          <w:sz w:val="24"/>
          <w:szCs w:val="24"/>
          <w:lang w:val="en-US" w:eastAsia="en-KE"/>
        </w:rPr>
        <w:t>In particular, moderate agreement was found regarding supplier-level collaboration to secure eco-friendly,</w:t>
      </w:r>
      <w:r w:rsidRPr="00F67277">
        <w:rPr>
          <w:rFonts w:ascii="Times New Roman" w:hAnsi="Times New Roman" w:cs="Times New Roman"/>
          <w:sz w:val="24"/>
          <w:szCs w:val="24"/>
          <w:lang w:eastAsia="en-KE"/>
        </w:rPr>
        <w:t xml:space="preserve"> sustainably packaged products (</w:t>
      </w:r>
      <w:r w:rsidRPr="00F67277">
        <w:rPr>
          <w:rFonts w:ascii="Times New Roman" w:hAnsi="Times New Roman" w:cs="Times New Roman"/>
          <w:i/>
          <w:sz w:val="24"/>
          <w:szCs w:val="24"/>
          <w:lang w:eastAsia="en-KE"/>
        </w:rPr>
        <w:t>M = 3.97, SD = 0.52).</w:t>
      </w:r>
      <w:r w:rsidRPr="00F67277">
        <w:rPr>
          <w:rFonts w:ascii="Times New Roman" w:hAnsi="Times New Roman" w:cs="Times New Roman"/>
          <w:sz w:val="24"/>
          <w:szCs w:val="24"/>
          <w:lang w:eastAsia="en-KE"/>
        </w:rPr>
        <w:t xml:space="preserve"> The lowest agreement within this construct </w:t>
      </w:r>
      <w:r w:rsidR="00F67277">
        <w:rPr>
          <w:rFonts w:ascii="Times New Roman" w:hAnsi="Times New Roman" w:cs="Times New Roman"/>
          <w:sz w:val="24"/>
          <w:szCs w:val="24"/>
          <w:lang w:eastAsia="en-KE"/>
        </w:rPr>
        <w:t xml:space="preserve">was observed for direct enterprise participation in community environmental conservation activities </w:t>
      </w:r>
      <w:r w:rsidR="00F67277" w:rsidRPr="00F67277">
        <w:rPr>
          <w:rFonts w:ascii="Times New Roman" w:hAnsi="Times New Roman" w:cs="Times New Roman"/>
          <w:i/>
          <w:sz w:val="24"/>
          <w:szCs w:val="24"/>
          <w:lang w:eastAsia="en-KE"/>
        </w:rPr>
        <w:t>(M = 3.69, SD = 0.89)</w:t>
      </w:r>
      <w:r w:rsidR="00F67277">
        <w:rPr>
          <w:rFonts w:ascii="Times New Roman" w:hAnsi="Times New Roman" w:cs="Times New Roman"/>
          <w:sz w:val="24"/>
          <w:szCs w:val="24"/>
          <w:lang w:eastAsia="en-KE"/>
        </w:rPr>
        <w:t xml:space="preserve"> and for </w:t>
      </w:r>
      <w:r w:rsidRPr="00F67277">
        <w:rPr>
          <w:rFonts w:ascii="Times New Roman" w:hAnsi="Times New Roman" w:cs="Times New Roman"/>
          <w:sz w:val="24"/>
          <w:szCs w:val="24"/>
          <w:lang w:eastAsia="en-KE"/>
        </w:rPr>
        <w:t xml:space="preserve">localized cooperation among regional tourism enterprises to reduce waste and pollution </w:t>
      </w:r>
      <w:r w:rsidRPr="00F67277">
        <w:rPr>
          <w:rFonts w:ascii="Times New Roman" w:hAnsi="Times New Roman" w:cs="Times New Roman"/>
          <w:i/>
          <w:sz w:val="24"/>
          <w:szCs w:val="24"/>
          <w:lang w:eastAsia="en-KE"/>
        </w:rPr>
        <w:t>(M = 3.62, SD = 0.978).</w:t>
      </w:r>
    </w:p>
    <w:p w:rsidR="000A0AC0" w:rsidRPr="00F67277" w:rsidRDefault="000A0AC0" w:rsidP="00F67277">
      <w:pPr>
        <w:pStyle w:val="NoSpacing"/>
        <w:jc w:val="both"/>
        <w:rPr>
          <w:rFonts w:ascii="Times New Roman" w:hAnsi="Times New Roman" w:cs="Times New Roman"/>
          <w:i/>
          <w:sz w:val="24"/>
          <w:szCs w:val="24"/>
          <w:lang w:eastAsia="en-KE"/>
        </w:rPr>
      </w:pPr>
    </w:p>
    <w:p w:rsidR="006D7E53" w:rsidRDefault="00F75163" w:rsidP="00F6727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Regarding destination competitiveness, respondents were asked to indicate their level of agreement on five indicators</w:t>
      </w:r>
      <w:r w:rsidR="009A4106">
        <w:rPr>
          <w:rFonts w:ascii="Times New Roman" w:hAnsi="Times New Roman" w:cs="Times New Roman"/>
          <w:sz w:val="24"/>
          <w:szCs w:val="24"/>
          <w:lang w:val="en-US"/>
        </w:rPr>
        <w:t xml:space="preserve">. The findings are displayed in Table 9. </w:t>
      </w:r>
    </w:p>
    <w:p w:rsidR="006D7E53" w:rsidRPr="00007BCD" w:rsidRDefault="006D7E53" w:rsidP="00F67277">
      <w:pPr>
        <w:pStyle w:val="NoSpacing"/>
        <w:jc w:val="both"/>
        <w:rPr>
          <w:rFonts w:ascii="Times New Roman" w:hAnsi="Times New Roman" w:cs="Times New Roman"/>
          <w:sz w:val="24"/>
          <w:szCs w:val="24"/>
          <w:lang w:val="en-US"/>
        </w:rPr>
      </w:pPr>
    </w:p>
    <w:p w:rsidR="009A4106" w:rsidRPr="009A4106" w:rsidRDefault="009A4106" w:rsidP="009A4106">
      <w:pPr>
        <w:pStyle w:val="NoSpacing"/>
        <w:jc w:val="center"/>
        <w:rPr>
          <w:rFonts w:ascii="Times New Roman" w:hAnsi="Times New Roman" w:cs="Times New Roman"/>
          <w:b/>
          <w:sz w:val="24"/>
          <w:szCs w:val="24"/>
          <w:lang w:val="en-US"/>
        </w:rPr>
      </w:pPr>
      <w:r w:rsidRPr="009A4106">
        <w:rPr>
          <w:rFonts w:ascii="Times New Roman" w:hAnsi="Times New Roman" w:cs="Times New Roman"/>
          <w:b/>
          <w:sz w:val="24"/>
          <w:szCs w:val="24"/>
          <w:lang w:val="en-US"/>
        </w:rPr>
        <w:t xml:space="preserve">Table 9: </w:t>
      </w:r>
      <w:r w:rsidRPr="009A4106">
        <w:rPr>
          <w:rFonts w:ascii="Times New Roman" w:hAnsi="Times New Roman" w:cs="Times New Roman"/>
          <w:b/>
          <w:sz w:val="24"/>
          <w:szCs w:val="24"/>
        </w:rPr>
        <w:t>Descriptive Statistics</w:t>
      </w:r>
      <w:r w:rsidRPr="009A4106">
        <w:rPr>
          <w:rFonts w:ascii="Times New Roman" w:hAnsi="Times New Roman" w:cs="Times New Roman"/>
          <w:b/>
          <w:sz w:val="24"/>
          <w:szCs w:val="24"/>
          <w:lang w:val="en-US"/>
        </w:rPr>
        <w:t xml:space="preserve"> for Destination Competitiveness</w:t>
      </w:r>
    </w:p>
    <w:tbl>
      <w:tblPr>
        <w:tblW w:w="10584" w:type="dxa"/>
        <w:tblInd w:w="-20" w:type="dxa"/>
        <w:tblLayout w:type="fixed"/>
        <w:tblCellMar>
          <w:left w:w="0" w:type="dxa"/>
          <w:right w:w="0" w:type="dxa"/>
        </w:tblCellMar>
        <w:tblLook w:val="0000" w:firstRow="0" w:lastRow="0" w:firstColumn="0" w:lastColumn="0" w:noHBand="0" w:noVBand="0"/>
      </w:tblPr>
      <w:tblGrid>
        <w:gridCol w:w="562"/>
        <w:gridCol w:w="6518"/>
        <w:gridCol w:w="595"/>
        <w:gridCol w:w="850"/>
        <w:gridCol w:w="2059"/>
      </w:tblGrid>
      <w:tr w:rsidR="009A4106" w:rsidRPr="00F75163" w:rsidTr="00F75163">
        <w:trPr>
          <w:cantSplit/>
          <w:trHeight w:val="274"/>
        </w:trPr>
        <w:tc>
          <w:tcPr>
            <w:tcW w:w="562" w:type="dxa"/>
            <w:tcBorders>
              <w:top w:val="single" w:sz="4" w:space="0" w:color="auto"/>
            </w:tcBorders>
            <w:shd w:val="clear" w:color="auto" w:fill="FFFFFF"/>
          </w:tcPr>
          <w:p w:rsidR="009A4106" w:rsidRPr="00F75163" w:rsidRDefault="009A4106" w:rsidP="008D0078">
            <w:pPr>
              <w:autoSpaceDE w:val="0"/>
              <w:autoSpaceDN w:val="0"/>
              <w:adjustRightInd w:val="0"/>
              <w:spacing w:after="0" w:line="320" w:lineRule="atLeast"/>
              <w:ind w:left="60" w:right="60"/>
              <w:rPr>
                <w:rFonts w:ascii="Times New Roman" w:hAnsi="Times New Roman" w:cs="Times New Roman"/>
                <w:color w:val="000000"/>
                <w:sz w:val="24"/>
                <w:szCs w:val="24"/>
                <w:lang w:val="en-US"/>
              </w:rPr>
            </w:pPr>
            <w:r w:rsidRPr="00F75163">
              <w:rPr>
                <w:rFonts w:ascii="Times New Roman" w:hAnsi="Times New Roman" w:cs="Times New Roman"/>
                <w:color w:val="000000"/>
                <w:sz w:val="24"/>
                <w:szCs w:val="24"/>
                <w:lang w:val="en-US"/>
              </w:rPr>
              <w:t>No.</w:t>
            </w:r>
          </w:p>
        </w:tc>
        <w:tc>
          <w:tcPr>
            <w:tcW w:w="6518" w:type="dxa"/>
            <w:tcBorders>
              <w:top w:val="single" w:sz="4" w:space="0" w:color="auto"/>
            </w:tcBorders>
            <w:shd w:val="clear" w:color="auto" w:fill="FFFFFF"/>
          </w:tcPr>
          <w:p w:rsidR="009A4106" w:rsidRPr="00F75163" w:rsidRDefault="009A4106" w:rsidP="008D0078">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595" w:type="dxa"/>
            <w:tcBorders>
              <w:top w:val="single" w:sz="4" w:space="0" w:color="auto"/>
            </w:tcBorders>
            <w:shd w:val="clear" w:color="auto" w:fill="FFFFFF"/>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N</w:t>
            </w:r>
          </w:p>
        </w:tc>
        <w:tc>
          <w:tcPr>
            <w:tcW w:w="850" w:type="dxa"/>
            <w:tcBorders>
              <w:top w:val="single" w:sz="4" w:space="0" w:color="auto"/>
            </w:tcBorders>
            <w:shd w:val="clear" w:color="auto" w:fill="FFFFFF"/>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Mean</w:t>
            </w:r>
          </w:p>
        </w:tc>
        <w:tc>
          <w:tcPr>
            <w:tcW w:w="2059" w:type="dxa"/>
            <w:tcBorders>
              <w:top w:val="single" w:sz="4" w:space="0" w:color="auto"/>
            </w:tcBorders>
            <w:shd w:val="clear" w:color="auto" w:fill="FFFFFF"/>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Std. Deviation</w:t>
            </w:r>
          </w:p>
        </w:tc>
      </w:tr>
      <w:tr w:rsidR="009A4106" w:rsidRPr="00F75163" w:rsidTr="00F75163">
        <w:trPr>
          <w:cantSplit/>
          <w:trHeight w:val="421"/>
        </w:trPr>
        <w:tc>
          <w:tcPr>
            <w:tcW w:w="562" w:type="dxa"/>
            <w:tcBorders>
              <w:top w:val="single" w:sz="4" w:space="0" w:color="auto"/>
            </w:tcBorders>
            <w:shd w:val="clear" w:color="auto" w:fill="FFFFFF"/>
          </w:tcPr>
          <w:p w:rsidR="009A4106" w:rsidRPr="00F75163" w:rsidRDefault="009A4106" w:rsidP="009A4106">
            <w:pPr>
              <w:pStyle w:val="ListParagraph"/>
              <w:numPr>
                <w:ilvl w:val="0"/>
                <w:numId w:val="10"/>
              </w:numPr>
              <w:autoSpaceDE w:val="0"/>
              <w:autoSpaceDN w:val="0"/>
              <w:adjustRightInd w:val="0"/>
              <w:spacing w:after="0" w:line="320" w:lineRule="atLeast"/>
              <w:ind w:right="60"/>
              <w:rPr>
                <w:rFonts w:ascii="Times New Roman" w:hAnsi="Times New Roman" w:cs="Times New Roman"/>
                <w:color w:val="000000"/>
                <w:sz w:val="24"/>
                <w:szCs w:val="24"/>
              </w:rPr>
            </w:pPr>
          </w:p>
        </w:tc>
        <w:tc>
          <w:tcPr>
            <w:tcW w:w="6518" w:type="dxa"/>
            <w:tcBorders>
              <w:top w:val="single" w:sz="4" w:space="0" w:color="auto"/>
            </w:tcBorders>
            <w:shd w:val="clear" w:color="auto" w:fill="FFFFFF"/>
            <w:vAlign w:val="center"/>
          </w:tcPr>
          <w:p w:rsidR="009A4106" w:rsidRPr="00F75163" w:rsidRDefault="009A4106" w:rsidP="009A4106">
            <w:pPr>
              <w:pStyle w:val="NoSpacing"/>
              <w:rPr>
                <w:rFonts w:ascii="Times New Roman" w:hAnsi="Times New Roman" w:cs="Times New Roman"/>
                <w:sz w:val="24"/>
                <w:szCs w:val="24"/>
              </w:rPr>
            </w:pPr>
            <w:r w:rsidRPr="00F75163">
              <w:rPr>
                <w:rFonts w:ascii="Times New Roman" w:hAnsi="Times New Roman" w:cs="Times New Roman"/>
                <w:sz w:val="24"/>
                <w:szCs w:val="24"/>
              </w:rPr>
              <w:t>My enterprise has gained a better reputation among tourists due to our sustainability practices.</w:t>
            </w:r>
          </w:p>
        </w:tc>
        <w:tc>
          <w:tcPr>
            <w:tcW w:w="595" w:type="dxa"/>
            <w:tcBorders>
              <w:top w:val="single" w:sz="4" w:space="0" w:color="auto"/>
            </w:tcBorders>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309</w:t>
            </w:r>
          </w:p>
        </w:tc>
        <w:tc>
          <w:tcPr>
            <w:tcW w:w="850" w:type="dxa"/>
            <w:tcBorders>
              <w:top w:val="single" w:sz="4" w:space="0" w:color="auto"/>
            </w:tcBorders>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4.60</w:t>
            </w:r>
          </w:p>
        </w:tc>
        <w:tc>
          <w:tcPr>
            <w:tcW w:w="2059" w:type="dxa"/>
            <w:tcBorders>
              <w:top w:val="single" w:sz="4" w:space="0" w:color="auto"/>
            </w:tcBorders>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.636</w:t>
            </w:r>
          </w:p>
        </w:tc>
      </w:tr>
      <w:tr w:rsidR="009A4106" w:rsidRPr="00F75163" w:rsidTr="00F75163">
        <w:trPr>
          <w:cantSplit/>
          <w:trHeight w:val="467"/>
        </w:trPr>
        <w:tc>
          <w:tcPr>
            <w:tcW w:w="562" w:type="dxa"/>
            <w:shd w:val="clear" w:color="auto" w:fill="FFFFFF"/>
          </w:tcPr>
          <w:p w:rsidR="009A4106" w:rsidRPr="00F75163" w:rsidRDefault="009A4106" w:rsidP="009A4106">
            <w:pPr>
              <w:pStyle w:val="ListParagraph"/>
              <w:numPr>
                <w:ilvl w:val="0"/>
                <w:numId w:val="10"/>
              </w:numPr>
              <w:autoSpaceDE w:val="0"/>
              <w:autoSpaceDN w:val="0"/>
              <w:adjustRightInd w:val="0"/>
              <w:spacing w:after="0" w:line="320" w:lineRule="atLeast"/>
              <w:ind w:right="60"/>
              <w:rPr>
                <w:rFonts w:ascii="Times New Roman" w:hAnsi="Times New Roman" w:cs="Times New Roman"/>
                <w:color w:val="000000"/>
                <w:sz w:val="24"/>
                <w:szCs w:val="24"/>
              </w:rPr>
            </w:pPr>
          </w:p>
        </w:tc>
        <w:tc>
          <w:tcPr>
            <w:tcW w:w="6518" w:type="dxa"/>
            <w:shd w:val="clear" w:color="auto" w:fill="FFFFFF"/>
            <w:vAlign w:val="center"/>
          </w:tcPr>
          <w:p w:rsidR="009A4106" w:rsidRPr="00F75163" w:rsidRDefault="009A4106" w:rsidP="009A4106">
            <w:pPr>
              <w:pStyle w:val="NoSpacing"/>
              <w:rPr>
                <w:rFonts w:ascii="Times New Roman" w:hAnsi="Times New Roman" w:cs="Times New Roman"/>
                <w:sz w:val="24"/>
                <w:szCs w:val="24"/>
              </w:rPr>
            </w:pPr>
            <w:r w:rsidRPr="00F75163">
              <w:rPr>
                <w:rFonts w:ascii="Times New Roman" w:hAnsi="Times New Roman" w:cs="Times New Roman"/>
                <w:sz w:val="24"/>
                <w:szCs w:val="24"/>
              </w:rPr>
              <w:t>I believe our circular economy efforts make the Kenya Coast more attractive than other global beach destinations.</w:t>
            </w:r>
          </w:p>
        </w:tc>
        <w:tc>
          <w:tcPr>
            <w:tcW w:w="595"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309</w:t>
            </w:r>
          </w:p>
        </w:tc>
        <w:tc>
          <w:tcPr>
            <w:tcW w:w="850"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4.24</w:t>
            </w:r>
          </w:p>
        </w:tc>
        <w:tc>
          <w:tcPr>
            <w:tcW w:w="2059"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.669</w:t>
            </w:r>
          </w:p>
        </w:tc>
      </w:tr>
      <w:tr w:rsidR="009A4106" w:rsidRPr="00F75163" w:rsidTr="00F75163">
        <w:trPr>
          <w:cantSplit/>
          <w:trHeight w:val="383"/>
        </w:trPr>
        <w:tc>
          <w:tcPr>
            <w:tcW w:w="562" w:type="dxa"/>
            <w:shd w:val="clear" w:color="auto" w:fill="FFFFFF"/>
          </w:tcPr>
          <w:p w:rsidR="009A4106" w:rsidRPr="00F75163" w:rsidRDefault="009A4106" w:rsidP="009A4106">
            <w:pPr>
              <w:pStyle w:val="ListParagraph"/>
              <w:numPr>
                <w:ilvl w:val="0"/>
                <w:numId w:val="10"/>
              </w:numPr>
              <w:autoSpaceDE w:val="0"/>
              <w:autoSpaceDN w:val="0"/>
              <w:adjustRightInd w:val="0"/>
              <w:spacing w:after="0" w:line="320" w:lineRule="atLeast"/>
              <w:ind w:right="60"/>
              <w:rPr>
                <w:rFonts w:ascii="Times New Roman" w:hAnsi="Times New Roman" w:cs="Times New Roman"/>
                <w:color w:val="000000"/>
                <w:sz w:val="24"/>
                <w:szCs w:val="24"/>
              </w:rPr>
            </w:pPr>
          </w:p>
        </w:tc>
        <w:tc>
          <w:tcPr>
            <w:tcW w:w="6518" w:type="dxa"/>
            <w:shd w:val="clear" w:color="auto" w:fill="FFFFFF"/>
            <w:vAlign w:val="center"/>
          </w:tcPr>
          <w:p w:rsidR="009A4106" w:rsidRPr="00F75163" w:rsidRDefault="009A4106" w:rsidP="009A4106">
            <w:pPr>
              <w:pStyle w:val="NoSpacing"/>
              <w:rPr>
                <w:rFonts w:ascii="Times New Roman" w:hAnsi="Times New Roman" w:cs="Times New Roman"/>
                <w:sz w:val="24"/>
                <w:szCs w:val="24"/>
              </w:rPr>
            </w:pPr>
            <w:r w:rsidRPr="00F75163">
              <w:rPr>
                <w:rFonts w:ascii="Times New Roman" w:hAnsi="Times New Roman" w:cs="Times New Roman"/>
                <w:sz w:val="24"/>
                <w:szCs w:val="24"/>
              </w:rPr>
              <w:t>I find that our circular practices lead to long-term cost savings for my enterprise</w:t>
            </w:r>
          </w:p>
        </w:tc>
        <w:tc>
          <w:tcPr>
            <w:tcW w:w="595"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309</w:t>
            </w:r>
          </w:p>
        </w:tc>
        <w:tc>
          <w:tcPr>
            <w:tcW w:w="850"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4.55</w:t>
            </w:r>
          </w:p>
        </w:tc>
        <w:tc>
          <w:tcPr>
            <w:tcW w:w="2059"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.740</w:t>
            </w:r>
          </w:p>
        </w:tc>
      </w:tr>
      <w:tr w:rsidR="009A4106" w:rsidRPr="00F75163" w:rsidTr="00F75163">
        <w:trPr>
          <w:cantSplit/>
          <w:trHeight w:val="299"/>
        </w:trPr>
        <w:tc>
          <w:tcPr>
            <w:tcW w:w="562" w:type="dxa"/>
            <w:shd w:val="clear" w:color="auto" w:fill="FFFFFF"/>
          </w:tcPr>
          <w:p w:rsidR="009A4106" w:rsidRPr="00F75163" w:rsidRDefault="009A4106" w:rsidP="009A4106">
            <w:pPr>
              <w:pStyle w:val="ListParagraph"/>
              <w:numPr>
                <w:ilvl w:val="0"/>
                <w:numId w:val="10"/>
              </w:numPr>
              <w:autoSpaceDE w:val="0"/>
              <w:autoSpaceDN w:val="0"/>
              <w:adjustRightInd w:val="0"/>
              <w:spacing w:after="0" w:line="320" w:lineRule="atLeast"/>
              <w:ind w:right="60"/>
              <w:rPr>
                <w:rFonts w:ascii="Times New Roman" w:hAnsi="Times New Roman" w:cs="Times New Roman"/>
                <w:color w:val="000000"/>
                <w:sz w:val="24"/>
                <w:szCs w:val="24"/>
              </w:rPr>
            </w:pPr>
          </w:p>
        </w:tc>
        <w:tc>
          <w:tcPr>
            <w:tcW w:w="6518" w:type="dxa"/>
            <w:shd w:val="clear" w:color="auto" w:fill="FFFFFF"/>
            <w:vAlign w:val="center"/>
          </w:tcPr>
          <w:p w:rsidR="009A4106" w:rsidRPr="00F75163" w:rsidRDefault="009A4106" w:rsidP="009A4106">
            <w:pPr>
              <w:pStyle w:val="NoSpacing"/>
              <w:rPr>
                <w:rFonts w:ascii="Times New Roman" w:hAnsi="Times New Roman" w:cs="Times New Roman"/>
                <w:sz w:val="24"/>
                <w:szCs w:val="24"/>
              </w:rPr>
            </w:pPr>
            <w:r w:rsidRPr="00F75163">
              <w:rPr>
                <w:rFonts w:ascii="Times New Roman" w:hAnsi="Times New Roman" w:cs="Times New Roman"/>
                <w:sz w:val="24"/>
                <w:szCs w:val="24"/>
              </w:rPr>
              <w:t>I am confident that my business is more competitive because it aligns with global "green" travel trends.</w:t>
            </w:r>
          </w:p>
        </w:tc>
        <w:tc>
          <w:tcPr>
            <w:tcW w:w="595"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309</w:t>
            </w:r>
          </w:p>
        </w:tc>
        <w:tc>
          <w:tcPr>
            <w:tcW w:w="850"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4.26</w:t>
            </w:r>
          </w:p>
        </w:tc>
        <w:tc>
          <w:tcPr>
            <w:tcW w:w="2059"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.621</w:t>
            </w:r>
          </w:p>
        </w:tc>
      </w:tr>
      <w:tr w:rsidR="009A4106" w:rsidRPr="00F75163" w:rsidTr="00F75163">
        <w:trPr>
          <w:cantSplit/>
          <w:trHeight w:val="345"/>
        </w:trPr>
        <w:tc>
          <w:tcPr>
            <w:tcW w:w="562" w:type="dxa"/>
            <w:shd w:val="clear" w:color="auto" w:fill="FFFFFF"/>
          </w:tcPr>
          <w:p w:rsidR="009A4106" w:rsidRPr="00F75163" w:rsidRDefault="009A4106" w:rsidP="009A4106">
            <w:pPr>
              <w:pStyle w:val="ListParagraph"/>
              <w:numPr>
                <w:ilvl w:val="0"/>
                <w:numId w:val="10"/>
              </w:numPr>
              <w:autoSpaceDE w:val="0"/>
              <w:autoSpaceDN w:val="0"/>
              <w:adjustRightInd w:val="0"/>
              <w:spacing w:after="0" w:line="320" w:lineRule="atLeast"/>
              <w:ind w:right="60"/>
              <w:rPr>
                <w:rFonts w:ascii="Times New Roman" w:hAnsi="Times New Roman" w:cs="Times New Roman"/>
                <w:color w:val="000000"/>
                <w:sz w:val="24"/>
                <w:szCs w:val="24"/>
              </w:rPr>
            </w:pPr>
          </w:p>
        </w:tc>
        <w:tc>
          <w:tcPr>
            <w:tcW w:w="6518" w:type="dxa"/>
            <w:shd w:val="clear" w:color="auto" w:fill="FFFFFF"/>
            <w:vAlign w:val="center"/>
          </w:tcPr>
          <w:p w:rsidR="009A4106" w:rsidRPr="00F75163" w:rsidRDefault="009A4106" w:rsidP="009A4106">
            <w:pPr>
              <w:pStyle w:val="NoSpacing"/>
              <w:rPr>
                <w:rFonts w:ascii="Times New Roman" w:hAnsi="Times New Roman" w:cs="Times New Roman"/>
                <w:sz w:val="24"/>
                <w:szCs w:val="24"/>
              </w:rPr>
            </w:pPr>
            <w:r w:rsidRPr="00F75163">
              <w:rPr>
                <w:rFonts w:ascii="Times New Roman" w:hAnsi="Times New Roman" w:cs="Times New Roman"/>
                <w:sz w:val="24"/>
                <w:szCs w:val="24"/>
              </w:rPr>
              <w:t>Circular economy practices in the coastal region have benefited local communities.</w:t>
            </w:r>
          </w:p>
        </w:tc>
        <w:tc>
          <w:tcPr>
            <w:tcW w:w="595"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309</w:t>
            </w:r>
          </w:p>
        </w:tc>
        <w:tc>
          <w:tcPr>
            <w:tcW w:w="850"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4.56</w:t>
            </w:r>
          </w:p>
        </w:tc>
        <w:tc>
          <w:tcPr>
            <w:tcW w:w="2059" w:type="dxa"/>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.645</w:t>
            </w:r>
          </w:p>
        </w:tc>
      </w:tr>
      <w:tr w:rsidR="009A4106" w:rsidRPr="00F75163" w:rsidTr="00F75163">
        <w:trPr>
          <w:cantSplit/>
          <w:trHeight w:val="274"/>
        </w:trPr>
        <w:tc>
          <w:tcPr>
            <w:tcW w:w="562" w:type="dxa"/>
            <w:tcBorders>
              <w:bottom w:val="single" w:sz="4" w:space="0" w:color="auto"/>
            </w:tcBorders>
            <w:shd w:val="clear" w:color="auto" w:fill="FFFFFF"/>
          </w:tcPr>
          <w:p w:rsidR="009A4106" w:rsidRPr="00F75163" w:rsidRDefault="009A4106" w:rsidP="008D0078">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6518" w:type="dxa"/>
            <w:tcBorders>
              <w:bottom w:val="single" w:sz="4" w:space="0" w:color="auto"/>
            </w:tcBorders>
            <w:shd w:val="clear" w:color="auto" w:fill="FFFFFF"/>
            <w:vAlign w:val="center"/>
          </w:tcPr>
          <w:p w:rsidR="009A4106" w:rsidRPr="00F75163" w:rsidRDefault="009A4106" w:rsidP="008D0078">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Valid N (listwise)</w:t>
            </w:r>
          </w:p>
        </w:tc>
        <w:tc>
          <w:tcPr>
            <w:tcW w:w="595" w:type="dxa"/>
            <w:tcBorders>
              <w:bottom w:val="single" w:sz="4" w:space="0" w:color="auto"/>
            </w:tcBorders>
            <w:shd w:val="clear" w:color="auto" w:fill="FFFFFF"/>
            <w:vAlign w:val="center"/>
          </w:tcPr>
          <w:p w:rsidR="009A4106" w:rsidRPr="00F75163" w:rsidRDefault="009A4106" w:rsidP="00F75163">
            <w:pPr>
              <w:autoSpaceDE w:val="0"/>
              <w:autoSpaceDN w:val="0"/>
              <w:adjustRightInd w:val="0"/>
              <w:spacing w:after="0" w:line="320" w:lineRule="atLeast"/>
              <w:ind w:left="60" w:right="60"/>
              <w:rPr>
                <w:rFonts w:ascii="Times New Roman" w:hAnsi="Times New Roman" w:cs="Times New Roman"/>
                <w:color w:val="000000"/>
                <w:sz w:val="24"/>
                <w:szCs w:val="24"/>
              </w:rPr>
            </w:pPr>
            <w:r w:rsidRPr="00F75163">
              <w:rPr>
                <w:rFonts w:ascii="Times New Roman" w:hAnsi="Times New Roman" w:cs="Times New Roman"/>
                <w:color w:val="000000"/>
                <w:sz w:val="24"/>
                <w:szCs w:val="24"/>
              </w:rPr>
              <w:t>309</w:t>
            </w:r>
          </w:p>
        </w:tc>
        <w:tc>
          <w:tcPr>
            <w:tcW w:w="850" w:type="dxa"/>
            <w:tcBorders>
              <w:bottom w:val="single" w:sz="4" w:space="0" w:color="auto"/>
            </w:tcBorders>
            <w:shd w:val="clear" w:color="auto" w:fill="FFFFFF"/>
          </w:tcPr>
          <w:p w:rsidR="009A4106" w:rsidRPr="00F75163" w:rsidRDefault="009A4106" w:rsidP="00F75163">
            <w:pPr>
              <w:autoSpaceDE w:val="0"/>
              <w:autoSpaceDN w:val="0"/>
              <w:adjustRightInd w:val="0"/>
              <w:spacing w:after="0" w:line="240" w:lineRule="auto"/>
              <w:rPr>
                <w:rFonts w:ascii="Times New Roman" w:hAnsi="Times New Roman" w:cs="Times New Roman"/>
                <w:sz w:val="24"/>
                <w:szCs w:val="24"/>
              </w:rPr>
            </w:pPr>
          </w:p>
        </w:tc>
        <w:tc>
          <w:tcPr>
            <w:tcW w:w="2059" w:type="dxa"/>
            <w:tcBorders>
              <w:bottom w:val="single" w:sz="4" w:space="0" w:color="auto"/>
            </w:tcBorders>
            <w:shd w:val="clear" w:color="auto" w:fill="FFFFFF"/>
          </w:tcPr>
          <w:p w:rsidR="009A4106" w:rsidRPr="00F75163" w:rsidRDefault="009A4106" w:rsidP="00F75163">
            <w:pPr>
              <w:autoSpaceDE w:val="0"/>
              <w:autoSpaceDN w:val="0"/>
              <w:adjustRightInd w:val="0"/>
              <w:spacing w:after="0" w:line="240" w:lineRule="auto"/>
              <w:rPr>
                <w:rFonts w:ascii="Times New Roman" w:hAnsi="Times New Roman" w:cs="Times New Roman"/>
                <w:sz w:val="24"/>
                <w:szCs w:val="24"/>
              </w:rPr>
            </w:pPr>
          </w:p>
        </w:tc>
      </w:tr>
    </w:tbl>
    <w:p w:rsidR="004F1DB8" w:rsidRPr="008D0078" w:rsidRDefault="008D0078" w:rsidP="00F67277">
      <w:pPr>
        <w:pStyle w:val="NoSpacing"/>
        <w:jc w:val="both"/>
        <w:rPr>
          <w:rFonts w:ascii="Times New Roman" w:hAnsi="Times New Roman" w:cs="Times New Roman"/>
          <w:i/>
          <w:sz w:val="24"/>
          <w:szCs w:val="24"/>
          <w:lang w:val="en-US"/>
        </w:rPr>
      </w:pPr>
      <w:r w:rsidRPr="008D0078">
        <w:rPr>
          <w:rFonts w:ascii="Times New Roman" w:hAnsi="Times New Roman" w:cs="Times New Roman"/>
          <w:i/>
          <w:sz w:val="24"/>
          <w:szCs w:val="24"/>
          <w:lang w:val="en-US"/>
        </w:rPr>
        <w:t>Source: Survey findings,202</w:t>
      </w:r>
      <w:r w:rsidR="007D42AC">
        <w:rPr>
          <w:rFonts w:ascii="Times New Roman" w:hAnsi="Times New Roman" w:cs="Times New Roman"/>
          <w:i/>
          <w:sz w:val="24"/>
          <w:szCs w:val="24"/>
          <w:lang w:val="en-US"/>
        </w:rPr>
        <w:t>5</w:t>
      </w:r>
    </w:p>
    <w:p w:rsidR="0031126C" w:rsidRPr="00F67277" w:rsidRDefault="0031126C" w:rsidP="00F67277">
      <w:pPr>
        <w:pStyle w:val="NoSpacing"/>
        <w:jc w:val="both"/>
        <w:rPr>
          <w:rFonts w:ascii="Times New Roman" w:hAnsi="Times New Roman" w:cs="Times New Roman"/>
          <w:b/>
          <w:sz w:val="24"/>
          <w:szCs w:val="24"/>
          <w:lang w:val="en-US"/>
        </w:rPr>
      </w:pPr>
    </w:p>
    <w:p w:rsidR="008D0078" w:rsidRPr="001A4423" w:rsidRDefault="008D0078" w:rsidP="008D0078">
      <w:pPr>
        <w:spacing w:after="120" w:line="240" w:lineRule="auto"/>
        <w:jc w:val="both"/>
        <w:rPr>
          <w:rFonts w:ascii="Times New Roman" w:eastAsia="Times New Roman" w:hAnsi="Times New Roman" w:cs="Times New Roman"/>
          <w:i/>
          <w:sz w:val="24"/>
          <w:szCs w:val="24"/>
          <w:lang w:eastAsia="en-KE"/>
        </w:rPr>
      </w:pPr>
      <w:r w:rsidRPr="008D0078">
        <w:rPr>
          <w:rFonts w:ascii="Times New Roman" w:eastAsia="Times New Roman" w:hAnsi="Times New Roman" w:cs="Times New Roman"/>
          <w:sz w:val="24"/>
          <w:szCs w:val="24"/>
          <w:lang w:eastAsia="en-KE"/>
        </w:rPr>
        <w:t>The</w:t>
      </w:r>
      <w:r w:rsidR="00157192">
        <w:rPr>
          <w:rFonts w:ascii="Times New Roman" w:eastAsia="Times New Roman" w:hAnsi="Times New Roman" w:cs="Times New Roman"/>
          <w:sz w:val="24"/>
          <w:szCs w:val="24"/>
          <w:lang w:val="en-US" w:eastAsia="en-KE"/>
        </w:rPr>
        <w:t xml:space="preserve"> </w:t>
      </w:r>
      <w:r w:rsidRPr="008D0078">
        <w:rPr>
          <w:rFonts w:ascii="Times New Roman" w:eastAsia="Times New Roman" w:hAnsi="Times New Roman" w:cs="Times New Roman"/>
          <w:sz w:val="24"/>
          <w:szCs w:val="24"/>
          <w:lang w:eastAsia="en-KE"/>
        </w:rPr>
        <w:t>findings presented in Table 9 demonstrate a strong positive consensus across all dimensions of competitiveness, as all mean scores exceeded the 4.00 threshold on the five-point scale. The highest agreement was observed for the assertion that enterprises have enhanced their reputation among tourists as a result of sustainability practices (</w:t>
      </w:r>
      <w:r w:rsidRPr="001A4423">
        <w:rPr>
          <w:rFonts w:ascii="Times New Roman" w:eastAsia="Times New Roman" w:hAnsi="Times New Roman" w:cs="Times New Roman"/>
          <w:i/>
          <w:sz w:val="24"/>
          <w:szCs w:val="24"/>
          <w:lang w:eastAsia="en-KE"/>
        </w:rPr>
        <w:t>M = 4.60, SD = 0.63).</w:t>
      </w:r>
      <w:r w:rsidRPr="008D0078">
        <w:rPr>
          <w:rFonts w:ascii="Times New Roman" w:eastAsia="Times New Roman" w:hAnsi="Times New Roman" w:cs="Times New Roman"/>
          <w:sz w:val="24"/>
          <w:szCs w:val="24"/>
          <w:lang w:eastAsia="en-KE"/>
        </w:rPr>
        <w:t xml:space="preserve"> This was closely followed by the perception that circular economy practices in the coastal region have provided tangible benefits to local communities </w:t>
      </w:r>
      <w:r w:rsidRPr="001A4423">
        <w:rPr>
          <w:rFonts w:ascii="Times New Roman" w:eastAsia="Times New Roman" w:hAnsi="Times New Roman" w:cs="Times New Roman"/>
          <w:i/>
          <w:sz w:val="24"/>
          <w:szCs w:val="24"/>
          <w:lang w:eastAsia="en-KE"/>
        </w:rPr>
        <w:t>(M = 4.56, SD = 0.64),</w:t>
      </w:r>
      <w:r w:rsidRPr="008D0078">
        <w:rPr>
          <w:rFonts w:ascii="Times New Roman" w:eastAsia="Times New Roman" w:hAnsi="Times New Roman" w:cs="Times New Roman"/>
          <w:sz w:val="24"/>
          <w:szCs w:val="24"/>
          <w:lang w:eastAsia="en-KE"/>
        </w:rPr>
        <w:t xml:space="preserve"> as well as the finding that the adoption of circular practices results in long-term cost savings for individual enterprises (</w:t>
      </w:r>
      <w:r w:rsidRPr="001A4423">
        <w:rPr>
          <w:rFonts w:ascii="Times New Roman" w:eastAsia="Times New Roman" w:hAnsi="Times New Roman" w:cs="Times New Roman"/>
          <w:i/>
          <w:sz w:val="24"/>
          <w:szCs w:val="24"/>
          <w:lang w:eastAsia="en-KE"/>
        </w:rPr>
        <w:t>M = 4.55, SD = 0.74).</w:t>
      </w:r>
      <w:r w:rsidRPr="008D0078">
        <w:rPr>
          <w:rFonts w:ascii="Times New Roman" w:eastAsia="Times New Roman" w:hAnsi="Times New Roman" w:cs="Times New Roman"/>
          <w:sz w:val="24"/>
          <w:szCs w:val="24"/>
          <w:lang w:eastAsia="en-KE"/>
        </w:rPr>
        <w:t xml:space="preserve"> Slightly lower, but still substantial, levels of agreement were reported for items related to global market positioning, in which respondents indicated strong confidence that their businesses are more competitive due to alignment with global green travel trends </w:t>
      </w:r>
      <w:r w:rsidRPr="001A4423">
        <w:rPr>
          <w:rFonts w:ascii="Times New Roman" w:eastAsia="Times New Roman" w:hAnsi="Times New Roman" w:cs="Times New Roman"/>
          <w:i/>
          <w:sz w:val="24"/>
          <w:szCs w:val="24"/>
          <w:lang w:eastAsia="en-KE"/>
        </w:rPr>
        <w:t>(M = 4.26, SD = 0.62).</w:t>
      </w:r>
      <w:r w:rsidRPr="008D0078">
        <w:rPr>
          <w:rFonts w:ascii="Times New Roman" w:eastAsia="Times New Roman" w:hAnsi="Times New Roman" w:cs="Times New Roman"/>
          <w:sz w:val="24"/>
          <w:szCs w:val="24"/>
          <w:lang w:eastAsia="en-KE"/>
        </w:rPr>
        <w:t xml:space="preserve"> The lowest mean within this construct, with a relatively narrow distribution of responses, pertained to the belief that regional circular-economy initiatives enhance the attractiveness of the Kenya Coast relative to other global beach destinations </w:t>
      </w:r>
      <w:r w:rsidRPr="001A4423">
        <w:rPr>
          <w:rFonts w:ascii="Times New Roman" w:eastAsia="Times New Roman" w:hAnsi="Times New Roman" w:cs="Times New Roman"/>
          <w:i/>
          <w:sz w:val="24"/>
          <w:szCs w:val="24"/>
          <w:lang w:eastAsia="en-KE"/>
        </w:rPr>
        <w:t>(M = 4.24, SD = 0.66).</w:t>
      </w:r>
    </w:p>
    <w:p w:rsidR="0031126C" w:rsidRDefault="00227559" w:rsidP="00157192">
      <w:pPr>
        <w:pStyle w:val="NoSpacing"/>
        <w:jc w:val="both"/>
        <w:rPr>
          <w:rFonts w:ascii="Times New Roman" w:hAnsi="Times New Roman" w:cs="Times New Roman"/>
          <w:b/>
          <w:sz w:val="24"/>
          <w:szCs w:val="24"/>
          <w:lang w:val="en-US"/>
        </w:rPr>
      </w:pPr>
      <w:bookmarkStart w:id="1" w:name="_Hlk230514067"/>
      <w:r>
        <w:rPr>
          <w:rFonts w:ascii="Times New Roman" w:hAnsi="Times New Roman" w:cs="Times New Roman"/>
          <w:b/>
          <w:sz w:val="24"/>
          <w:szCs w:val="24"/>
          <w:lang w:val="en-US"/>
        </w:rPr>
        <w:t>Hypothesis Testing</w:t>
      </w:r>
    </w:p>
    <w:bookmarkEnd w:id="1"/>
    <w:p w:rsidR="00997F96" w:rsidRDefault="00B7748C" w:rsidP="00B7748C">
      <w:pPr>
        <w:autoSpaceDE w:val="0"/>
        <w:autoSpaceDN w:val="0"/>
        <w:adjustRightInd w:val="0"/>
        <w:spacing w:after="0" w:line="240" w:lineRule="auto"/>
        <w:jc w:val="both"/>
        <w:rPr>
          <w:rFonts w:ascii="Times New Roman" w:hAnsi="Times New Roman" w:cs="Times New Roman"/>
          <w:sz w:val="24"/>
          <w:szCs w:val="24"/>
          <w:lang w:val="en-US" w:eastAsia="en-KE"/>
        </w:rPr>
      </w:pPr>
      <w:r w:rsidRPr="00B7748C">
        <w:rPr>
          <w:rFonts w:ascii="Times New Roman" w:hAnsi="Times New Roman" w:cs="Times New Roman"/>
          <w:sz w:val="24"/>
          <w:szCs w:val="24"/>
          <w:lang w:val="en-US" w:eastAsia="en-KE"/>
        </w:rPr>
        <w:t>To evaluate the hypothesis that stakeholder collaboration does not statistically significantly mediate the relationship between the policy and governance dimensions of the circular economy and sustainable destination competitiveness in Kenya’s Coastal Tourism Circuit, the data were first subjected to preliminary assumption testing. While parametric mediation analysis, such as ordinary least squares regression, is commonly employed, social science research utilizing Likert scales often produces ordinal data that may violate key parametric assumptions, including multivariate normality and interval scaling (</w:t>
      </w:r>
      <w:proofErr w:type="spellStart"/>
      <w:r w:rsidRPr="00B7748C">
        <w:rPr>
          <w:rFonts w:ascii="Times New Roman" w:hAnsi="Times New Roman" w:cs="Times New Roman"/>
          <w:sz w:val="24"/>
          <w:szCs w:val="24"/>
          <w:lang w:val="en-US" w:eastAsia="en-KE"/>
        </w:rPr>
        <w:t>Harpe</w:t>
      </w:r>
      <w:proofErr w:type="spellEnd"/>
      <w:r w:rsidRPr="00B7748C">
        <w:rPr>
          <w:rFonts w:ascii="Times New Roman" w:hAnsi="Times New Roman" w:cs="Times New Roman"/>
          <w:sz w:val="24"/>
          <w:szCs w:val="24"/>
          <w:lang w:val="en-US" w:eastAsia="en-KE"/>
        </w:rPr>
        <w:t xml:space="preserve">, 2015; Sullivan &amp; </w:t>
      </w:r>
      <w:proofErr w:type="spellStart"/>
      <w:r w:rsidRPr="00B7748C">
        <w:rPr>
          <w:rFonts w:ascii="Times New Roman" w:hAnsi="Times New Roman" w:cs="Times New Roman"/>
          <w:sz w:val="24"/>
          <w:szCs w:val="24"/>
          <w:lang w:val="en-US" w:eastAsia="en-KE"/>
        </w:rPr>
        <w:t>Artino</w:t>
      </w:r>
      <w:proofErr w:type="spellEnd"/>
      <w:r w:rsidRPr="00B7748C">
        <w:rPr>
          <w:rFonts w:ascii="Times New Roman" w:hAnsi="Times New Roman" w:cs="Times New Roman"/>
          <w:sz w:val="24"/>
          <w:szCs w:val="24"/>
          <w:lang w:val="en-US" w:eastAsia="en-KE"/>
        </w:rPr>
        <w:t xml:space="preserve">, 2012). </w:t>
      </w:r>
      <w:r w:rsidR="00BB288C">
        <w:rPr>
          <w:rFonts w:ascii="Times New Roman" w:hAnsi="Times New Roman" w:cs="Times New Roman"/>
          <w:sz w:val="24"/>
          <w:szCs w:val="24"/>
          <w:lang w:val="en-US" w:eastAsia="en-KE"/>
        </w:rPr>
        <w:t xml:space="preserve">According to </w:t>
      </w:r>
      <w:proofErr w:type="spellStart"/>
      <w:r w:rsidR="00BB288C" w:rsidRPr="00B7748C">
        <w:rPr>
          <w:rFonts w:ascii="Times New Roman" w:hAnsi="Times New Roman" w:cs="Times New Roman"/>
          <w:sz w:val="24"/>
          <w:szCs w:val="24"/>
          <w:lang w:val="en-US" w:eastAsia="en-KE"/>
        </w:rPr>
        <w:t>Ghasemi</w:t>
      </w:r>
      <w:proofErr w:type="spellEnd"/>
      <w:r w:rsidR="00BB288C" w:rsidRPr="00B7748C">
        <w:rPr>
          <w:rFonts w:ascii="Times New Roman" w:hAnsi="Times New Roman" w:cs="Times New Roman"/>
          <w:sz w:val="24"/>
          <w:szCs w:val="24"/>
          <w:lang w:val="en-US" w:eastAsia="en-KE"/>
        </w:rPr>
        <w:t xml:space="preserve"> &amp; </w:t>
      </w:r>
      <w:proofErr w:type="spellStart"/>
      <w:r w:rsidR="00BB288C" w:rsidRPr="00B7748C">
        <w:rPr>
          <w:rFonts w:ascii="Times New Roman" w:hAnsi="Times New Roman" w:cs="Times New Roman"/>
          <w:sz w:val="24"/>
          <w:szCs w:val="24"/>
          <w:lang w:val="en-US" w:eastAsia="en-KE"/>
        </w:rPr>
        <w:t>Zahediasl</w:t>
      </w:r>
      <w:proofErr w:type="spellEnd"/>
      <w:r w:rsidR="00BB288C">
        <w:rPr>
          <w:rFonts w:ascii="Times New Roman" w:hAnsi="Times New Roman" w:cs="Times New Roman"/>
          <w:sz w:val="24"/>
          <w:szCs w:val="24"/>
          <w:lang w:val="en-US" w:eastAsia="en-KE"/>
        </w:rPr>
        <w:t xml:space="preserve"> (</w:t>
      </w:r>
      <w:r w:rsidR="00BB288C" w:rsidRPr="00B7748C">
        <w:rPr>
          <w:rFonts w:ascii="Times New Roman" w:hAnsi="Times New Roman" w:cs="Times New Roman"/>
          <w:sz w:val="24"/>
          <w:szCs w:val="24"/>
          <w:lang w:val="en-US" w:eastAsia="en-KE"/>
        </w:rPr>
        <w:t>2012</w:t>
      </w:r>
      <w:r w:rsidR="00BB288C">
        <w:rPr>
          <w:rFonts w:ascii="Times New Roman" w:hAnsi="Times New Roman" w:cs="Times New Roman"/>
          <w:sz w:val="24"/>
          <w:szCs w:val="24"/>
          <w:lang w:val="en-US" w:eastAsia="en-KE"/>
        </w:rPr>
        <w:t>)</w:t>
      </w:r>
      <w:r w:rsidR="00871E42">
        <w:rPr>
          <w:rFonts w:ascii="Times New Roman" w:hAnsi="Times New Roman" w:cs="Times New Roman"/>
          <w:sz w:val="24"/>
          <w:szCs w:val="24"/>
          <w:lang w:val="en-US" w:eastAsia="en-KE"/>
        </w:rPr>
        <w:t>,</w:t>
      </w:r>
      <w:r w:rsidR="00BB288C">
        <w:rPr>
          <w:rFonts w:ascii="Times New Roman" w:hAnsi="Times New Roman" w:cs="Times New Roman"/>
          <w:sz w:val="24"/>
          <w:szCs w:val="24"/>
          <w:lang w:val="en-US" w:eastAsia="en-KE"/>
        </w:rPr>
        <w:t xml:space="preserve"> a</w:t>
      </w:r>
      <w:r w:rsidRPr="00B7748C">
        <w:rPr>
          <w:rFonts w:ascii="Times New Roman" w:hAnsi="Times New Roman" w:cs="Times New Roman"/>
          <w:sz w:val="24"/>
          <w:szCs w:val="24"/>
          <w:lang w:val="en-US" w:eastAsia="en-KE"/>
        </w:rPr>
        <w:t xml:space="preserve">pplying parametric tests to such data without appropriate validation can result in inflated Type I error rates and misleading conclusions. Consequently, </w:t>
      </w:r>
      <w:r w:rsidR="00997F96">
        <w:rPr>
          <w:rFonts w:ascii="Times New Roman" w:hAnsi="Times New Roman" w:cs="Times New Roman"/>
          <w:sz w:val="24"/>
          <w:szCs w:val="24"/>
          <w:lang w:val="en-US" w:eastAsia="en-KE"/>
        </w:rPr>
        <w:t>using a nonparametric correlation matrix as an initial diagnostic step is warranted to assess monotonic baseline relationships among the latent constructs without assuming normality</w:t>
      </w:r>
      <w:r w:rsidRPr="00B7748C">
        <w:rPr>
          <w:rFonts w:ascii="Times New Roman" w:hAnsi="Times New Roman" w:cs="Times New Roman"/>
          <w:sz w:val="24"/>
          <w:szCs w:val="24"/>
          <w:lang w:val="en-US" w:eastAsia="en-KE"/>
        </w:rPr>
        <w:t xml:space="preserve"> (Field, 2018). </w:t>
      </w:r>
      <w:r w:rsidR="00450B21">
        <w:rPr>
          <w:rFonts w:ascii="Times New Roman" w:hAnsi="Times New Roman" w:cs="Times New Roman"/>
          <w:sz w:val="24"/>
          <w:szCs w:val="24"/>
          <w:lang w:val="en-US" w:eastAsia="en-KE"/>
        </w:rPr>
        <w:t>To this end</w:t>
      </w:r>
      <w:r w:rsidRPr="00B7748C">
        <w:rPr>
          <w:rFonts w:ascii="Times New Roman" w:hAnsi="Times New Roman" w:cs="Times New Roman"/>
          <w:sz w:val="24"/>
          <w:szCs w:val="24"/>
          <w:lang w:val="en-US" w:eastAsia="en-KE"/>
        </w:rPr>
        <w:t>, a preliminary bivariate analysis was conducted using Spearman’s rank correlation coefficient (ρ). The results are presented in Table 10.</w:t>
      </w:r>
    </w:p>
    <w:p w:rsidR="00450B21" w:rsidRDefault="00450B21" w:rsidP="00B7748C">
      <w:pPr>
        <w:autoSpaceDE w:val="0"/>
        <w:autoSpaceDN w:val="0"/>
        <w:adjustRightInd w:val="0"/>
        <w:spacing w:after="0" w:line="240" w:lineRule="auto"/>
        <w:jc w:val="both"/>
        <w:rPr>
          <w:rFonts w:ascii="Times New Roman" w:hAnsi="Times New Roman" w:cs="Times New Roman"/>
          <w:sz w:val="24"/>
          <w:szCs w:val="24"/>
          <w:lang w:val="en-US" w:eastAsia="en-KE"/>
        </w:rPr>
      </w:pPr>
    </w:p>
    <w:p w:rsidR="00450B21" w:rsidRPr="008010CA" w:rsidRDefault="00450B21" w:rsidP="00997F96">
      <w:pPr>
        <w:autoSpaceDE w:val="0"/>
        <w:autoSpaceDN w:val="0"/>
        <w:adjustRightInd w:val="0"/>
        <w:spacing w:after="0" w:line="240" w:lineRule="auto"/>
        <w:jc w:val="center"/>
        <w:rPr>
          <w:rFonts w:ascii="Times New Roman" w:hAnsi="Times New Roman" w:cs="Times New Roman"/>
          <w:b/>
          <w:sz w:val="24"/>
          <w:szCs w:val="24"/>
          <w:lang w:val="en-US"/>
        </w:rPr>
      </w:pPr>
      <w:r w:rsidRPr="008010CA">
        <w:rPr>
          <w:rFonts w:ascii="Times New Roman" w:hAnsi="Times New Roman" w:cs="Times New Roman"/>
          <w:b/>
          <w:sz w:val="24"/>
          <w:szCs w:val="24"/>
          <w:lang w:val="en-US"/>
        </w:rPr>
        <w:t xml:space="preserve">Table 10: </w:t>
      </w:r>
      <w:r w:rsidRPr="008010CA">
        <w:rPr>
          <w:rFonts w:ascii="Times New Roman" w:hAnsi="Times New Roman" w:cs="Times New Roman"/>
          <w:b/>
          <w:bCs/>
          <w:color w:val="000000"/>
          <w:sz w:val="24"/>
          <w:szCs w:val="24"/>
        </w:rPr>
        <w:t>Correlations</w:t>
      </w:r>
    </w:p>
    <w:tbl>
      <w:tblPr>
        <w:tblW w:w="10363" w:type="dxa"/>
        <w:tblLayout w:type="fixed"/>
        <w:tblCellMar>
          <w:left w:w="0" w:type="dxa"/>
          <w:right w:w="0" w:type="dxa"/>
        </w:tblCellMar>
        <w:tblLook w:val="0000" w:firstRow="0" w:lastRow="0" w:firstColumn="0" w:lastColumn="0" w:noHBand="0" w:noVBand="0"/>
      </w:tblPr>
      <w:tblGrid>
        <w:gridCol w:w="1815"/>
        <w:gridCol w:w="1849"/>
        <w:gridCol w:w="2402"/>
        <w:gridCol w:w="1129"/>
        <w:gridCol w:w="1523"/>
        <w:gridCol w:w="1645"/>
      </w:tblGrid>
      <w:tr w:rsidR="00B7748C" w:rsidRPr="00DF6287" w:rsidTr="004E7F81">
        <w:trPr>
          <w:cantSplit/>
          <w:trHeight w:val="295"/>
        </w:trPr>
        <w:tc>
          <w:tcPr>
            <w:tcW w:w="6066" w:type="dxa"/>
            <w:gridSpan w:val="3"/>
            <w:tcBorders>
              <w:top w:val="single" w:sz="4" w:space="0" w:color="auto"/>
              <w:bottom w:val="single" w:sz="4" w:space="0" w:color="auto"/>
            </w:tcBorders>
            <w:shd w:val="clear" w:color="auto" w:fill="FFFFFF"/>
          </w:tcPr>
          <w:p w:rsidR="00B7748C" w:rsidRPr="00DF6287" w:rsidRDefault="00B7748C" w:rsidP="00877AF4">
            <w:pPr>
              <w:pStyle w:val="NoSpacing"/>
              <w:rPr>
                <w:rFonts w:ascii="Times New Roman" w:hAnsi="Times New Roman" w:cs="Times New Roman"/>
                <w:sz w:val="24"/>
                <w:szCs w:val="24"/>
              </w:rPr>
            </w:pPr>
          </w:p>
        </w:tc>
        <w:tc>
          <w:tcPr>
            <w:tcW w:w="1129" w:type="dxa"/>
            <w:tcBorders>
              <w:top w:val="single" w:sz="4" w:space="0" w:color="auto"/>
              <w:bottom w:val="single" w:sz="4" w:space="0" w:color="auto"/>
            </w:tcBorders>
            <w:shd w:val="clear" w:color="auto" w:fill="FFFFFF"/>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policy</w:t>
            </w:r>
          </w:p>
        </w:tc>
        <w:tc>
          <w:tcPr>
            <w:tcW w:w="1523" w:type="dxa"/>
            <w:tcBorders>
              <w:top w:val="single" w:sz="4" w:space="0" w:color="auto"/>
              <w:bottom w:val="single" w:sz="4" w:space="0" w:color="auto"/>
            </w:tcBorders>
            <w:shd w:val="clear" w:color="auto" w:fill="FFFFFF"/>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collaboration</w:t>
            </w:r>
          </w:p>
        </w:tc>
        <w:tc>
          <w:tcPr>
            <w:tcW w:w="1644" w:type="dxa"/>
            <w:tcBorders>
              <w:top w:val="single" w:sz="4" w:space="0" w:color="auto"/>
              <w:bottom w:val="single" w:sz="4" w:space="0" w:color="auto"/>
            </w:tcBorders>
            <w:shd w:val="clear" w:color="auto" w:fill="FFFFFF"/>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competitiveness</w:t>
            </w:r>
          </w:p>
        </w:tc>
      </w:tr>
      <w:tr w:rsidR="00877AF4" w:rsidRPr="00DF6287" w:rsidTr="004E7F81">
        <w:trPr>
          <w:cantSplit/>
          <w:trHeight w:val="295"/>
        </w:trPr>
        <w:tc>
          <w:tcPr>
            <w:tcW w:w="1815" w:type="dxa"/>
            <w:vMerge w:val="restart"/>
            <w:tcBorders>
              <w:top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Spearman's rho</w:t>
            </w:r>
          </w:p>
        </w:tc>
        <w:tc>
          <w:tcPr>
            <w:tcW w:w="1849" w:type="dxa"/>
            <w:vMerge w:val="restart"/>
            <w:tcBorders>
              <w:top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policy</w:t>
            </w:r>
          </w:p>
        </w:tc>
        <w:tc>
          <w:tcPr>
            <w:tcW w:w="2401" w:type="dxa"/>
            <w:tcBorders>
              <w:top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Correlation Coefficient</w:t>
            </w:r>
          </w:p>
        </w:tc>
        <w:tc>
          <w:tcPr>
            <w:tcW w:w="1129" w:type="dxa"/>
            <w:tcBorders>
              <w:top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1.000</w:t>
            </w:r>
          </w:p>
        </w:tc>
        <w:tc>
          <w:tcPr>
            <w:tcW w:w="1523" w:type="dxa"/>
            <w:tcBorders>
              <w:top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r w:rsidRPr="00DF6287">
              <w:rPr>
                <w:rFonts w:ascii="Times New Roman" w:hAnsi="Times New Roman" w:cs="Times New Roman"/>
                <w:sz w:val="24"/>
                <w:szCs w:val="24"/>
                <w:lang w:val="en-US"/>
              </w:rPr>
              <w:t>5</w:t>
            </w:r>
            <w:r w:rsidRPr="00DF6287">
              <w:rPr>
                <w:rFonts w:ascii="Times New Roman" w:hAnsi="Times New Roman" w:cs="Times New Roman"/>
                <w:sz w:val="24"/>
                <w:szCs w:val="24"/>
              </w:rPr>
              <w:t>97</w:t>
            </w:r>
            <w:r w:rsidR="00450B21" w:rsidRPr="00DF6287">
              <w:rPr>
                <w:rFonts w:ascii="Times New Roman" w:hAnsi="Times New Roman" w:cs="Times New Roman"/>
                <w:sz w:val="24"/>
                <w:szCs w:val="24"/>
                <w:vertAlign w:val="superscript"/>
              </w:rPr>
              <w:t>**</w:t>
            </w:r>
          </w:p>
        </w:tc>
        <w:tc>
          <w:tcPr>
            <w:tcW w:w="1644" w:type="dxa"/>
            <w:tcBorders>
              <w:top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.66</w:t>
            </w:r>
            <w:r w:rsidRPr="00DF6287">
              <w:rPr>
                <w:rFonts w:ascii="Times New Roman" w:hAnsi="Times New Roman" w:cs="Times New Roman"/>
                <w:sz w:val="24"/>
                <w:szCs w:val="24"/>
                <w:lang w:val="en-US"/>
              </w:rPr>
              <w:t>8</w:t>
            </w:r>
            <w:r w:rsidRPr="00DF6287">
              <w:rPr>
                <w:rFonts w:ascii="Times New Roman" w:hAnsi="Times New Roman" w:cs="Times New Roman"/>
                <w:sz w:val="24"/>
                <w:szCs w:val="24"/>
                <w:vertAlign w:val="superscript"/>
              </w:rPr>
              <w:t>**</w:t>
            </w:r>
          </w:p>
        </w:tc>
      </w:tr>
      <w:tr w:rsidR="00B7748C" w:rsidRPr="00DF6287" w:rsidTr="004E7F81">
        <w:trPr>
          <w:cantSplit/>
          <w:trHeight w:val="304"/>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Sig. (2-tailed)</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.0</w:t>
            </w:r>
            <w:r w:rsidRPr="00DF6287">
              <w:rPr>
                <w:rFonts w:ascii="Times New Roman" w:hAnsi="Times New Roman" w:cs="Times New Roman"/>
                <w:sz w:val="24"/>
                <w:szCs w:val="24"/>
                <w:lang w:val="en-US"/>
              </w:rPr>
              <w:t>1</w:t>
            </w:r>
            <w:r w:rsidRPr="00DF6287">
              <w:rPr>
                <w:rFonts w:ascii="Times New Roman" w:hAnsi="Times New Roman" w:cs="Times New Roman"/>
                <w:sz w:val="24"/>
                <w:szCs w:val="24"/>
              </w:rPr>
              <w:t>8</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.000</w:t>
            </w:r>
          </w:p>
        </w:tc>
      </w:tr>
      <w:tr w:rsidR="00B7748C" w:rsidRPr="00DF6287" w:rsidTr="004E7F81">
        <w:trPr>
          <w:cantSplit/>
          <w:trHeight w:val="237"/>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N</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r>
      <w:tr w:rsidR="00B7748C" w:rsidRPr="00DF6287" w:rsidTr="004E7F81">
        <w:trPr>
          <w:cantSplit/>
          <w:trHeight w:val="304"/>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val="restart"/>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collaboration</w:t>
            </w: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Correlation Coefficient</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r w:rsidRPr="00DF6287">
              <w:rPr>
                <w:rFonts w:ascii="Times New Roman" w:hAnsi="Times New Roman" w:cs="Times New Roman"/>
                <w:sz w:val="24"/>
                <w:szCs w:val="24"/>
                <w:lang w:val="en-US"/>
              </w:rPr>
              <w:t>5</w:t>
            </w:r>
            <w:r w:rsidRPr="00DF6287">
              <w:rPr>
                <w:rFonts w:ascii="Times New Roman" w:hAnsi="Times New Roman" w:cs="Times New Roman"/>
                <w:sz w:val="24"/>
                <w:szCs w:val="24"/>
              </w:rPr>
              <w:t>97</w:t>
            </w:r>
            <w:r w:rsidR="00450B21" w:rsidRPr="00DF6287">
              <w:rPr>
                <w:rFonts w:ascii="Times New Roman" w:hAnsi="Times New Roman" w:cs="Times New Roman"/>
                <w:sz w:val="24"/>
                <w:szCs w:val="24"/>
                <w:vertAlign w:val="superscript"/>
              </w:rPr>
              <w:t>**</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1.000</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r w:rsidRPr="00DF6287">
              <w:rPr>
                <w:rFonts w:ascii="Times New Roman" w:hAnsi="Times New Roman" w:cs="Times New Roman"/>
                <w:sz w:val="24"/>
                <w:szCs w:val="24"/>
                <w:lang w:val="en-US"/>
              </w:rPr>
              <w:t>5</w:t>
            </w:r>
            <w:r w:rsidRPr="00DF6287">
              <w:rPr>
                <w:rFonts w:ascii="Times New Roman" w:hAnsi="Times New Roman" w:cs="Times New Roman"/>
                <w:sz w:val="24"/>
                <w:szCs w:val="24"/>
              </w:rPr>
              <w:t>33</w:t>
            </w:r>
            <w:r w:rsidR="00450B21" w:rsidRPr="00DF6287">
              <w:rPr>
                <w:rFonts w:ascii="Times New Roman" w:hAnsi="Times New Roman" w:cs="Times New Roman"/>
                <w:sz w:val="24"/>
                <w:szCs w:val="24"/>
                <w:vertAlign w:val="superscript"/>
              </w:rPr>
              <w:t>**</w:t>
            </w:r>
          </w:p>
        </w:tc>
      </w:tr>
      <w:tr w:rsidR="00B7748C" w:rsidRPr="00DF6287" w:rsidTr="004E7F81">
        <w:trPr>
          <w:cantSplit/>
          <w:trHeight w:val="304"/>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Sig. (2-tailed)</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.0</w:t>
            </w:r>
            <w:r w:rsidRPr="00DF6287">
              <w:rPr>
                <w:rFonts w:ascii="Times New Roman" w:hAnsi="Times New Roman" w:cs="Times New Roman"/>
                <w:sz w:val="24"/>
                <w:szCs w:val="24"/>
                <w:lang w:val="en-US"/>
              </w:rPr>
              <w:t>1</w:t>
            </w:r>
            <w:r w:rsidRPr="00DF6287">
              <w:rPr>
                <w:rFonts w:ascii="Times New Roman" w:hAnsi="Times New Roman" w:cs="Times New Roman"/>
                <w:sz w:val="24"/>
                <w:szCs w:val="24"/>
              </w:rPr>
              <w:t>8</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r w:rsidRPr="00DF6287">
              <w:rPr>
                <w:rFonts w:ascii="Times New Roman" w:hAnsi="Times New Roman" w:cs="Times New Roman"/>
                <w:sz w:val="24"/>
                <w:szCs w:val="24"/>
                <w:lang w:val="en-US"/>
              </w:rPr>
              <w:t>00</w:t>
            </w:r>
            <w:r w:rsidRPr="00DF6287">
              <w:rPr>
                <w:rFonts w:ascii="Times New Roman" w:hAnsi="Times New Roman" w:cs="Times New Roman"/>
                <w:sz w:val="24"/>
                <w:szCs w:val="24"/>
              </w:rPr>
              <w:t>2</w:t>
            </w:r>
          </w:p>
        </w:tc>
      </w:tr>
      <w:tr w:rsidR="00B7748C" w:rsidRPr="00DF6287" w:rsidTr="004E7F81">
        <w:trPr>
          <w:cantSplit/>
          <w:trHeight w:val="161"/>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N</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r>
      <w:tr w:rsidR="00B7748C" w:rsidRPr="00DF6287" w:rsidTr="004E7F81">
        <w:trPr>
          <w:cantSplit/>
          <w:trHeight w:val="304"/>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val="restart"/>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competitiveness</w:t>
            </w: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Correlation Coefficient</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.66</w:t>
            </w:r>
            <w:r w:rsidRPr="00DF6287">
              <w:rPr>
                <w:rFonts w:ascii="Times New Roman" w:hAnsi="Times New Roman" w:cs="Times New Roman"/>
                <w:sz w:val="24"/>
                <w:szCs w:val="24"/>
                <w:lang w:val="en-US"/>
              </w:rPr>
              <w:t>8</w:t>
            </w:r>
            <w:r w:rsidRPr="00DF6287">
              <w:rPr>
                <w:rFonts w:ascii="Times New Roman" w:hAnsi="Times New Roman" w:cs="Times New Roman"/>
                <w:sz w:val="24"/>
                <w:szCs w:val="24"/>
                <w:vertAlign w:val="superscript"/>
              </w:rPr>
              <w:t>**</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r w:rsidRPr="00DF6287">
              <w:rPr>
                <w:rFonts w:ascii="Times New Roman" w:hAnsi="Times New Roman" w:cs="Times New Roman"/>
                <w:sz w:val="24"/>
                <w:szCs w:val="24"/>
                <w:lang w:val="en-US"/>
              </w:rPr>
              <w:t>5</w:t>
            </w:r>
            <w:r w:rsidRPr="00DF6287">
              <w:rPr>
                <w:rFonts w:ascii="Times New Roman" w:hAnsi="Times New Roman" w:cs="Times New Roman"/>
                <w:sz w:val="24"/>
                <w:szCs w:val="24"/>
              </w:rPr>
              <w:t>33</w:t>
            </w:r>
            <w:r w:rsidR="00450B21" w:rsidRPr="00DF6287">
              <w:rPr>
                <w:rFonts w:ascii="Times New Roman" w:hAnsi="Times New Roman" w:cs="Times New Roman"/>
                <w:sz w:val="24"/>
                <w:szCs w:val="24"/>
                <w:vertAlign w:val="superscript"/>
              </w:rPr>
              <w:t>**</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1.000</w:t>
            </w:r>
          </w:p>
        </w:tc>
      </w:tr>
      <w:tr w:rsidR="00877AF4" w:rsidRPr="00DF6287" w:rsidTr="004E7F81">
        <w:trPr>
          <w:cantSplit/>
          <w:trHeight w:val="304"/>
        </w:trPr>
        <w:tc>
          <w:tcPr>
            <w:tcW w:w="1815"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2401"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Sig. (2-tailed)</w:t>
            </w:r>
          </w:p>
        </w:tc>
        <w:tc>
          <w:tcPr>
            <w:tcW w:w="1129"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.000</w:t>
            </w:r>
          </w:p>
        </w:tc>
        <w:tc>
          <w:tcPr>
            <w:tcW w:w="1523"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r w:rsidRPr="00DF6287">
              <w:rPr>
                <w:rFonts w:ascii="Times New Roman" w:hAnsi="Times New Roman" w:cs="Times New Roman"/>
                <w:sz w:val="24"/>
                <w:szCs w:val="24"/>
                <w:lang w:val="en-US"/>
              </w:rPr>
              <w:t>00</w:t>
            </w:r>
            <w:r w:rsidRPr="00DF6287">
              <w:rPr>
                <w:rFonts w:ascii="Times New Roman" w:hAnsi="Times New Roman" w:cs="Times New Roman"/>
                <w:sz w:val="24"/>
                <w:szCs w:val="24"/>
              </w:rPr>
              <w:t>2</w:t>
            </w:r>
          </w:p>
        </w:tc>
        <w:tc>
          <w:tcPr>
            <w:tcW w:w="1644" w:type="dxa"/>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w:t>
            </w:r>
          </w:p>
        </w:tc>
      </w:tr>
      <w:tr w:rsidR="00877AF4" w:rsidRPr="00DF6287" w:rsidTr="004E7F81">
        <w:trPr>
          <w:cantSplit/>
          <w:trHeight w:val="53"/>
        </w:trPr>
        <w:tc>
          <w:tcPr>
            <w:tcW w:w="1815" w:type="dxa"/>
            <w:vMerge/>
            <w:tcBorders>
              <w:bottom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1849" w:type="dxa"/>
            <w:vMerge/>
            <w:tcBorders>
              <w:bottom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p>
        </w:tc>
        <w:tc>
          <w:tcPr>
            <w:tcW w:w="2401" w:type="dxa"/>
            <w:tcBorders>
              <w:bottom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N</w:t>
            </w:r>
          </w:p>
        </w:tc>
        <w:tc>
          <w:tcPr>
            <w:tcW w:w="1129" w:type="dxa"/>
            <w:tcBorders>
              <w:bottom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c>
          <w:tcPr>
            <w:tcW w:w="1523" w:type="dxa"/>
            <w:tcBorders>
              <w:bottom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c>
          <w:tcPr>
            <w:tcW w:w="1644" w:type="dxa"/>
            <w:tcBorders>
              <w:bottom w:val="single" w:sz="4" w:space="0" w:color="auto"/>
            </w:tcBorders>
            <w:shd w:val="clear" w:color="auto" w:fill="FFFFFF"/>
            <w:vAlign w:val="center"/>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309</w:t>
            </w:r>
          </w:p>
        </w:tc>
      </w:tr>
      <w:tr w:rsidR="00B7748C" w:rsidRPr="00DF6287" w:rsidTr="004E7F81">
        <w:trPr>
          <w:cantSplit/>
          <w:trHeight w:val="295"/>
        </w:trPr>
        <w:tc>
          <w:tcPr>
            <w:tcW w:w="10363" w:type="dxa"/>
            <w:gridSpan w:val="6"/>
            <w:shd w:val="clear" w:color="auto" w:fill="FFFFFF"/>
          </w:tcPr>
          <w:p w:rsidR="00B7748C" w:rsidRPr="00DF6287" w:rsidRDefault="00B7748C" w:rsidP="00877AF4">
            <w:pPr>
              <w:pStyle w:val="NoSpacing"/>
              <w:rPr>
                <w:rFonts w:ascii="Times New Roman" w:hAnsi="Times New Roman" w:cs="Times New Roman"/>
                <w:sz w:val="24"/>
                <w:szCs w:val="24"/>
              </w:rPr>
            </w:pPr>
            <w:r w:rsidRPr="00DF6287">
              <w:rPr>
                <w:rFonts w:ascii="Times New Roman" w:hAnsi="Times New Roman" w:cs="Times New Roman"/>
                <w:sz w:val="24"/>
                <w:szCs w:val="24"/>
              </w:rPr>
              <w:t>**. Correlation is significant at the 0.01 level (2-tailed).</w:t>
            </w:r>
          </w:p>
        </w:tc>
      </w:tr>
    </w:tbl>
    <w:p w:rsidR="00DF6287" w:rsidRDefault="00DF6287" w:rsidP="00177FCE">
      <w:pPr>
        <w:pStyle w:val="NoSpacing"/>
        <w:jc w:val="both"/>
        <w:rPr>
          <w:rFonts w:ascii="Times New Roman" w:hAnsi="Times New Roman" w:cs="Times New Roman"/>
          <w:sz w:val="24"/>
          <w:szCs w:val="24"/>
          <w:lang w:eastAsia="en-KE"/>
        </w:rPr>
      </w:pPr>
    </w:p>
    <w:p w:rsidR="00177FCE" w:rsidRPr="00EF4544" w:rsidRDefault="0000290B" w:rsidP="00177FCE">
      <w:pPr>
        <w:pStyle w:val="NoSpacing"/>
        <w:jc w:val="both"/>
        <w:rPr>
          <w:rFonts w:ascii="Times New Roman" w:hAnsi="Times New Roman" w:cs="Times New Roman"/>
          <w:sz w:val="24"/>
          <w:szCs w:val="24"/>
          <w:lang w:eastAsia="en-KE"/>
        </w:rPr>
      </w:pPr>
      <w:r w:rsidRPr="0000290B">
        <w:rPr>
          <w:rFonts w:ascii="Times New Roman" w:hAnsi="Times New Roman" w:cs="Times New Roman"/>
          <w:sz w:val="24"/>
          <w:szCs w:val="24"/>
          <w:lang w:eastAsia="en-KE"/>
        </w:rPr>
        <w:t>The</w:t>
      </w:r>
      <w:r w:rsidR="00EF4544">
        <w:rPr>
          <w:rFonts w:ascii="Times New Roman" w:hAnsi="Times New Roman" w:cs="Times New Roman"/>
          <w:sz w:val="24"/>
          <w:szCs w:val="24"/>
          <w:lang w:val="en-US" w:eastAsia="en-KE"/>
        </w:rPr>
        <w:t xml:space="preserve"> </w:t>
      </w:r>
      <w:r w:rsidRPr="0000290B">
        <w:rPr>
          <w:rFonts w:ascii="Times New Roman" w:hAnsi="Times New Roman" w:cs="Times New Roman"/>
          <w:sz w:val="24"/>
          <w:szCs w:val="24"/>
          <w:lang w:eastAsia="en-KE"/>
        </w:rPr>
        <w:t>results presented in Table 10 indicate strong, positive, and statistically significant monotonic relationships across all conceptualized pathways in the mediation model, thereby confirming the statistical viability of the framework. The association between the independent variable, representing policy and governance dimensions of the circular economy, and the dependent variable, sustainable destination competitiveness, was both strong and highly significant (</w:t>
      </w:r>
      <w:r w:rsidRPr="0000290B">
        <w:rPr>
          <w:rFonts w:ascii="Times New Roman" w:hAnsi="Times New Roman" w:cs="Times New Roman"/>
          <w:i/>
          <w:sz w:val="24"/>
          <w:szCs w:val="24"/>
          <w:lang w:eastAsia="en-KE"/>
        </w:rPr>
        <w:t>ρ = .668, p &lt; .001</w:t>
      </w:r>
      <w:r w:rsidRPr="0000290B">
        <w:rPr>
          <w:rFonts w:ascii="Times New Roman" w:hAnsi="Times New Roman" w:cs="Times New Roman"/>
          <w:sz w:val="24"/>
          <w:szCs w:val="24"/>
          <w:lang w:eastAsia="en-KE"/>
        </w:rPr>
        <w:t xml:space="preserve">). Akoglu (2018) notes that a coefficient of this magnitude reflects a robust association, indicating that higher levels of circular economy governance are closely linked with increased destination competitiveness. The mediation hypothesis was further supported, as the pathways involving the mediating variable were fully validated by the data. </w:t>
      </w:r>
      <w:r w:rsidR="00EF4544">
        <w:rPr>
          <w:rFonts w:ascii="Times New Roman" w:hAnsi="Times New Roman" w:cs="Times New Roman"/>
          <w:sz w:val="24"/>
          <w:szCs w:val="24"/>
          <w:lang w:val="en-US" w:eastAsia="en-KE"/>
        </w:rPr>
        <w:t>As such, t</w:t>
      </w:r>
      <w:r w:rsidRPr="0000290B">
        <w:rPr>
          <w:rFonts w:ascii="Times New Roman" w:hAnsi="Times New Roman" w:cs="Times New Roman"/>
          <w:sz w:val="24"/>
          <w:szCs w:val="24"/>
          <w:lang w:eastAsia="en-KE"/>
        </w:rPr>
        <w:t>he independent variable (policy and governance) exhibited a moderate and statistically significant positive correlation with the mediator, stakeholder collaboration (</w:t>
      </w:r>
      <w:r w:rsidRPr="0000290B">
        <w:rPr>
          <w:rFonts w:ascii="Times New Roman" w:hAnsi="Times New Roman" w:cs="Times New Roman"/>
          <w:i/>
          <w:sz w:val="24"/>
          <w:szCs w:val="24"/>
          <w:lang w:eastAsia="en-KE"/>
        </w:rPr>
        <w:t>ρ = .597, p = .018).</w:t>
      </w:r>
      <w:r w:rsidRPr="0000290B">
        <w:rPr>
          <w:rFonts w:ascii="Times New Roman" w:hAnsi="Times New Roman" w:cs="Times New Roman"/>
          <w:sz w:val="24"/>
          <w:szCs w:val="24"/>
          <w:lang w:eastAsia="en-KE"/>
        </w:rPr>
        <w:t xml:space="preserve"> Additionally, the relationship between the mediator (stakeholder collaboration) and the </w:t>
      </w:r>
      <w:r w:rsidRPr="0000290B">
        <w:rPr>
          <w:rFonts w:ascii="Times New Roman" w:hAnsi="Times New Roman" w:cs="Times New Roman"/>
          <w:sz w:val="24"/>
          <w:szCs w:val="24"/>
          <w:lang w:eastAsia="en-KE"/>
        </w:rPr>
        <w:lastRenderedPageBreak/>
        <w:t>dependent variable (sustainable destination competitiveness) was positive and statistically significant (</w:t>
      </w:r>
      <w:r w:rsidRPr="0000290B">
        <w:rPr>
          <w:rFonts w:ascii="Times New Roman" w:hAnsi="Times New Roman" w:cs="Times New Roman"/>
          <w:i/>
          <w:sz w:val="24"/>
          <w:szCs w:val="24"/>
          <w:lang w:eastAsia="en-KE"/>
        </w:rPr>
        <w:t>ρ = .533, p = .002).</w:t>
      </w:r>
      <w:r w:rsidRPr="0000290B">
        <w:rPr>
          <w:rFonts w:ascii="Times New Roman" w:hAnsi="Times New Roman" w:cs="Times New Roman"/>
          <w:sz w:val="24"/>
          <w:szCs w:val="24"/>
          <w:lang w:eastAsia="en-KE"/>
        </w:rPr>
        <w:t xml:space="preserve"> According to classical and contemporary mediation theory, significant baseline correlations among the independent variable, mediator, and dependent variable are essential for establishing the structural validity of an indirect effect framework (Baron &amp; Kenny, 1986; Hayes, 2018). Given that all three interconnected pathways were statistically significant, the preliminary nonparametric analysis </w:t>
      </w:r>
      <w:r w:rsidR="00EF4544">
        <w:rPr>
          <w:rFonts w:ascii="Times New Roman" w:hAnsi="Times New Roman" w:cs="Times New Roman"/>
          <w:sz w:val="24"/>
          <w:szCs w:val="24"/>
          <w:lang w:val="en-US" w:eastAsia="en-KE"/>
        </w:rPr>
        <w:t>justified</w:t>
      </w:r>
      <w:r w:rsidRPr="0000290B">
        <w:rPr>
          <w:rFonts w:ascii="Times New Roman" w:hAnsi="Times New Roman" w:cs="Times New Roman"/>
          <w:sz w:val="24"/>
          <w:szCs w:val="24"/>
          <w:lang w:eastAsia="en-KE"/>
        </w:rPr>
        <w:t xml:space="preserve"> proceeding to a mediated multiple regression to formally assess the size, direction, and significance of the direct and indirect effects of the study variables within Kenya’s Coastal Tourism Circuit.</w:t>
      </w:r>
      <w:r w:rsidR="00EF4544">
        <w:rPr>
          <w:rFonts w:ascii="Times New Roman" w:hAnsi="Times New Roman" w:cs="Times New Roman"/>
          <w:sz w:val="24"/>
          <w:szCs w:val="24"/>
          <w:lang w:val="en-US" w:eastAsia="en-KE"/>
        </w:rPr>
        <w:t xml:space="preserve"> </w:t>
      </w:r>
      <w:bookmarkStart w:id="2" w:name="_Hlk230514103"/>
      <w:r w:rsidR="00624EB0">
        <w:rPr>
          <w:rFonts w:ascii="Times New Roman" w:hAnsi="Times New Roman" w:cs="Times New Roman"/>
          <w:sz w:val="24"/>
          <w:szCs w:val="24"/>
          <w:lang w:val="en-US"/>
        </w:rPr>
        <w:t xml:space="preserve">Subsequently, </w:t>
      </w:r>
      <w:r w:rsidR="00EF4544">
        <w:rPr>
          <w:rFonts w:ascii="Times New Roman" w:hAnsi="Times New Roman" w:cs="Times New Roman"/>
          <w:sz w:val="24"/>
          <w:szCs w:val="24"/>
          <w:lang w:val="en-US"/>
        </w:rPr>
        <w:t xml:space="preserve">the </w:t>
      </w:r>
      <w:r w:rsidR="00624EB0">
        <w:rPr>
          <w:rFonts w:ascii="Times New Roman" w:hAnsi="Times New Roman" w:cs="Times New Roman"/>
          <w:sz w:val="24"/>
          <w:szCs w:val="24"/>
          <w:lang w:val="en-US"/>
        </w:rPr>
        <w:t xml:space="preserve">mediating </w:t>
      </w:r>
      <w:r w:rsidR="00177FCE" w:rsidRPr="00177FCE">
        <w:rPr>
          <w:rFonts w:ascii="Times New Roman" w:hAnsi="Times New Roman" w:cs="Times New Roman"/>
          <w:sz w:val="24"/>
          <w:szCs w:val="24"/>
          <w:lang w:val="en-US"/>
        </w:rPr>
        <w:t>relationship was modeled using the following</w:t>
      </w:r>
      <w:r w:rsidR="00624EB0">
        <w:rPr>
          <w:rFonts w:ascii="Times New Roman" w:hAnsi="Times New Roman" w:cs="Times New Roman"/>
          <w:sz w:val="24"/>
          <w:szCs w:val="24"/>
          <w:lang w:val="en-US"/>
        </w:rPr>
        <w:t xml:space="preserve"> mediated multiple</w:t>
      </w:r>
      <w:r w:rsidR="00177FCE" w:rsidRPr="00177FCE">
        <w:rPr>
          <w:rFonts w:ascii="Times New Roman" w:hAnsi="Times New Roman" w:cs="Times New Roman"/>
          <w:sz w:val="24"/>
          <w:szCs w:val="24"/>
          <w:lang w:val="en-US"/>
        </w:rPr>
        <w:t xml:space="preserve"> regression equation:</w:t>
      </w:r>
    </w:p>
    <w:p w:rsidR="00177FCE" w:rsidRPr="00177FCE" w:rsidRDefault="00177FCE" w:rsidP="00177FCE">
      <w:pPr>
        <w:jc w:val="both"/>
        <w:rPr>
          <w:rFonts w:ascii="Times New Roman" w:hAnsi="Times New Roman" w:cs="Times New Roman"/>
          <w:sz w:val="24"/>
          <w:szCs w:val="24"/>
        </w:rPr>
      </w:pPr>
      <w:r w:rsidRPr="00177FCE">
        <w:rPr>
          <w:rFonts w:ascii="Times New Roman" w:hAnsi="Times New Roman" w:cs="Times New Roman"/>
          <w:sz w:val="24"/>
          <w:szCs w:val="24"/>
        </w:rPr>
        <w:t>Y=</w:t>
      </w:r>
      <w:r w:rsidRPr="00177FCE">
        <w:rPr>
          <w:rFonts w:ascii="Times New Roman" w:hAnsi="Times New Roman" w:cs="Times New Roman"/>
          <w:i/>
          <w:sz w:val="24"/>
          <w:szCs w:val="24"/>
          <w:lang w:eastAsia="en-GB"/>
        </w:rPr>
        <w:t xml:space="preserve"> a+ </w:t>
      </w:r>
      <w:r w:rsidRPr="00177FCE">
        <w:rPr>
          <w:rFonts w:ascii="Times New Roman" w:hAnsi="Times New Roman" w:cs="Times New Roman"/>
          <w:i/>
          <w:sz w:val="24"/>
          <w:szCs w:val="24"/>
        </w:rPr>
        <w:t>β</w:t>
      </w:r>
      <w:r w:rsidR="00624EB0" w:rsidRPr="00624EB0">
        <w:rPr>
          <w:rFonts w:ascii="Times New Roman" w:hAnsi="Times New Roman" w:cs="Times New Roman"/>
          <w:i/>
          <w:sz w:val="24"/>
          <w:szCs w:val="24"/>
          <w:vertAlign w:val="subscript"/>
          <w:lang w:val="en-US"/>
        </w:rPr>
        <w:t>1</w:t>
      </w:r>
      <w:r w:rsidRPr="00177FCE">
        <w:rPr>
          <w:rFonts w:ascii="Times New Roman" w:hAnsi="Times New Roman" w:cs="Times New Roman"/>
          <w:i/>
          <w:sz w:val="24"/>
          <w:szCs w:val="24"/>
          <w:lang w:eastAsia="en-GB"/>
        </w:rPr>
        <w:t>X+</w:t>
      </w:r>
      <w:r w:rsidR="00624EB0">
        <w:rPr>
          <w:rFonts w:ascii="Times New Roman" w:hAnsi="Times New Roman" w:cs="Times New Roman"/>
          <w:i/>
          <w:sz w:val="24"/>
          <w:szCs w:val="24"/>
          <w:lang w:val="en-US" w:eastAsia="en-GB"/>
        </w:rPr>
        <w:t xml:space="preserve"> </w:t>
      </w:r>
      <w:r w:rsidR="00624EB0" w:rsidRPr="00177FCE">
        <w:rPr>
          <w:rFonts w:ascii="Times New Roman" w:hAnsi="Times New Roman" w:cs="Times New Roman"/>
          <w:i/>
          <w:sz w:val="24"/>
          <w:szCs w:val="24"/>
        </w:rPr>
        <w:t>β</w:t>
      </w:r>
      <w:r w:rsidR="00624EB0">
        <w:rPr>
          <w:rFonts w:ascii="Times New Roman" w:hAnsi="Times New Roman" w:cs="Times New Roman"/>
          <w:i/>
          <w:sz w:val="24"/>
          <w:szCs w:val="24"/>
          <w:vertAlign w:val="subscript"/>
          <w:lang w:val="en-US"/>
        </w:rPr>
        <w:t>2</w:t>
      </w:r>
      <w:r w:rsidR="00624EB0">
        <w:rPr>
          <w:rFonts w:ascii="Times New Roman" w:hAnsi="Times New Roman" w:cs="Times New Roman"/>
          <w:i/>
          <w:sz w:val="24"/>
          <w:szCs w:val="24"/>
          <w:lang w:val="en-US" w:eastAsia="en-GB"/>
        </w:rPr>
        <w:t>W</w:t>
      </w:r>
      <w:r w:rsidR="00624EB0" w:rsidRPr="00177FCE">
        <w:rPr>
          <w:rFonts w:ascii="Times New Roman" w:hAnsi="Times New Roman" w:cs="Times New Roman"/>
          <w:i/>
          <w:sz w:val="24"/>
          <w:szCs w:val="24"/>
          <w:lang w:eastAsia="en-GB"/>
        </w:rPr>
        <w:t>+</w:t>
      </w:r>
      <w:r w:rsidR="00624EB0">
        <w:rPr>
          <w:rFonts w:ascii="Times New Roman" w:hAnsi="Times New Roman" w:cs="Times New Roman"/>
          <w:i/>
          <w:sz w:val="24"/>
          <w:szCs w:val="24"/>
          <w:lang w:val="en-US" w:eastAsia="en-GB"/>
        </w:rPr>
        <w:t xml:space="preserve"> </w:t>
      </w:r>
      <w:r w:rsidR="00624EB0" w:rsidRPr="00177FCE">
        <w:rPr>
          <w:rFonts w:ascii="Times New Roman" w:hAnsi="Times New Roman" w:cs="Times New Roman"/>
          <w:i/>
          <w:sz w:val="24"/>
          <w:szCs w:val="24"/>
        </w:rPr>
        <w:t>β</w:t>
      </w:r>
      <w:r w:rsidR="00624EB0" w:rsidRPr="00624EB0">
        <w:rPr>
          <w:rFonts w:ascii="Times New Roman" w:hAnsi="Times New Roman" w:cs="Times New Roman"/>
          <w:i/>
          <w:sz w:val="24"/>
          <w:szCs w:val="24"/>
          <w:vertAlign w:val="subscript"/>
          <w:lang w:val="en-US"/>
        </w:rPr>
        <w:t>3</w:t>
      </w:r>
      <w:r w:rsidR="00624EB0">
        <w:rPr>
          <w:rFonts w:ascii="Times New Roman" w:hAnsi="Times New Roman" w:cs="Times New Roman"/>
          <w:i/>
          <w:sz w:val="24"/>
          <w:szCs w:val="24"/>
          <w:lang w:val="en-US"/>
        </w:rPr>
        <w:t xml:space="preserve">(X </w:t>
      </w:r>
      <w:r w:rsidR="00FD28ED">
        <w:rPr>
          <w:rFonts w:ascii="Times New Roman" w:hAnsi="Times New Roman" w:cs="Times New Roman"/>
          <w:i/>
          <w:sz w:val="24"/>
          <w:szCs w:val="24"/>
          <w:lang w:val="en-US"/>
        </w:rPr>
        <w:t>*</w:t>
      </w:r>
      <w:r w:rsidR="00624EB0">
        <w:rPr>
          <w:rFonts w:ascii="Times New Roman" w:hAnsi="Times New Roman" w:cs="Times New Roman"/>
          <w:i/>
          <w:sz w:val="24"/>
          <w:szCs w:val="24"/>
          <w:lang w:val="en-US"/>
        </w:rPr>
        <w:t>W) +</w:t>
      </w:r>
      <w:r w:rsidRPr="00177FCE">
        <w:rPr>
          <w:rFonts w:ascii="Times New Roman" w:hAnsi="Times New Roman" w:cs="Times New Roman"/>
          <w:i/>
          <w:sz w:val="24"/>
          <w:szCs w:val="24"/>
        </w:rPr>
        <w:t>e</w:t>
      </w:r>
    </w:p>
    <w:p w:rsidR="00177FCE" w:rsidRPr="00177FCE" w:rsidRDefault="00177FCE" w:rsidP="00177FCE">
      <w:pPr>
        <w:pStyle w:val="NoSpacing"/>
        <w:jc w:val="both"/>
        <w:rPr>
          <w:rFonts w:ascii="Times New Roman" w:hAnsi="Times New Roman" w:cs="Times New Roman"/>
          <w:sz w:val="24"/>
          <w:szCs w:val="24"/>
        </w:rPr>
      </w:pPr>
      <w:r w:rsidRPr="00177FCE">
        <w:rPr>
          <w:rFonts w:ascii="Times New Roman" w:hAnsi="Times New Roman" w:cs="Times New Roman"/>
          <w:sz w:val="24"/>
          <w:szCs w:val="24"/>
        </w:rPr>
        <w:t xml:space="preserve">Where; </w:t>
      </w:r>
    </w:p>
    <w:p w:rsidR="00177FCE" w:rsidRPr="00177FCE" w:rsidRDefault="00177FCE" w:rsidP="00177FCE">
      <w:pPr>
        <w:pStyle w:val="NoSpacing"/>
        <w:jc w:val="both"/>
        <w:rPr>
          <w:rFonts w:ascii="Times New Roman" w:hAnsi="Times New Roman" w:cs="Times New Roman"/>
          <w:sz w:val="24"/>
          <w:szCs w:val="24"/>
          <w:lang w:val="en-US"/>
        </w:rPr>
      </w:pPr>
      <w:r w:rsidRPr="00177FCE">
        <w:rPr>
          <w:rFonts w:ascii="Times New Roman" w:hAnsi="Times New Roman" w:cs="Times New Roman"/>
          <w:sz w:val="24"/>
          <w:szCs w:val="24"/>
        </w:rPr>
        <w:t>Y=</w:t>
      </w:r>
      <w:r w:rsidRPr="00177FCE">
        <w:rPr>
          <w:rFonts w:ascii="Times New Roman" w:hAnsi="Times New Roman" w:cs="Times New Roman"/>
          <w:sz w:val="24"/>
          <w:szCs w:val="24"/>
          <w:lang w:val="en-US"/>
        </w:rPr>
        <w:t xml:space="preserve">Destination Competitiveness </w:t>
      </w:r>
    </w:p>
    <w:p w:rsidR="00177FCE" w:rsidRDefault="00177FCE" w:rsidP="00177FCE">
      <w:pPr>
        <w:pStyle w:val="NoSpacing"/>
        <w:jc w:val="both"/>
        <w:rPr>
          <w:rFonts w:ascii="Times New Roman" w:hAnsi="Times New Roman" w:cs="Times New Roman"/>
          <w:sz w:val="24"/>
          <w:szCs w:val="24"/>
        </w:rPr>
      </w:pPr>
      <w:r w:rsidRPr="00177FCE">
        <w:rPr>
          <w:rFonts w:ascii="Times New Roman" w:hAnsi="Times New Roman" w:cs="Times New Roman"/>
          <w:i/>
          <w:sz w:val="24"/>
          <w:szCs w:val="24"/>
        </w:rPr>
        <w:t>a</w:t>
      </w:r>
      <w:r w:rsidRPr="00177FCE">
        <w:rPr>
          <w:rFonts w:ascii="Times New Roman" w:hAnsi="Times New Roman" w:cs="Times New Roman"/>
          <w:sz w:val="24"/>
          <w:szCs w:val="24"/>
        </w:rPr>
        <w:t>= Constant/ Intercept</w:t>
      </w:r>
    </w:p>
    <w:p w:rsidR="00CA369C" w:rsidRDefault="00CA369C" w:rsidP="00CA369C">
      <w:pPr>
        <w:pStyle w:val="NoSpacing"/>
        <w:jc w:val="both"/>
        <w:rPr>
          <w:rFonts w:ascii="Times New Roman" w:hAnsi="Times New Roman" w:cs="Times New Roman"/>
          <w:sz w:val="24"/>
          <w:szCs w:val="24"/>
          <w:lang w:val="en-US"/>
        </w:rPr>
      </w:pPr>
      <w:r w:rsidRPr="00177FCE">
        <w:rPr>
          <w:rFonts w:ascii="Times New Roman" w:hAnsi="Times New Roman" w:cs="Times New Roman"/>
          <w:i/>
          <w:sz w:val="24"/>
          <w:szCs w:val="24"/>
        </w:rPr>
        <w:t>X</w:t>
      </w:r>
      <w:r w:rsidRPr="00177FCE">
        <w:rPr>
          <w:rFonts w:ascii="Times New Roman" w:hAnsi="Times New Roman" w:cs="Times New Roman"/>
          <w:sz w:val="24"/>
          <w:szCs w:val="24"/>
        </w:rPr>
        <w:t xml:space="preserve">= </w:t>
      </w:r>
      <w:r>
        <w:rPr>
          <w:rFonts w:ascii="Times New Roman" w:hAnsi="Times New Roman" w:cs="Times New Roman"/>
          <w:sz w:val="24"/>
          <w:szCs w:val="24"/>
          <w:lang w:val="en-US"/>
        </w:rPr>
        <w:t>Mean-centred policy and governance dimensions of the circular economy</w:t>
      </w:r>
    </w:p>
    <w:p w:rsidR="00CA369C" w:rsidRDefault="00CA369C" w:rsidP="00CA369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W=Mean-centred stakeholder collaboration </w:t>
      </w:r>
    </w:p>
    <w:p w:rsidR="00CA369C" w:rsidRDefault="00CA369C" w:rsidP="00CA369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(X*</w:t>
      </w:r>
      <w:r w:rsidR="00447A6E">
        <w:rPr>
          <w:rFonts w:ascii="Times New Roman" w:hAnsi="Times New Roman" w:cs="Times New Roman"/>
          <w:sz w:val="24"/>
          <w:szCs w:val="24"/>
          <w:lang w:val="en-US"/>
        </w:rPr>
        <w:t>W) =The interaction product term (mediation effect)</w:t>
      </w:r>
    </w:p>
    <w:p w:rsidR="00447A6E" w:rsidRPr="002D28B6" w:rsidRDefault="00447A6E" w:rsidP="00CA369C">
      <w:pPr>
        <w:pStyle w:val="NoSpacing"/>
        <w:jc w:val="both"/>
        <w:rPr>
          <w:rFonts w:ascii="Times New Roman" w:hAnsi="Times New Roman" w:cs="Times New Roman"/>
          <w:sz w:val="24"/>
          <w:szCs w:val="24"/>
          <w:lang w:val="en-US"/>
        </w:rPr>
      </w:pPr>
      <w:r w:rsidRPr="00177FCE">
        <w:rPr>
          <w:rFonts w:ascii="Times New Roman" w:hAnsi="Times New Roman" w:cs="Times New Roman"/>
          <w:i/>
          <w:sz w:val="24"/>
          <w:szCs w:val="24"/>
        </w:rPr>
        <w:t>β</w:t>
      </w:r>
      <w:r w:rsidRPr="00624EB0">
        <w:rPr>
          <w:rFonts w:ascii="Times New Roman" w:hAnsi="Times New Roman" w:cs="Times New Roman"/>
          <w:i/>
          <w:sz w:val="24"/>
          <w:szCs w:val="24"/>
          <w:vertAlign w:val="subscript"/>
          <w:lang w:val="en-US"/>
        </w:rPr>
        <w:t>1</w:t>
      </w:r>
      <w:r>
        <w:rPr>
          <w:rFonts w:ascii="Times New Roman" w:hAnsi="Times New Roman" w:cs="Times New Roman"/>
          <w:i/>
          <w:sz w:val="24"/>
          <w:szCs w:val="24"/>
          <w:vertAlign w:val="subscript"/>
          <w:lang w:val="en-US"/>
        </w:rPr>
        <w:t xml:space="preserve"> </w:t>
      </w:r>
      <w:r>
        <w:rPr>
          <w:rFonts w:ascii="Times New Roman" w:hAnsi="Times New Roman" w:cs="Times New Roman"/>
          <w:i/>
          <w:sz w:val="24"/>
          <w:szCs w:val="24"/>
          <w:lang w:val="en-US"/>
        </w:rPr>
        <w:t>=</w:t>
      </w:r>
      <w:r w:rsidRPr="002D28B6">
        <w:rPr>
          <w:rFonts w:ascii="Times New Roman" w:hAnsi="Times New Roman" w:cs="Times New Roman"/>
          <w:sz w:val="24"/>
          <w:szCs w:val="24"/>
          <w:lang w:val="en-US"/>
        </w:rPr>
        <w:t>The linear effect of Policy on Competitiveness when Collaboration is at its mean</w:t>
      </w:r>
    </w:p>
    <w:p w:rsidR="00663613" w:rsidRPr="002D28B6" w:rsidRDefault="00663613" w:rsidP="00CA369C">
      <w:pPr>
        <w:pStyle w:val="NoSpacing"/>
        <w:jc w:val="both"/>
        <w:rPr>
          <w:rFonts w:ascii="Times New Roman" w:hAnsi="Times New Roman" w:cs="Times New Roman"/>
          <w:sz w:val="24"/>
          <w:szCs w:val="24"/>
          <w:lang w:val="en-US"/>
        </w:rPr>
      </w:pPr>
      <w:r w:rsidRPr="00177FCE">
        <w:rPr>
          <w:rFonts w:ascii="Times New Roman" w:hAnsi="Times New Roman" w:cs="Times New Roman"/>
          <w:i/>
          <w:sz w:val="24"/>
          <w:szCs w:val="24"/>
        </w:rPr>
        <w:t>β</w:t>
      </w:r>
      <w:r>
        <w:rPr>
          <w:rFonts w:ascii="Times New Roman" w:hAnsi="Times New Roman" w:cs="Times New Roman"/>
          <w:i/>
          <w:sz w:val="24"/>
          <w:szCs w:val="24"/>
          <w:vertAlign w:val="subscript"/>
          <w:lang w:val="en-US"/>
        </w:rPr>
        <w:t>2</w:t>
      </w:r>
      <w:r>
        <w:rPr>
          <w:rFonts w:ascii="Times New Roman" w:hAnsi="Times New Roman" w:cs="Times New Roman"/>
          <w:i/>
          <w:sz w:val="24"/>
          <w:szCs w:val="24"/>
          <w:lang w:val="en-US"/>
        </w:rPr>
        <w:t>=</w:t>
      </w:r>
      <w:r w:rsidRPr="002D28B6">
        <w:rPr>
          <w:rFonts w:ascii="Times New Roman" w:hAnsi="Times New Roman" w:cs="Times New Roman"/>
          <w:sz w:val="24"/>
          <w:szCs w:val="24"/>
          <w:lang w:val="en-US"/>
        </w:rPr>
        <w:t>The linear effect of Collaboration on Competitiveness when Policy is at its mean.</w:t>
      </w:r>
    </w:p>
    <w:p w:rsidR="00CA369C" w:rsidRPr="002D28B6" w:rsidRDefault="00CD5F5C" w:rsidP="00177FCE">
      <w:pPr>
        <w:pStyle w:val="NoSpacing"/>
        <w:jc w:val="both"/>
        <w:rPr>
          <w:rFonts w:ascii="Times New Roman" w:hAnsi="Times New Roman" w:cs="Times New Roman"/>
          <w:sz w:val="24"/>
          <w:szCs w:val="24"/>
        </w:rPr>
      </w:pPr>
      <w:r w:rsidRPr="00177FCE">
        <w:rPr>
          <w:rFonts w:ascii="Times New Roman" w:hAnsi="Times New Roman" w:cs="Times New Roman"/>
          <w:i/>
          <w:sz w:val="24"/>
          <w:szCs w:val="24"/>
        </w:rPr>
        <w:t>β</w:t>
      </w:r>
      <w:r w:rsidR="00663613">
        <w:rPr>
          <w:rFonts w:ascii="Times New Roman" w:hAnsi="Times New Roman" w:cs="Times New Roman"/>
          <w:i/>
          <w:sz w:val="24"/>
          <w:szCs w:val="24"/>
          <w:vertAlign w:val="subscript"/>
          <w:lang w:val="en-US"/>
        </w:rPr>
        <w:t>3</w:t>
      </w:r>
      <w:r w:rsidR="00663613">
        <w:rPr>
          <w:rFonts w:ascii="Times New Roman" w:hAnsi="Times New Roman" w:cs="Times New Roman"/>
          <w:i/>
          <w:sz w:val="24"/>
          <w:szCs w:val="24"/>
          <w:lang w:val="en-US"/>
        </w:rPr>
        <w:t>=</w:t>
      </w:r>
      <w:r w:rsidR="002D28B6" w:rsidRPr="002D28B6">
        <w:rPr>
          <w:rFonts w:ascii="Times New Roman" w:hAnsi="Times New Roman" w:cs="Times New Roman"/>
          <w:sz w:val="24"/>
          <w:szCs w:val="24"/>
          <w:lang w:val="en-US"/>
        </w:rPr>
        <w:t>The change in the slope of Policy on Competitiveness for every one-unit change in Collaboration.</w:t>
      </w:r>
    </w:p>
    <w:p w:rsidR="00177FCE" w:rsidRPr="00177FCE" w:rsidRDefault="00177FCE" w:rsidP="00177FCE">
      <w:pPr>
        <w:pStyle w:val="NoSpacing"/>
        <w:jc w:val="both"/>
        <w:rPr>
          <w:rFonts w:ascii="Times New Roman" w:hAnsi="Times New Roman" w:cs="Times New Roman"/>
          <w:sz w:val="24"/>
          <w:szCs w:val="24"/>
        </w:rPr>
      </w:pPr>
      <w:r w:rsidRPr="00177FCE">
        <w:rPr>
          <w:rFonts w:ascii="Times New Roman" w:hAnsi="Times New Roman" w:cs="Times New Roman"/>
          <w:i/>
          <w:sz w:val="24"/>
          <w:szCs w:val="24"/>
        </w:rPr>
        <w:t>e</w:t>
      </w:r>
      <w:r w:rsidRPr="00177FCE">
        <w:rPr>
          <w:rFonts w:ascii="Times New Roman" w:hAnsi="Times New Roman" w:cs="Times New Roman"/>
          <w:sz w:val="24"/>
          <w:szCs w:val="24"/>
        </w:rPr>
        <w:t>=</w:t>
      </w:r>
      <w:r w:rsidR="002D28B6">
        <w:rPr>
          <w:rFonts w:ascii="Times New Roman" w:hAnsi="Times New Roman" w:cs="Times New Roman"/>
          <w:sz w:val="24"/>
          <w:szCs w:val="24"/>
          <w:lang w:val="en-US"/>
        </w:rPr>
        <w:t xml:space="preserve"> residual </w:t>
      </w:r>
      <w:r w:rsidRPr="00177FCE">
        <w:rPr>
          <w:rFonts w:ascii="Times New Roman" w:hAnsi="Times New Roman" w:cs="Times New Roman"/>
          <w:sz w:val="24"/>
          <w:szCs w:val="24"/>
        </w:rPr>
        <w:t>error term</w:t>
      </w:r>
    </w:p>
    <w:p w:rsidR="002D28B6" w:rsidRDefault="002D28B6" w:rsidP="00177FCE">
      <w:pPr>
        <w:pStyle w:val="NoSpacing"/>
        <w:jc w:val="both"/>
        <w:rPr>
          <w:rFonts w:ascii="Times New Roman" w:hAnsi="Times New Roman" w:cs="Times New Roman"/>
          <w:sz w:val="24"/>
          <w:szCs w:val="24"/>
          <w:lang w:val="en-US"/>
        </w:rPr>
      </w:pPr>
    </w:p>
    <w:bookmarkEnd w:id="2"/>
    <w:p w:rsidR="00AA7B10" w:rsidRDefault="003A3088" w:rsidP="00177FCE">
      <w:pPr>
        <w:pStyle w:val="NoSpacing"/>
        <w:jc w:val="both"/>
        <w:rPr>
          <w:rFonts w:ascii="Times New Roman" w:hAnsi="Times New Roman" w:cs="Times New Roman"/>
          <w:sz w:val="24"/>
          <w:szCs w:val="24"/>
          <w:lang w:val="en-US"/>
        </w:rPr>
      </w:pPr>
      <w:r w:rsidRPr="003A3088">
        <w:rPr>
          <w:rFonts w:ascii="Times New Roman" w:hAnsi="Times New Roman" w:cs="Times New Roman"/>
          <w:sz w:val="24"/>
          <w:szCs w:val="24"/>
          <w:lang w:val="en-US"/>
        </w:rPr>
        <w:t xml:space="preserve">The mediated multiple regression analysis was executed following the classic causal steps approach outlined by Baron and Kenny (1986) alongside a formal Sobel (1982) test to verify the significance of the indirect effect. The mediation analysis was systematically structured across three distinct ordinary least squares (OLS) regression models using </w:t>
      </w:r>
      <w:r w:rsidR="00E43429">
        <w:rPr>
          <w:rFonts w:ascii="Times New Roman" w:hAnsi="Times New Roman" w:cs="Times New Roman"/>
          <w:sz w:val="24"/>
          <w:szCs w:val="24"/>
          <w:lang w:val="en-US"/>
        </w:rPr>
        <w:t xml:space="preserve">the </w:t>
      </w:r>
      <w:r w:rsidRPr="003A3088">
        <w:rPr>
          <w:rFonts w:ascii="Times New Roman" w:hAnsi="Times New Roman" w:cs="Times New Roman"/>
          <w:sz w:val="24"/>
          <w:szCs w:val="24"/>
          <w:lang w:val="en-US"/>
        </w:rPr>
        <w:t>sample size of 309 completed responses.</w:t>
      </w:r>
      <w:r w:rsidR="0003565B">
        <w:rPr>
          <w:rFonts w:ascii="Times New Roman" w:hAnsi="Times New Roman" w:cs="Times New Roman"/>
          <w:sz w:val="24"/>
          <w:szCs w:val="24"/>
          <w:lang w:val="en-US"/>
        </w:rPr>
        <w:t xml:space="preserve"> </w:t>
      </w:r>
      <w:r w:rsidR="00C2746E">
        <w:rPr>
          <w:rFonts w:ascii="Times New Roman" w:hAnsi="Times New Roman" w:cs="Times New Roman"/>
          <w:sz w:val="24"/>
          <w:szCs w:val="24"/>
          <w:lang w:val="en-US"/>
        </w:rPr>
        <w:t xml:space="preserve">The </w:t>
      </w:r>
      <w:r w:rsidR="005354E8">
        <w:rPr>
          <w:rFonts w:ascii="Times New Roman" w:hAnsi="Times New Roman" w:cs="Times New Roman"/>
          <w:sz w:val="24"/>
          <w:szCs w:val="24"/>
          <w:lang w:val="en-US"/>
        </w:rPr>
        <w:t xml:space="preserve">results </w:t>
      </w:r>
      <w:r w:rsidR="00C2746E" w:rsidRPr="00C2746E">
        <w:rPr>
          <w:rFonts w:ascii="Times New Roman" w:hAnsi="Times New Roman" w:cs="Times New Roman"/>
          <w:sz w:val="24"/>
          <w:szCs w:val="24"/>
          <w:lang w:val="en-US"/>
        </w:rPr>
        <w:t xml:space="preserve">of the </w:t>
      </w:r>
      <w:r w:rsidR="00C2746E">
        <w:rPr>
          <w:rFonts w:ascii="Times New Roman" w:hAnsi="Times New Roman" w:cs="Times New Roman"/>
          <w:sz w:val="24"/>
          <w:szCs w:val="24"/>
          <w:lang w:val="en-US"/>
        </w:rPr>
        <w:t>mediated multiple</w:t>
      </w:r>
      <w:r w:rsidR="00C2746E" w:rsidRPr="00C2746E">
        <w:rPr>
          <w:rFonts w:ascii="Times New Roman" w:hAnsi="Times New Roman" w:cs="Times New Roman"/>
          <w:sz w:val="24"/>
          <w:szCs w:val="24"/>
          <w:lang w:val="en-US"/>
        </w:rPr>
        <w:t xml:space="preserve"> regression analysis are detailed in Tables 1</w:t>
      </w:r>
      <w:r w:rsidR="00C2746E">
        <w:rPr>
          <w:rFonts w:ascii="Times New Roman" w:hAnsi="Times New Roman" w:cs="Times New Roman"/>
          <w:sz w:val="24"/>
          <w:szCs w:val="24"/>
          <w:lang w:val="en-US"/>
        </w:rPr>
        <w:t>1</w:t>
      </w:r>
      <w:r w:rsidR="00C2746E" w:rsidRPr="00C2746E">
        <w:rPr>
          <w:rFonts w:ascii="Times New Roman" w:hAnsi="Times New Roman" w:cs="Times New Roman"/>
          <w:sz w:val="24"/>
          <w:szCs w:val="24"/>
          <w:lang w:val="en-US"/>
        </w:rPr>
        <w:t>,</w:t>
      </w:r>
      <w:r w:rsidR="00C2746E">
        <w:rPr>
          <w:rFonts w:ascii="Times New Roman" w:hAnsi="Times New Roman" w:cs="Times New Roman"/>
          <w:sz w:val="24"/>
          <w:szCs w:val="24"/>
          <w:lang w:val="en-US"/>
        </w:rPr>
        <w:t xml:space="preserve"> to 1</w:t>
      </w:r>
      <w:r w:rsidR="00953407">
        <w:rPr>
          <w:rFonts w:ascii="Times New Roman" w:hAnsi="Times New Roman" w:cs="Times New Roman"/>
          <w:sz w:val="24"/>
          <w:szCs w:val="24"/>
          <w:lang w:val="en-US"/>
        </w:rPr>
        <w:t xml:space="preserve">3. </w:t>
      </w:r>
    </w:p>
    <w:p w:rsidR="00953407" w:rsidRDefault="00953407" w:rsidP="00177FCE">
      <w:pPr>
        <w:pStyle w:val="NoSpacing"/>
        <w:jc w:val="both"/>
        <w:rPr>
          <w:rFonts w:ascii="Times New Roman" w:hAnsi="Times New Roman" w:cs="Times New Roman"/>
          <w:sz w:val="24"/>
          <w:szCs w:val="24"/>
          <w:lang w:val="en-US"/>
        </w:rPr>
      </w:pPr>
    </w:p>
    <w:p w:rsidR="00953407" w:rsidRPr="008010CA" w:rsidRDefault="00953407" w:rsidP="00177FCE">
      <w:pPr>
        <w:pStyle w:val="NoSpacing"/>
        <w:jc w:val="both"/>
        <w:rPr>
          <w:rFonts w:ascii="Times New Roman" w:hAnsi="Times New Roman" w:cs="Times New Roman"/>
          <w:b/>
          <w:sz w:val="24"/>
          <w:szCs w:val="24"/>
          <w:lang w:val="en-US"/>
        </w:rPr>
      </w:pPr>
      <w:r w:rsidRPr="008010CA">
        <w:rPr>
          <w:rFonts w:ascii="Times New Roman" w:hAnsi="Times New Roman" w:cs="Times New Roman"/>
          <w:b/>
          <w:sz w:val="24"/>
          <w:szCs w:val="24"/>
          <w:lang w:val="en-US"/>
        </w:rPr>
        <w:t xml:space="preserve">Table 11: </w:t>
      </w:r>
      <w:r w:rsidRPr="008010CA">
        <w:rPr>
          <w:rFonts w:ascii="Times New Roman" w:hAnsi="Times New Roman" w:cs="Times New Roman"/>
          <w:b/>
          <w:bCs/>
          <w:color w:val="000000"/>
          <w:sz w:val="24"/>
          <w:szCs w:val="24"/>
        </w:rPr>
        <w:t>Coefficients</w:t>
      </w:r>
      <w:r w:rsidRPr="008010CA">
        <w:rPr>
          <w:rFonts w:ascii="Times New Roman" w:hAnsi="Times New Roman" w:cs="Times New Roman"/>
          <w:b/>
          <w:bCs/>
          <w:color w:val="000000"/>
          <w:sz w:val="24"/>
          <w:szCs w:val="24"/>
          <w:vertAlign w:val="superscript"/>
        </w:rPr>
        <w:t>a</w:t>
      </w:r>
      <w:r w:rsidRPr="008010CA">
        <w:rPr>
          <w:rFonts w:ascii="Times New Roman" w:hAnsi="Times New Roman" w:cs="Times New Roman"/>
          <w:b/>
          <w:bCs/>
          <w:color w:val="000000"/>
          <w:sz w:val="24"/>
          <w:szCs w:val="24"/>
          <w:lang w:val="en-US"/>
        </w:rPr>
        <w:t xml:space="preserve"> for Policy and destination competitiveness </w:t>
      </w:r>
      <w:r w:rsidR="0081775F" w:rsidRPr="008010CA">
        <w:rPr>
          <w:rFonts w:ascii="Times New Roman" w:hAnsi="Times New Roman" w:cs="Times New Roman"/>
          <w:b/>
          <w:bCs/>
          <w:color w:val="000000"/>
          <w:sz w:val="24"/>
          <w:szCs w:val="24"/>
          <w:lang w:val="en-US"/>
        </w:rPr>
        <w:t>(direct effect -</w:t>
      </w:r>
      <w:r w:rsidR="005C2275" w:rsidRPr="008010CA">
        <w:rPr>
          <w:rFonts w:ascii="Times New Roman" w:hAnsi="Times New Roman" w:cs="Times New Roman"/>
          <w:b/>
          <w:bCs/>
          <w:color w:val="000000"/>
          <w:sz w:val="24"/>
          <w:szCs w:val="24"/>
          <w:lang w:val="en-US"/>
        </w:rPr>
        <w:t xml:space="preserve"> </w:t>
      </w:r>
      <w:r w:rsidR="0081775F" w:rsidRPr="008010CA">
        <w:rPr>
          <w:rFonts w:ascii="Times New Roman" w:hAnsi="Times New Roman" w:cs="Times New Roman"/>
          <w:b/>
          <w:bCs/>
          <w:color w:val="000000"/>
          <w:sz w:val="24"/>
          <w:szCs w:val="24"/>
          <w:lang w:val="en-US"/>
        </w:rPr>
        <w:t>path c)</w:t>
      </w:r>
    </w:p>
    <w:tbl>
      <w:tblPr>
        <w:tblW w:w="10636" w:type="dxa"/>
        <w:tblInd w:w="-20" w:type="dxa"/>
        <w:tblLayout w:type="fixed"/>
        <w:tblCellMar>
          <w:left w:w="0" w:type="dxa"/>
          <w:right w:w="0" w:type="dxa"/>
        </w:tblCellMar>
        <w:tblLook w:val="0000" w:firstRow="0" w:lastRow="0" w:firstColumn="0" w:lastColumn="0" w:noHBand="0" w:noVBand="0"/>
      </w:tblPr>
      <w:tblGrid>
        <w:gridCol w:w="710"/>
        <w:gridCol w:w="1130"/>
        <w:gridCol w:w="1292"/>
        <w:gridCol w:w="1294"/>
        <w:gridCol w:w="1425"/>
        <w:gridCol w:w="979"/>
        <w:gridCol w:w="979"/>
        <w:gridCol w:w="1410"/>
        <w:gridCol w:w="1417"/>
      </w:tblGrid>
      <w:tr w:rsidR="00902795" w:rsidRPr="00DF6287" w:rsidTr="00CA4E7E">
        <w:trPr>
          <w:cantSplit/>
          <w:trHeight w:val="508"/>
        </w:trPr>
        <w:tc>
          <w:tcPr>
            <w:tcW w:w="1840" w:type="dxa"/>
            <w:gridSpan w:val="2"/>
            <w:vMerge w:val="restart"/>
            <w:tcBorders>
              <w:top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Model</w:t>
            </w:r>
          </w:p>
        </w:tc>
        <w:tc>
          <w:tcPr>
            <w:tcW w:w="2586" w:type="dxa"/>
            <w:gridSpan w:val="2"/>
            <w:tcBorders>
              <w:top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Unstandardized Coefficients</w:t>
            </w:r>
          </w:p>
        </w:tc>
        <w:tc>
          <w:tcPr>
            <w:tcW w:w="1425" w:type="dxa"/>
            <w:tcBorders>
              <w:top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Standardized Coefficients</w:t>
            </w:r>
          </w:p>
        </w:tc>
        <w:tc>
          <w:tcPr>
            <w:tcW w:w="979" w:type="dxa"/>
            <w:vMerge w:val="restart"/>
            <w:tcBorders>
              <w:top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t</w:t>
            </w:r>
          </w:p>
        </w:tc>
        <w:tc>
          <w:tcPr>
            <w:tcW w:w="979" w:type="dxa"/>
            <w:vMerge w:val="restart"/>
            <w:tcBorders>
              <w:top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Sig.</w:t>
            </w:r>
          </w:p>
        </w:tc>
        <w:tc>
          <w:tcPr>
            <w:tcW w:w="2824" w:type="dxa"/>
            <w:gridSpan w:val="2"/>
            <w:tcBorders>
              <w:top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95.0% Confidence Interval for B</w:t>
            </w:r>
          </w:p>
        </w:tc>
      </w:tr>
      <w:tr w:rsidR="00E73103" w:rsidRPr="00DF6287" w:rsidTr="00CA4E7E">
        <w:trPr>
          <w:cantSplit/>
          <w:trHeight w:val="286"/>
        </w:trPr>
        <w:tc>
          <w:tcPr>
            <w:tcW w:w="1840" w:type="dxa"/>
            <w:gridSpan w:val="2"/>
            <w:vMerge/>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p>
        </w:tc>
        <w:tc>
          <w:tcPr>
            <w:tcW w:w="1292" w:type="dxa"/>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B</w:t>
            </w:r>
          </w:p>
        </w:tc>
        <w:tc>
          <w:tcPr>
            <w:tcW w:w="1293" w:type="dxa"/>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Std. Error</w:t>
            </w:r>
          </w:p>
        </w:tc>
        <w:tc>
          <w:tcPr>
            <w:tcW w:w="1425" w:type="dxa"/>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Beta</w:t>
            </w:r>
          </w:p>
        </w:tc>
        <w:tc>
          <w:tcPr>
            <w:tcW w:w="979" w:type="dxa"/>
            <w:vMerge/>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p>
        </w:tc>
        <w:tc>
          <w:tcPr>
            <w:tcW w:w="979" w:type="dxa"/>
            <w:vMerge/>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p>
        </w:tc>
        <w:tc>
          <w:tcPr>
            <w:tcW w:w="1410" w:type="dxa"/>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Lower Bound</w:t>
            </w:r>
          </w:p>
        </w:tc>
        <w:tc>
          <w:tcPr>
            <w:tcW w:w="1414" w:type="dxa"/>
            <w:tcBorders>
              <w:bottom w:val="single" w:sz="4" w:space="0" w:color="auto"/>
            </w:tcBorders>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Upper Bound</w:t>
            </w:r>
          </w:p>
        </w:tc>
      </w:tr>
      <w:tr w:rsidR="00E73103" w:rsidRPr="00DF6287" w:rsidTr="00CA4E7E">
        <w:trPr>
          <w:cantSplit/>
          <w:trHeight w:val="253"/>
        </w:trPr>
        <w:tc>
          <w:tcPr>
            <w:tcW w:w="710" w:type="dxa"/>
            <w:vMerge w:val="restart"/>
            <w:tcBorders>
              <w:top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1</w:t>
            </w:r>
          </w:p>
        </w:tc>
        <w:tc>
          <w:tcPr>
            <w:tcW w:w="1130" w:type="dxa"/>
            <w:tcBorders>
              <w:top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(Constant)</w:t>
            </w:r>
          </w:p>
        </w:tc>
        <w:tc>
          <w:tcPr>
            <w:tcW w:w="1292" w:type="dxa"/>
            <w:tcBorders>
              <w:top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6.322</w:t>
            </w:r>
          </w:p>
        </w:tc>
        <w:tc>
          <w:tcPr>
            <w:tcW w:w="1293" w:type="dxa"/>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1.183</w:t>
            </w:r>
          </w:p>
        </w:tc>
        <w:tc>
          <w:tcPr>
            <w:tcW w:w="1425" w:type="dxa"/>
            <w:shd w:val="clear" w:color="auto" w:fill="FFFFFF"/>
          </w:tcPr>
          <w:p w:rsidR="00953407" w:rsidRPr="00DF6287" w:rsidRDefault="00953407" w:rsidP="00902795">
            <w:pPr>
              <w:pStyle w:val="NoSpacing"/>
              <w:rPr>
                <w:rFonts w:ascii="Times New Roman" w:hAnsi="Times New Roman" w:cs="Times New Roman"/>
                <w:sz w:val="24"/>
                <w:szCs w:val="24"/>
              </w:rPr>
            </w:pPr>
          </w:p>
        </w:tc>
        <w:tc>
          <w:tcPr>
            <w:tcW w:w="979" w:type="dxa"/>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5.343</w:t>
            </w:r>
          </w:p>
        </w:tc>
        <w:tc>
          <w:tcPr>
            <w:tcW w:w="979" w:type="dxa"/>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.000</w:t>
            </w:r>
          </w:p>
        </w:tc>
        <w:tc>
          <w:tcPr>
            <w:tcW w:w="1410" w:type="dxa"/>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3.994</w:t>
            </w:r>
          </w:p>
        </w:tc>
        <w:tc>
          <w:tcPr>
            <w:tcW w:w="1414" w:type="dxa"/>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8.651</w:t>
            </w:r>
          </w:p>
        </w:tc>
      </w:tr>
      <w:tr w:rsidR="00E73103" w:rsidRPr="00DF6287" w:rsidTr="00CA4E7E">
        <w:trPr>
          <w:cantSplit/>
          <w:trHeight w:val="286"/>
        </w:trPr>
        <w:tc>
          <w:tcPr>
            <w:tcW w:w="710" w:type="dxa"/>
            <w:vMerge/>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p>
        </w:tc>
        <w:tc>
          <w:tcPr>
            <w:tcW w:w="1130"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policy</w:t>
            </w:r>
          </w:p>
        </w:tc>
        <w:tc>
          <w:tcPr>
            <w:tcW w:w="1292"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.408</w:t>
            </w:r>
          </w:p>
        </w:tc>
        <w:tc>
          <w:tcPr>
            <w:tcW w:w="1293"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.024</w:t>
            </w:r>
          </w:p>
        </w:tc>
        <w:tc>
          <w:tcPr>
            <w:tcW w:w="1425"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.698</w:t>
            </w:r>
          </w:p>
        </w:tc>
        <w:tc>
          <w:tcPr>
            <w:tcW w:w="979"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17.070</w:t>
            </w:r>
          </w:p>
        </w:tc>
        <w:tc>
          <w:tcPr>
            <w:tcW w:w="979"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.000</w:t>
            </w:r>
          </w:p>
        </w:tc>
        <w:tc>
          <w:tcPr>
            <w:tcW w:w="1410"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.361</w:t>
            </w:r>
          </w:p>
        </w:tc>
        <w:tc>
          <w:tcPr>
            <w:tcW w:w="1414" w:type="dxa"/>
            <w:tcBorders>
              <w:bottom w:val="single" w:sz="4" w:space="0" w:color="auto"/>
            </w:tcBorders>
            <w:shd w:val="clear" w:color="auto" w:fill="FFFFFF"/>
            <w:vAlign w:val="center"/>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.455</w:t>
            </w:r>
          </w:p>
        </w:tc>
      </w:tr>
      <w:tr w:rsidR="00953407" w:rsidRPr="00DF6287" w:rsidTr="00CA4E7E">
        <w:trPr>
          <w:cantSplit/>
          <w:trHeight w:val="253"/>
        </w:trPr>
        <w:tc>
          <w:tcPr>
            <w:tcW w:w="10636" w:type="dxa"/>
            <w:gridSpan w:val="9"/>
            <w:shd w:val="clear" w:color="auto" w:fill="FFFFFF"/>
          </w:tcPr>
          <w:p w:rsidR="00953407" w:rsidRPr="00DF6287" w:rsidRDefault="00953407" w:rsidP="00902795">
            <w:pPr>
              <w:pStyle w:val="NoSpacing"/>
              <w:rPr>
                <w:rFonts w:ascii="Times New Roman" w:hAnsi="Times New Roman" w:cs="Times New Roman"/>
                <w:sz w:val="24"/>
                <w:szCs w:val="24"/>
              </w:rPr>
            </w:pPr>
            <w:r w:rsidRPr="00DF6287">
              <w:rPr>
                <w:rFonts w:ascii="Times New Roman" w:hAnsi="Times New Roman" w:cs="Times New Roman"/>
                <w:sz w:val="24"/>
                <w:szCs w:val="24"/>
              </w:rPr>
              <w:t>a. Dependent Variable: competitiveness</w:t>
            </w:r>
          </w:p>
        </w:tc>
      </w:tr>
    </w:tbl>
    <w:p w:rsidR="00953407" w:rsidRDefault="00953407" w:rsidP="00177FCE">
      <w:pPr>
        <w:pStyle w:val="NoSpacing"/>
        <w:jc w:val="both"/>
        <w:rPr>
          <w:rFonts w:ascii="Times New Roman" w:hAnsi="Times New Roman" w:cs="Times New Roman"/>
          <w:sz w:val="24"/>
          <w:szCs w:val="24"/>
          <w:lang w:val="en-US"/>
        </w:rPr>
      </w:pPr>
    </w:p>
    <w:p w:rsidR="00DA23A8" w:rsidRDefault="00DA23A8" w:rsidP="0093224A">
      <w:pPr>
        <w:spacing w:after="0" w:line="240" w:lineRule="auto"/>
        <w:jc w:val="both"/>
        <w:rPr>
          <w:rFonts w:ascii="Times New Roman" w:eastAsia="Times New Roman" w:hAnsi="Times New Roman" w:cs="Times New Roman"/>
          <w:sz w:val="24"/>
          <w:szCs w:val="24"/>
          <w:lang w:eastAsia="en-KE"/>
        </w:rPr>
      </w:pPr>
      <w:r w:rsidRPr="00DA23A8">
        <w:rPr>
          <w:rFonts w:ascii="Times New Roman" w:eastAsia="Times New Roman" w:hAnsi="Times New Roman" w:cs="Times New Roman"/>
          <w:sz w:val="24"/>
          <w:szCs w:val="24"/>
          <w:lang w:eastAsia="en-KE"/>
        </w:rPr>
        <w:t>In the first model, the total effect of the independent variable on the dependent variable (</w:t>
      </w:r>
      <w:r w:rsidRPr="00DA23A8">
        <w:rPr>
          <w:rFonts w:ascii="Times New Roman" w:eastAsia="Times New Roman" w:hAnsi="Times New Roman" w:cs="Times New Roman"/>
          <w:i/>
          <w:sz w:val="24"/>
          <w:szCs w:val="24"/>
          <w:lang w:eastAsia="en-KE"/>
        </w:rPr>
        <w:t xml:space="preserve">Path </w:t>
      </w:r>
      <w:r w:rsidRPr="00DA23A8">
        <w:rPr>
          <w:rFonts w:ascii="Times New Roman" w:eastAsia="Times New Roman" w:hAnsi="Times New Roman" w:cs="Times New Roman"/>
          <w:i/>
          <w:sz w:val="24"/>
          <w:szCs w:val="24"/>
          <w:lang w:val="en-US" w:eastAsia="en-KE"/>
        </w:rPr>
        <w:t>c</w:t>
      </w:r>
      <w:r w:rsidRPr="00DA23A8">
        <w:rPr>
          <w:rFonts w:ascii="Times New Roman" w:eastAsia="Times New Roman" w:hAnsi="Times New Roman" w:cs="Times New Roman"/>
          <w:i/>
          <w:sz w:val="24"/>
          <w:szCs w:val="24"/>
          <w:lang w:eastAsia="en-KE"/>
        </w:rPr>
        <w:t xml:space="preserve">) </w:t>
      </w:r>
      <w:r w:rsidRPr="00DA23A8">
        <w:rPr>
          <w:rFonts w:ascii="Times New Roman" w:eastAsia="Times New Roman" w:hAnsi="Times New Roman" w:cs="Times New Roman"/>
          <w:sz w:val="24"/>
          <w:szCs w:val="24"/>
          <w:lang w:eastAsia="en-KE"/>
        </w:rPr>
        <w:t>was evaluated by regressing sustainable destination competitiveness directly on the policy and governance dimensions of the circular economy. As presented in Table 11, the findings indicate</w:t>
      </w:r>
      <w:r w:rsidR="001A466D">
        <w:rPr>
          <w:rFonts w:ascii="Times New Roman" w:eastAsia="Times New Roman" w:hAnsi="Times New Roman" w:cs="Times New Roman"/>
          <w:sz w:val="24"/>
          <w:szCs w:val="24"/>
          <w:lang w:val="en-US" w:eastAsia="en-KE"/>
        </w:rPr>
        <w:t>d</w:t>
      </w:r>
      <w:r w:rsidRPr="00DA23A8">
        <w:rPr>
          <w:rFonts w:ascii="Times New Roman" w:eastAsia="Times New Roman" w:hAnsi="Times New Roman" w:cs="Times New Roman"/>
          <w:sz w:val="24"/>
          <w:szCs w:val="24"/>
          <w:lang w:eastAsia="en-KE"/>
        </w:rPr>
        <w:t xml:space="preserve"> a strong, positive, and statistically significant total linear relationship (</w:t>
      </w:r>
      <w:r w:rsidR="0093224A" w:rsidRPr="00177FCE">
        <w:rPr>
          <w:rFonts w:ascii="Times New Roman" w:hAnsi="Times New Roman" w:cs="Times New Roman"/>
          <w:i/>
          <w:sz w:val="24"/>
          <w:szCs w:val="24"/>
        </w:rPr>
        <w:t>β</w:t>
      </w:r>
      <w:r w:rsidRPr="00DA23A8">
        <w:rPr>
          <w:rFonts w:ascii="Times New Roman" w:eastAsia="Times New Roman" w:hAnsi="Times New Roman" w:cs="Times New Roman"/>
          <w:sz w:val="24"/>
          <w:szCs w:val="24"/>
          <w:lang w:eastAsia="en-KE"/>
        </w:rPr>
        <w:t xml:space="preserve"> = .698, B = 0.408, t = 17.070, p &lt; .001). This confirm</w:t>
      </w:r>
      <w:r w:rsidR="0093224A">
        <w:rPr>
          <w:rFonts w:ascii="Times New Roman" w:eastAsia="Times New Roman" w:hAnsi="Times New Roman" w:cs="Times New Roman"/>
          <w:sz w:val="24"/>
          <w:szCs w:val="24"/>
          <w:lang w:val="en-US" w:eastAsia="en-KE"/>
        </w:rPr>
        <w:t>ed</w:t>
      </w:r>
      <w:r w:rsidRPr="00DA23A8">
        <w:rPr>
          <w:rFonts w:ascii="Times New Roman" w:eastAsia="Times New Roman" w:hAnsi="Times New Roman" w:cs="Times New Roman"/>
          <w:sz w:val="24"/>
          <w:szCs w:val="24"/>
          <w:lang w:eastAsia="en-KE"/>
        </w:rPr>
        <w:t xml:space="preserve"> that in the absence of the mediator, enhanced circular economy governance structures are highly effective predictors of destination competitiveness within the coastal tourism sector.</w:t>
      </w:r>
    </w:p>
    <w:p w:rsidR="00CA4E7E" w:rsidRPr="00DA23A8" w:rsidRDefault="00CA4E7E" w:rsidP="0093224A">
      <w:pPr>
        <w:spacing w:after="0" w:line="240" w:lineRule="auto"/>
        <w:jc w:val="both"/>
        <w:rPr>
          <w:rFonts w:ascii="Times New Roman" w:eastAsia="Times New Roman" w:hAnsi="Times New Roman" w:cs="Times New Roman"/>
          <w:sz w:val="24"/>
          <w:szCs w:val="24"/>
          <w:lang w:eastAsia="en-KE"/>
        </w:rPr>
      </w:pPr>
    </w:p>
    <w:p w:rsidR="00AA7B10" w:rsidRDefault="00AA7B10" w:rsidP="00177FCE">
      <w:pPr>
        <w:pStyle w:val="NoSpacing"/>
        <w:jc w:val="both"/>
        <w:rPr>
          <w:rFonts w:ascii="Times New Roman" w:hAnsi="Times New Roman" w:cs="Times New Roman"/>
          <w:sz w:val="24"/>
          <w:szCs w:val="24"/>
          <w:lang w:val="en-US"/>
        </w:rPr>
      </w:pPr>
    </w:p>
    <w:p w:rsidR="00AA7B10" w:rsidRPr="008010CA" w:rsidRDefault="00843D82" w:rsidP="00177FCE">
      <w:pPr>
        <w:pStyle w:val="NoSpacing"/>
        <w:jc w:val="both"/>
        <w:rPr>
          <w:rFonts w:ascii="Times New Roman" w:hAnsi="Times New Roman" w:cs="Times New Roman"/>
          <w:sz w:val="24"/>
          <w:szCs w:val="24"/>
          <w:lang w:val="en-US"/>
        </w:rPr>
      </w:pPr>
      <w:r w:rsidRPr="008010CA">
        <w:rPr>
          <w:rFonts w:ascii="Times New Roman" w:hAnsi="Times New Roman" w:cs="Times New Roman"/>
          <w:b/>
          <w:bCs/>
          <w:color w:val="000000"/>
          <w:sz w:val="24"/>
          <w:szCs w:val="24"/>
          <w:lang w:val="en-US"/>
        </w:rPr>
        <w:t xml:space="preserve">Table 12: </w:t>
      </w:r>
      <w:r w:rsidRPr="008010CA">
        <w:rPr>
          <w:rFonts w:ascii="Times New Roman" w:hAnsi="Times New Roman" w:cs="Times New Roman"/>
          <w:b/>
          <w:bCs/>
          <w:color w:val="000000"/>
          <w:sz w:val="24"/>
          <w:szCs w:val="24"/>
        </w:rPr>
        <w:t>Coefficients</w:t>
      </w:r>
      <w:r w:rsidRPr="008010CA">
        <w:rPr>
          <w:rFonts w:ascii="Times New Roman" w:hAnsi="Times New Roman" w:cs="Times New Roman"/>
          <w:b/>
          <w:bCs/>
          <w:color w:val="000000"/>
          <w:sz w:val="24"/>
          <w:szCs w:val="24"/>
          <w:vertAlign w:val="superscript"/>
        </w:rPr>
        <w:t>a</w:t>
      </w:r>
      <w:r w:rsidR="000E36E6" w:rsidRPr="008010CA">
        <w:rPr>
          <w:rFonts w:ascii="Times New Roman" w:hAnsi="Times New Roman" w:cs="Times New Roman"/>
          <w:b/>
          <w:bCs/>
          <w:color w:val="000000"/>
          <w:sz w:val="24"/>
          <w:szCs w:val="24"/>
          <w:lang w:val="en-US"/>
        </w:rPr>
        <w:t xml:space="preserve"> for policy and Collaboration </w:t>
      </w:r>
      <w:r w:rsidR="0081775F" w:rsidRPr="008010CA">
        <w:rPr>
          <w:rFonts w:ascii="Times New Roman" w:hAnsi="Times New Roman" w:cs="Times New Roman"/>
          <w:b/>
          <w:bCs/>
          <w:color w:val="000000"/>
          <w:sz w:val="24"/>
          <w:szCs w:val="24"/>
          <w:lang w:val="en-US"/>
        </w:rPr>
        <w:t>(indirect effect -path a)</w:t>
      </w:r>
    </w:p>
    <w:tbl>
      <w:tblPr>
        <w:tblW w:w="10445" w:type="dxa"/>
        <w:tblInd w:w="-20" w:type="dxa"/>
        <w:tblLayout w:type="fixed"/>
        <w:tblCellMar>
          <w:left w:w="0" w:type="dxa"/>
          <w:right w:w="0" w:type="dxa"/>
        </w:tblCellMar>
        <w:tblLook w:val="0000" w:firstRow="0" w:lastRow="0" w:firstColumn="0" w:lastColumn="0" w:noHBand="0" w:noVBand="0"/>
      </w:tblPr>
      <w:tblGrid>
        <w:gridCol w:w="697"/>
        <w:gridCol w:w="1410"/>
        <w:gridCol w:w="968"/>
        <w:gridCol w:w="1271"/>
        <w:gridCol w:w="1398"/>
        <w:gridCol w:w="960"/>
        <w:gridCol w:w="960"/>
        <w:gridCol w:w="1383"/>
        <w:gridCol w:w="1398"/>
      </w:tblGrid>
      <w:tr w:rsidR="00843D82" w:rsidRPr="00DF6287" w:rsidTr="003219F6">
        <w:trPr>
          <w:cantSplit/>
          <w:trHeight w:val="464"/>
        </w:trPr>
        <w:tc>
          <w:tcPr>
            <w:tcW w:w="2107" w:type="dxa"/>
            <w:gridSpan w:val="2"/>
            <w:vMerge w:val="restart"/>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Model</w:t>
            </w:r>
          </w:p>
        </w:tc>
        <w:tc>
          <w:tcPr>
            <w:tcW w:w="2239" w:type="dxa"/>
            <w:gridSpan w:val="2"/>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Unstandardized Coefficients</w:t>
            </w:r>
          </w:p>
        </w:tc>
        <w:tc>
          <w:tcPr>
            <w:tcW w:w="1398" w:type="dxa"/>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Standardized Coefficients</w:t>
            </w:r>
          </w:p>
        </w:tc>
        <w:tc>
          <w:tcPr>
            <w:tcW w:w="960" w:type="dxa"/>
            <w:vMerge w:val="restart"/>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t</w:t>
            </w:r>
          </w:p>
        </w:tc>
        <w:tc>
          <w:tcPr>
            <w:tcW w:w="960" w:type="dxa"/>
            <w:vMerge w:val="restart"/>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Sig.</w:t>
            </w:r>
          </w:p>
        </w:tc>
        <w:tc>
          <w:tcPr>
            <w:tcW w:w="2779" w:type="dxa"/>
            <w:gridSpan w:val="2"/>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95.0% Confidence Interval for B</w:t>
            </w:r>
          </w:p>
        </w:tc>
      </w:tr>
      <w:tr w:rsidR="00843D82" w:rsidRPr="00DF6287" w:rsidTr="003219F6">
        <w:trPr>
          <w:cantSplit/>
          <w:trHeight w:val="362"/>
        </w:trPr>
        <w:tc>
          <w:tcPr>
            <w:tcW w:w="2107" w:type="dxa"/>
            <w:gridSpan w:val="2"/>
            <w:vMerge/>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p>
        </w:tc>
        <w:tc>
          <w:tcPr>
            <w:tcW w:w="968" w:type="dxa"/>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B</w:t>
            </w:r>
          </w:p>
        </w:tc>
        <w:tc>
          <w:tcPr>
            <w:tcW w:w="1270" w:type="dxa"/>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Std. Error</w:t>
            </w:r>
          </w:p>
        </w:tc>
        <w:tc>
          <w:tcPr>
            <w:tcW w:w="1398" w:type="dxa"/>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Beta</w:t>
            </w:r>
          </w:p>
        </w:tc>
        <w:tc>
          <w:tcPr>
            <w:tcW w:w="960" w:type="dxa"/>
            <w:vMerge/>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p>
        </w:tc>
        <w:tc>
          <w:tcPr>
            <w:tcW w:w="960" w:type="dxa"/>
            <w:vMerge/>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p>
        </w:tc>
        <w:tc>
          <w:tcPr>
            <w:tcW w:w="1383" w:type="dxa"/>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Lower Bound</w:t>
            </w:r>
          </w:p>
        </w:tc>
        <w:tc>
          <w:tcPr>
            <w:tcW w:w="1395" w:type="dxa"/>
            <w:tcBorders>
              <w:bottom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Upper Bound</w:t>
            </w:r>
          </w:p>
        </w:tc>
      </w:tr>
      <w:tr w:rsidR="00843D82" w:rsidRPr="00DF6287" w:rsidTr="003219F6">
        <w:trPr>
          <w:cantSplit/>
          <w:trHeight w:val="343"/>
        </w:trPr>
        <w:tc>
          <w:tcPr>
            <w:tcW w:w="697" w:type="dxa"/>
            <w:vMerge w:val="restart"/>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1</w:t>
            </w:r>
          </w:p>
        </w:tc>
        <w:tc>
          <w:tcPr>
            <w:tcW w:w="1410"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(Constant)</w:t>
            </w:r>
          </w:p>
        </w:tc>
        <w:tc>
          <w:tcPr>
            <w:tcW w:w="968"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10.125</w:t>
            </w:r>
          </w:p>
        </w:tc>
        <w:tc>
          <w:tcPr>
            <w:tcW w:w="1270"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1.495</w:t>
            </w:r>
          </w:p>
        </w:tc>
        <w:tc>
          <w:tcPr>
            <w:tcW w:w="1398" w:type="dxa"/>
            <w:tcBorders>
              <w:top w:val="single" w:sz="4" w:space="0" w:color="auto"/>
            </w:tcBorders>
            <w:shd w:val="clear" w:color="auto" w:fill="FFFFFF"/>
          </w:tcPr>
          <w:p w:rsidR="00843D82" w:rsidRPr="00DF6287" w:rsidRDefault="00843D82" w:rsidP="00495C09">
            <w:pPr>
              <w:pStyle w:val="NoSpacing"/>
              <w:rPr>
                <w:rFonts w:ascii="Times New Roman" w:hAnsi="Times New Roman" w:cs="Times New Roman"/>
                <w:sz w:val="24"/>
                <w:szCs w:val="24"/>
              </w:rPr>
            </w:pPr>
          </w:p>
        </w:tc>
        <w:tc>
          <w:tcPr>
            <w:tcW w:w="960"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6.772</w:t>
            </w:r>
          </w:p>
        </w:tc>
        <w:tc>
          <w:tcPr>
            <w:tcW w:w="960"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.000</w:t>
            </w:r>
          </w:p>
        </w:tc>
        <w:tc>
          <w:tcPr>
            <w:tcW w:w="1383"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7.183</w:t>
            </w:r>
          </w:p>
        </w:tc>
        <w:tc>
          <w:tcPr>
            <w:tcW w:w="1395" w:type="dxa"/>
            <w:tcBorders>
              <w:top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13.066</w:t>
            </w:r>
          </w:p>
        </w:tc>
      </w:tr>
      <w:tr w:rsidR="00843D82" w:rsidRPr="00DF6287" w:rsidTr="003219F6">
        <w:trPr>
          <w:cantSplit/>
          <w:trHeight w:val="247"/>
        </w:trPr>
        <w:tc>
          <w:tcPr>
            <w:tcW w:w="697" w:type="dxa"/>
            <w:vMerge/>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p>
        </w:tc>
        <w:tc>
          <w:tcPr>
            <w:tcW w:w="1410"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policy</w:t>
            </w:r>
          </w:p>
        </w:tc>
        <w:tc>
          <w:tcPr>
            <w:tcW w:w="968"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.481</w:t>
            </w:r>
          </w:p>
        </w:tc>
        <w:tc>
          <w:tcPr>
            <w:tcW w:w="1270"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.030</w:t>
            </w:r>
          </w:p>
        </w:tc>
        <w:tc>
          <w:tcPr>
            <w:tcW w:w="1398"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.673</w:t>
            </w:r>
          </w:p>
        </w:tc>
        <w:tc>
          <w:tcPr>
            <w:tcW w:w="960"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15.960</w:t>
            </w:r>
          </w:p>
        </w:tc>
        <w:tc>
          <w:tcPr>
            <w:tcW w:w="960"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.000</w:t>
            </w:r>
          </w:p>
        </w:tc>
        <w:tc>
          <w:tcPr>
            <w:tcW w:w="1383"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.422</w:t>
            </w:r>
          </w:p>
        </w:tc>
        <w:tc>
          <w:tcPr>
            <w:tcW w:w="1395" w:type="dxa"/>
            <w:tcBorders>
              <w:bottom w:val="single" w:sz="4" w:space="0" w:color="auto"/>
            </w:tcBorders>
            <w:shd w:val="clear" w:color="auto" w:fill="FFFFFF"/>
            <w:vAlign w:val="center"/>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.541</w:t>
            </w:r>
          </w:p>
        </w:tc>
      </w:tr>
      <w:tr w:rsidR="00843D82" w:rsidRPr="00DF6287" w:rsidTr="003219F6">
        <w:trPr>
          <w:cantSplit/>
          <w:trHeight w:val="231"/>
        </w:trPr>
        <w:tc>
          <w:tcPr>
            <w:tcW w:w="10445" w:type="dxa"/>
            <w:gridSpan w:val="9"/>
            <w:shd w:val="clear" w:color="auto" w:fill="FFFFFF"/>
          </w:tcPr>
          <w:p w:rsidR="00843D82" w:rsidRPr="00DF6287" w:rsidRDefault="00843D82" w:rsidP="00495C09">
            <w:pPr>
              <w:pStyle w:val="NoSpacing"/>
              <w:rPr>
                <w:rFonts w:ascii="Times New Roman" w:hAnsi="Times New Roman" w:cs="Times New Roman"/>
                <w:sz w:val="24"/>
                <w:szCs w:val="24"/>
              </w:rPr>
            </w:pPr>
            <w:r w:rsidRPr="00DF6287">
              <w:rPr>
                <w:rFonts w:ascii="Times New Roman" w:hAnsi="Times New Roman" w:cs="Times New Roman"/>
                <w:sz w:val="24"/>
                <w:szCs w:val="24"/>
              </w:rPr>
              <w:t>a. Dependent Variable: collaboration</w:t>
            </w:r>
          </w:p>
        </w:tc>
      </w:tr>
    </w:tbl>
    <w:p w:rsidR="00495C09" w:rsidRDefault="00495C09" w:rsidP="00B41697">
      <w:pPr>
        <w:spacing w:after="0" w:line="240" w:lineRule="auto"/>
        <w:jc w:val="both"/>
        <w:rPr>
          <w:rFonts w:ascii="Times New Roman" w:eastAsia="Times New Roman" w:hAnsi="Times New Roman" w:cs="Times New Roman"/>
          <w:sz w:val="24"/>
          <w:szCs w:val="24"/>
          <w:lang w:val="en-US" w:eastAsia="en-KE"/>
        </w:rPr>
      </w:pPr>
    </w:p>
    <w:p w:rsidR="000E36E6" w:rsidRPr="000E36E6" w:rsidRDefault="00B41697" w:rsidP="00B41697">
      <w:pPr>
        <w:spacing w:after="0" w:line="240" w:lineRule="auto"/>
        <w:jc w:val="both"/>
        <w:rPr>
          <w:rFonts w:ascii="Times New Roman" w:eastAsia="Times New Roman" w:hAnsi="Times New Roman" w:cs="Times New Roman"/>
          <w:sz w:val="24"/>
          <w:szCs w:val="24"/>
          <w:lang w:eastAsia="en-KE"/>
        </w:rPr>
      </w:pPr>
      <w:r>
        <w:rPr>
          <w:rFonts w:ascii="Times New Roman" w:eastAsia="Times New Roman" w:hAnsi="Times New Roman" w:cs="Times New Roman"/>
          <w:sz w:val="24"/>
          <w:szCs w:val="24"/>
          <w:lang w:val="en-US" w:eastAsia="en-KE"/>
        </w:rPr>
        <w:t>From the second model in Table 12,</w:t>
      </w:r>
      <w:r w:rsidR="000E36E6" w:rsidRPr="000E36E6">
        <w:rPr>
          <w:rFonts w:ascii="Times New Roman" w:eastAsia="Times New Roman" w:hAnsi="Times New Roman" w:cs="Times New Roman"/>
          <w:sz w:val="24"/>
          <w:szCs w:val="24"/>
          <w:lang w:eastAsia="en-KE"/>
        </w:rPr>
        <w:t xml:space="preserve"> the relationship between the independent variable and the hypothesized mediator (</w:t>
      </w:r>
      <w:r w:rsidR="000E36E6" w:rsidRPr="00B41697">
        <w:rPr>
          <w:rFonts w:ascii="Times New Roman" w:eastAsia="Times New Roman" w:hAnsi="Times New Roman" w:cs="Times New Roman"/>
          <w:i/>
          <w:sz w:val="24"/>
          <w:szCs w:val="24"/>
          <w:lang w:eastAsia="en-KE"/>
        </w:rPr>
        <w:t>Path</w:t>
      </w:r>
      <w:r w:rsidRPr="00B41697">
        <w:rPr>
          <w:rFonts w:ascii="Times New Roman" w:eastAsia="Times New Roman" w:hAnsi="Times New Roman" w:cs="Times New Roman"/>
          <w:i/>
          <w:sz w:val="24"/>
          <w:szCs w:val="24"/>
          <w:lang w:val="en-US" w:eastAsia="en-KE"/>
        </w:rPr>
        <w:t xml:space="preserve"> </w:t>
      </w:r>
      <w:r>
        <w:rPr>
          <w:rFonts w:ascii="Times New Roman" w:eastAsia="Times New Roman" w:hAnsi="Times New Roman" w:cs="Times New Roman"/>
          <w:i/>
          <w:sz w:val="24"/>
          <w:szCs w:val="24"/>
          <w:lang w:val="en-US" w:eastAsia="en-KE"/>
        </w:rPr>
        <w:t>a</w:t>
      </w:r>
      <w:r w:rsidR="000E36E6" w:rsidRPr="000E36E6">
        <w:rPr>
          <w:rFonts w:ascii="Times New Roman" w:eastAsia="Times New Roman" w:hAnsi="Times New Roman" w:cs="Times New Roman"/>
          <w:sz w:val="24"/>
          <w:szCs w:val="24"/>
          <w:lang w:eastAsia="en-KE"/>
        </w:rPr>
        <w:t>) was tested by regressing stakeholder collaboration on policy and governance. The</w:t>
      </w:r>
      <w:r>
        <w:rPr>
          <w:rFonts w:ascii="Times New Roman" w:eastAsia="Times New Roman" w:hAnsi="Times New Roman" w:cs="Times New Roman"/>
          <w:sz w:val="24"/>
          <w:szCs w:val="24"/>
          <w:lang w:val="en-US" w:eastAsia="en-KE"/>
        </w:rPr>
        <w:t>se</w:t>
      </w:r>
      <w:r w:rsidR="000E36E6" w:rsidRPr="000E36E6">
        <w:rPr>
          <w:rFonts w:ascii="Times New Roman" w:eastAsia="Times New Roman" w:hAnsi="Times New Roman" w:cs="Times New Roman"/>
          <w:sz w:val="24"/>
          <w:szCs w:val="24"/>
          <w:lang w:eastAsia="en-KE"/>
        </w:rPr>
        <w:t xml:space="preserve"> empirical results, reveal</w:t>
      </w:r>
      <w:r>
        <w:rPr>
          <w:rFonts w:ascii="Times New Roman" w:eastAsia="Times New Roman" w:hAnsi="Times New Roman" w:cs="Times New Roman"/>
          <w:sz w:val="24"/>
          <w:szCs w:val="24"/>
          <w:lang w:val="en-US" w:eastAsia="en-KE"/>
        </w:rPr>
        <w:t>ed</w:t>
      </w:r>
      <w:r w:rsidR="000E36E6" w:rsidRPr="000E36E6">
        <w:rPr>
          <w:rFonts w:ascii="Times New Roman" w:eastAsia="Times New Roman" w:hAnsi="Times New Roman" w:cs="Times New Roman"/>
          <w:sz w:val="24"/>
          <w:szCs w:val="24"/>
          <w:lang w:eastAsia="en-KE"/>
        </w:rPr>
        <w:t xml:space="preserve"> a significant and highly pronounced positive association (</w:t>
      </w:r>
      <w:r w:rsidRPr="00177FCE">
        <w:rPr>
          <w:rFonts w:ascii="Times New Roman" w:hAnsi="Times New Roman" w:cs="Times New Roman"/>
          <w:i/>
          <w:sz w:val="24"/>
          <w:szCs w:val="24"/>
        </w:rPr>
        <w:t>β</w:t>
      </w:r>
      <w:r w:rsidR="000E36E6" w:rsidRPr="000E36E6">
        <w:rPr>
          <w:rFonts w:ascii="Times New Roman" w:eastAsia="Times New Roman" w:hAnsi="Times New Roman" w:cs="Times New Roman"/>
          <w:sz w:val="24"/>
          <w:szCs w:val="24"/>
          <w:lang w:eastAsia="en-KE"/>
        </w:rPr>
        <w:t xml:space="preserve"> = .673, B = 0.481, t = 15.960, p &lt; </w:t>
      </w:r>
      <w:r w:rsidR="000E36E6" w:rsidRPr="000E36E6">
        <w:rPr>
          <w:rFonts w:ascii="Times New Roman" w:eastAsia="Times New Roman" w:hAnsi="Times New Roman" w:cs="Times New Roman"/>
          <w:sz w:val="24"/>
          <w:szCs w:val="24"/>
          <w:lang w:eastAsia="en-KE"/>
        </w:rPr>
        <w:lastRenderedPageBreak/>
        <w:t>.001). This establishe</w:t>
      </w:r>
      <w:r>
        <w:rPr>
          <w:rFonts w:ascii="Times New Roman" w:eastAsia="Times New Roman" w:hAnsi="Times New Roman" w:cs="Times New Roman"/>
          <w:sz w:val="24"/>
          <w:szCs w:val="24"/>
          <w:lang w:val="en-US" w:eastAsia="en-KE"/>
        </w:rPr>
        <w:t>d</w:t>
      </w:r>
      <w:r w:rsidR="000E36E6" w:rsidRPr="000E36E6">
        <w:rPr>
          <w:rFonts w:ascii="Times New Roman" w:eastAsia="Times New Roman" w:hAnsi="Times New Roman" w:cs="Times New Roman"/>
          <w:sz w:val="24"/>
          <w:szCs w:val="24"/>
          <w:lang w:eastAsia="en-KE"/>
        </w:rPr>
        <w:t xml:space="preserve"> that robust institutional policy frameworks and compliance guidelines serve as powerful structural catalysts that significantly drive and enhance stakeholder collaboration across the regional circuit.</w:t>
      </w:r>
    </w:p>
    <w:p w:rsidR="00AA7B10" w:rsidRDefault="00AA7B10" w:rsidP="00177FCE">
      <w:pPr>
        <w:pStyle w:val="NoSpacing"/>
        <w:jc w:val="both"/>
        <w:rPr>
          <w:rFonts w:ascii="Times New Roman" w:hAnsi="Times New Roman" w:cs="Times New Roman"/>
          <w:sz w:val="24"/>
          <w:szCs w:val="24"/>
          <w:lang w:val="en-US"/>
        </w:rPr>
      </w:pPr>
    </w:p>
    <w:p w:rsidR="00AA7B10" w:rsidRPr="008010CA" w:rsidRDefault="008E6B22" w:rsidP="00177FCE">
      <w:pPr>
        <w:pStyle w:val="NoSpacing"/>
        <w:jc w:val="both"/>
        <w:rPr>
          <w:rFonts w:ascii="Times New Roman" w:hAnsi="Times New Roman" w:cs="Times New Roman"/>
          <w:sz w:val="24"/>
          <w:szCs w:val="24"/>
          <w:lang w:val="en-US"/>
        </w:rPr>
      </w:pPr>
      <w:r w:rsidRPr="008010CA">
        <w:rPr>
          <w:rFonts w:ascii="Times New Roman" w:hAnsi="Times New Roman" w:cs="Times New Roman"/>
          <w:b/>
          <w:bCs/>
          <w:color w:val="000000"/>
          <w:sz w:val="24"/>
          <w:szCs w:val="24"/>
          <w:lang w:val="en-US"/>
        </w:rPr>
        <w:t xml:space="preserve">Table 13: </w:t>
      </w:r>
      <w:r w:rsidRPr="008010CA">
        <w:rPr>
          <w:rFonts w:ascii="Times New Roman" w:hAnsi="Times New Roman" w:cs="Times New Roman"/>
          <w:b/>
          <w:bCs/>
          <w:color w:val="000000"/>
          <w:sz w:val="24"/>
          <w:szCs w:val="24"/>
        </w:rPr>
        <w:t>Coefficients</w:t>
      </w:r>
      <w:r w:rsidRPr="008010CA">
        <w:rPr>
          <w:rFonts w:ascii="Times New Roman" w:hAnsi="Times New Roman" w:cs="Times New Roman"/>
          <w:b/>
          <w:bCs/>
          <w:color w:val="000000"/>
          <w:sz w:val="24"/>
          <w:szCs w:val="24"/>
          <w:vertAlign w:val="superscript"/>
        </w:rPr>
        <w:t>a</w:t>
      </w:r>
      <w:r w:rsidRPr="008010CA">
        <w:rPr>
          <w:rFonts w:ascii="Times New Roman" w:hAnsi="Times New Roman" w:cs="Times New Roman"/>
          <w:b/>
          <w:bCs/>
          <w:color w:val="000000"/>
          <w:sz w:val="24"/>
          <w:szCs w:val="24"/>
          <w:lang w:val="en-US"/>
        </w:rPr>
        <w:t xml:space="preserve"> for policy, collaboration and competitiveness</w:t>
      </w:r>
      <w:r w:rsidR="0081775F" w:rsidRPr="008010CA">
        <w:rPr>
          <w:rFonts w:ascii="Times New Roman" w:hAnsi="Times New Roman" w:cs="Times New Roman"/>
          <w:b/>
          <w:bCs/>
          <w:color w:val="000000"/>
          <w:sz w:val="24"/>
          <w:szCs w:val="24"/>
          <w:lang w:val="en-US"/>
        </w:rPr>
        <w:t xml:space="preserve"> (indirect path b &amp;c’)</w:t>
      </w:r>
      <w:r w:rsidRPr="008010CA">
        <w:rPr>
          <w:rFonts w:ascii="Times New Roman" w:hAnsi="Times New Roman" w:cs="Times New Roman"/>
          <w:b/>
          <w:bCs/>
          <w:color w:val="000000"/>
          <w:sz w:val="24"/>
          <w:szCs w:val="24"/>
          <w:lang w:val="en-US"/>
        </w:rPr>
        <w:t xml:space="preserve"> </w:t>
      </w:r>
    </w:p>
    <w:tbl>
      <w:tblPr>
        <w:tblW w:w="10538" w:type="dxa"/>
        <w:tblInd w:w="-20" w:type="dxa"/>
        <w:tblLayout w:type="fixed"/>
        <w:tblCellMar>
          <w:left w:w="0" w:type="dxa"/>
          <w:right w:w="0" w:type="dxa"/>
        </w:tblCellMar>
        <w:tblLook w:val="0000" w:firstRow="0" w:lastRow="0" w:firstColumn="0" w:lastColumn="0" w:noHBand="0" w:noVBand="0"/>
      </w:tblPr>
      <w:tblGrid>
        <w:gridCol w:w="693"/>
        <w:gridCol w:w="1487"/>
        <w:gridCol w:w="1056"/>
        <w:gridCol w:w="1258"/>
        <w:gridCol w:w="1387"/>
        <w:gridCol w:w="953"/>
        <w:gridCol w:w="953"/>
        <w:gridCol w:w="1373"/>
        <w:gridCol w:w="1378"/>
      </w:tblGrid>
      <w:tr w:rsidR="00746480" w:rsidRPr="00E97881" w:rsidTr="008010CA">
        <w:trPr>
          <w:cantSplit/>
          <w:trHeight w:val="418"/>
        </w:trPr>
        <w:tc>
          <w:tcPr>
            <w:tcW w:w="2180" w:type="dxa"/>
            <w:gridSpan w:val="2"/>
            <w:vMerge w:val="restart"/>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Model</w:t>
            </w:r>
          </w:p>
        </w:tc>
        <w:tc>
          <w:tcPr>
            <w:tcW w:w="2314" w:type="dxa"/>
            <w:gridSpan w:val="2"/>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Unstandardized Coefficients</w:t>
            </w:r>
          </w:p>
        </w:tc>
        <w:tc>
          <w:tcPr>
            <w:tcW w:w="1387" w:type="dxa"/>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Standardized Coefficients</w:t>
            </w:r>
          </w:p>
        </w:tc>
        <w:tc>
          <w:tcPr>
            <w:tcW w:w="953" w:type="dxa"/>
            <w:vMerge w:val="restart"/>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t</w:t>
            </w:r>
          </w:p>
        </w:tc>
        <w:tc>
          <w:tcPr>
            <w:tcW w:w="953" w:type="dxa"/>
            <w:vMerge w:val="restart"/>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Sig.</w:t>
            </w:r>
          </w:p>
        </w:tc>
        <w:tc>
          <w:tcPr>
            <w:tcW w:w="2748" w:type="dxa"/>
            <w:gridSpan w:val="2"/>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95.0% Confidence Interval for B</w:t>
            </w:r>
          </w:p>
        </w:tc>
      </w:tr>
      <w:tr w:rsidR="00746480" w:rsidRPr="00E97881" w:rsidTr="008010CA">
        <w:trPr>
          <w:cantSplit/>
          <w:trHeight w:val="235"/>
        </w:trPr>
        <w:tc>
          <w:tcPr>
            <w:tcW w:w="2180" w:type="dxa"/>
            <w:gridSpan w:val="2"/>
            <w:vMerge/>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p>
        </w:tc>
        <w:tc>
          <w:tcPr>
            <w:tcW w:w="1056" w:type="dxa"/>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B</w:t>
            </w:r>
          </w:p>
        </w:tc>
        <w:tc>
          <w:tcPr>
            <w:tcW w:w="1257" w:type="dxa"/>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Std. Error</w:t>
            </w:r>
          </w:p>
        </w:tc>
        <w:tc>
          <w:tcPr>
            <w:tcW w:w="1387" w:type="dxa"/>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Beta</w:t>
            </w:r>
          </w:p>
        </w:tc>
        <w:tc>
          <w:tcPr>
            <w:tcW w:w="953" w:type="dxa"/>
            <w:vMerge/>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p>
        </w:tc>
        <w:tc>
          <w:tcPr>
            <w:tcW w:w="953" w:type="dxa"/>
            <w:vMerge/>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p>
        </w:tc>
        <w:tc>
          <w:tcPr>
            <w:tcW w:w="1373" w:type="dxa"/>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Lower Bound</w:t>
            </w:r>
          </w:p>
        </w:tc>
        <w:tc>
          <w:tcPr>
            <w:tcW w:w="1374" w:type="dxa"/>
            <w:tcBorders>
              <w:bottom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Upper Bound</w:t>
            </w:r>
          </w:p>
        </w:tc>
      </w:tr>
      <w:tr w:rsidR="00681221" w:rsidRPr="00E97881" w:rsidTr="008010CA">
        <w:trPr>
          <w:cantSplit/>
          <w:trHeight w:val="208"/>
        </w:trPr>
        <w:tc>
          <w:tcPr>
            <w:tcW w:w="693" w:type="dxa"/>
            <w:vMerge w:val="restart"/>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1</w:t>
            </w:r>
          </w:p>
        </w:tc>
        <w:tc>
          <w:tcPr>
            <w:tcW w:w="1487"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(Constant)</w:t>
            </w:r>
          </w:p>
        </w:tc>
        <w:tc>
          <w:tcPr>
            <w:tcW w:w="1056"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6.021</w:t>
            </w:r>
          </w:p>
        </w:tc>
        <w:tc>
          <w:tcPr>
            <w:tcW w:w="1257"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1.270</w:t>
            </w:r>
          </w:p>
        </w:tc>
        <w:tc>
          <w:tcPr>
            <w:tcW w:w="1387" w:type="dxa"/>
            <w:tcBorders>
              <w:top w:val="single" w:sz="4" w:space="0" w:color="auto"/>
            </w:tcBorders>
            <w:shd w:val="clear" w:color="auto" w:fill="FFFFFF"/>
          </w:tcPr>
          <w:p w:rsidR="008E6B22" w:rsidRPr="00E97881" w:rsidRDefault="008E6B22" w:rsidP="00746480">
            <w:pPr>
              <w:pStyle w:val="NoSpacing"/>
              <w:rPr>
                <w:rFonts w:ascii="Times New Roman" w:hAnsi="Times New Roman" w:cs="Times New Roman"/>
                <w:sz w:val="24"/>
                <w:szCs w:val="24"/>
              </w:rPr>
            </w:pPr>
          </w:p>
        </w:tc>
        <w:tc>
          <w:tcPr>
            <w:tcW w:w="953"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4.742</w:t>
            </w:r>
          </w:p>
        </w:tc>
        <w:tc>
          <w:tcPr>
            <w:tcW w:w="953"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.000</w:t>
            </w:r>
          </w:p>
        </w:tc>
        <w:tc>
          <w:tcPr>
            <w:tcW w:w="1373"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3.522</w:t>
            </w:r>
          </w:p>
        </w:tc>
        <w:tc>
          <w:tcPr>
            <w:tcW w:w="1374" w:type="dxa"/>
            <w:tcBorders>
              <w:top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8.519</w:t>
            </w:r>
          </w:p>
        </w:tc>
      </w:tr>
      <w:tr w:rsidR="00681221" w:rsidRPr="00E97881" w:rsidTr="008010CA">
        <w:trPr>
          <w:cantSplit/>
          <w:trHeight w:val="235"/>
        </w:trPr>
        <w:tc>
          <w:tcPr>
            <w:tcW w:w="693" w:type="dxa"/>
            <w:vMerge/>
            <w:shd w:val="clear" w:color="auto" w:fill="FFFFFF"/>
            <w:vAlign w:val="center"/>
          </w:tcPr>
          <w:p w:rsidR="008E6B22" w:rsidRPr="00E97881" w:rsidRDefault="008E6B22" w:rsidP="00746480">
            <w:pPr>
              <w:pStyle w:val="NoSpacing"/>
              <w:rPr>
                <w:rFonts w:ascii="Times New Roman" w:hAnsi="Times New Roman" w:cs="Times New Roman"/>
                <w:sz w:val="24"/>
                <w:szCs w:val="24"/>
              </w:rPr>
            </w:pPr>
          </w:p>
        </w:tc>
        <w:tc>
          <w:tcPr>
            <w:tcW w:w="1487"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policy</w:t>
            </w:r>
          </w:p>
        </w:tc>
        <w:tc>
          <w:tcPr>
            <w:tcW w:w="1056"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.030</w:t>
            </w:r>
          </w:p>
        </w:tc>
        <w:tc>
          <w:tcPr>
            <w:tcW w:w="1257"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.045</w:t>
            </w:r>
          </w:p>
        </w:tc>
        <w:tc>
          <w:tcPr>
            <w:tcW w:w="1387"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.036</w:t>
            </w:r>
          </w:p>
        </w:tc>
        <w:tc>
          <w:tcPr>
            <w:tcW w:w="953"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.659</w:t>
            </w:r>
          </w:p>
        </w:tc>
        <w:tc>
          <w:tcPr>
            <w:tcW w:w="953"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.510</w:t>
            </w:r>
          </w:p>
        </w:tc>
        <w:tc>
          <w:tcPr>
            <w:tcW w:w="1373"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-.059</w:t>
            </w:r>
          </w:p>
        </w:tc>
        <w:tc>
          <w:tcPr>
            <w:tcW w:w="1374" w:type="dxa"/>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.119</w:t>
            </w:r>
          </w:p>
        </w:tc>
      </w:tr>
      <w:tr w:rsidR="00681221" w:rsidRPr="00E97881" w:rsidTr="008010CA">
        <w:trPr>
          <w:cantSplit/>
          <w:trHeight w:val="235"/>
        </w:trPr>
        <w:tc>
          <w:tcPr>
            <w:tcW w:w="693" w:type="dxa"/>
            <w:vMerge/>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p>
        </w:tc>
        <w:tc>
          <w:tcPr>
            <w:tcW w:w="1487"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collaboration</w:t>
            </w:r>
          </w:p>
        </w:tc>
        <w:tc>
          <w:tcPr>
            <w:tcW w:w="1056"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.393</w:t>
            </w:r>
          </w:p>
        </w:tc>
        <w:tc>
          <w:tcPr>
            <w:tcW w:w="1257"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.032</w:t>
            </w:r>
          </w:p>
        </w:tc>
        <w:tc>
          <w:tcPr>
            <w:tcW w:w="1387"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.673</w:t>
            </w:r>
          </w:p>
        </w:tc>
        <w:tc>
          <w:tcPr>
            <w:tcW w:w="953"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12.164</w:t>
            </w:r>
          </w:p>
        </w:tc>
        <w:tc>
          <w:tcPr>
            <w:tcW w:w="953"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.000</w:t>
            </w:r>
          </w:p>
        </w:tc>
        <w:tc>
          <w:tcPr>
            <w:tcW w:w="1373"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.330</w:t>
            </w:r>
          </w:p>
        </w:tc>
        <w:tc>
          <w:tcPr>
            <w:tcW w:w="1374" w:type="dxa"/>
            <w:tcBorders>
              <w:bottom w:val="single" w:sz="4" w:space="0" w:color="auto"/>
            </w:tcBorders>
            <w:shd w:val="clear" w:color="auto" w:fill="FFFFFF"/>
            <w:vAlign w:val="center"/>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.457</w:t>
            </w:r>
          </w:p>
        </w:tc>
      </w:tr>
      <w:tr w:rsidR="008E6B22" w:rsidRPr="00E97881" w:rsidTr="008010CA">
        <w:trPr>
          <w:cantSplit/>
          <w:trHeight w:val="208"/>
        </w:trPr>
        <w:tc>
          <w:tcPr>
            <w:tcW w:w="10538" w:type="dxa"/>
            <w:gridSpan w:val="9"/>
            <w:shd w:val="clear" w:color="auto" w:fill="FFFFFF"/>
          </w:tcPr>
          <w:p w:rsidR="008E6B22" w:rsidRPr="00E97881" w:rsidRDefault="008E6B22" w:rsidP="00746480">
            <w:pPr>
              <w:pStyle w:val="NoSpacing"/>
              <w:rPr>
                <w:rFonts w:ascii="Times New Roman" w:hAnsi="Times New Roman" w:cs="Times New Roman"/>
                <w:sz w:val="24"/>
                <w:szCs w:val="24"/>
              </w:rPr>
            </w:pPr>
            <w:r w:rsidRPr="00E97881">
              <w:rPr>
                <w:rFonts w:ascii="Times New Roman" w:hAnsi="Times New Roman" w:cs="Times New Roman"/>
                <w:sz w:val="24"/>
                <w:szCs w:val="24"/>
              </w:rPr>
              <w:t>a. Dependent Variable: competitiveness</w:t>
            </w:r>
          </w:p>
        </w:tc>
      </w:tr>
    </w:tbl>
    <w:p w:rsidR="00AA7B10" w:rsidRDefault="00AA7B10" w:rsidP="00177FCE">
      <w:pPr>
        <w:pStyle w:val="NoSpacing"/>
        <w:jc w:val="both"/>
        <w:rPr>
          <w:rFonts w:ascii="Times New Roman" w:hAnsi="Times New Roman" w:cs="Times New Roman"/>
          <w:sz w:val="24"/>
          <w:szCs w:val="24"/>
          <w:lang w:val="en-US"/>
        </w:rPr>
      </w:pPr>
    </w:p>
    <w:p w:rsidR="002E4EA7" w:rsidRPr="002E4EA7" w:rsidRDefault="002E4EA7" w:rsidP="002E4EA7">
      <w:pPr>
        <w:spacing w:after="0" w:line="240" w:lineRule="auto"/>
        <w:jc w:val="both"/>
        <w:rPr>
          <w:rFonts w:ascii="Times New Roman" w:eastAsia="Times New Roman" w:hAnsi="Times New Roman" w:cs="Times New Roman"/>
          <w:sz w:val="24"/>
          <w:szCs w:val="24"/>
          <w:lang w:eastAsia="en-KE"/>
        </w:rPr>
      </w:pPr>
      <w:r w:rsidRPr="002E4EA7">
        <w:rPr>
          <w:rFonts w:ascii="Times New Roman" w:eastAsia="Times New Roman" w:hAnsi="Times New Roman" w:cs="Times New Roman"/>
          <w:sz w:val="24"/>
          <w:szCs w:val="24"/>
          <w:lang w:eastAsia="en-KE"/>
        </w:rPr>
        <w:t>In the third and final model</w:t>
      </w:r>
      <w:r>
        <w:rPr>
          <w:rFonts w:ascii="Times New Roman" w:eastAsia="Times New Roman" w:hAnsi="Times New Roman" w:cs="Times New Roman"/>
          <w:sz w:val="24"/>
          <w:szCs w:val="24"/>
          <w:lang w:val="en-US" w:eastAsia="en-KE"/>
        </w:rPr>
        <w:t xml:space="preserve"> in Table 13</w:t>
      </w:r>
      <w:r w:rsidRPr="002E4EA7">
        <w:rPr>
          <w:rFonts w:ascii="Times New Roman" w:eastAsia="Times New Roman" w:hAnsi="Times New Roman" w:cs="Times New Roman"/>
          <w:sz w:val="24"/>
          <w:szCs w:val="24"/>
          <w:lang w:eastAsia="en-KE"/>
        </w:rPr>
        <w:t>, both the independent variable (policy and governance) and the mediating variable (stakeholder collaboration) were entered simultaneously into the regression equation to predict sustainable destination competitiveness to isolate the direct effect (</w:t>
      </w:r>
      <w:r w:rsidRPr="002E4EA7">
        <w:rPr>
          <w:rFonts w:ascii="Times New Roman" w:eastAsia="Times New Roman" w:hAnsi="Times New Roman" w:cs="Times New Roman"/>
          <w:i/>
          <w:sz w:val="24"/>
          <w:szCs w:val="24"/>
          <w:lang w:eastAsia="en-KE"/>
        </w:rPr>
        <w:t>Path c')</w:t>
      </w:r>
      <w:r w:rsidRPr="002E4EA7">
        <w:rPr>
          <w:rFonts w:ascii="Times New Roman" w:eastAsia="Times New Roman" w:hAnsi="Times New Roman" w:cs="Times New Roman"/>
          <w:sz w:val="24"/>
          <w:szCs w:val="24"/>
          <w:lang w:eastAsia="en-KE"/>
        </w:rPr>
        <w:t xml:space="preserve"> and the mediator effect (</w:t>
      </w:r>
      <w:r w:rsidRPr="002E4EA7">
        <w:rPr>
          <w:rFonts w:ascii="Times New Roman" w:eastAsia="Times New Roman" w:hAnsi="Times New Roman" w:cs="Times New Roman"/>
          <w:i/>
          <w:sz w:val="24"/>
          <w:szCs w:val="24"/>
          <w:lang w:eastAsia="en-KE"/>
        </w:rPr>
        <w:t>Path b</w:t>
      </w:r>
      <w:r w:rsidRPr="002E4EA7">
        <w:rPr>
          <w:rFonts w:ascii="Times New Roman" w:eastAsia="Times New Roman" w:hAnsi="Times New Roman" w:cs="Times New Roman"/>
          <w:sz w:val="24"/>
          <w:szCs w:val="24"/>
          <w:lang w:eastAsia="en-KE"/>
        </w:rPr>
        <w:t>). The results indicate</w:t>
      </w:r>
      <w:r w:rsidR="00BB213E">
        <w:rPr>
          <w:rFonts w:ascii="Times New Roman" w:eastAsia="Times New Roman" w:hAnsi="Times New Roman" w:cs="Times New Roman"/>
          <w:sz w:val="24"/>
          <w:szCs w:val="24"/>
          <w:lang w:val="en-US" w:eastAsia="en-KE"/>
        </w:rPr>
        <w:t>d</w:t>
      </w:r>
      <w:r w:rsidRPr="002E4EA7">
        <w:rPr>
          <w:rFonts w:ascii="Times New Roman" w:eastAsia="Times New Roman" w:hAnsi="Times New Roman" w:cs="Times New Roman"/>
          <w:sz w:val="24"/>
          <w:szCs w:val="24"/>
          <w:lang w:eastAsia="en-KE"/>
        </w:rPr>
        <w:t xml:space="preserve"> that the link between stakeholder collaboration and destination competitiveness (</w:t>
      </w:r>
      <w:r w:rsidRPr="002E4EA7">
        <w:rPr>
          <w:rFonts w:ascii="Times New Roman" w:eastAsia="Times New Roman" w:hAnsi="Times New Roman" w:cs="Times New Roman"/>
          <w:i/>
          <w:sz w:val="24"/>
          <w:szCs w:val="24"/>
          <w:lang w:eastAsia="en-KE"/>
        </w:rPr>
        <w:t>Path b</w:t>
      </w:r>
      <w:r w:rsidRPr="002E4EA7">
        <w:rPr>
          <w:rFonts w:ascii="Times New Roman" w:eastAsia="Times New Roman" w:hAnsi="Times New Roman" w:cs="Times New Roman"/>
          <w:sz w:val="24"/>
          <w:szCs w:val="24"/>
          <w:lang w:eastAsia="en-KE"/>
        </w:rPr>
        <w:t xml:space="preserve">) </w:t>
      </w:r>
      <w:r>
        <w:rPr>
          <w:rFonts w:ascii="Times New Roman" w:eastAsia="Times New Roman" w:hAnsi="Times New Roman" w:cs="Times New Roman"/>
          <w:sz w:val="24"/>
          <w:szCs w:val="24"/>
          <w:lang w:val="en-US" w:eastAsia="en-KE"/>
        </w:rPr>
        <w:t>was</w:t>
      </w:r>
      <w:r w:rsidRPr="002E4EA7">
        <w:rPr>
          <w:rFonts w:ascii="Times New Roman" w:eastAsia="Times New Roman" w:hAnsi="Times New Roman" w:cs="Times New Roman"/>
          <w:sz w:val="24"/>
          <w:szCs w:val="24"/>
          <w:lang w:eastAsia="en-KE"/>
        </w:rPr>
        <w:t xml:space="preserve"> positive and highly statistically significant (B = 0.393, </w:t>
      </w:r>
      <w:r w:rsidRPr="00177FCE">
        <w:rPr>
          <w:rFonts w:ascii="Times New Roman" w:hAnsi="Times New Roman" w:cs="Times New Roman"/>
          <w:i/>
          <w:sz w:val="24"/>
          <w:szCs w:val="24"/>
        </w:rPr>
        <w:t>β</w:t>
      </w:r>
      <w:r w:rsidRPr="002E4EA7">
        <w:rPr>
          <w:rFonts w:ascii="Times New Roman" w:eastAsia="Times New Roman" w:hAnsi="Times New Roman" w:cs="Times New Roman"/>
          <w:sz w:val="24"/>
          <w:szCs w:val="24"/>
          <w:lang w:eastAsia="en-KE"/>
        </w:rPr>
        <w:t xml:space="preserve">= .673, t = 12.164, p &lt; .001), demonstrating that continuous collaborative engagement directly translates into </w:t>
      </w:r>
      <w:r w:rsidR="00EF3611">
        <w:rPr>
          <w:rFonts w:ascii="Times New Roman" w:eastAsia="Times New Roman" w:hAnsi="Times New Roman" w:cs="Times New Roman"/>
          <w:sz w:val="24"/>
          <w:szCs w:val="24"/>
          <w:lang w:val="en-US" w:eastAsia="en-KE"/>
        </w:rPr>
        <w:t>elevated</w:t>
      </w:r>
      <w:r w:rsidRPr="002E4EA7">
        <w:rPr>
          <w:rFonts w:ascii="Times New Roman" w:eastAsia="Times New Roman" w:hAnsi="Times New Roman" w:cs="Times New Roman"/>
          <w:sz w:val="24"/>
          <w:szCs w:val="24"/>
          <w:lang w:eastAsia="en-KE"/>
        </w:rPr>
        <w:t xml:space="preserve"> competitive advantages. </w:t>
      </w:r>
    </w:p>
    <w:p w:rsidR="00AA7B10" w:rsidRDefault="00AA7B10" w:rsidP="002E4EA7">
      <w:pPr>
        <w:pStyle w:val="NoSpacing"/>
        <w:jc w:val="both"/>
        <w:rPr>
          <w:rFonts w:ascii="Times New Roman" w:hAnsi="Times New Roman" w:cs="Times New Roman"/>
          <w:sz w:val="24"/>
          <w:szCs w:val="24"/>
          <w:lang w:val="en-US"/>
        </w:rPr>
      </w:pPr>
    </w:p>
    <w:p w:rsidR="00A67EB6" w:rsidRPr="00D905D2" w:rsidRDefault="00D40330" w:rsidP="00853D5B">
      <w:pPr>
        <w:pStyle w:val="NoSpacing"/>
        <w:jc w:val="both"/>
        <w:rPr>
          <w:lang w:val="en-US"/>
        </w:rPr>
      </w:pPr>
      <w:r w:rsidRPr="00853D5B">
        <w:rPr>
          <w:rFonts w:ascii="Times New Roman" w:hAnsi="Times New Roman" w:cs="Times New Roman"/>
          <w:sz w:val="24"/>
          <w:szCs w:val="24"/>
          <w:lang w:eastAsia="en-KE"/>
        </w:rPr>
        <w:t>Importantly</w:t>
      </w:r>
      <w:r w:rsidR="00651664" w:rsidRPr="00853D5B">
        <w:rPr>
          <w:rFonts w:ascii="Times New Roman" w:hAnsi="Times New Roman" w:cs="Times New Roman"/>
          <w:sz w:val="24"/>
          <w:szCs w:val="24"/>
          <w:lang w:eastAsia="en-KE"/>
        </w:rPr>
        <w:t>, when controlling for the presence of stakeholder collaboration, the direct effect of policy and governance on sustainable destination competitiveness (</w:t>
      </w:r>
      <w:r w:rsidR="00651664" w:rsidRPr="00853D5B">
        <w:rPr>
          <w:rFonts w:ascii="Times New Roman" w:hAnsi="Times New Roman" w:cs="Times New Roman"/>
          <w:i/>
          <w:sz w:val="24"/>
          <w:szCs w:val="24"/>
          <w:lang w:eastAsia="en-KE"/>
        </w:rPr>
        <w:t>Path c'</w:t>
      </w:r>
      <w:r w:rsidR="00651664" w:rsidRPr="00853D5B">
        <w:rPr>
          <w:rFonts w:ascii="Times New Roman" w:hAnsi="Times New Roman" w:cs="Times New Roman"/>
          <w:sz w:val="24"/>
          <w:szCs w:val="24"/>
          <w:lang w:eastAsia="en-KE"/>
        </w:rPr>
        <w:t xml:space="preserve">) was substantially reduced from its original total effect (B = 0.408) down to a negligible value (B = 0.030, </w:t>
      </w:r>
      <w:r w:rsidR="00EB7346" w:rsidRPr="00853D5B">
        <w:rPr>
          <w:rFonts w:ascii="Times New Roman" w:hAnsi="Times New Roman" w:cs="Times New Roman"/>
          <w:i/>
          <w:sz w:val="24"/>
          <w:szCs w:val="24"/>
        </w:rPr>
        <w:t>β</w:t>
      </w:r>
      <w:r w:rsidR="00651664" w:rsidRPr="00853D5B">
        <w:rPr>
          <w:rFonts w:ascii="Times New Roman" w:hAnsi="Times New Roman" w:cs="Times New Roman"/>
          <w:sz w:val="24"/>
          <w:szCs w:val="24"/>
          <w:lang w:eastAsia="en-KE"/>
        </w:rPr>
        <w:t xml:space="preserve">= </w:t>
      </w:r>
      <w:r w:rsidR="00DC2F37">
        <w:rPr>
          <w:rFonts w:ascii="Times New Roman" w:hAnsi="Times New Roman" w:cs="Times New Roman"/>
          <w:sz w:val="24"/>
          <w:szCs w:val="24"/>
          <w:lang w:val="en-US" w:eastAsia="en-KE"/>
        </w:rPr>
        <w:t>0</w:t>
      </w:r>
      <w:r w:rsidR="00651664" w:rsidRPr="00853D5B">
        <w:rPr>
          <w:rFonts w:ascii="Times New Roman" w:hAnsi="Times New Roman" w:cs="Times New Roman"/>
          <w:sz w:val="24"/>
          <w:szCs w:val="24"/>
          <w:lang w:eastAsia="en-KE"/>
        </w:rPr>
        <w:t xml:space="preserve">.036) and completely lost its statistical significance (t = 0.659, p = .510). According to the standard requirements established by Baron and Kenny (1986), when the direct impact of an independent variable drops to non-significance upon the introduction of a mediator, it provides strong empirical evidence of a </w:t>
      </w:r>
      <w:r w:rsidR="00651664" w:rsidRPr="00853D5B">
        <w:rPr>
          <w:rFonts w:ascii="Times New Roman" w:hAnsi="Times New Roman" w:cs="Times New Roman"/>
          <w:bCs/>
          <w:sz w:val="24"/>
          <w:szCs w:val="24"/>
          <w:lang w:eastAsia="en-KE"/>
        </w:rPr>
        <w:t xml:space="preserve">full </w:t>
      </w:r>
      <w:r w:rsidR="004716E3">
        <w:rPr>
          <w:rFonts w:ascii="Times New Roman" w:hAnsi="Times New Roman" w:cs="Times New Roman"/>
          <w:bCs/>
          <w:sz w:val="24"/>
          <w:szCs w:val="24"/>
          <w:lang w:val="en-US" w:eastAsia="en-KE"/>
        </w:rPr>
        <w:t xml:space="preserve">or </w:t>
      </w:r>
      <w:r w:rsidR="00651664" w:rsidRPr="00853D5B">
        <w:rPr>
          <w:rFonts w:ascii="Times New Roman" w:hAnsi="Times New Roman" w:cs="Times New Roman"/>
          <w:bCs/>
          <w:sz w:val="24"/>
          <w:szCs w:val="24"/>
          <w:lang w:eastAsia="en-KE"/>
        </w:rPr>
        <w:t>complete mediation mechanism</w:t>
      </w:r>
      <w:r w:rsidR="00651664" w:rsidRPr="00853D5B">
        <w:rPr>
          <w:rFonts w:ascii="Times New Roman" w:hAnsi="Times New Roman" w:cs="Times New Roman"/>
          <w:sz w:val="24"/>
          <w:szCs w:val="24"/>
          <w:lang w:eastAsia="en-KE"/>
        </w:rPr>
        <w:t xml:space="preserve">. </w:t>
      </w:r>
      <w:r w:rsidR="00EE3D74" w:rsidRPr="00853D5B">
        <w:rPr>
          <w:rStyle w:val="citation-224"/>
          <w:rFonts w:ascii="Times New Roman" w:hAnsi="Times New Roman" w:cs="Times New Roman"/>
          <w:sz w:val="24"/>
          <w:szCs w:val="24"/>
        </w:rPr>
        <w:t>To statistically validate the strength and transmission capacity of this full mediation pathway, a formal Sobel test</w:t>
      </w:r>
      <w:r w:rsidR="00EE3D74" w:rsidRPr="00853D5B">
        <w:rPr>
          <w:rStyle w:val="citation-224"/>
          <w:rFonts w:ascii="Times New Roman" w:hAnsi="Times New Roman" w:cs="Times New Roman"/>
          <w:sz w:val="24"/>
          <w:szCs w:val="24"/>
          <w:lang w:val="en-US"/>
        </w:rPr>
        <w:t xml:space="preserve"> </w:t>
      </w:r>
      <w:r w:rsidR="00EE3D74" w:rsidRPr="00853D5B">
        <w:rPr>
          <w:rStyle w:val="citation-224"/>
          <w:rFonts w:ascii="Times New Roman" w:hAnsi="Times New Roman" w:cs="Times New Roman"/>
          <w:sz w:val="24"/>
          <w:szCs w:val="24"/>
        </w:rPr>
        <w:t>was performed using the unstandardized coefficients (</w:t>
      </w:r>
      <w:r w:rsidR="00EE3D74" w:rsidRPr="00853D5B">
        <w:rPr>
          <w:rStyle w:val="math-inline"/>
          <w:rFonts w:ascii="Times New Roman" w:hAnsi="Times New Roman" w:cs="Times New Roman"/>
          <w:sz w:val="24"/>
          <w:szCs w:val="24"/>
        </w:rPr>
        <w:t>B</w:t>
      </w:r>
      <w:r w:rsidR="00EE3D74" w:rsidRPr="00853D5B">
        <w:rPr>
          <w:rStyle w:val="citation-224"/>
          <w:rFonts w:ascii="Times New Roman" w:hAnsi="Times New Roman" w:cs="Times New Roman"/>
          <w:sz w:val="24"/>
          <w:szCs w:val="24"/>
        </w:rPr>
        <w:t>) and standard errors (</w:t>
      </w:r>
      <w:r w:rsidR="00EE3D74" w:rsidRPr="00853D5B">
        <w:rPr>
          <w:rStyle w:val="math-inline"/>
          <w:rFonts w:ascii="Times New Roman" w:hAnsi="Times New Roman" w:cs="Times New Roman"/>
          <w:sz w:val="24"/>
          <w:szCs w:val="24"/>
        </w:rPr>
        <w:t>SE</w:t>
      </w:r>
      <w:r w:rsidR="00EE3D74" w:rsidRPr="00853D5B">
        <w:rPr>
          <w:rStyle w:val="citation-224"/>
          <w:rFonts w:ascii="Times New Roman" w:hAnsi="Times New Roman" w:cs="Times New Roman"/>
          <w:sz w:val="24"/>
          <w:szCs w:val="24"/>
        </w:rPr>
        <w:t>) from the regression models (</w:t>
      </w:r>
      <w:r w:rsidR="00EE3D74" w:rsidRPr="00853D5B">
        <w:rPr>
          <w:rStyle w:val="math-inline"/>
          <w:rFonts w:ascii="Times New Roman" w:hAnsi="Times New Roman" w:cs="Times New Roman"/>
          <w:sz w:val="24"/>
          <w:szCs w:val="24"/>
        </w:rPr>
        <w:t xml:space="preserve">a = 0.481, </w:t>
      </w:r>
      <w:proofErr w:type="spellStart"/>
      <w:r w:rsidR="00EE3D74" w:rsidRPr="00853D5B">
        <w:rPr>
          <w:rStyle w:val="math-inline"/>
          <w:rFonts w:ascii="Times New Roman" w:hAnsi="Times New Roman" w:cs="Times New Roman"/>
          <w:sz w:val="24"/>
          <w:szCs w:val="24"/>
        </w:rPr>
        <w:t>s</w:t>
      </w:r>
      <w:r w:rsidR="00EE3D74" w:rsidRPr="00853D5B">
        <w:rPr>
          <w:rStyle w:val="math-inline"/>
          <w:rFonts w:ascii="Times New Roman" w:hAnsi="Times New Roman" w:cs="Times New Roman"/>
          <w:sz w:val="24"/>
          <w:szCs w:val="24"/>
          <w:vertAlign w:val="subscript"/>
        </w:rPr>
        <w:t>a</w:t>
      </w:r>
      <w:proofErr w:type="spellEnd"/>
      <w:r w:rsidR="00EE3D74" w:rsidRPr="00853D5B">
        <w:rPr>
          <w:rStyle w:val="math-inline"/>
          <w:rFonts w:ascii="Times New Roman" w:hAnsi="Times New Roman" w:cs="Times New Roman"/>
          <w:sz w:val="24"/>
          <w:szCs w:val="24"/>
        </w:rPr>
        <w:t xml:space="preserve"> = 0.030; b = 0.393, s</w:t>
      </w:r>
      <w:r w:rsidR="00EE3D74" w:rsidRPr="00853D5B">
        <w:rPr>
          <w:rStyle w:val="math-inline"/>
          <w:rFonts w:ascii="Times New Roman" w:hAnsi="Times New Roman" w:cs="Times New Roman"/>
          <w:sz w:val="24"/>
          <w:szCs w:val="24"/>
          <w:vertAlign w:val="subscript"/>
        </w:rPr>
        <w:t>b</w:t>
      </w:r>
      <w:r w:rsidR="00EE3D74" w:rsidRPr="00853D5B">
        <w:rPr>
          <w:rStyle w:val="math-inline"/>
          <w:rFonts w:ascii="Times New Roman" w:hAnsi="Times New Roman" w:cs="Times New Roman"/>
          <w:sz w:val="24"/>
          <w:szCs w:val="24"/>
        </w:rPr>
        <w:t xml:space="preserve"> = 0.032</w:t>
      </w:r>
      <w:r w:rsidR="00EE3D74" w:rsidRPr="00853D5B">
        <w:rPr>
          <w:rStyle w:val="citation-224"/>
          <w:rFonts w:ascii="Times New Roman" w:hAnsi="Times New Roman" w:cs="Times New Roman"/>
          <w:sz w:val="24"/>
          <w:szCs w:val="24"/>
        </w:rPr>
        <w:t>)</w:t>
      </w:r>
      <w:r w:rsidR="00EE3D74" w:rsidRPr="00853D5B">
        <w:rPr>
          <w:rFonts w:ascii="Times New Roman" w:hAnsi="Times New Roman" w:cs="Times New Roman"/>
          <w:sz w:val="24"/>
          <w:szCs w:val="24"/>
        </w:rPr>
        <w:t xml:space="preserve">. </w:t>
      </w:r>
      <w:r w:rsidR="00EE3D74" w:rsidRPr="00853D5B">
        <w:rPr>
          <w:rStyle w:val="citation-223"/>
          <w:rFonts w:ascii="Times New Roman" w:hAnsi="Times New Roman" w:cs="Times New Roman"/>
          <w:sz w:val="24"/>
          <w:szCs w:val="24"/>
        </w:rPr>
        <w:t>The Sobel test evaluates whether the indirect pathway mathematically carries the independent variable</w:t>
      </w:r>
      <w:r w:rsidR="004716E3">
        <w:rPr>
          <w:rStyle w:val="citation-223"/>
          <w:rFonts w:ascii="Times New Roman" w:hAnsi="Times New Roman" w:cs="Times New Roman"/>
          <w:sz w:val="24"/>
          <w:szCs w:val="24"/>
          <w:lang w:val="en-US"/>
        </w:rPr>
        <w:t>’s</w:t>
      </w:r>
      <w:r w:rsidR="00EE3D74" w:rsidRPr="00853D5B">
        <w:rPr>
          <w:rStyle w:val="citation-223"/>
          <w:rFonts w:ascii="Times New Roman" w:hAnsi="Times New Roman" w:cs="Times New Roman"/>
          <w:sz w:val="24"/>
          <w:szCs w:val="24"/>
        </w:rPr>
        <w:t xml:space="preserve"> effect to the outcome variable with statistical significance (Sobel, 1982)</w:t>
      </w:r>
      <w:r w:rsidR="00EE3D74" w:rsidRPr="00853D5B">
        <w:rPr>
          <w:rFonts w:ascii="Times New Roman" w:hAnsi="Times New Roman" w:cs="Times New Roman"/>
          <w:sz w:val="24"/>
          <w:szCs w:val="24"/>
        </w:rPr>
        <w:t xml:space="preserve">. </w:t>
      </w:r>
      <w:bookmarkStart w:id="3" w:name="_Hlk230241768"/>
      <w:r w:rsidR="00D905D2">
        <w:rPr>
          <w:rFonts w:ascii="Times New Roman" w:hAnsi="Times New Roman" w:cs="Times New Roman"/>
          <w:sz w:val="24"/>
          <w:szCs w:val="24"/>
          <w:lang w:val="en-US"/>
        </w:rPr>
        <w:t>T</w:t>
      </w:r>
      <w:r w:rsidR="00EE3D74" w:rsidRPr="00853D5B">
        <w:rPr>
          <w:rStyle w:val="citation-222"/>
          <w:rFonts w:ascii="Times New Roman" w:hAnsi="Times New Roman" w:cs="Times New Roman"/>
          <w:sz w:val="24"/>
          <w:szCs w:val="24"/>
        </w:rPr>
        <w:t xml:space="preserve">he structural test yielded a highly significant Z-statistic of </w:t>
      </w:r>
      <w:r w:rsidR="00EE3D74" w:rsidRPr="00853D5B">
        <w:rPr>
          <w:rStyle w:val="citation-222"/>
          <w:rFonts w:ascii="Times New Roman" w:hAnsi="Times New Roman" w:cs="Times New Roman"/>
          <w:bCs/>
          <w:sz w:val="24"/>
          <w:szCs w:val="24"/>
        </w:rPr>
        <w:t>9.955</w:t>
      </w:r>
      <w:r w:rsidR="00EE3D74" w:rsidRPr="00853D5B">
        <w:rPr>
          <w:rStyle w:val="citation-222"/>
          <w:rFonts w:ascii="Times New Roman" w:hAnsi="Times New Roman" w:cs="Times New Roman"/>
          <w:sz w:val="24"/>
          <w:szCs w:val="24"/>
        </w:rPr>
        <w:t xml:space="preserve"> with a standard error of 0.016 and an associated </w:t>
      </w:r>
      <w:r w:rsidR="00EE3D74" w:rsidRPr="00853D5B">
        <w:rPr>
          <w:rStyle w:val="math-inline"/>
          <w:rFonts w:ascii="Times New Roman" w:hAnsi="Times New Roman" w:cs="Times New Roman"/>
          <w:sz w:val="24"/>
          <w:szCs w:val="24"/>
        </w:rPr>
        <w:t>p</w:t>
      </w:r>
      <w:r w:rsidR="00EE3D74" w:rsidRPr="00853D5B">
        <w:rPr>
          <w:rStyle w:val="citation-222"/>
          <w:rFonts w:ascii="Times New Roman" w:hAnsi="Times New Roman" w:cs="Times New Roman"/>
          <w:sz w:val="24"/>
          <w:szCs w:val="24"/>
        </w:rPr>
        <w:t>-value of less than .001 (</w:t>
      </w:r>
      <w:r w:rsidR="00EE3D74" w:rsidRPr="00853D5B">
        <w:rPr>
          <w:rStyle w:val="math-inline"/>
          <w:rFonts w:ascii="Times New Roman" w:hAnsi="Times New Roman" w:cs="Times New Roman"/>
          <w:sz w:val="24"/>
          <w:szCs w:val="24"/>
        </w:rPr>
        <w:t>p = 0.000</w:t>
      </w:r>
      <w:r w:rsidR="00EE3D74" w:rsidRPr="00853D5B">
        <w:rPr>
          <w:rStyle w:val="citation-222"/>
          <w:rFonts w:ascii="Times New Roman" w:hAnsi="Times New Roman" w:cs="Times New Roman"/>
          <w:sz w:val="24"/>
          <w:szCs w:val="24"/>
        </w:rPr>
        <w:t>)</w:t>
      </w:r>
      <w:r w:rsidR="00EE3D74" w:rsidRPr="00853D5B">
        <w:rPr>
          <w:rFonts w:ascii="Times New Roman" w:hAnsi="Times New Roman" w:cs="Times New Roman"/>
          <w:sz w:val="24"/>
          <w:szCs w:val="24"/>
        </w:rPr>
        <w:t xml:space="preserve">. </w:t>
      </w:r>
      <w:r w:rsidR="00853D5B" w:rsidRPr="00853D5B">
        <w:rPr>
          <w:rStyle w:val="citation-221"/>
          <w:rFonts w:ascii="Times New Roman" w:hAnsi="Times New Roman" w:cs="Times New Roman"/>
          <w:sz w:val="24"/>
          <w:szCs w:val="24"/>
          <w:lang w:val="en-US"/>
        </w:rPr>
        <w:t xml:space="preserve">Given that </w:t>
      </w:r>
      <w:r w:rsidR="00EE3D74" w:rsidRPr="00853D5B">
        <w:rPr>
          <w:rStyle w:val="citation-221"/>
          <w:rFonts w:ascii="Times New Roman" w:hAnsi="Times New Roman" w:cs="Times New Roman"/>
          <w:sz w:val="24"/>
          <w:szCs w:val="24"/>
        </w:rPr>
        <w:t>the test statistic substantially exceed</w:t>
      </w:r>
      <w:r w:rsidR="00853D5B" w:rsidRPr="00853D5B">
        <w:rPr>
          <w:rStyle w:val="citation-221"/>
          <w:rFonts w:ascii="Times New Roman" w:hAnsi="Times New Roman" w:cs="Times New Roman"/>
          <w:sz w:val="24"/>
          <w:szCs w:val="24"/>
          <w:lang w:val="en-US"/>
        </w:rPr>
        <w:t>ed</w:t>
      </w:r>
      <w:r w:rsidR="00EE3D74" w:rsidRPr="00853D5B">
        <w:rPr>
          <w:rStyle w:val="citation-221"/>
          <w:rFonts w:ascii="Times New Roman" w:hAnsi="Times New Roman" w:cs="Times New Roman"/>
          <w:sz w:val="24"/>
          <w:szCs w:val="24"/>
        </w:rPr>
        <w:t xml:space="preserve"> the critical threshold of </w:t>
      </w:r>
      <w:r w:rsidR="00853D5B" w:rsidRPr="00853D5B">
        <w:rPr>
          <w:rFonts w:ascii="Times New Roman" w:hAnsi="Times New Roman" w:cs="Times New Roman"/>
          <w:sz w:val="24"/>
          <w:szCs w:val="24"/>
          <w:lang w:val="en-US"/>
        </w:rPr>
        <w:t>±</w:t>
      </w:r>
      <w:r w:rsidR="00EE3D74" w:rsidRPr="00853D5B">
        <w:rPr>
          <w:rStyle w:val="math-inline"/>
          <w:rFonts w:ascii="Times New Roman" w:hAnsi="Times New Roman" w:cs="Times New Roman"/>
          <w:sz w:val="24"/>
          <w:szCs w:val="24"/>
        </w:rPr>
        <w:t>1.96</w:t>
      </w:r>
      <w:r w:rsidR="00EE3D74" w:rsidRPr="00853D5B">
        <w:rPr>
          <w:rStyle w:val="citation-221"/>
          <w:rFonts w:ascii="Times New Roman" w:hAnsi="Times New Roman" w:cs="Times New Roman"/>
          <w:sz w:val="24"/>
          <w:szCs w:val="24"/>
        </w:rPr>
        <w:t xml:space="preserve">, the null hypothesis </w:t>
      </w:r>
      <w:r w:rsidR="00853D5B" w:rsidRPr="00853D5B">
        <w:rPr>
          <w:rStyle w:val="citation-221"/>
          <w:rFonts w:ascii="Times New Roman" w:hAnsi="Times New Roman" w:cs="Times New Roman"/>
          <w:sz w:val="24"/>
          <w:szCs w:val="24"/>
          <w:lang w:val="en-US"/>
        </w:rPr>
        <w:t>was</w:t>
      </w:r>
      <w:r w:rsidR="00EE3D74" w:rsidRPr="00853D5B">
        <w:rPr>
          <w:rStyle w:val="citation-221"/>
          <w:rFonts w:ascii="Times New Roman" w:hAnsi="Times New Roman" w:cs="Times New Roman"/>
          <w:sz w:val="24"/>
          <w:szCs w:val="24"/>
        </w:rPr>
        <w:t xml:space="preserve"> confidently rejected</w:t>
      </w:r>
      <w:r w:rsidR="00853D5B" w:rsidRPr="00853D5B">
        <w:rPr>
          <w:rStyle w:val="citation-221"/>
          <w:rFonts w:ascii="Times New Roman" w:hAnsi="Times New Roman" w:cs="Times New Roman"/>
          <w:sz w:val="24"/>
          <w:szCs w:val="24"/>
          <w:lang w:val="en-US"/>
        </w:rPr>
        <w:t xml:space="preserve"> and the alternative accepted</w:t>
      </w:r>
      <w:r w:rsidR="00EE3D74" w:rsidRPr="00853D5B">
        <w:rPr>
          <w:rFonts w:ascii="Times New Roman" w:hAnsi="Times New Roman" w:cs="Times New Roman"/>
          <w:sz w:val="24"/>
          <w:szCs w:val="24"/>
        </w:rPr>
        <w:t xml:space="preserve">. </w:t>
      </w:r>
      <w:r w:rsidR="00EE3D74" w:rsidRPr="00853D5B">
        <w:rPr>
          <w:rStyle w:val="citation-220"/>
          <w:rFonts w:ascii="Times New Roman" w:hAnsi="Times New Roman" w:cs="Times New Roman"/>
          <w:sz w:val="24"/>
          <w:szCs w:val="24"/>
        </w:rPr>
        <w:t>These mathematical findings formally confirm</w:t>
      </w:r>
      <w:r w:rsidR="004716E3">
        <w:rPr>
          <w:rStyle w:val="citation-220"/>
          <w:rFonts w:ascii="Times New Roman" w:hAnsi="Times New Roman" w:cs="Times New Roman"/>
          <w:sz w:val="24"/>
          <w:szCs w:val="24"/>
          <w:lang w:val="en-US"/>
        </w:rPr>
        <w:t>ed</w:t>
      </w:r>
      <w:r w:rsidR="00EE3D74" w:rsidRPr="00853D5B">
        <w:rPr>
          <w:rStyle w:val="citation-220"/>
          <w:rFonts w:ascii="Times New Roman" w:hAnsi="Times New Roman" w:cs="Times New Roman"/>
          <w:sz w:val="24"/>
          <w:szCs w:val="24"/>
        </w:rPr>
        <w:t xml:space="preserve"> that the indirect path </w:t>
      </w:r>
      <w:r w:rsidR="00853D5B" w:rsidRPr="00853D5B">
        <w:rPr>
          <w:rStyle w:val="citation-220"/>
          <w:rFonts w:ascii="Times New Roman" w:hAnsi="Times New Roman" w:cs="Times New Roman"/>
          <w:sz w:val="24"/>
          <w:szCs w:val="24"/>
          <w:lang w:val="en-US"/>
        </w:rPr>
        <w:t>was</w:t>
      </w:r>
      <w:r w:rsidR="00EE3D74" w:rsidRPr="00853D5B">
        <w:rPr>
          <w:rStyle w:val="citation-220"/>
          <w:rFonts w:ascii="Times New Roman" w:hAnsi="Times New Roman" w:cs="Times New Roman"/>
          <w:sz w:val="24"/>
          <w:szCs w:val="24"/>
        </w:rPr>
        <w:t xml:space="preserve"> highly robust, proving that stakeholder collaboration acts as the primary underlying vehicle through which the policy and governance dimensions of the circular economy successfully convert into sustainable destination competitiveness across Kenya’s Coastal Tourism Circuit</w:t>
      </w:r>
      <w:r w:rsidR="00853D5B">
        <w:rPr>
          <w:rStyle w:val="citation-220"/>
          <w:rFonts w:ascii="Times New Roman" w:hAnsi="Times New Roman" w:cs="Times New Roman"/>
          <w:sz w:val="24"/>
          <w:szCs w:val="24"/>
          <w:lang w:val="en-US"/>
        </w:rPr>
        <w:t xml:space="preserve">. </w:t>
      </w:r>
      <w:r w:rsidR="0003565B">
        <w:rPr>
          <w:rFonts w:ascii="Times New Roman" w:hAnsi="Times New Roman" w:cs="Times New Roman"/>
          <w:sz w:val="24"/>
          <w:szCs w:val="24"/>
          <w:lang w:val="en-US"/>
        </w:rPr>
        <w:t xml:space="preserve">The </w:t>
      </w:r>
      <w:r w:rsidR="003B4C3E">
        <w:rPr>
          <w:rFonts w:ascii="Times New Roman" w:hAnsi="Times New Roman" w:cs="Times New Roman"/>
          <w:sz w:val="24"/>
          <w:szCs w:val="24"/>
          <w:lang w:val="en-US"/>
        </w:rPr>
        <w:t>resultant</w:t>
      </w:r>
      <w:r w:rsidR="0003565B">
        <w:rPr>
          <w:rFonts w:ascii="Times New Roman" w:hAnsi="Times New Roman" w:cs="Times New Roman"/>
          <w:sz w:val="24"/>
          <w:szCs w:val="24"/>
          <w:lang w:val="en-US"/>
        </w:rPr>
        <w:t xml:space="preserve"> model was a shown in Figure 1.</w:t>
      </w:r>
    </w:p>
    <w:p w:rsidR="003A3088" w:rsidRDefault="008223A2" w:rsidP="00177FCE">
      <w:pPr>
        <w:pStyle w:val="NoSpacing"/>
        <w:jc w:val="both"/>
        <w:rPr>
          <w:rFonts w:ascii="Times New Roman" w:hAnsi="Times New Roman" w:cs="Times New Roman"/>
          <w:sz w:val="24"/>
          <w:szCs w:val="24"/>
          <w:highlight w:val="yellow"/>
          <w:lang w:val="en-US"/>
        </w:rPr>
      </w:pPr>
      <w:bookmarkStart w:id="4" w:name="_Hlk230241714"/>
      <w:r>
        <w:rPr>
          <w:noProof/>
        </w:rPr>
        <mc:AlternateContent>
          <mc:Choice Requires="wps">
            <w:drawing>
              <wp:anchor distT="0" distB="0" distL="114300" distR="114300" simplePos="0" relativeHeight="251659264" behindDoc="1" locked="0" layoutInCell="1" allowOverlap="1">
                <wp:simplePos x="0" y="0"/>
                <wp:positionH relativeFrom="column">
                  <wp:posOffset>-73025</wp:posOffset>
                </wp:positionH>
                <wp:positionV relativeFrom="paragraph">
                  <wp:posOffset>113030</wp:posOffset>
                </wp:positionV>
                <wp:extent cx="6781800" cy="23431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6781800" cy="2343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1F0E3" id="Rectangle 1" o:spid="_x0000_s1026" style="position:absolute;margin-left:-5.75pt;margin-top:8.9pt;width:534pt;height:1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" filled="f" strokecolor="#1f3763 [1604]" strokeweight="1pt"/>
            </w:pict>
          </mc:Fallback>
        </mc:AlternateContent>
      </w:r>
    </w:p>
    <w:p w:rsidR="008223A2" w:rsidRPr="00E91B11" w:rsidRDefault="00E84FD3" w:rsidP="005811DF">
      <w:pPr>
        <w:ind w:firstLine="72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3486150</wp:posOffset>
                </wp:positionH>
                <wp:positionV relativeFrom="paragraph">
                  <wp:posOffset>243840</wp:posOffset>
                </wp:positionV>
                <wp:extent cx="1549400" cy="1714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549400" cy="1714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85104" id="Rectangle 4" o:spid="_x0000_s1026" style="position:absolute;margin-left:274.5pt;margin-top:19.2pt;width:12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" filled="f" strokecolor="#1f3763 [1604]" strokeweight="1pt"/>
            </w:pict>
          </mc:Fallback>
        </mc:AlternateContent>
      </w:r>
      <w:r>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simplePos x="0" y="0"/>
                <wp:positionH relativeFrom="column">
                  <wp:posOffset>-50800</wp:posOffset>
                </wp:positionH>
                <wp:positionV relativeFrom="paragraph">
                  <wp:posOffset>262890</wp:posOffset>
                </wp:positionV>
                <wp:extent cx="1041400" cy="19685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1041400" cy="196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5F31EC" id="Rectangle 3" o:spid="_x0000_s1026" style="position:absolute;margin-left:-4pt;margin-top:20.7pt;width:82pt;height:15.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" filled="f" strokecolor="#1f3763 [1604]" strokeweight="1pt"/>
            </w:pict>
          </mc:Fallback>
        </mc:AlternateContent>
      </w:r>
      <w:r w:rsidR="008223A2" w:rsidRPr="00E91B11">
        <w:rPr>
          <w:rFonts w:ascii="Times New Roman" w:hAnsi="Times New Roman" w:cs="Times New Roman"/>
          <w:sz w:val="20"/>
          <w:szCs w:val="20"/>
        </w:rPr>
        <w:t>[Path a: B = 0.481, p &lt; .001]</w:t>
      </w:r>
    </w:p>
    <w:p w:rsidR="008223A2" w:rsidRPr="00E91B11" w:rsidRDefault="008223A2" w:rsidP="008223A2">
      <w:pPr>
        <w:rPr>
          <w:rFonts w:ascii="Times New Roman" w:hAnsi="Times New Roman" w:cs="Times New Roman"/>
          <w:sz w:val="20"/>
          <w:szCs w:val="20"/>
        </w:rPr>
      </w:pPr>
      <w:r w:rsidRPr="00E91B11">
        <w:rPr>
          <w:rFonts w:ascii="Times New Roman" w:hAnsi="Times New Roman" w:cs="Times New Roman"/>
          <w:sz w:val="20"/>
          <w:szCs w:val="20"/>
        </w:rPr>
        <w:t>Policy/Governance ──────────────────────────► Stakeholder Collaboration</w:t>
      </w:r>
    </w:p>
    <w:p w:rsidR="008223A2" w:rsidRPr="00E91B11" w:rsidRDefault="008223A2" w:rsidP="008223A2">
      <w:pPr>
        <w:rPr>
          <w:rFonts w:ascii="Times New Roman" w:hAnsi="Times New Roman" w:cs="Times New Roman"/>
          <w:sz w:val="20"/>
          <w:szCs w:val="20"/>
        </w:rPr>
      </w:pPr>
      <w:r w:rsidRPr="00E91B11">
        <w:rPr>
          <w:rFonts w:ascii="Times New Roman" w:hAnsi="Times New Roman" w:cs="Times New Roman"/>
          <w:sz w:val="20"/>
          <w:szCs w:val="20"/>
        </w:rPr>
        <w:t xml:space="preserve">        │                                                    │</w:t>
      </w:r>
    </w:p>
    <w:p w:rsidR="008223A2" w:rsidRPr="00E91B11" w:rsidRDefault="008223A2" w:rsidP="008223A2">
      <w:pPr>
        <w:rPr>
          <w:rFonts w:ascii="Times New Roman" w:hAnsi="Times New Roman" w:cs="Times New Roman"/>
          <w:sz w:val="20"/>
          <w:szCs w:val="20"/>
        </w:rPr>
      </w:pPr>
      <w:r w:rsidRPr="00E91B11">
        <w:rPr>
          <w:rFonts w:ascii="Times New Roman" w:hAnsi="Times New Roman" w:cs="Times New Roman"/>
          <w:sz w:val="20"/>
          <w:szCs w:val="20"/>
        </w:rPr>
        <w:t xml:space="preserve">        │                                                    │ [Path b: B = 0.393, p &lt; .001]</w:t>
      </w:r>
    </w:p>
    <w:p w:rsidR="008223A2" w:rsidRPr="00E91B11" w:rsidRDefault="00E84FD3" w:rsidP="008223A2">
      <w:pP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4229100</wp:posOffset>
                </wp:positionH>
                <wp:positionV relativeFrom="paragraph">
                  <wp:posOffset>146685</wp:posOffset>
                </wp:positionV>
                <wp:extent cx="1581150" cy="450850"/>
                <wp:effectExtent l="0" t="0" r="19050" b="25400"/>
                <wp:wrapNone/>
                <wp:docPr id="5" name="Rectangle 5"/>
                <wp:cNvGraphicFramePr/>
                <a:graphic xmlns:a="http://schemas.openxmlformats.org/drawingml/2006/main">
                  <a:graphicData uri="http://schemas.microsoft.com/office/word/2010/wordprocessingShape">
                    <wps:wsp>
                      <wps:cNvSpPr/>
                      <wps:spPr>
                        <a:xfrm>
                          <a:off x="0" y="0"/>
                          <a:ext cx="1581150" cy="4508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38BB4" id="Rectangle 5" o:spid="_x0000_s1026" style="position:absolute;margin-left:333pt;margin-top:11.55pt;width:124.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" filled="f" strokecolor="#1f3763 [1604]" strokeweight="1pt"/>
            </w:pict>
          </mc:Fallback>
        </mc:AlternateContent>
      </w:r>
      <w:r w:rsidR="008223A2" w:rsidRPr="00E91B11">
        <w:rPr>
          <w:rFonts w:ascii="Times New Roman" w:hAnsi="Times New Roman" w:cs="Times New Roman"/>
          <w:sz w:val="20"/>
          <w:szCs w:val="20"/>
        </w:rPr>
        <w:t xml:space="preserve">        │                                                    ▼</w:t>
      </w:r>
    </w:p>
    <w:p w:rsidR="008223A2" w:rsidRPr="00E91B11" w:rsidRDefault="008223A2" w:rsidP="008223A2">
      <w:pPr>
        <w:rPr>
          <w:rFonts w:ascii="Times New Roman" w:hAnsi="Times New Roman" w:cs="Times New Roman"/>
          <w:sz w:val="20"/>
          <w:szCs w:val="20"/>
        </w:rPr>
      </w:pPr>
      <w:r w:rsidRPr="00E91B11">
        <w:rPr>
          <w:rFonts w:ascii="Times New Roman" w:hAnsi="Times New Roman" w:cs="Times New Roman"/>
          <w:sz w:val="20"/>
          <w:szCs w:val="20"/>
        </w:rPr>
        <w:t xml:space="preserve">        └──────────────────────────────────────────►Destination </w:t>
      </w:r>
      <w:r w:rsidR="00E84FD3">
        <w:rPr>
          <w:rFonts w:ascii="Times New Roman" w:hAnsi="Times New Roman" w:cs="Times New Roman"/>
          <w:sz w:val="20"/>
          <w:szCs w:val="20"/>
          <w:lang w:val="en-US"/>
        </w:rPr>
        <w:t>C</w:t>
      </w:r>
      <w:r w:rsidR="00E84FD3" w:rsidRPr="00E91B11">
        <w:rPr>
          <w:rFonts w:ascii="Times New Roman" w:hAnsi="Times New Roman" w:cs="Times New Roman"/>
          <w:sz w:val="20"/>
          <w:szCs w:val="20"/>
        </w:rPr>
        <w:t>ompetitiveness</w:t>
      </w:r>
    </w:p>
    <w:p w:rsidR="008223A2" w:rsidRPr="00E91B11" w:rsidRDefault="008223A2" w:rsidP="008223A2">
      <w:pPr>
        <w:rPr>
          <w:rFonts w:ascii="Times New Roman" w:hAnsi="Times New Roman" w:cs="Times New Roman"/>
          <w:sz w:val="20"/>
          <w:szCs w:val="20"/>
        </w:rPr>
      </w:pPr>
      <w:r w:rsidRPr="00E91B11">
        <w:rPr>
          <w:rFonts w:ascii="Times New Roman" w:hAnsi="Times New Roman" w:cs="Times New Roman"/>
          <w:sz w:val="20"/>
          <w:szCs w:val="20"/>
        </w:rPr>
        <w:t xml:space="preserve">         Direct Path c' (Controlled for Mediator): </w:t>
      </w:r>
    </w:p>
    <w:p w:rsidR="008223A2" w:rsidRPr="00E91B11" w:rsidRDefault="008223A2" w:rsidP="008223A2">
      <w:pPr>
        <w:rPr>
          <w:rFonts w:ascii="Times New Roman" w:hAnsi="Times New Roman" w:cs="Times New Roman"/>
          <w:sz w:val="20"/>
          <w:szCs w:val="20"/>
        </w:rPr>
      </w:pPr>
      <w:r w:rsidRPr="00E91B11">
        <w:rPr>
          <w:rFonts w:ascii="Times New Roman" w:hAnsi="Times New Roman" w:cs="Times New Roman"/>
          <w:sz w:val="20"/>
          <w:szCs w:val="20"/>
        </w:rPr>
        <w:t xml:space="preserve">         B = 0.030, p = .510 (Non-Significant = Full Mediation)</w:t>
      </w:r>
    </w:p>
    <w:p w:rsidR="00E84FD3" w:rsidRPr="00D905D2" w:rsidRDefault="008223A2" w:rsidP="00D905D2">
      <w:pPr>
        <w:rPr>
          <w:rFonts w:ascii="Times New Roman" w:hAnsi="Times New Roman" w:cs="Times New Roman"/>
          <w:sz w:val="20"/>
          <w:szCs w:val="20"/>
        </w:rPr>
      </w:pPr>
      <w:r w:rsidRPr="00E91B11">
        <w:rPr>
          <w:rFonts w:ascii="Times New Roman" w:hAnsi="Times New Roman" w:cs="Times New Roman"/>
          <w:sz w:val="20"/>
          <w:szCs w:val="20"/>
        </w:rPr>
        <w:t xml:space="preserve">               Total Path c (Without Mediator):  B = 0.408, p &lt; .001</w:t>
      </w:r>
    </w:p>
    <w:p w:rsidR="003A3088" w:rsidRPr="000A522D" w:rsidRDefault="000A522D" w:rsidP="00177FCE">
      <w:pPr>
        <w:pStyle w:val="NoSpacing"/>
        <w:jc w:val="both"/>
        <w:rPr>
          <w:rFonts w:ascii="Times New Roman" w:hAnsi="Times New Roman" w:cs="Times New Roman"/>
          <w:i/>
          <w:sz w:val="24"/>
          <w:szCs w:val="24"/>
          <w:lang w:val="en-US"/>
        </w:rPr>
      </w:pPr>
      <w:r w:rsidRPr="000A522D">
        <w:rPr>
          <w:rFonts w:ascii="Times New Roman" w:hAnsi="Times New Roman" w:cs="Times New Roman"/>
          <w:i/>
          <w:sz w:val="24"/>
          <w:szCs w:val="24"/>
          <w:lang w:val="en-US"/>
        </w:rPr>
        <w:t>Figure 1: Mediated Multiple Regression Model</w:t>
      </w:r>
      <w:r>
        <w:rPr>
          <w:rFonts w:ascii="Times New Roman" w:hAnsi="Times New Roman" w:cs="Times New Roman"/>
          <w:i/>
          <w:sz w:val="24"/>
          <w:szCs w:val="24"/>
          <w:lang w:val="en-US"/>
        </w:rPr>
        <w:t>: Source, Survey findings 202</w:t>
      </w:r>
      <w:r w:rsidR="007D42AC">
        <w:rPr>
          <w:rFonts w:ascii="Times New Roman" w:hAnsi="Times New Roman" w:cs="Times New Roman"/>
          <w:i/>
          <w:sz w:val="24"/>
          <w:szCs w:val="24"/>
          <w:lang w:val="en-US"/>
        </w:rPr>
        <w:t>5</w:t>
      </w:r>
    </w:p>
    <w:p w:rsidR="003A3088" w:rsidRDefault="003A3088" w:rsidP="00177FCE">
      <w:pPr>
        <w:pStyle w:val="NoSpacing"/>
        <w:jc w:val="both"/>
        <w:rPr>
          <w:rFonts w:ascii="Times New Roman" w:hAnsi="Times New Roman" w:cs="Times New Roman"/>
          <w:sz w:val="24"/>
          <w:szCs w:val="24"/>
          <w:highlight w:val="yellow"/>
          <w:lang w:val="en-US"/>
        </w:rPr>
      </w:pPr>
    </w:p>
    <w:bookmarkEnd w:id="4"/>
    <w:p w:rsidR="005027DC" w:rsidRDefault="005027DC" w:rsidP="00650868">
      <w:pPr>
        <w:pStyle w:val="NoSpacing"/>
        <w:jc w:val="both"/>
        <w:rPr>
          <w:rFonts w:ascii="Times New Roman" w:hAnsi="Times New Roman" w:cs="Times New Roman"/>
          <w:b/>
          <w:sz w:val="24"/>
          <w:szCs w:val="24"/>
          <w:lang w:val="en-US"/>
        </w:rPr>
      </w:pPr>
    </w:p>
    <w:p w:rsidR="005027DC" w:rsidRDefault="005027DC" w:rsidP="00650868">
      <w:pPr>
        <w:pStyle w:val="NoSpacing"/>
        <w:jc w:val="both"/>
        <w:rPr>
          <w:rFonts w:ascii="Times New Roman" w:hAnsi="Times New Roman" w:cs="Times New Roman"/>
          <w:b/>
          <w:sz w:val="24"/>
          <w:szCs w:val="24"/>
          <w:lang w:val="en-US"/>
        </w:rPr>
      </w:pPr>
    </w:p>
    <w:p w:rsidR="0031126C" w:rsidRDefault="0031126C" w:rsidP="00650868">
      <w:pPr>
        <w:pStyle w:val="NoSpacing"/>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DISCUSSION </w:t>
      </w:r>
    </w:p>
    <w:p w:rsidR="001222AF" w:rsidRPr="001222AF" w:rsidRDefault="001222AF" w:rsidP="001222AF">
      <w:pPr>
        <w:pStyle w:val="NoSpacing"/>
        <w:jc w:val="both"/>
        <w:rPr>
          <w:rFonts w:ascii="Times New Roman" w:hAnsi="Times New Roman" w:cs="Times New Roman"/>
          <w:sz w:val="24"/>
          <w:szCs w:val="24"/>
        </w:rPr>
      </w:pPr>
      <w:r w:rsidRPr="001222AF">
        <w:rPr>
          <w:rFonts w:ascii="Times New Roman" w:hAnsi="Times New Roman" w:cs="Times New Roman"/>
          <w:sz w:val="24"/>
          <w:szCs w:val="24"/>
        </w:rPr>
        <w:t>Descriptive findings indicate</w:t>
      </w:r>
      <w:r w:rsidR="00971730">
        <w:rPr>
          <w:rFonts w:ascii="Times New Roman" w:hAnsi="Times New Roman" w:cs="Times New Roman"/>
          <w:sz w:val="24"/>
          <w:szCs w:val="24"/>
          <w:lang w:val="en-US"/>
        </w:rPr>
        <w:t>d</w:t>
      </w:r>
      <w:r w:rsidRPr="001222AF">
        <w:rPr>
          <w:rFonts w:ascii="Times New Roman" w:hAnsi="Times New Roman" w:cs="Times New Roman"/>
          <w:sz w:val="24"/>
          <w:szCs w:val="24"/>
        </w:rPr>
        <w:t xml:space="preserve"> that tourism enterprises within Kenya’s Coastal Tourism Circuit exhibit high levels of alignment with environmental sustainability policies and circular economy practices, particularly in waste sorting, recycling, energy recovery, reduction of single-use plastics, and enterprise-level reuse initiatives. </w:t>
      </w:r>
      <w:r w:rsidR="0043242A">
        <w:rPr>
          <w:rFonts w:ascii="Times New Roman" w:hAnsi="Times New Roman" w:cs="Times New Roman"/>
          <w:sz w:val="24"/>
          <w:szCs w:val="24"/>
          <w:lang w:val="en-US"/>
        </w:rPr>
        <w:t xml:space="preserve">The </w:t>
      </w:r>
      <w:bookmarkEnd w:id="3"/>
      <w:r w:rsidR="0043242A">
        <w:rPr>
          <w:rFonts w:ascii="Times New Roman" w:hAnsi="Times New Roman" w:cs="Times New Roman"/>
          <w:sz w:val="24"/>
          <w:szCs w:val="24"/>
          <w:lang w:val="en-US"/>
        </w:rPr>
        <w:t xml:space="preserve">high </w:t>
      </w:r>
      <w:r w:rsidRPr="001222AF">
        <w:rPr>
          <w:rFonts w:ascii="Times New Roman" w:hAnsi="Times New Roman" w:cs="Times New Roman"/>
          <w:sz w:val="24"/>
          <w:szCs w:val="24"/>
        </w:rPr>
        <w:t xml:space="preserve">mean scores for compliance with government waste management guidelines and awareness of tourism sustainability policies suggest that environmental sustainability is </w:t>
      </w:r>
      <w:r w:rsidR="009F7F37">
        <w:rPr>
          <w:rFonts w:ascii="Times New Roman" w:hAnsi="Times New Roman" w:cs="Times New Roman"/>
          <w:sz w:val="24"/>
          <w:szCs w:val="24"/>
          <w:lang w:val="en-US"/>
        </w:rPr>
        <w:t>progressively being</w:t>
      </w:r>
      <w:r w:rsidRPr="001222AF">
        <w:rPr>
          <w:rFonts w:ascii="Times New Roman" w:hAnsi="Times New Roman" w:cs="Times New Roman"/>
          <w:sz w:val="24"/>
          <w:szCs w:val="24"/>
        </w:rPr>
        <w:t xml:space="preserve"> institutionalized within tourism operations along the Kenyan coast. These results align with previous studies asserting that circular economy principles are central to sustainable tourism management due to mounting environmental pressures, climate change concerns, and evolving tourist preferences for environmentally responsible destinations (</w:t>
      </w:r>
      <w:proofErr w:type="spellStart"/>
      <w:r w:rsidRPr="001222AF">
        <w:rPr>
          <w:rFonts w:ascii="Times New Roman" w:hAnsi="Times New Roman" w:cs="Times New Roman"/>
          <w:sz w:val="24"/>
          <w:szCs w:val="24"/>
        </w:rPr>
        <w:t>Geissdoerfer</w:t>
      </w:r>
      <w:proofErr w:type="spellEnd"/>
      <w:r w:rsidRPr="001222AF">
        <w:rPr>
          <w:rFonts w:ascii="Times New Roman" w:hAnsi="Times New Roman" w:cs="Times New Roman"/>
          <w:sz w:val="24"/>
          <w:szCs w:val="24"/>
        </w:rPr>
        <w:t xml:space="preserve"> et al., 2017; Rodríguez et al., 2020). The findings further indicate that tourism enterprises are recognizing resource efficiency, recycling, and waste minimization as strategic operational practices that enhance destination image, operational sustainability, and market competitiveness, rather than viewing them solely as regulatory obligations. The emphasis on waste sorting, recycling, reuse policies, and reduction of single-use plastics demonstrates the practical application of several dimensions of the circular economy 9R framework, particularly “Reduce,” “Reuse,” “Recycle,” and “Recover.” This suggests a gradual transition among tourism enterprises in Kenya’s Coastal Tourism Circuit from traditional linear consumption systems to more circular and resource-efficient operational models. Comparable findings have been reported in European tourism destinations, where circular economy practices have contributed to improved destination sustainability, enhanced environmental governance, and increased tourism resilience (Ellen MacArthur Foundation, 2019; Camilleri, 2018). However, in contrast to many advanced tourism destinations where circular economy implementation is supported by integrated policy incentives and institutional coordination, the present study reveal</w:t>
      </w:r>
      <w:r w:rsidR="00971730">
        <w:rPr>
          <w:rFonts w:ascii="Times New Roman" w:hAnsi="Times New Roman" w:cs="Times New Roman"/>
          <w:sz w:val="24"/>
          <w:szCs w:val="24"/>
          <w:lang w:val="en-US"/>
        </w:rPr>
        <w:t>ed</w:t>
      </w:r>
      <w:r w:rsidRPr="001222AF">
        <w:rPr>
          <w:rFonts w:ascii="Times New Roman" w:hAnsi="Times New Roman" w:cs="Times New Roman"/>
          <w:sz w:val="24"/>
          <w:szCs w:val="24"/>
        </w:rPr>
        <w:t xml:space="preserve"> that Kenya’s coastal tourism sector continues to face significant structural and governance limitations.</w:t>
      </w:r>
    </w:p>
    <w:p w:rsidR="001222AF" w:rsidRPr="001222AF" w:rsidRDefault="001222AF" w:rsidP="001222AF">
      <w:pPr>
        <w:pStyle w:val="NoSpacing"/>
        <w:jc w:val="both"/>
        <w:rPr>
          <w:rFonts w:ascii="Times New Roman" w:hAnsi="Times New Roman" w:cs="Times New Roman"/>
          <w:sz w:val="24"/>
          <w:szCs w:val="24"/>
        </w:rPr>
      </w:pPr>
    </w:p>
    <w:p w:rsidR="001222AF" w:rsidRPr="001222AF" w:rsidRDefault="001222AF" w:rsidP="001222AF">
      <w:pPr>
        <w:pStyle w:val="NoSpacing"/>
        <w:jc w:val="both"/>
        <w:rPr>
          <w:rFonts w:ascii="Times New Roman" w:hAnsi="Times New Roman" w:cs="Times New Roman"/>
          <w:sz w:val="24"/>
          <w:szCs w:val="24"/>
        </w:rPr>
      </w:pPr>
      <w:r w:rsidRPr="001222AF">
        <w:rPr>
          <w:rFonts w:ascii="Times New Roman" w:hAnsi="Times New Roman" w:cs="Times New Roman"/>
          <w:sz w:val="24"/>
          <w:szCs w:val="24"/>
        </w:rPr>
        <w:t xml:space="preserve">Despite strong operational implementation of circular economy practices among respondents, lower mean scores were observed for policy enforcement, government incentives, institutional support systems, and county-level implementation support. Notably, environmental regulation enforcement received the lowest level of agreement. This suggests that, although tourism enterprises are increasingly adopting sustainability practices internally, broader governance systems responsible for facilitating, enforcing, and supporting circular economy transitions remain weak or inconsistent. This partially contrasts with findings from highly institutionalized tourism destinations such as Italy, the Netherlands, and Scandinavian countries, where robust environmental governance systems, sustainability incentives, and coordinated institutional frameworks have significantly accelerated circular economy transitions (Camilleri, 2018; Dredge &amp; Jamal, 2015). The relatively weak perception of policy enforcement and institutional support is a significant and contextually relevant finding within the African tourism governance landscape. It indicates that circular economy transitions in developing tourism destinations depend not only on the existence of sustainability policies but also on the effectiveness of institutional implementation, enforcement capacity, inter-agency coordination, and resource availability. This finding is consistent with Institutional Theory, which posits that organizational </w:t>
      </w:r>
      <w:proofErr w:type="spellStart"/>
      <w:r w:rsidRPr="001222AF">
        <w:rPr>
          <w:rFonts w:ascii="Times New Roman" w:hAnsi="Times New Roman" w:cs="Times New Roman"/>
          <w:sz w:val="24"/>
          <w:szCs w:val="24"/>
        </w:rPr>
        <w:t>behavior</w:t>
      </w:r>
      <w:proofErr w:type="spellEnd"/>
      <w:r w:rsidRPr="001222AF">
        <w:rPr>
          <w:rFonts w:ascii="Times New Roman" w:hAnsi="Times New Roman" w:cs="Times New Roman"/>
          <w:sz w:val="24"/>
          <w:szCs w:val="24"/>
        </w:rPr>
        <w:t xml:space="preserve"> is shaped by institutional pressures, regulatory systems, and governance structures (Scott, 2008). Therefore, while Kenya has made progress through initiatives such as plastic bag bans, sustainable tourism policies, and blue economy strategies, institutional fragmentation and uneven implementation continue to constrain the full realization of circular economy governance within tourism destinations.</w:t>
      </w:r>
    </w:p>
    <w:p w:rsidR="001222AF" w:rsidRPr="001222AF" w:rsidRDefault="001222AF" w:rsidP="001222AF">
      <w:pPr>
        <w:pStyle w:val="NoSpacing"/>
        <w:jc w:val="both"/>
        <w:rPr>
          <w:rFonts w:ascii="Times New Roman" w:hAnsi="Times New Roman" w:cs="Times New Roman"/>
          <w:sz w:val="24"/>
          <w:szCs w:val="24"/>
        </w:rPr>
      </w:pPr>
    </w:p>
    <w:p w:rsidR="001222AF" w:rsidRPr="0058302A" w:rsidRDefault="001222AF" w:rsidP="001222AF">
      <w:pPr>
        <w:pStyle w:val="NoSpacing"/>
        <w:jc w:val="both"/>
        <w:rPr>
          <w:rFonts w:ascii="Times New Roman" w:hAnsi="Times New Roman" w:cs="Times New Roman"/>
          <w:sz w:val="24"/>
          <w:szCs w:val="24"/>
          <w:lang w:val="en-US"/>
        </w:rPr>
      </w:pPr>
      <w:r w:rsidRPr="001222AF">
        <w:rPr>
          <w:rFonts w:ascii="Times New Roman" w:hAnsi="Times New Roman" w:cs="Times New Roman"/>
          <w:sz w:val="24"/>
          <w:szCs w:val="24"/>
        </w:rPr>
        <w:t>Findings related to stakeholder collaboration revealed strong inter-organizational cooperation among tourism enterprises, county governments, and other stakeholders in environmental sustainability, information sharing, and participation in sustainability forums. These results reinforce existing literature that highlights the critical role of collaborative governance in promoting sustainable tourism development and destination resilience (Hall, 2011; Byrd, 2007). The observed collaboration between tourism enterprises and county governments on waste management and environmental conservation initiatives indicates growing recognition that sustainability challenges require collective, multi-stakeholder approaches rather than isolated efforts. However, the study also identified lower levels of localized collaboration involving community environmental conservation and direct operational cooperation among tourism enterprises to reduce pollution and waste. This represents a significant and somewhat unexpected finding</w:t>
      </w:r>
      <w:r w:rsidR="0058302A">
        <w:rPr>
          <w:rFonts w:ascii="Times New Roman" w:hAnsi="Times New Roman" w:cs="Times New Roman"/>
          <w:sz w:val="24"/>
          <w:szCs w:val="24"/>
          <w:lang w:val="en-US"/>
        </w:rPr>
        <w:t xml:space="preserve"> in that, while</w:t>
      </w:r>
      <w:r w:rsidRPr="001222AF">
        <w:rPr>
          <w:rFonts w:ascii="Times New Roman" w:hAnsi="Times New Roman" w:cs="Times New Roman"/>
          <w:sz w:val="24"/>
          <w:szCs w:val="24"/>
        </w:rPr>
        <w:t xml:space="preserve"> institutional-level collaboration is relatively strong, grassroots and community-centered collaboration mechanisms remain weak. This is particularly important because sustainable tourism literature consistently identifies local community participation as a fundamental pillar of </w:t>
      </w:r>
      <w:r w:rsidRPr="001222AF">
        <w:rPr>
          <w:rFonts w:ascii="Times New Roman" w:hAnsi="Times New Roman" w:cs="Times New Roman"/>
          <w:sz w:val="24"/>
          <w:szCs w:val="24"/>
        </w:rPr>
        <w:lastRenderedPageBreak/>
        <w:t xml:space="preserve">destination sustainability and resilience (Jamal &amp; Getz, 1995; </w:t>
      </w:r>
      <w:proofErr w:type="spellStart"/>
      <w:r w:rsidRPr="001222AF">
        <w:rPr>
          <w:rFonts w:ascii="Times New Roman" w:hAnsi="Times New Roman" w:cs="Times New Roman"/>
          <w:sz w:val="24"/>
          <w:szCs w:val="24"/>
        </w:rPr>
        <w:t>Tosun</w:t>
      </w:r>
      <w:proofErr w:type="spellEnd"/>
      <w:r w:rsidRPr="001222AF">
        <w:rPr>
          <w:rFonts w:ascii="Times New Roman" w:hAnsi="Times New Roman" w:cs="Times New Roman"/>
          <w:sz w:val="24"/>
          <w:szCs w:val="24"/>
        </w:rPr>
        <w:t xml:space="preserve">, 2000). The findings suggest a disconnect between higher-level institutional collaboration and localized operational participation within Kenya’s Coastal Tourism Circuit. </w:t>
      </w:r>
      <w:r w:rsidR="0058302A" w:rsidRPr="0058302A">
        <w:rPr>
          <w:rFonts w:ascii="Times New Roman" w:hAnsi="Times New Roman" w:cs="Times New Roman"/>
          <w:sz w:val="24"/>
          <w:szCs w:val="24"/>
        </w:rPr>
        <w:t>Multiple contextual factors may explain this outcome. In developing destinations, tourism sustainability initiatives are typically policy-driven and institutionally coordinated, with minimal direct involvement of local communities and small-scale tourism operators in implementation processes (</w:t>
      </w:r>
      <w:proofErr w:type="spellStart"/>
      <w:r w:rsidR="0058302A" w:rsidRPr="0058302A">
        <w:rPr>
          <w:rFonts w:ascii="Times New Roman" w:hAnsi="Times New Roman" w:cs="Times New Roman"/>
          <w:sz w:val="24"/>
          <w:szCs w:val="24"/>
        </w:rPr>
        <w:t>Tosun</w:t>
      </w:r>
      <w:proofErr w:type="spellEnd"/>
      <w:r w:rsidR="0058302A" w:rsidRPr="0058302A">
        <w:rPr>
          <w:rFonts w:ascii="Times New Roman" w:hAnsi="Times New Roman" w:cs="Times New Roman"/>
          <w:sz w:val="24"/>
          <w:szCs w:val="24"/>
        </w:rPr>
        <w:t xml:space="preserve">, 2000; Hall, 2011). </w:t>
      </w:r>
      <w:r w:rsidR="0058302A">
        <w:rPr>
          <w:rFonts w:ascii="Times New Roman" w:hAnsi="Times New Roman" w:cs="Times New Roman"/>
          <w:sz w:val="24"/>
          <w:szCs w:val="24"/>
          <w:lang w:val="en-US"/>
        </w:rPr>
        <w:t xml:space="preserve">In addition, </w:t>
      </w:r>
      <w:r w:rsidR="0058302A" w:rsidRPr="0058302A">
        <w:rPr>
          <w:rFonts w:ascii="Times New Roman" w:hAnsi="Times New Roman" w:cs="Times New Roman"/>
          <w:sz w:val="24"/>
          <w:szCs w:val="24"/>
        </w:rPr>
        <w:t xml:space="preserve">resource limitations, inadequate coordination mechanisms, and disparities in organizational capacity among tourism enterprises </w:t>
      </w:r>
      <w:r w:rsidR="0058302A">
        <w:rPr>
          <w:rFonts w:ascii="Times New Roman" w:hAnsi="Times New Roman" w:cs="Times New Roman"/>
          <w:sz w:val="24"/>
          <w:szCs w:val="24"/>
          <w:lang w:val="en-US"/>
        </w:rPr>
        <w:t xml:space="preserve">may </w:t>
      </w:r>
      <w:r w:rsidR="0058302A" w:rsidRPr="0058302A">
        <w:rPr>
          <w:rFonts w:ascii="Times New Roman" w:hAnsi="Times New Roman" w:cs="Times New Roman"/>
          <w:sz w:val="24"/>
          <w:szCs w:val="24"/>
        </w:rPr>
        <w:t xml:space="preserve">further restrict localized collaborative action and hinder effective sustainability governance (Jamal &amp; Getz, 1995; Dredge &amp; Jamal, 2015). Moreover, tourism enterprises often emphasize compliance-oriented sustainability practices that enhance operational efficiency and regulatory adherence, while devoting less attention to broader community-focused environmental initiatives (Byrd, 2007; </w:t>
      </w:r>
      <w:proofErr w:type="spellStart"/>
      <w:r w:rsidR="0058302A" w:rsidRPr="0058302A">
        <w:rPr>
          <w:rFonts w:ascii="Times New Roman" w:hAnsi="Times New Roman" w:cs="Times New Roman"/>
          <w:sz w:val="24"/>
          <w:szCs w:val="24"/>
        </w:rPr>
        <w:t>Tosun</w:t>
      </w:r>
      <w:proofErr w:type="spellEnd"/>
      <w:r w:rsidR="0058302A" w:rsidRPr="0058302A">
        <w:rPr>
          <w:rFonts w:ascii="Times New Roman" w:hAnsi="Times New Roman" w:cs="Times New Roman"/>
          <w:sz w:val="24"/>
          <w:szCs w:val="24"/>
        </w:rPr>
        <w:t xml:space="preserve">, 2000). This </w:t>
      </w:r>
      <w:r w:rsidR="0058302A">
        <w:rPr>
          <w:rFonts w:ascii="Times New Roman" w:hAnsi="Times New Roman" w:cs="Times New Roman"/>
          <w:sz w:val="24"/>
          <w:szCs w:val="24"/>
          <w:lang w:val="en-US"/>
        </w:rPr>
        <w:t>finding</w:t>
      </w:r>
      <w:r w:rsidR="0058302A" w:rsidRPr="0058302A">
        <w:rPr>
          <w:rFonts w:ascii="Times New Roman" w:hAnsi="Times New Roman" w:cs="Times New Roman"/>
          <w:sz w:val="24"/>
          <w:szCs w:val="24"/>
        </w:rPr>
        <w:t xml:space="preserve"> underscores a governance gap that has received limited empirical investigation within circular economy tourism research, especially in African coastal tourism destinations</w:t>
      </w:r>
      <w:r w:rsidR="0058302A">
        <w:rPr>
          <w:rFonts w:ascii="Times New Roman" w:hAnsi="Times New Roman" w:cs="Times New Roman"/>
          <w:sz w:val="24"/>
          <w:szCs w:val="24"/>
          <w:lang w:val="en-US"/>
        </w:rPr>
        <w:t>.</w:t>
      </w:r>
    </w:p>
    <w:p w:rsidR="0058302A" w:rsidRPr="001222AF" w:rsidRDefault="0058302A" w:rsidP="001222AF">
      <w:pPr>
        <w:pStyle w:val="NoSpacing"/>
        <w:jc w:val="both"/>
        <w:rPr>
          <w:rFonts w:ascii="Times New Roman" w:hAnsi="Times New Roman" w:cs="Times New Roman"/>
          <w:sz w:val="24"/>
          <w:szCs w:val="24"/>
        </w:rPr>
      </w:pPr>
    </w:p>
    <w:p w:rsidR="001222AF" w:rsidRPr="001222AF" w:rsidRDefault="001222AF" w:rsidP="001222AF">
      <w:pPr>
        <w:pStyle w:val="NoSpacing"/>
        <w:jc w:val="both"/>
        <w:rPr>
          <w:rFonts w:ascii="Times New Roman" w:hAnsi="Times New Roman" w:cs="Times New Roman"/>
          <w:sz w:val="24"/>
          <w:szCs w:val="24"/>
        </w:rPr>
      </w:pPr>
      <w:r w:rsidRPr="001222AF">
        <w:rPr>
          <w:rFonts w:ascii="Times New Roman" w:hAnsi="Times New Roman" w:cs="Times New Roman"/>
          <w:sz w:val="24"/>
          <w:szCs w:val="24"/>
        </w:rPr>
        <w:t xml:space="preserve">The findings demonstrated consistently high levels of agreement regarding the positive contribution of circular economy practices to sustainable destination competitiveness. Respondents agreed that sustainability practices enhance enterprise reputation, benefit local communities, generate long-term operational cost savings, and strengthen alignment with global green tourism trends. These results support previous studies suggesting that environmentally sustainable tourism destinations gain </w:t>
      </w:r>
      <w:r w:rsidR="00A97DA4">
        <w:rPr>
          <w:rFonts w:ascii="Times New Roman" w:hAnsi="Times New Roman" w:cs="Times New Roman"/>
          <w:sz w:val="24"/>
          <w:szCs w:val="24"/>
        </w:rPr>
        <w:t xml:space="preserve">a competitive advantage by appealing to environmentally conscious </w:t>
      </w:r>
      <w:proofErr w:type="spellStart"/>
      <w:r w:rsidR="00A97DA4">
        <w:rPr>
          <w:rFonts w:ascii="Times New Roman" w:hAnsi="Times New Roman" w:cs="Times New Roman"/>
          <w:sz w:val="24"/>
          <w:szCs w:val="24"/>
        </w:rPr>
        <w:t>travelers</w:t>
      </w:r>
      <w:proofErr w:type="spellEnd"/>
      <w:r w:rsidR="00A97DA4">
        <w:rPr>
          <w:rFonts w:ascii="Times New Roman" w:hAnsi="Times New Roman" w:cs="Times New Roman"/>
          <w:sz w:val="24"/>
          <w:szCs w:val="24"/>
        </w:rPr>
        <w:t xml:space="preserve">, </w:t>
      </w:r>
      <w:r w:rsidR="009D1E69">
        <w:rPr>
          <w:rFonts w:ascii="Times New Roman" w:hAnsi="Times New Roman" w:cs="Times New Roman"/>
          <w:sz w:val="24"/>
          <w:szCs w:val="24"/>
          <w:lang w:val="en-US"/>
        </w:rPr>
        <w:t xml:space="preserve">thereby </w:t>
      </w:r>
      <w:r w:rsidR="00A97DA4">
        <w:rPr>
          <w:rFonts w:ascii="Times New Roman" w:hAnsi="Times New Roman" w:cs="Times New Roman"/>
          <w:sz w:val="24"/>
          <w:szCs w:val="24"/>
        </w:rPr>
        <w:t>strengthening destination branding, and improving long-term resilience in international tourism markets (Dwyer et al., 2009; Pulido-Fernandez</w:t>
      </w:r>
      <w:r w:rsidRPr="001222AF">
        <w:rPr>
          <w:rFonts w:ascii="Times New Roman" w:hAnsi="Times New Roman" w:cs="Times New Roman"/>
          <w:sz w:val="24"/>
          <w:szCs w:val="24"/>
        </w:rPr>
        <w:t xml:space="preserve"> et al., 2019). The findings confirm that circular economy practices are perceived not only as environmental protection mechanisms, but also as strategic tools for enhancing destination attractiveness, enterprise performance, and tourism sustainability. Notably, tourism enterprises perceive sustainability practices as significantly enhancing destination reputation among tourists. This reflects the growing influence of global sustainability consciousness in tourism markets, where tourists</w:t>
      </w:r>
      <w:r w:rsidR="009F7F37">
        <w:rPr>
          <w:rFonts w:ascii="Times New Roman" w:hAnsi="Times New Roman" w:cs="Times New Roman"/>
          <w:sz w:val="24"/>
          <w:szCs w:val="24"/>
          <w:lang w:val="en-US"/>
        </w:rPr>
        <w:t xml:space="preserve"> currently</w:t>
      </w:r>
      <w:r w:rsidRPr="001222AF">
        <w:rPr>
          <w:rFonts w:ascii="Times New Roman" w:hAnsi="Times New Roman" w:cs="Times New Roman"/>
          <w:sz w:val="24"/>
          <w:szCs w:val="24"/>
        </w:rPr>
        <w:t xml:space="preserve"> prefer destinations regarded as environmentally responsible and socially sustainable. The findings suggest that circular economy practices contribute to both environmental conservation and destination differentiation and market positioning in highly competitive global tourism markets.</w:t>
      </w:r>
    </w:p>
    <w:p w:rsidR="001222AF" w:rsidRPr="001222AF" w:rsidRDefault="001222AF" w:rsidP="001222AF">
      <w:pPr>
        <w:pStyle w:val="NoSpacing"/>
        <w:jc w:val="both"/>
        <w:rPr>
          <w:rFonts w:ascii="Times New Roman" w:hAnsi="Times New Roman" w:cs="Times New Roman"/>
          <w:sz w:val="24"/>
          <w:szCs w:val="24"/>
        </w:rPr>
      </w:pPr>
    </w:p>
    <w:p w:rsidR="001222AF" w:rsidRPr="001222AF" w:rsidRDefault="001222AF" w:rsidP="001222AF">
      <w:pPr>
        <w:pStyle w:val="NoSpacing"/>
        <w:jc w:val="both"/>
        <w:rPr>
          <w:rFonts w:ascii="Times New Roman" w:hAnsi="Times New Roman" w:cs="Times New Roman"/>
          <w:sz w:val="24"/>
          <w:szCs w:val="24"/>
        </w:rPr>
      </w:pPr>
      <w:r w:rsidRPr="001222AF">
        <w:rPr>
          <w:rFonts w:ascii="Times New Roman" w:hAnsi="Times New Roman" w:cs="Times New Roman"/>
          <w:sz w:val="24"/>
          <w:szCs w:val="24"/>
        </w:rPr>
        <w:t xml:space="preserve">The mediation analysis produced one of the study’s most significant contributions. </w:t>
      </w:r>
      <w:r w:rsidR="0002152B">
        <w:rPr>
          <w:rFonts w:ascii="Times New Roman" w:hAnsi="Times New Roman" w:cs="Times New Roman"/>
          <w:sz w:val="24"/>
          <w:szCs w:val="24"/>
          <w:lang w:val="en-US"/>
        </w:rPr>
        <w:t xml:space="preserve">The </w:t>
      </w:r>
      <w:r w:rsidR="009D1E69" w:rsidRPr="001222AF">
        <w:rPr>
          <w:rFonts w:ascii="Times New Roman" w:hAnsi="Times New Roman" w:cs="Times New Roman"/>
          <w:sz w:val="24"/>
          <w:szCs w:val="24"/>
        </w:rPr>
        <w:t>findings</w:t>
      </w:r>
      <w:r w:rsidRPr="001222AF">
        <w:rPr>
          <w:rFonts w:ascii="Times New Roman" w:hAnsi="Times New Roman" w:cs="Times New Roman"/>
          <w:sz w:val="24"/>
          <w:szCs w:val="24"/>
        </w:rPr>
        <w:t xml:space="preserve"> revealed that stakeholder collaboration fully mediated the relationship between policy and governance dimensions of the circular economy and sustainable destination competitiveness. Specifically, the direct effect of policy and governance on destination competitiveness became statistically insignificant after introducing stakeholder collaboration into the model, while the indirect effect remained highly significant. This provide</w:t>
      </w:r>
      <w:r w:rsidR="009D1E69">
        <w:rPr>
          <w:rFonts w:ascii="Times New Roman" w:hAnsi="Times New Roman" w:cs="Times New Roman"/>
          <w:sz w:val="24"/>
          <w:szCs w:val="24"/>
          <w:lang w:val="en-US"/>
        </w:rPr>
        <w:t xml:space="preserve">d </w:t>
      </w:r>
      <w:r w:rsidRPr="001222AF">
        <w:rPr>
          <w:rFonts w:ascii="Times New Roman" w:hAnsi="Times New Roman" w:cs="Times New Roman"/>
          <w:sz w:val="24"/>
          <w:szCs w:val="24"/>
        </w:rPr>
        <w:t xml:space="preserve">strong empirical evidence that policy and governance frameworks alone are insufficient to generate sustainable destination competitiveness without effective stakeholder collaboration mechanisms. This represents a notable theoretical and empirical contribution to </w:t>
      </w:r>
      <w:r w:rsidR="0002152B">
        <w:rPr>
          <w:rFonts w:ascii="Times New Roman" w:hAnsi="Times New Roman" w:cs="Times New Roman"/>
          <w:sz w:val="24"/>
          <w:szCs w:val="24"/>
        </w:rPr>
        <w:t>the tourism governance and circular economy literature, as previous studies have typically examined governance systems, sustainability practices, and stakeholder participation in isolation</w:t>
      </w:r>
      <w:r w:rsidRPr="001222AF">
        <w:rPr>
          <w:rFonts w:ascii="Times New Roman" w:hAnsi="Times New Roman" w:cs="Times New Roman"/>
          <w:sz w:val="24"/>
          <w:szCs w:val="24"/>
        </w:rPr>
        <w:t xml:space="preserve"> rather than within an integrated mediation framework. The findings introduce new empirical insight by demonstrating that stakeholder collaboration is the critical mechanism through which circular economy governance influences destination competitiveness. In practical terms, sustainability policies, environmental regulations, and circular economy governance frameworks are most effective when tourism enterprises, governments, communities, and other stakeholders actively collaborate </w:t>
      </w:r>
      <w:r w:rsidR="006E4061">
        <w:rPr>
          <w:rFonts w:ascii="Times New Roman" w:hAnsi="Times New Roman" w:cs="Times New Roman"/>
          <w:sz w:val="24"/>
          <w:szCs w:val="24"/>
        </w:rPr>
        <w:t>during implementation</w:t>
      </w:r>
      <w:r w:rsidRPr="001222AF">
        <w:rPr>
          <w:rFonts w:ascii="Times New Roman" w:hAnsi="Times New Roman" w:cs="Times New Roman"/>
          <w:sz w:val="24"/>
          <w:szCs w:val="24"/>
        </w:rPr>
        <w:t xml:space="preserve">. The mediation findings strongly support Stakeholder Theory, which posits that organizational and societal outcomes depend on the quality of relationships and collaboration among diverse stakeholder groups (Freeman, 1984). The results empirically confirm that collaborative stakeholder relationships are essential for translating sustainability governance into tangible destination competitiveness outcomes. Similarly, the findings support Ecological Modernization Theory, which argues that environmental sustainability and economic competitiveness can be achieved simultaneously through institutional reform, governance innovation, and sustainable production systems (Mol &amp; </w:t>
      </w:r>
      <w:proofErr w:type="spellStart"/>
      <w:r w:rsidRPr="001222AF">
        <w:rPr>
          <w:rFonts w:ascii="Times New Roman" w:hAnsi="Times New Roman" w:cs="Times New Roman"/>
          <w:sz w:val="24"/>
          <w:szCs w:val="24"/>
        </w:rPr>
        <w:t>Spaargaren</w:t>
      </w:r>
      <w:proofErr w:type="spellEnd"/>
      <w:r w:rsidRPr="001222AF">
        <w:rPr>
          <w:rFonts w:ascii="Times New Roman" w:hAnsi="Times New Roman" w:cs="Times New Roman"/>
          <w:sz w:val="24"/>
          <w:szCs w:val="24"/>
        </w:rPr>
        <w:t>, 2000). The observed positive relationships among circular economy governance, stakeholder collaboration, and destination competitiveness demonstrate that environmental sustainability initiatives can generate both ecological and economic benefits within tourism destinations.</w:t>
      </w:r>
    </w:p>
    <w:p w:rsidR="001222AF" w:rsidRPr="001222AF" w:rsidRDefault="001222AF" w:rsidP="001222AF">
      <w:pPr>
        <w:pStyle w:val="NoSpacing"/>
        <w:jc w:val="both"/>
        <w:rPr>
          <w:rFonts w:ascii="Times New Roman" w:hAnsi="Times New Roman" w:cs="Times New Roman"/>
          <w:sz w:val="24"/>
          <w:szCs w:val="24"/>
        </w:rPr>
      </w:pPr>
    </w:p>
    <w:p w:rsidR="001222AF" w:rsidRPr="001222AF" w:rsidRDefault="001222AF" w:rsidP="001222AF">
      <w:pPr>
        <w:pStyle w:val="NoSpacing"/>
        <w:jc w:val="both"/>
        <w:rPr>
          <w:rFonts w:ascii="Times New Roman" w:hAnsi="Times New Roman" w:cs="Times New Roman"/>
          <w:sz w:val="24"/>
          <w:szCs w:val="24"/>
        </w:rPr>
      </w:pPr>
      <w:r w:rsidRPr="001222AF">
        <w:rPr>
          <w:rFonts w:ascii="Times New Roman" w:hAnsi="Times New Roman" w:cs="Times New Roman"/>
          <w:sz w:val="24"/>
          <w:szCs w:val="24"/>
        </w:rPr>
        <w:t xml:space="preserve">Additionally, the findings extend Institutional Theory by demonstrating that institutional effectiveness alone does not guarantee sustainable tourism competitiveness (Scott, 2008). </w:t>
      </w:r>
      <w:r w:rsidR="001D3265">
        <w:rPr>
          <w:rFonts w:ascii="Times New Roman" w:hAnsi="Times New Roman" w:cs="Times New Roman"/>
          <w:sz w:val="24"/>
          <w:szCs w:val="24"/>
          <w:lang w:val="en-US"/>
        </w:rPr>
        <w:t xml:space="preserve">Inextricably linked, institutional governance </w:t>
      </w:r>
      <w:r w:rsidR="001D3265">
        <w:rPr>
          <w:rFonts w:ascii="Times New Roman" w:hAnsi="Times New Roman" w:cs="Times New Roman"/>
          <w:sz w:val="24"/>
          <w:szCs w:val="24"/>
          <w:lang w:val="en-US"/>
        </w:rPr>
        <w:lastRenderedPageBreak/>
        <w:t>structures are</w:t>
      </w:r>
      <w:r w:rsidRPr="001222AF">
        <w:rPr>
          <w:rFonts w:ascii="Times New Roman" w:hAnsi="Times New Roman" w:cs="Times New Roman"/>
          <w:sz w:val="24"/>
          <w:szCs w:val="24"/>
        </w:rPr>
        <w:t xml:space="preserve"> effective when they facilitate cooperation, shared responsibility, and collective action among tourism stakeholders. This represents a significant theoretical refinement by highlighting the interactive relationship between institutional governance and collaborative stakeholder systems in circular economy transitions. Th</w:t>
      </w:r>
      <w:r w:rsidR="001D3265">
        <w:rPr>
          <w:rFonts w:ascii="Times New Roman" w:hAnsi="Times New Roman" w:cs="Times New Roman"/>
          <w:sz w:val="24"/>
          <w:szCs w:val="24"/>
          <w:lang w:val="en-US"/>
        </w:rPr>
        <w:t>is</w:t>
      </w:r>
      <w:r w:rsidRPr="001222AF">
        <w:rPr>
          <w:rFonts w:ascii="Times New Roman" w:hAnsi="Times New Roman" w:cs="Times New Roman"/>
          <w:sz w:val="24"/>
          <w:szCs w:val="24"/>
        </w:rPr>
        <w:t xml:space="preserve"> study provide</w:t>
      </w:r>
      <w:r w:rsidR="001D3265">
        <w:rPr>
          <w:rFonts w:ascii="Times New Roman" w:hAnsi="Times New Roman" w:cs="Times New Roman"/>
          <w:sz w:val="24"/>
          <w:szCs w:val="24"/>
          <w:lang w:val="en-US"/>
        </w:rPr>
        <w:t>d</w:t>
      </w:r>
      <w:r w:rsidRPr="001222AF">
        <w:rPr>
          <w:rFonts w:ascii="Times New Roman" w:hAnsi="Times New Roman" w:cs="Times New Roman"/>
          <w:sz w:val="24"/>
          <w:szCs w:val="24"/>
        </w:rPr>
        <w:t xml:space="preserve"> substantial empirical evidence that policy and governance dimensions of the circular economy significantly influence sustainable destination competitiveness within Kenya’s Coastal Tourism Circuit, both directly and indirectly through stakeholder collaboration. Overall, the results demonstrate</w:t>
      </w:r>
      <w:r w:rsidR="001D3265">
        <w:rPr>
          <w:rFonts w:ascii="Times New Roman" w:hAnsi="Times New Roman" w:cs="Times New Roman"/>
          <w:sz w:val="24"/>
          <w:szCs w:val="24"/>
          <w:lang w:val="en-US"/>
        </w:rPr>
        <w:t>d</w:t>
      </w:r>
      <w:r w:rsidRPr="001222AF">
        <w:rPr>
          <w:rFonts w:ascii="Times New Roman" w:hAnsi="Times New Roman" w:cs="Times New Roman"/>
          <w:sz w:val="24"/>
          <w:szCs w:val="24"/>
        </w:rPr>
        <w:t xml:space="preserve"> that circular economy governance is emerging as a strategic pathway for tourism destinations to pursue environmental sustainability, economic resilience, destination attractiveness, and long-term competitiveness simultaneously. These findings contribute to the international discourse on sustainable tourism transitions by empirically linking circular economy governance, collaborative stakeholder systems, and destination competitiveness in the context of a developing coastal tourism destination.</w:t>
      </w:r>
    </w:p>
    <w:p w:rsidR="001222AF" w:rsidRPr="001222AF" w:rsidRDefault="001222AF" w:rsidP="001222AF">
      <w:pPr>
        <w:pStyle w:val="NoSpacing"/>
        <w:jc w:val="both"/>
        <w:rPr>
          <w:rFonts w:ascii="Times New Roman" w:hAnsi="Times New Roman" w:cs="Times New Roman"/>
          <w:sz w:val="24"/>
          <w:szCs w:val="24"/>
        </w:rPr>
      </w:pPr>
    </w:p>
    <w:p w:rsidR="0031126C" w:rsidRPr="001222AF" w:rsidRDefault="001222AF" w:rsidP="001222AF">
      <w:pPr>
        <w:pStyle w:val="NoSpacing"/>
        <w:jc w:val="both"/>
        <w:rPr>
          <w:rFonts w:ascii="Times New Roman" w:hAnsi="Times New Roman" w:cs="Times New Roman"/>
          <w:sz w:val="24"/>
          <w:szCs w:val="24"/>
        </w:rPr>
      </w:pPr>
      <w:r w:rsidRPr="001222AF">
        <w:rPr>
          <w:rFonts w:ascii="Times New Roman" w:hAnsi="Times New Roman" w:cs="Times New Roman"/>
          <w:sz w:val="24"/>
          <w:szCs w:val="24"/>
        </w:rPr>
        <w:t>The study yield</w:t>
      </w:r>
      <w:r w:rsidR="009D1E69">
        <w:rPr>
          <w:rFonts w:ascii="Times New Roman" w:hAnsi="Times New Roman" w:cs="Times New Roman"/>
          <w:sz w:val="24"/>
          <w:szCs w:val="24"/>
          <w:lang w:val="en-US"/>
        </w:rPr>
        <w:t>ed</w:t>
      </w:r>
      <w:r w:rsidRPr="001222AF">
        <w:rPr>
          <w:rFonts w:ascii="Times New Roman" w:hAnsi="Times New Roman" w:cs="Times New Roman"/>
          <w:sz w:val="24"/>
          <w:szCs w:val="24"/>
        </w:rPr>
        <w:t xml:space="preserve"> several important implications for policy and practice. First, national and county governments should strengthen institutional enforcement mechanisms for environmental sustainability in tourism destinations by improving monitoring systems, regulatory coordination, and compliance frameworks. Second, tourism policy frameworks should include stronger financial and technical incentives to encourage tourism enterprises to adopt circular economy innovations, such as green certification programs, tax incentives, sustainability grants, and technical capacity-building initiatives. Third, tourism governance systems should prioritize localized</w:t>
      </w:r>
      <w:r w:rsidR="001D3265">
        <w:rPr>
          <w:rFonts w:ascii="Times New Roman" w:hAnsi="Times New Roman" w:cs="Times New Roman"/>
          <w:sz w:val="24"/>
          <w:szCs w:val="24"/>
        </w:rPr>
        <w:t>, community-centered collaboration by actively integrating local communities, small tourism enterprises, environmental groups, and informal</w:t>
      </w:r>
      <w:r w:rsidR="001D3265">
        <w:rPr>
          <w:rFonts w:ascii="Times New Roman" w:hAnsi="Times New Roman" w:cs="Times New Roman"/>
          <w:sz w:val="24"/>
          <w:szCs w:val="24"/>
          <w:lang w:val="en-US"/>
        </w:rPr>
        <w:t xml:space="preserve"> </w:t>
      </w:r>
      <w:r w:rsidR="001D3265">
        <w:rPr>
          <w:rFonts w:ascii="Times New Roman" w:hAnsi="Times New Roman" w:cs="Times New Roman"/>
          <w:sz w:val="24"/>
          <w:szCs w:val="24"/>
        </w:rPr>
        <w:t>sector</w:t>
      </w:r>
      <w:r w:rsidRPr="001222AF">
        <w:rPr>
          <w:rFonts w:ascii="Times New Roman" w:hAnsi="Times New Roman" w:cs="Times New Roman"/>
          <w:sz w:val="24"/>
          <w:szCs w:val="24"/>
        </w:rPr>
        <w:t xml:space="preserve"> actors into sustainability initiatives and destination governance processes. Fourth, </w:t>
      </w:r>
      <w:r w:rsidR="001D3265">
        <w:rPr>
          <w:rFonts w:ascii="Times New Roman" w:hAnsi="Times New Roman" w:cs="Times New Roman"/>
          <w:sz w:val="24"/>
          <w:szCs w:val="24"/>
        </w:rPr>
        <w:t>the</w:t>
      </w:r>
      <w:r w:rsidRPr="001222AF">
        <w:rPr>
          <w:rFonts w:ascii="Times New Roman" w:hAnsi="Times New Roman" w:cs="Times New Roman"/>
          <w:sz w:val="24"/>
          <w:szCs w:val="24"/>
        </w:rPr>
        <w:t xml:space="preserve"> findings indicate</w:t>
      </w:r>
      <w:r w:rsidR="001D3265">
        <w:rPr>
          <w:rFonts w:ascii="Times New Roman" w:hAnsi="Times New Roman" w:cs="Times New Roman"/>
          <w:sz w:val="24"/>
          <w:szCs w:val="24"/>
          <w:lang w:val="en-US"/>
        </w:rPr>
        <w:t>d</w:t>
      </w:r>
      <w:r w:rsidRPr="001222AF">
        <w:rPr>
          <w:rFonts w:ascii="Times New Roman" w:hAnsi="Times New Roman" w:cs="Times New Roman"/>
          <w:sz w:val="24"/>
          <w:szCs w:val="24"/>
        </w:rPr>
        <w:t xml:space="preserve"> that sustainability practices are increasingly associated with improved reputation, competitiveness, and tourist attraction, suggesting that </w:t>
      </w:r>
      <w:r w:rsidR="001D3265">
        <w:rPr>
          <w:rFonts w:ascii="Times New Roman" w:hAnsi="Times New Roman" w:cs="Times New Roman"/>
          <w:sz w:val="24"/>
          <w:szCs w:val="24"/>
        </w:rPr>
        <w:t>implementing the circular economy can serve as a strategic market-positioning</w:t>
      </w:r>
      <w:r w:rsidRPr="001222AF">
        <w:rPr>
          <w:rFonts w:ascii="Times New Roman" w:hAnsi="Times New Roman" w:cs="Times New Roman"/>
          <w:sz w:val="24"/>
          <w:szCs w:val="24"/>
        </w:rPr>
        <w:t xml:space="preserve"> tool in global tourism markets.</w:t>
      </w:r>
      <w:r w:rsidR="001D3265">
        <w:rPr>
          <w:rFonts w:ascii="Times New Roman" w:hAnsi="Times New Roman" w:cs="Times New Roman"/>
          <w:sz w:val="24"/>
          <w:szCs w:val="24"/>
          <w:lang w:val="en-US"/>
        </w:rPr>
        <w:t xml:space="preserve"> Therefore, </w:t>
      </w:r>
      <w:r w:rsidR="001D3265" w:rsidRPr="001222AF">
        <w:rPr>
          <w:rFonts w:ascii="Times New Roman" w:hAnsi="Times New Roman" w:cs="Times New Roman"/>
          <w:sz w:val="24"/>
          <w:szCs w:val="24"/>
        </w:rPr>
        <w:t xml:space="preserve">tourism enterprises should integrate circular economy principles into long-term strategic planning and destination branding initiatives. </w:t>
      </w:r>
      <w:r w:rsidRPr="001222AF">
        <w:rPr>
          <w:rFonts w:ascii="Times New Roman" w:hAnsi="Times New Roman" w:cs="Times New Roman"/>
          <w:sz w:val="24"/>
          <w:szCs w:val="24"/>
        </w:rPr>
        <w:t xml:space="preserve"> Finally, policymakers should recognize stakeholder collaboration as a central governance mechanism in sustainable tourism transitions, rather than merely a supportive administrative process. </w:t>
      </w:r>
      <w:r w:rsidR="008E4152">
        <w:rPr>
          <w:rFonts w:ascii="Times New Roman" w:hAnsi="Times New Roman" w:cs="Times New Roman"/>
          <w:sz w:val="24"/>
          <w:szCs w:val="24"/>
          <w:lang w:val="en-US"/>
        </w:rPr>
        <w:t xml:space="preserve">As such, </w:t>
      </w:r>
      <w:r w:rsidR="008E4152" w:rsidRPr="001222AF">
        <w:rPr>
          <w:rFonts w:ascii="Times New Roman" w:hAnsi="Times New Roman" w:cs="Times New Roman"/>
          <w:sz w:val="24"/>
          <w:szCs w:val="24"/>
        </w:rPr>
        <w:t>strengthening</w:t>
      </w:r>
      <w:r w:rsidRPr="001222AF">
        <w:rPr>
          <w:rFonts w:ascii="Times New Roman" w:hAnsi="Times New Roman" w:cs="Times New Roman"/>
          <w:sz w:val="24"/>
          <w:szCs w:val="24"/>
        </w:rPr>
        <w:t xml:space="preserve"> collaborative governance structures is essential for enhancing resilience, sustainability, and long-term competitiveness within Kenya’s Coastal Tourism Circuit and other emerging tourism destinations across Africa.</w:t>
      </w:r>
    </w:p>
    <w:p w:rsidR="0031126C" w:rsidRDefault="0031126C" w:rsidP="001222AF">
      <w:pPr>
        <w:pStyle w:val="NoSpacing"/>
        <w:jc w:val="both"/>
        <w:rPr>
          <w:rFonts w:ascii="Times New Roman" w:hAnsi="Times New Roman" w:cs="Times New Roman"/>
          <w:sz w:val="24"/>
          <w:szCs w:val="24"/>
        </w:rPr>
      </w:pPr>
    </w:p>
    <w:p w:rsidR="000D0CC8" w:rsidRPr="000D0CC8" w:rsidRDefault="000D0CC8" w:rsidP="001222AF">
      <w:pPr>
        <w:pStyle w:val="NoSpacing"/>
        <w:jc w:val="both"/>
        <w:rPr>
          <w:rFonts w:ascii="Times New Roman" w:hAnsi="Times New Roman" w:cs="Times New Roman"/>
          <w:b/>
          <w:sz w:val="24"/>
          <w:szCs w:val="24"/>
          <w:lang w:val="en-US"/>
        </w:rPr>
      </w:pPr>
      <w:r w:rsidRPr="000D0CC8">
        <w:rPr>
          <w:rFonts w:ascii="Times New Roman" w:hAnsi="Times New Roman" w:cs="Times New Roman"/>
          <w:b/>
          <w:sz w:val="24"/>
          <w:szCs w:val="24"/>
          <w:lang w:val="en-US"/>
        </w:rPr>
        <w:t xml:space="preserve">CONCLUSION </w:t>
      </w:r>
    </w:p>
    <w:p w:rsidR="000D0CC8" w:rsidRDefault="000D0CC8" w:rsidP="001222AF">
      <w:pPr>
        <w:pStyle w:val="NoSpacing"/>
        <w:jc w:val="both"/>
        <w:rPr>
          <w:rFonts w:ascii="Times New Roman" w:hAnsi="Times New Roman" w:cs="Times New Roman"/>
          <w:sz w:val="24"/>
          <w:szCs w:val="24"/>
          <w:lang w:val="en-US"/>
        </w:rPr>
      </w:pPr>
    </w:p>
    <w:p w:rsidR="00783D1B" w:rsidRPr="00783D1B" w:rsidRDefault="00783D1B" w:rsidP="00783D1B">
      <w:pPr>
        <w:pStyle w:val="NoSpacing"/>
        <w:jc w:val="both"/>
        <w:rPr>
          <w:rFonts w:ascii="Times New Roman" w:hAnsi="Times New Roman" w:cs="Times New Roman"/>
          <w:sz w:val="24"/>
          <w:szCs w:val="24"/>
          <w:lang w:val="en-US"/>
        </w:rPr>
      </w:pPr>
      <w:r w:rsidRPr="00783D1B">
        <w:rPr>
          <w:rFonts w:ascii="Times New Roman" w:hAnsi="Times New Roman" w:cs="Times New Roman"/>
          <w:sz w:val="24"/>
          <w:szCs w:val="24"/>
          <w:lang w:val="en-US"/>
        </w:rPr>
        <w:t xml:space="preserve">This study investigated the impact of policy and governance aspects of the circular economy on sustainable destination competitiveness in Kenya’s Coastal Tourism Circuit, </w:t>
      </w:r>
      <w:r>
        <w:rPr>
          <w:rFonts w:ascii="Times New Roman" w:hAnsi="Times New Roman" w:cs="Times New Roman"/>
          <w:sz w:val="24"/>
          <w:szCs w:val="24"/>
          <w:lang w:val="en-US"/>
        </w:rPr>
        <w:t>focusing</w:t>
      </w:r>
      <w:r w:rsidRPr="00783D1B">
        <w:rPr>
          <w:rFonts w:ascii="Times New Roman" w:hAnsi="Times New Roman" w:cs="Times New Roman"/>
          <w:sz w:val="24"/>
          <w:szCs w:val="24"/>
          <w:lang w:val="en-US"/>
        </w:rPr>
        <w:t xml:space="preserve"> on the mediating role of stakeholder collaboration. The results indicate</w:t>
      </w:r>
      <w:r w:rsidR="00A2760C">
        <w:rPr>
          <w:rFonts w:ascii="Times New Roman" w:hAnsi="Times New Roman" w:cs="Times New Roman"/>
          <w:sz w:val="24"/>
          <w:szCs w:val="24"/>
          <w:lang w:val="en-US"/>
        </w:rPr>
        <w:t>d</w:t>
      </w:r>
      <w:r w:rsidRPr="00783D1B">
        <w:rPr>
          <w:rFonts w:ascii="Times New Roman" w:hAnsi="Times New Roman" w:cs="Times New Roman"/>
          <w:sz w:val="24"/>
          <w:szCs w:val="24"/>
          <w:lang w:val="en-US"/>
        </w:rPr>
        <w:t xml:space="preserve"> that circular economy governance practices, particularly those involving waste management regulations, recycling initiatives, environmental sustainability policies, and the reduction of single-use plastics, </w:t>
      </w:r>
      <w:r w:rsidR="00A2760C">
        <w:rPr>
          <w:rFonts w:ascii="Times New Roman" w:hAnsi="Times New Roman" w:cs="Times New Roman"/>
          <w:sz w:val="24"/>
          <w:szCs w:val="24"/>
          <w:lang w:val="en-US"/>
        </w:rPr>
        <w:t>were</w:t>
      </w:r>
      <w:r w:rsidRPr="00783D1B">
        <w:rPr>
          <w:rFonts w:ascii="Times New Roman" w:hAnsi="Times New Roman" w:cs="Times New Roman"/>
          <w:sz w:val="24"/>
          <w:szCs w:val="24"/>
          <w:lang w:val="en-US"/>
        </w:rPr>
        <w:t xml:space="preserve"> integrated into </w:t>
      </w:r>
      <w:r w:rsidR="00A2760C">
        <w:rPr>
          <w:rFonts w:ascii="Times New Roman" w:hAnsi="Times New Roman" w:cs="Times New Roman"/>
          <w:sz w:val="24"/>
          <w:szCs w:val="24"/>
          <w:lang w:val="en-US"/>
        </w:rPr>
        <w:t>the operations of registered accommodation facilities</w:t>
      </w:r>
      <w:r w:rsidRPr="00783D1B">
        <w:rPr>
          <w:rFonts w:ascii="Times New Roman" w:hAnsi="Times New Roman" w:cs="Times New Roman"/>
          <w:sz w:val="24"/>
          <w:szCs w:val="24"/>
          <w:lang w:val="en-US"/>
        </w:rPr>
        <w:t xml:space="preserve"> in the region. These practices were found to enhance sustainable destination competitiveness by improving enterprise reputation, aligning with global green tourism trends</w:t>
      </w:r>
      <w:r w:rsidR="00A2760C">
        <w:rPr>
          <w:rFonts w:ascii="Times New Roman" w:hAnsi="Times New Roman" w:cs="Times New Roman"/>
          <w:sz w:val="24"/>
          <w:szCs w:val="24"/>
          <w:lang w:val="en-US"/>
        </w:rPr>
        <w:t xml:space="preserve">, thereby </w:t>
      </w:r>
      <w:r w:rsidRPr="00783D1B">
        <w:rPr>
          <w:rFonts w:ascii="Times New Roman" w:hAnsi="Times New Roman" w:cs="Times New Roman"/>
          <w:sz w:val="24"/>
          <w:szCs w:val="24"/>
          <w:lang w:val="en-US"/>
        </w:rPr>
        <w:t>generating long-term operational benefits, and supporting community well-being. Nevertheless, the research identified significant governance and implementation gaps, including challenges in environmental policy enforcement, institutional support systems, government incentives, and localized collaborative engagement. Although t</w:t>
      </w:r>
      <w:r w:rsidR="00A2760C">
        <w:rPr>
          <w:rFonts w:ascii="Times New Roman" w:hAnsi="Times New Roman" w:cs="Times New Roman"/>
          <w:sz w:val="24"/>
          <w:szCs w:val="24"/>
          <w:lang w:val="en-US"/>
        </w:rPr>
        <w:t>he accommodation facilities</w:t>
      </w:r>
      <w:r w:rsidRPr="00783D1B">
        <w:rPr>
          <w:rFonts w:ascii="Times New Roman" w:hAnsi="Times New Roman" w:cs="Times New Roman"/>
          <w:sz w:val="24"/>
          <w:szCs w:val="24"/>
          <w:lang w:val="en-US"/>
        </w:rPr>
        <w:t xml:space="preserve"> exhibited high compliance with sustainability-oriented practices, institutional mechanisms for implementing circular economy principles were perceived as weak and inconsistently enforced. Furthermore, localized and community-centered collaboration initiatives were found to be underdeveloped, despite strong institutional and inter-organizational </w:t>
      </w:r>
      <w:r w:rsidR="00A2760C">
        <w:rPr>
          <w:rFonts w:ascii="Times New Roman" w:hAnsi="Times New Roman" w:cs="Times New Roman"/>
          <w:sz w:val="24"/>
          <w:szCs w:val="24"/>
          <w:lang w:val="en-US"/>
        </w:rPr>
        <w:t>cooperation among stakeholders in</w:t>
      </w:r>
      <w:r w:rsidRPr="00783D1B">
        <w:rPr>
          <w:rFonts w:ascii="Times New Roman" w:hAnsi="Times New Roman" w:cs="Times New Roman"/>
          <w:sz w:val="24"/>
          <w:szCs w:val="24"/>
          <w:lang w:val="en-US"/>
        </w:rPr>
        <w:t xml:space="preserve"> the tourism sector. Overall, the findings suggest</w:t>
      </w:r>
      <w:r w:rsidR="003150C7">
        <w:rPr>
          <w:rFonts w:ascii="Times New Roman" w:hAnsi="Times New Roman" w:cs="Times New Roman"/>
          <w:sz w:val="24"/>
          <w:szCs w:val="24"/>
          <w:lang w:val="en-US"/>
        </w:rPr>
        <w:t>ed</w:t>
      </w:r>
      <w:r w:rsidRPr="00783D1B">
        <w:rPr>
          <w:rFonts w:ascii="Times New Roman" w:hAnsi="Times New Roman" w:cs="Times New Roman"/>
          <w:sz w:val="24"/>
          <w:szCs w:val="24"/>
          <w:lang w:val="en-US"/>
        </w:rPr>
        <w:t xml:space="preserve"> that successful circular economy transitions in tourism destinations require robust policy frameworks, coordinated governance systems, institutional capacity, and inclusive stakeholder participation mechanisms.</w:t>
      </w:r>
    </w:p>
    <w:p w:rsidR="00783D1B" w:rsidRPr="00783D1B" w:rsidRDefault="00783D1B" w:rsidP="00783D1B">
      <w:pPr>
        <w:pStyle w:val="NoSpacing"/>
        <w:jc w:val="both"/>
        <w:rPr>
          <w:rFonts w:ascii="Times New Roman" w:hAnsi="Times New Roman" w:cs="Times New Roman"/>
          <w:sz w:val="24"/>
          <w:szCs w:val="24"/>
          <w:lang w:val="en-US"/>
        </w:rPr>
      </w:pPr>
    </w:p>
    <w:p w:rsidR="00783D1B" w:rsidRPr="00783D1B" w:rsidRDefault="00783D1B" w:rsidP="00783D1B">
      <w:pPr>
        <w:pStyle w:val="NoSpacing"/>
        <w:jc w:val="both"/>
        <w:rPr>
          <w:rFonts w:ascii="Times New Roman" w:hAnsi="Times New Roman" w:cs="Times New Roman"/>
          <w:sz w:val="24"/>
          <w:szCs w:val="24"/>
          <w:lang w:val="en-US"/>
        </w:rPr>
      </w:pPr>
      <w:r w:rsidRPr="00783D1B">
        <w:rPr>
          <w:rFonts w:ascii="Times New Roman" w:hAnsi="Times New Roman" w:cs="Times New Roman"/>
          <w:sz w:val="24"/>
          <w:szCs w:val="24"/>
          <w:lang w:val="en-US"/>
        </w:rPr>
        <w:t>The study found that stakeholder collaboration fully mediates the relationship between the policy and governance dimensions of the circular economy and sustainable destination competitiveness. Th</w:t>
      </w:r>
      <w:r w:rsidR="003150C7">
        <w:rPr>
          <w:rFonts w:ascii="Times New Roman" w:hAnsi="Times New Roman" w:cs="Times New Roman"/>
          <w:sz w:val="24"/>
          <w:szCs w:val="24"/>
          <w:lang w:val="en-US"/>
        </w:rPr>
        <w:t>e</w:t>
      </w:r>
      <w:r w:rsidRPr="00783D1B">
        <w:rPr>
          <w:rFonts w:ascii="Times New Roman" w:hAnsi="Times New Roman" w:cs="Times New Roman"/>
          <w:sz w:val="24"/>
          <w:szCs w:val="24"/>
          <w:lang w:val="en-US"/>
        </w:rPr>
        <w:t xml:space="preserve"> result</w:t>
      </w:r>
      <w:r w:rsidR="003150C7">
        <w:rPr>
          <w:rFonts w:ascii="Times New Roman" w:hAnsi="Times New Roman" w:cs="Times New Roman"/>
          <w:sz w:val="24"/>
          <w:szCs w:val="24"/>
          <w:lang w:val="en-US"/>
        </w:rPr>
        <w:t>s</w:t>
      </w:r>
      <w:r w:rsidRPr="00783D1B">
        <w:rPr>
          <w:rFonts w:ascii="Times New Roman" w:hAnsi="Times New Roman" w:cs="Times New Roman"/>
          <w:sz w:val="24"/>
          <w:szCs w:val="24"/>
          <w:lang w:val="en-US"/>
        </w:rPr>
        <w:t xml:space="preserve"> indicate</w:t>
      </w:r>
      <w:r w:rsidR="003150C7">
        <w:rPr>
          <w:rFonts w:ascii="Times New Roman" w:hAnsi="Times New Roman" w:cs="Times New Roman"/>
          <w:sz w:val="24"/>
          <w:szCs w:val="24"/>
          <w:lang w:val="en-US"/>
        </w:rPr>
        <w:t>d</w:t>
      </w:r>
      <w:r w:rsidRPr="00783D1B">
        <w:rPr>
          <w:rFonts w:ascii="Times New Roman" w:hAnsi="Times New Roman" w:cs="Times New Roman"/>
          <w:sz w:val="24"/>
          <w:szCs w:val="24"/>
          <w:lang w:val="en-US"/>
        </w:rPr>
        <w:t xml:space="preserve"> that policy and governance frameworks alone are insufficient to achieve sustainable competitiveness without effective collaboration among tourism enterprises, governments, communities, and other stakeholders. The research contribute</w:t>
      </w:r>
      <w:r w:rsidR="003150C7">
        <w:rPr>
          <w:rFonts w:ascii="Times New Roman" w:hAnsi="Times New Roman" w:cs="Times New Roman"/>
          <w:sz w:val="24"/>
          <w:szCs w:val="24"/>
          <w:lang w:val="en-US"/>
        </w:rPr>
        <w:t>d</w:t>
      </w:r>
      <w:r w:rsidRPr="00783D1B">
        <w:rPr>
          <w:rFonts w:ascii="Times New Roman" w:hAnsi="Times New Roman" w:cs="Times New Roman"/>
          <w:sz w:val="24"/>
          <w:szCs w:val="24"/>
          <w:lang w:val="en-US"/>
        </w:rPr>
        <w:t xml:space="preserve"> to the literature on sustainable tourism and the circular economy by providing empirical evidence that collaborative governance mechanisms are a critical pathway through which circular economy policies affect </w:t>
      </w:r>
      <w:r w:rsidRPr="00783D1B">
        <w:rPr>
          <w:rFonts w:ascii="Times New Roman" w:hAnsi="Times New Roman" w:cs="Times New Roman"/>
          <w:sz w:val="24"/>
          <w:szCs w:val="24"/>
          <w:lang w:val="en-US"/>
        </w:rPr>
        <w:lastRenderedPageBreak/>
        <w:t>destination sustainability and competitiveness in developing coastal tourism destinations. The study also support</w:t>
      </w:r>
      <w:r w:rsidR="003150C7">
        <w:rPr>
          <w:rFonts w:ascii="Times New Roman" w:hAnsi="Times New Roman" w:cs="Times New Roman"/>
          <w:sz w:val="24"/>
          <w:szCs w:val="24"/>
          <w:lang w:val="en-US"/>
        </w:rPr>
        <w:t>ed</w:t>
      </w:r>
      <w:r w:rsidRPr="00783D1B">
        <w:rPr>
          <w:rFonts w:ascii="Times New Roman" w:hAnsi="Times New Roman" w:cs="Times New Roman"/>
          <w:sz w:val="24"/>
          <w:szCs w:val="24"/>
          <w:lang w:val="en-US"/>
        </w:rPr>
        <w:t xml:space="preserve"> Ecological Modernization Theory, Stakeholder Theory, and Institutional Theory, demonstrating that environmental sustainability, institutional governance, and stakeholder collaboration are mutually reinforcing elements of sustainable tourism competitiveness. From a practical perspective, the findings highlight</w:t>
      </w:r>
      <w:r w:rsidR="003150C7">
        <w:rPr>
          <w:rFonts w:ascii="Times New Roman" w:hAnsi="Times New Roman" w:cs="Times New Roman"/>
          <w:sz w:val="24"/>
          <w:szCs w:val="24"/>
          <w:lang w:val="en-US"/>
        </w:rPr>
        <w:t>ed</w:t>
      </w:r>
      <w:r w:rsidRPr="00783D1B">
        <w:rPr>
          <w:rFonts w:ascii="Times New Roman" w:hAnsi="Times New Roman" w:cs="Times New Roman"/>
          <w:sz w:val="24"/>
          <w:szCs w:val="24"/>
          <w:lang w:val="en-US"/>
        </w:rPr>
        <w:t xml:space="preserve"> the need for stronger policy enforcement, improved institutional coordination, enhanced sustainability incentives, and greater integration of local communities into </w:t>
      </w:r>
      <w:r w:rsidR="00A2760C">
        <w:rPr>
          <w:rFonts w:ascii="Times New Roman" w:hAnsi="Times New Roman" w:cs="Times New Roman"/>
          <w:sz w:val="24"/>
          <w:szCs w:val="24"/>
          <w:lang w:val="en-US"/>
        </w:rPr>
        <w:t xml:space="preserve">the implementation of the circular economy </w:t>
      </w:r>
      <w:r w:rsidRPr="00783D1B">
        <w:rPr>
          <w:rFonts w:ascii="Times New Roman" w:hAnsi="Times New Roman" w:cs="Times New Roman"/>
          <w:sz w:val="24"/>
          <w:szCs w:val="24"/>
          <w:lang w:val="en-US"/>
        </w:rPr>
        <w:t xml:space="preserve">within Kenya’s Coastal Tourism Circuit. In conclusion, strengthening </w:t>
      </w:r>
      <w:r w:rsidR="00A2760C">
        <w:rPr>
          <w:rFonts w:ascii="Times New Roman" w:hAnsi="Times New Roman" w:cs="Times New Roman"/>
          <w:sz w:val="24"/>
          <w:szCs w:val="24"/>
          <w:lang w:val="en-US"/>
        </w:rPr>
        <w:t>circular-economy governance and collaborative stakeholder systems is essential to</w:t>
      </w:r>
      <w:r w:rsidRPr="00783D1B">
        <w:rPr>
          <w:rFonts w:ascii="Times New Roman" w:hAnsi="Times New Roman" w:cs="Times New Roman"/>
          <w:sz w:val="24"/>
          <w:szCs w:val="24"/>
          <w:lang w:val="en-US"/>
        </w:rPr>
        <w:t xml:space="preserve"> advancing environmental sustainability, destination resilience, and long-term tourism competitiveness in Kenya and other emerging tourism destinations.</w:t>
      </w:r>
    </w:p>
    <w:p w:rsidR="00783D1B" w:rsidRPr="00783D1B" w:rsidRDefault="00783D1B" w:rsidP="00783D1B">
      <w:pPr>
        <w:pStyle w:val="NoSpacing"/>
        <w:jc w:val="both"/>
        <w:rPr>
          <w:rFonts w:ascii="Times New Roman" w:hAnsi="Times New Roman" w:cs="Times New Roman"/>
          <w:sz w:val="24"/>
          <w:szCs w:val="24"/>
          <w:lang w:val="en-US"/>
        </w:rPr>
      </w:pPr>
    </w:p>
    <w:p w:rsidR="00783D1B" w:rsidRPr="00783D1B" w:rsidRDefault="00783D1B" w:rsidP="00783D1B">
      <w:pPr>
        <w:pStyle w:val="NoSpacing"/>
        <w:jc w:val="both"/>
        <w:rPr>
          <w:rFonts w:ascii="Times New Roman" w:hAnsi="Times New Roman" w:cs="Times New Roman"/>
          <w:sz w:val="24"/>
          <w:szCs w:val="24"/>
          <w:lang w:val="en-US"/>
        </w:rPr>
      </w:pPr>
      <w:r w:rsidRPr="00783D1B">
        <w:rPr>
          <w:rFonts w:ascii="Times New Roman" w:hAnsi="Times New Roman" w:cs="Times New Roman"/>
          <w:sz w:val="24"/>
          <w:szCs w:val="24"/>
          <w:lang w:val="en-US"/>
        </w:rPr>
        <w:t xml:space="preserve">  </w:t>
      </w:r>
    </w:p>
    <w:p w:rsidR="000D0CC8" w:rsidRPr="00664194" w:rsidRDefault="000D0CC8" w:rsidP="00783D1B">
      <w:pPr>
        <w:pStyle w:val="NoSpacing"/>
        <w:jc w:val="both"/>
        <w:rPr>
          <w:rFonts w:ascii="Times New Roman" w:hAnsi="Times New Roman" w:cs="Times New Roman"/>
          <w:sz w:val="24"/>
          <w:szCs w:val="24"/>
          <w:lang w:val="en-US"/>
        </w:rPr>
      </w:pPr>
      <w:r w:rsidRPr="00783D1B">
        <w:rPr>
          <w:rFonts w:ascii="Times New Roman" w:hAnsi="Times New Roman" w:cs="Times New Roman"/>
          <w:b/>
          <w:sz w:val="24"/>
          <w:szCs w:val="24"/>
          <w:lang w:val="en-US"/>
        </w:rPr>
        <w:t>LIMITATION</w:t>
      </w:r>
    </w:p>
    <w:p w:rsidR="00664194" w:rsidRPr="00664194" w:rsidRDefault="00664194" w:rsidP="00664194">
      <w:pPr>
        <w:pStyle w:val="NoSpacing"/>
        <w:jc w:val="both"/>
        <w:rPr>
          <w:rFonts w:ascii="Times New Roman" w:hAnsi="Times New Roman" w:cs="Times New Roman"/>
          <w:sz w:val="24"/>
          <w:szCs w:val="24"/>
        </w:rPr>
      </w:pPr>
      <w:r w:rsidRPr="00664194">
        <w:rPr>
          <w:rFonts w:ascii="Times New Roman" w:hAnsi="Times New Roman" w:cs="Times New Roman"/>
          <w:sz w:val="24"/>
          <w:szCs w:val="24"/>
        </w:rPr>
        <w:t>While this study advance</w:t>
      </w:r>
      <w:r>
        <w:rPr>
          <w:rFonts w:ascii="Times New Roman" w:hAnsi="Times New Roman" w:cs="Times New Roman"/>
          <w:sz w:val="24"/>
          <w:szCs w:val="24"/>
          <w:lang w:val="en-US"/>
        </w:rPr>
        <w:t>d</w:t>
      </w:r>
      <w:r w:rsidRPr="00664194">
        <w:rPr>
          <w:rFonts w:ascii="Times New Roman" w:hAnsi="Times New Roman" w:cs="Times New Roman"/>
          <w:sz w:val="24"/>
          <w:szCs w:val="24"/>
        </w:rPr>
        <w:t xml:space="preserve"> </w:t>
      </w:r>
      <w:r w:rsidR="006B5D0F">
        <w:rPr>
          <w:rFonts w:ascii="Times New Roman" w:hAnsi="Times New Roman" w:cs="Times New Roman"/>
          <w:sz w:val="24"/>
          <w:szCs w:val="24"/>
        </w:rPr>
        <w:t xml:space="preserve">the understanding of circular economy governance and sustainable destination competitiveness in Kenya’s Coastal Tourism Circuit, the following five limitations should be taken into </w:t>
      </w:r>
      <w:bookmarkStart w:id="5" w:name="_GoBack"/>
      <w:bookmarkEnd w:id="5"/>
      <w:r w:rsidR="006B5D0F">
        <w:rPr>
          <w:rFonts w:ascii="Times New Roman" w:hAnsi="Times New Roman" w:cs="Times New Roman"/>
          <w:sz w:val="24"/>
          <w:szCs w:val="24"/>
        </w:rPr>
        <w:t>account when</w:t>
      </w:r>
      <w:r w:rsidR="003E7559" w:rsidRPr="003E7559">
        <w:rPr>
          <w:rFonts w:ascii="Times New Roman" w:hAnsi="Times New Roman" w:cs="Times New Roman"/>
          <w:sz w:val="24"/>
          <w:szCs w:val="24"/>
          <w:lang w:val="en-US"/>
        </w:rPr>
        <w:t xml:space="preserve"> applying the findings</w:t>
      </w:r>
      <w:r w:rsidRPr="003E7559">
        <w:rPr>
          <w:rFonts w:ascii="Times New Roman" w:hAnsi="Times New Roman" w:cs="Times New Roman"/>
          <w:sz w:val="24"/>
          <w:szCs w:val="24"/>
        </w:rPr>
        <w:t>.</w:t>
      </w:r>
      <w:r w:rsidRPr="00664194">
        <w:rPr>
          <w:rFonts w:ascii="Times New Roman" w:hAnsi="Times New Roman" w:cs="Times New Roman"/>
          <w:sz w:val="24"/>
          <w:szCs w:val="24"/>
        </w:rPr>
        <w:t xml:space="preserve"> First, </w:t>
      </w:r>
      <w:r w:rsidR="00D17028">
        <w:rPr>
          <w:rFonts w:ascii="Times New Roman" w:hAnsi="Times New Roman" w:cs="Times New Roman"/>
          <w:sz w:val="24"/>
          <w:szCs w:val="24"/>
          <w:lang w:val="en-US"/>
        </w:rPr>
        <w:t xml:space="preserve">although </w:t>
      </w:r>
      <w:r w:rsidRPr="00664194">
        <w:rPr>
          <w:rFonts w:ascii="Times New Roman" w:hAnsi="Times New Roman" w:cs="Times New Roman"/>
          <w:sz w:val="24"/>
          <w:szCs w:val="24"/>
        </w:rPr>
        <w:t>the cross-sectional research design, which involved collecting data at a single point in time</w:t>
      </w:r>
      <w:r w:rsidR="00D17028">
        <w:rPr>
          <w:rFonts w:ascii="Times New Roman" w:hAnsi="Times New Roman" w:cs="Times New Roman"/>
          <w:sz w:val="24"/>
          <w:szCs w:val="24"/>
        </w:rPr>
        <w:t>,</w:t>
      </w:r>
      <w:r w:rsidR="00D17028">
        <w:rPr>
          <w:rFonts w:ascii="Times New Roman" w:hAnsi="Times New Roman" w:cs="Times New Roman"/>
          <w:sz w:val="24"/>
          <w:szCs w:val="24"/>
          <w:lang w:val="en-US"/>
        </w:rPr>
        <w:t xml:space="preserve"> </w:t>
      </w:r>
      <w:r w:rsidRPr="00664194">
        <w:rPr>
          <w:rFonts w:ascii="Times New Roman" w:hAnsi="Times New Roman" w:cs="Times New Roman"/>
          <w:sz w:val="24"/>
          <w:szCs w:val="24"/>
        </w:rPr>
        <w:t>was suitable for examining relationships among variables</w:t>
      </w:r>
      <w:r w:rsidR="00D17028">
        <w:rPr>
          <w:rFonts w:ascii="Times New Roman" w:hAnsi="Times New Roman" w:cs="Times New Roman"/>
          <w:sz w:val="24"/>
          <w:szCs w:val="24"/>
          <w:lang w:val="en-US"/>
        </w:rPr>
        <w:t>,</w:t>
      </w:r>
      <w:r w:rsidRPr="00664194">
        <w:rPr>
          <w:rFonts w:ascii="Times New Roman" w:hAnsi="Times New Roman" w:cs="Times New Roman"/>
          <w:sz w:val="24"/>
          <w:szCs w:val="24"/>
        </w:rPr>
        <w:t xml:space="preserve"> </w:t>
      </w:r>
      <w:r w:rsidR="00D17028">
        <w:rPr>
          <w:rFonts w:ascii="Times New Roman" w:hAnsi="Times New Roman" w:cs="Times New Roman"/>
          <w:sz w:val="24"/>
          <w:szCs w:val="24"/>
          <w:lang w:val="en-US"/>
        </w:rPr>
        <w:t xml:space="preserve">it </w:t>
      </w:r>
      <w:r w:rsidRPr="00664194">
        <w:rPr>
          <w:rFonts w:ascii="Times New Roman" w:hAnsi="Times New Roman" w:cs="Times New Roman"/>
          <w:sz w:val="24"/>
          <w:szCs w:val="24"/>
        </w:rPr>
        <w:t xml:space="preserve">restricted the ability to establish causality or observe changes in circular economy practices and stakeholder collaboration over time (Bryman, 2016; Creswell &amp; Creswell, 2018). Future research should </w:t>
      </w:r>
      <w:r>
        <w:rPr>
          <w:rFonts w:ascii="Times New Roman" w:hAnsi="Times New Roman" w:cs="Times New Roman"/>
          <w:sz w:val="24"/>
          <w:szCs w:val="24"/>
          <w:lang w:val="en-US"/>
        </w:rPr>
        <w:t xml:space="preserve">therefore </w:t>
      </w:r>
      <w:r w:rsidRPr="00664194">
        <w:rPr>
          <w:rFonts w:ascii="Times New Roman" w:hAnsi="Times New Roman" w:cs="Times New Roman"/>
          <w:sz w:val="24"/>
          <w:szCs w:val="24"/>
        </w:rPr>
        <w:t>consider longitudinal designs to assess how circular economy governance and destination competitiveness develop over time. Second, the reliance on self-reported data from structured questionnaires administered to managers and operators of accommodation facilities introduce</w:t>
      </w:r>
      <w:r>
        <w:rPr>
          <w:rFonts w:ascii="Times New Roman" w:hAnsi="Times New Roman" w:cs="Times New Roman"/>
          <w:sz w:val="24"/>
          <w:szCs w:val="24"/>
          <w:lang w:val="en-US"/>
        </w:rPr>
        <w:t>d</w:t>
      </w:r>
      <w:r w:rsidRPr="00664194">
        <w:rPr>
          <w:rFonts w:ascii="Times New Roman" w:hAnsi="Times New Roman" w:cs="Times New Roman"/>
          <w:sz w:val="24"/>
          <w:szCs w:val="24"/>
        </w:rPr>
        <w:t xml:space="preserve"> the potential for social desirability bias, as respondents may </w:t>
      </w:r>
      <w:r>
        <w:rPr>
          <w:rFonts w:ascii="Times New Roman" w:hAnsi="Times New Roman" w:cs="Times New Roman"/>
          <w:sz w:val="24"/>
          <w:szCs w:val="24"/>
          <w:lang w:val="en-US"/>
        </w:rPr>
        <w:t xml:space="preserve">have </w:t>
      </w:r>
      <w:r w:rsidRPr="00664194">
        <w:rPr>
          <w:rFonts w:ascii="Times New Roman" w:hAnsi="Times New Roman" w:cs="Times New Roman"/>
          <w:sz w:val="24"/>
          <w:szCs w:val="24"/>
        </w:rPr>
        <w:t>overstate</w:t>
      </w:r>
      <w:r>
        <w:rPr>
          <w:rFonts w:ascii="Times New Roman" w:hAnsi="Times New Roman" w:cs="Times New Roman"/>
          <w:sz w:val="24"/>
          <w:szCs w:val="24"/>
          <w:lang w:val="en-US"/>
        </w:rPr>
        <w:t>d</w:t>
      </w:r>
      <w:r w:rsidRPr="00664194">
        <w:rPr>
          <w:rFonts w:ascii="Times New Roman" w:hAnsi="Times New Roman" w:cs="Times New Roman"/>
          <w:sz w:val="24"/>
          <w:szCs w:val="24"/>
        </w:rPr>
        <w:t xml:space="preserve"> adherence to sustainability practices or </w:t>
      </w:r>
      <w:r>
        <w:rPr>
          <w:rFonts w:ascii="Times New Roman" w:hAnsi="Times New Roman" w:cs="Times New Roman"/>
          <w:sz w:val="24"/>
          <w:szCs w:val="24"/>
        </w:rPr>
        <w:t>provided</w:t>
      </w:r>
      <w:r w:rsidRPr="00664194">
        <w:rPr>
          <w:rFonts w:ascii="Times New Roman" w:hAnsi="Times New Roman" w:cs="Times New Roman"/>
          <w:sz w:val="24"/>
          <w:szCs w:val="24"/>
        </w:rPr>
        <w:t xml:space="preserve"> responses </w:t>
      </w:r>
      <w:r w:rsidR="00D17028">
        <w:rPr>
          <w:rFonts w:ascii="Times New Roman" w:hAnsi="Times New Roman" w:cs="Times New Roman"/>
          <w:sz w:val="24"/>
          <w:szCs w:val="24"/>
          <w:lang w:val="en-US"/>
        </w:rPr>
        <w:t xml:space="preserve">that would make them appear </w:t>
      </w:r>
      <w:r w:rsidRPr="00664194">
        <w:rPr>
          <w:rFonts w:ascii="Times New Roman" w:hAnsi="Times New Roman" w:cs="Times New Roman"/>
          <w:sz w:val="24"/>
          <w:szCs w:val="24"/>
        </w:rPr>
        <w:t>environmentally responsible (Saunders et al., 2019). Although confidentiality and anonymity were assured to mitigate this issue, response bias c</w:t>
      </w:r>
      <w:r>
        <w:rPr>
          <w:rFonts w:ascii="Times New Roman" w:hAnsi="Times New Roman" w:cs="Times New Roman"/>
          <w:sz w:val="24"/>
          <w:szCs w:val="24"/>
          <w:lang w:val="en-US"/>
        </w:rPr>
        <w:t xml:space="preserve">ould not </w:t>
      </w:r>
      <w:r w:rsidRPr="00664194">
        <w:rPr>
          <w:rFonts w:ascii="Times New Roman" w:hAnsi="Times New Roman" w:cs="Times New Roman"/>
          <w:sz w:val="24"/>
          <w:szCs w:val="24"/>
        </w:rPr>
        <w:t>entirely</w:t>
      </w:r>
      <w:r>
        <w:rPr>
          <w:rFonts w:ascii="Times New Roman" w:hAnsi="Times New Roman" w:cs="Times New Roman"/>
          <w:sz w:val="24"/>
          <w:szCs w:val="24"/>
          <w:lang w:val="en-US"/>
        </w:rPr>
        <w:t xml:space="preserve"> be</w:t>
      </w:r>
      <w:r w:rsidRPr="00664194">
        <w:rPr>
          <w:rFonts w:ascii="Times New Roman" w:hAnsi="Times New Roman" w:cs="Times New Roman"/>
          <w:sz w:val="24"/>
          <w:szCs w:val="24"/>
        </w:rPr>
        <w:t xml:space="preserve"> ruled out. Third, the</w:t>
      </w:r>
      <w:r>
        <w:rPr>
          <w:rFonts w:ascii="Times New Roman" w:hAnsi="Times New Roman" w:cs="Times New Roman"/>
          <w:sz w:val="24"/>
          <w:szCs w:val="24"/>
          <w:lang w:val="en-US"/>
        </w:rPr>
        <w:t xml:space="preserve"> study</w:t>
      </w:r>
      <w:r w:rsidRPr="00664194">
        <w:rPr>
          <w:rFonts w:ascii="Times New Roman" w:hAnsi="Times New Roman" w:cs="Times New Roman"/>
          <w:sz w:val="24"/>
          <w:szCs w:val="24"/>
        </w:rPr>
        <w:t xml:space="preserve"> focus</w:t>
      </w:r>
      <w:r>
        <w:rPr>
          <w:rFonts w:ascii="Times New Roman" w:hAnsi="Times New Roman" w:cs="Times New Roman"/>
          <w:sz w:val="24"/>
          <w:szCs w:val="24"/>
          <w:lang w:val="en-US"/>
        </w:rPr>
        <w:t>ed</w:t>
      </w:r>
      <w:r w:rsidRPr="00664194">
        <w:rPr>
          <w:rFonts w:ascii="Times New Roman" w:hAnsi="Times New Roman" w:cs="Times New Roman"/>
          <w:sz w:val="24"/>
          <w:szCs w:val="24"/>
        </w:rPr>
        <w:t xml:space="preserve"> on </w:t>
      </w:r>
      <w:r>
        <w:rPr>
          <w:rFonts w:ascii="Times New Roman" w:hAnsi="Times New Roman" w:cs="Times New Roman"/>
          <w:sz w:val="24"/>
          <w:szCs w:val="24"/>
          <w:lang w:val="en-US"/>
        </w:rPr>
        <w:t xml:space="preserve">registered </w:t>
      </w:r>
      <w:r w:rsidRPr="00664194">
        <w:rPr>
          <w:rFonts w:ascii="Times New Roman" w:hAnsi="Times New Roman" w:cs="Times New Roman"/>
          <w:sz w:val="24"/>
          <w:szCs w:val="24"/>
        </w:rPr>
        <w:t xml:space="preserve">accommodation facilities in Mombasa, Kwale, Kilifi, and </w:t>
      </w:r>
      <w:proofErr w:type="spellStart"/>
      <w:r w:rsidRPr="00664194">
        <w:rPr>
          <w:rFonts w:ascii="Times New Roman" w:hAnsi="Times New Roman" w:cs="Times New Roman"/>
          <w:sz w:val="24"/>
          <w:szCs w:val="24"/>
        </w:rPr>
        <w:t>Lamu</w:t>
      </w:r>
      <w:proofErr w:type="spellEnd"/>
      <w:r w:rsidRPr="00664194">
        <w:rPr>
          <w:rFonts w:ascii="Times New Roman" w:hAnsi="Times New Roman" w:cs="Times New Roman"/>
          <w:sz w:val="24"/>
          <w:szCs w:val="24"/>
        </w:rPr>
        <w:t xml:space="preserve"> Counties</w:t>
      </w:r>
      <w:r>
        <w:rPr>
          <w:rFonts w:ascii="Times New Roman" w:hAnsi="Times New Roman" w:cs="Times New Roman"/>
          <w:sz w:val="24"/>
          <w:szCs w:val="24"/>
        </w:rPr>
        <w:t>, which</w:t>
      </w:r>
      <w:r w:rsidRPr="00664194">
        <w:rPr>
          <w:rFonts w:ascii="Times New Roman" w:hAnsi="Times New Roman" w:cs="Times New Roman"/>
          <w:sz w:val="24"/>
          <w:szCs w:val="24"/>
        </w:rPr>
        <w:t xml:space="preserve"> may not reflect the experiences of other tourism subsectors, such as tour operators, transport providers, restaurants, marine tourism </w:t>
      </w:r>
      <w:r w:rsidR="00D17028">
        <w:rPr>
          <w:rFonts w:ascii="Times New Roman" w:hAnsi="Times New Roman" w:cs="Times New Roman"/>
          <w:sz w:val="24"/>
          <w:szCs w:val="24"/>
          <w:lang w:val="en-US"/>
        </w:rPr>
        <w:t>operators</w:t>
      </w:r>
      <w:r w:rsidRPr="00664194">
        <w:rPr>
          <w:rFonts w:ascii="Times New Roman" w:hAnsi="Times New Roman" w:cs="Times New Roman"/>
          <w:sz w:val="24"/>
          <w:szCs w:val="24"/>
        </w:rPr>
        <w:t xml:space="preserve">, and informal tourism actors within Kenya’s coastal tourism economy. Therefore, the generalizability of the findings is limited to regulated accommodation establishments in these counties. Future studies should broaden the analysis to include multiple tourism subsectors and a wider range of destination stakeholders. Additionally, the study </w:t>
      </w:r>
      <w:r w:rsidR="0004380E">
        <w:rPr>
          <w:rFonts w:ascii="Times New Roman" w:hAnsi="Times New Roman" w:cs="Times New Roman"/>
          <w:sz w:val="24"/>
          <w:szCs w:val="24"/>
          <w:lang w:val="en-US"/>
        </w:rPr>
        <w:t>focused</w:t>
      </w:r>
      <w:r w:rsidRPr="00664194">
        <w:rPr>
          <w:rFonts w:ascii="Times New Roman" w:hAnsi="Times New Roman" w:cs="Times New Roman"/>
          <w:sz w:val="24"/>
          <w:szCs w:val="24"/>
        </w:rPr>
        <w:t xml:space="preserve"> </w:t>
      </w:r>
      <w:r w:rsidR="0004380E">
        <w:rPr>
          <w:rFonts w:ascii="Times New Roman" w:hAnsi="Times New Roman" w:cs="Times New Roman"/>
          <w:sz w:val="24"/>
          <w:szCs w:val="24"/>
          <w:lang w:val="en-US"/>
        </w:rPr>
        <w:t xml:space="preserve">on </w:t>
      </w:r>
      <w:r w:rsidRPr="00664194">
        <w:rPr>
          <w:rFonts w:ascii="Times New Roman" w:hAnsi="Times New Roman" w:cs="Times New Roman"/>
          <w:sz w:val="24"/>
          <w:szCs w:val="24"/>
        </w:rPr>
        <w:t xml:space="preserve">policy and governance aspects of the circular economy and stakeholder collaboration as primary explanatory factors for sustainable destination competitiveness. However, </w:t>
      </w:r>
      <w:r w:rsidR="0004380E">
        <w:rPr>
          <w:rFonts w:ascii="Times New Roman" w:hAnsi="Times New Roman" w:cs="Times New Roman"/>
          <w:sz w:val="24"/>
          <w:szCs w:val="24"/>
          <w:lang w:val="en-US"/>
        </w:rPr>
        <w:t xml:space="preserve">according to </w:t>
      </w:r>
      <w:r w:rsidR="0004380E" w:rsidRPr="00664194">
        <w:rPr>
          <w:rFonts w:ascii="Times New Roman" w:hAnsi="Times New Roman" w:cs="Times New Roman"/>
          <w:sz w:val="24"/>
          <w:szCs w:val="24"/>
        </w:rPr>
        <w:t>Dwyer &amp; Kim</w:t>
      </w:r>
      <w:r w:rsidR="0004380E">
        <w:rPr>
          <w:rFonts w:ascii="Times New Roman" w:hAnsi="Times New Roman" w:cs="Times New Roman"/>
          <w:sz w:val="24"/>
          <w:szCs w:val="24"/>
        </w:rPr>
        <w:t xml:space="preserve"> (</w:t>
      </w:r>
      <w:r w:rsidR="0004380E" w:rsidRPr="00664194">
        <w:rPr>
          <w:rFonts w:ascii="Times New Roman" w:hAnsi="Times New Roman" w:cs="Times New Roman"/>
          <w:sz w:val="24"/>
          <w:szCs w:val="24"/>
        </w:rPr>
        <w:t>2003)</w:t>
      </w:r>
      <w:r w:rsidR="0004380E">
        <w:rPr>
          <w:rFonts w:ascii="Times New Roman" w:hAnsi="Times New Roman" w:cs="Times New Roman"/>
          <w:sz w:val="24"/>
          <w:szCs w:val="24"/>
          <w:lang w:val="en-US"/>
        </w:rPr>
        <w:t>,</w:t>
      </w:r>
      <w:r w:rsidR="0004380E" w:rsidRPr="00664194">
        <w:rPr>
          <w:rFonts w:ascii="Times New Roman" w:hAnsi="Times New Roman" w:cs="Times New Roman"/>
          <w:sz w:val="24"/>
          <w:szCs w:val="24"/>
        </w:rPr>
        <w:t xml:space="preserve"> </w:t>
      </w:r>
      <w:r w:rsidRPr="00664194">
        <w:rPr>
          <w:rFonts w:ascii="Times New Roman" w:hAnsi="Times New Roman" w:cs="Times New Roman"/>
          <w:sz w:val="24"/>
          <w:szCs w:val="24"/>
        </w:rPr>
        <w:t>destination competitiveness is influenced by additional factors, including infrastructure development, tourism innovation, political stability, market dynamics, climate change adaptation, and destination marketing strategies</w:t>
      </w:r>
      <w:r w:rsidR="0004380E">
        <w:rPr>
          <w:rFonts w:ascii="Times New Roman" w:hAnsi="Times New Roman" w:cs="Times New Roman"/>
          <w:sz w:val="24"/>
          <w:szCs w:val="24"/>
          <w:lang w:val="en-US"/>
        </w:rPr>
        <w:t>. Given that these</w:t>
      </w:r>
      <w:r w:rsidRPr="00664194">
        <w:rPr>
          <w:rFonts w:ascii="Times New Roman" w:hAnsi="Times New Roman" w:cs="Times New Roman"/>
          <w:sz w:val="24"/>
          <w:szCs w:val="24"/>
        </w:rPr>
        <w:t xml:space="preserve"> factors were beyond the scope of </w:t>
      </w:r>
      <w:r w:rsidR="00D17028">
        <w:rPr>
          <w:rFonts w:ascii="Times New Roman" w:hAnsi="Times New Roman" w:cs="Times New Roman"/>
          <w:sz w:val="24"/>
          <w:szCs w:val="24"/>
          <w:lang w:val="en-US"/>
        </w:rPr>
        <w:t xml:space="preserve">this </w:t>
      </w:r>
      <w:r w:rsidR="0025778C" w:rsidRPr="00664194">
        <w:rPr>
          <w:rFonts w:ascii="Times New Roman" w:hAnsi="Times New Roman" w:cs="Times New Roman"/>
          <w:sz w:val="24"/>
          <w:szCs w:val="24"/>
        </w:rPr>
        <w:t>study</w:t>
      </w:r>
      <w:r w:rsidR="0025778C">
        <w:rPr>
          <w:rFonts w:ascii="Times New Roman" w:hAnsi="Times New Roman" w:cs="Times New Roman"/>
          <w:sz w:val="24"/>
          <w:szCs w:val="24"/>
          <w:lang w:val="en-US"/>
        </w:rPr>
        <w:t xml:space="preserve">, </w:t>
      </w:r>
      <w:r w:rsidR="0025778C" w:rsidRPr="00664194">
        <w:rPr>
          <w:rFonts w:ascii="Times New Roman" w:hAnsi="Times New Roman" w:cs="Times New Roman"/>
          <w:sz w:val="24"/>
          <w:szCs w:val="24"/>
        </w:rPr>
        <w:t>future</w:t>
      </w:r>
      <w:r w:rsidRPr="00664194">
        <w:rPr>
          <w:rFonts w:ascii="Times New Roman" w:hAnsi="Times New Roman" w:cs="Times New Roman"/>
          <w:sz w:val="24"/>
          <w:szCs w:val="24"/>
        </w:rPr>
        <w:t xml:space="preserve"> research should incorporate further contextual and structural variables to achieve a more comprehensive understanding of sustainable tourism competitiveness in coastal destinations. Finally, although this study provide</w:t>
      </w:r>
      <w:r w:rsidR="00D17028">
        <w:rPr>
          <w:rFonts w:ascii="Times New Roman" w:hAnsi="Times New Roman" w:cs="Times New Roman"/>
          <w:sz w:val="24"/>
          <w:szCs w:val="24"/>
          <w:lang w:val="en-US"/>
        </w:rPr>
        <w:t>d</w:t>
      </w:r>
      <w:r w:rsidRPr="00664194">
        <w:rPr>
          <w:rFonts w:ascii="Times New Roman" w:hAnsi="Times New Roman" w:cs="Times New Roman"/>
          <w:sz w:val="24"/>
          <w:szCs w:val="24"/>
        </w:rPr>
        <w:t xml:space="preserve"> valuable empirical evidence on circular economy governance in an African tourism context, research on circular economy practices in tourism destinations within developing countries remains limited. This limitation reduced the availability of context-specific empirical studies for comparison, particularly in African coastal tourism destinations. Nonetheless, </w:t>
      </w:r>
      <w:r w:rsidR="00E3080A">
        <w:rPr>
          <w:rFonts w:ascii="Times New Roman" w:hAnsi="Times New Roman" w:cs="Times New Roman"/>
          <w:sz w:val="24"/>
          <w:szCs w:val="24"/>
          <w:lang w:val="en-US"/>
        </w:rPr>
        <w:t>this</w:t>
      </w:r>
      <w:r w:rsidRPr="00664194">
        <w:rPr>
          <w:rFonts w:ascii="Times New Roman" w:hAnsi="Times New Roman" w:cs="Times New Roman"/>
          <w:sz w:val="24"/>
          <w:szCs w:val="24"/>
        </w:rPr>
        <w:t xml:space="preserve"> study </w:t>
      </w:r>
      <w:r w:rsidR="0025778C" w:rsidRPr="00664194">
        <w:rPr>
          <w:rFonts w:ascii="Times New Roman" w:hAnsi="Times New Roman" w:cs="Times New Roman"/>
          <w:sz w:val="24"/>
          <w:szCs w:val="24"/>
        </w:rPr>
        <w:t>established</w:t>
      </w:r>
      <w:r w:rsidRPr="00664194">
        <w:rPr>
          <w:rFonts w:ascii="Times New Roman" w:hAnsi="Times New Roman" w:cs="Times New Roman"/>
          <w:sz w:val="24"/>
          <w:szCs w:val="24"/>
        </w:rPr>
        <w:t xml:space="preserve"> a foundation for future research on circular economy transitions, collaborative governance, and sustainable tourism competitiveness in emerging tourism economies.</w:t>
      </w:r>
    </w:p>
    <w:p w:rsidR="00664194" w:rsidRDefault="00664194" w:rsidP="001222AF">
      <w:pPr>
        <w:pStyle w:val="NoSpacing"/>
        <w:jc w:val="both"/>
        <w:rPr>
          <w:rFonts w:ascii="Times New Roman" w:hAnsi="Times New Roman" w:cs="Times New Roman"/>
          <w:b/>
          <w:sz w:val="24"/>
          <w:szCs w:val="24"/>
          <w:lang w:val="en-US"/>
        </w:rPr>
      </w:pPr>
    </w:p>
    <w:p w:rsidR="00E3080A" w:rsidRDefault="00E3080A" w:rsidP="00E3080A">
      <w:pPr>
        <w:pStyle w:val="NoSpacing"/>
        <w:jc w:val="both"/>
        <w:rPr>
          <w:rFonts w:ascii="Times New Roman" w:hAnsi="Times New Roman" w:cs="Times New Roman"/>
          <w:b/>
          <w:sz w:val="24"/>
          <w:szCs w:val="24"/>
          <w:lang w:val="en-US"/>
        </w:rPr>
      </w:pPr>
      <w:r w:rsidRPr="000D0CC8">
        <w:rPr>
          <w:rFonts w:ascii="Times New Roman" w:hAnsi="Times New Roman" w:cs="Times New Roman"/>
          <w:b/>
          <w:sz w:val="24"/>
          <w:szCs w:val="24"/>
          <w:lang w:val="en-US"/>
        </w:rPr>
        <w:t xml:space="preserve">REFERENCES </w:t>
      </w:r>
    </w:p>
    <w:p w:rsidR="000116EE"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Aiken, L. S., &amp; West, S. G. (1991). Multiple regression: Testing and interpreting interactions. SAGE Publications.</w:t>
      </w:r>
    </w:p>
    <w:p w:rsidR="00E3080A" w:rsidRPr="000116EE" w:rsidRDefault="00E3080A"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t>Akoglu</w:t>
      </w:r>
      <w:proofErr w:type="spellEnd"/>
      <w:r w:rsidRPr="000116EE">
        <w:rPr>
          <w:rFonts w:ascii="Times New Roman" w:hAnsi="Times New Roman" w:cs="Times New Roman"/>
          <w:sz w:val="24"/>
          <w:szCs w:val="24"/>
        </w:rPr>
        <w:t xml:space="preserve">, H. (2018). User’s guide to correlation coefficients. Turkish Journal of Emergency Medicine, 18(3), 91–93. </w:t>
      </w:r>
      <w:hyperlink r:id="rId6" w:tgtFrame="_blank" w:history="1">
        <w:r w:rsidRPr="000116EE">
          <w:rPr>
            <w:rStyle w:val="Hyperlink"/>
            <w:rFonts w:ascii="Times New Roman" w:hAnsi="Times New Roman" w:cs="Times New Roman"/>
            <w:sz w:val="24"/>
            <w:szCs w:val="24"/>
          </w:rPr>
          <w:t>https://doi.org/10.1016/j.tjem.2018.08.001</w:t>
        </w:r>
      </w:hyperlink>
    </w:p>
    <w:p w:rsidR="00E3080A" w:rsidRPr="000116EE" w:rsidRDefault="00E3080A" w:rsidP="00B92540">
      <w:pPr>
        <w:pStyle w:val="NoSpacing"/>
        <w:numPr>
          <w:ilvl w:val="0"/>
          <w:numId w:val="11"/>
        </w:numPr>
        <w:jc w:val="both"/>
        <w:rPr>
          <w:rFonts w:ascii="Times New Roman" w:eastAsia="Times New Roman" w:hAnsi="Times New Roman" w:cs="Times New Roman"/>
          <w:sz w:val="24"/>
          <w:szCs w:val="24"/>
          <w:lang w:eastAsia="en-KE"/>
        </w:rPr>
      </w:pPr>
      <w:proofErr w:type="spellStart"/>
      <w:r w:rsidRPr="000116EE">
        <w:rPr>
          <w:rFonts w:ascii="Times New Roman" w:hAnsi="Times New Roman" w:cs="Times New Roman"/>
          <w:sz w:val="24"/>
          <w:szCs w:val="24"/>
        </w:rPr>
        <w:t>Amankwah</w:t>
      </w:r>
      <w:proofErr w:type="spellEnd"/>
      <w:r w:rsidRPr="000116EE">
        <w:rPr>
          <w:rFonts w:ascii="Times New Roman" w:hAnsi="Times New Roman" w:cs="Times New Roman"/>
          <w:sz w:val="24"/>
          <w:szCs w:val="24"/>
        </w:rPr>
        <w:t xml:space="preserve">-Amoah, J., Adomako, S., &amp; </w:t>
      </w:r>
      <w:proofErr w:type="spellStart"/>
      <w:r w:rsidRPr="000116EE">
        <w:rPr>
          <w:rFonts w:ascii="Times New Roman" w:hAnsi="Times New Roman" w:cs="Times New Roman"/>
          <w:sz w:val="24"/>
          <w:szCs w:val="24"/>
        </w:rPr>
        <w:t>Boso</w:t>
      </w:r>
      <w:proofErr w:type="spellEnd"/>
      <w:r w:rsidRPr="000116EE">
        <w:rPr>
          <w:rFonts w:ascii="Times New Roman" w:hAnsi="Times New Roman" w:cs="Times New Roman"/>
          <w:sz w:val="24"/>
          <w:szCs w:val="24"/>
        </w:rPr>
        <w:t xml:space="preserve">, N. (2021). Circular economy and sustainable tourism practices in emerging economies: Insights from Africa. Tourism Review International, 25(4), 289–304. </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Babbie, E. R. (202</w:t>
      </w:r>
      <w:r w:rsidRPr="000116EE">
        <w:rPr>
          <w:rFonts w:ascii="Times New Roman" w:hAnsi="Times New Roman" w:cs="Times New Roman"/>
          <w:sz w:val="24"/>
          <w:szCs w:val="24"/>
          <w:lang w:val="en-US"/>
        </w:rPr>
        <w:t>0</w:t>
      </w:r>
      <w:r w:rsidRPr="000116EE">
        <w:rPr>
          <w:rFonts w:ascii="Times New Roman" w:hAnsi="Times New Roman" w:cs="Times New Roman"/>
          <w:sz w:val="24"/>
          <w:szCs w:val="24"/>
        </w:rPr>
        <w:t>). The practice of social research (15th ed.). Cengage Learning.</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Baron, R. M., &amp; Kenny, D. A. (1986). The moderator</w:t>
      </w:r>
      <w:r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mediator variable distinction in social psychological research: Conceptual, strategic, and statistical considerations. Journal of Personality and Social Psychology, 51(6), 1173–1182. </w:t>
      </w:r>
      <w:hyperlink r:id="rId7" w:tgtFrame="_blank" w:history="1">
        <w:r w:rsidRPr="000116EE">
          <w:rPr>
            <w:rStyle w:val="Hyperlink"/>
            <w:rFonts w:ascii="Times New Roman" w:hAnsi="Times New Roman" w:cs="Times New Roman"/>
            <w:sz w:val="24"/>
            <w:szCs w:val="24"/>
          </w:rPr>
          <w:t>https://doi.org/10.1037/0022-3514.51.6.1173</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lastRenderedPageBreak/>
        <w:t xml:space="preserve">Boone, H. N., Jr., &amp; Boone, D. A. (2012). </w:t>
      </w:r>
      <w:proofErr w:type="spellStart"/>
      <w:r w:rsidRPr="000116EE">
        <w:rPr>
          <w:rFonts w:ascii="Times New Roman" w:hAnsi="Times New Roman" w:cs="Times New Roman"/>
          <w:sz w:val="24"/>
          <w:szCs w:val="24"/>
        </w:rPr>
        <w:t>Analyzing</w:t>
      </w:r>
      <w:proofErr w:type="spellEnd"/>
      <w:r w:rsidRPr="000116EE">
        <w:rPr>
          <w:rFonts w:ascii="Times New Roman" w:hAnsi="Times New Roman" w:cs="Times New Roman"/>
          <w:sz w:val="24"/>
          <w:szCs w:val="24"/>
        </w:rPr>
        <w:t xml:space="preserve"> Likert data. Journal of Extension, 50(2), Article 48. </w:t>
      </w:r>
      <w:hyperlink r:id="rId8" w:history="1">
        <w:r w:rsidRPr="000116EE">
          <w:rPr>
            <w:rStyle w:val="Hyperlink"/>
            <w:rFonts w:ascii="Times New Roman" w:hAnsi="Times New Roman" w:cs="Times New Roman"/>
            <w:sz w:val="24"/>
            <w:szCs w:val="24"/>
          </w:rPr>
          <w:t>https://doi.org/10.34068/joe.50.02.48</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Bryman, A. (2016). </w:t>
      </w:r>
      <w:r w:rsidRPr="00167188">
        <w:rPr>
          <w:rFonts w:ascii="Times New Roman" w:hAnsi="Times New Roman" w:cs="Times New Roman"/>
          <w:i/>
          <w:sz w:val="24"/>
          <w:szCs w:val="24"/>
        </w:rPr>
        <w:t>Social research methods</w:t>
      </w:r>
      <w:r w:rsidRPr="000116EE">
        <w:rPr>
          <w:rFonts w:ascii="Times New Roman" w:hAnsi="Times New Roman" w:cs="Times New Roman"/>
          <w:sz w:val="24"/>
          <w:szCs w:val="24"/>
        </w:rPr>
        <w:t xml:space="preserve"> (5th ed.). Oxford University Press.</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Byrd, E. T. (2007). Stakeholders in sustainable tourism development and their roles: Applying stakeholder theory to sustainable tourism development. </w:t>
      </w:r>
      <w:r w:rsidRPr="000116EE">
        <w:rPr>
          <w:rStyle w:val="Emphasis"/>
          <w:rFonts w:ascii="Times New Roman" w:hAnsi="Times New Roman" w:cs="Times New Roman"/>
          <w:sz w:val="24"/>
          <w:szCs w:val="24"/>
        </w:rPr>
        <w:t>Tourism Review, 62</w:t>
      </w:r>
      <w:r w:rsidRPr="000116EE">
        <w:rPr>
          <w:rFonts w:ascii="Times New Roman" w:hAnsi="Times New Roman" w:cs="Times New Roman"/>
          <w:sz w:val="24"/>
          <w:szCs w:val="24"/>
        </w:rPr>
        <w:t xml:space="preserve">(2), 6–13. </w:t>
      </w:r>
      <w:hyperlink r:id="rId9" w:tgtFrame="_new" w:history="1">
        <w:r w:rsidRPr="000116EE">
          <w:rPr>
            <w:rStyle w:val="Hyperlink"/>
            <w:rFonts w:ascii="Times New Roman" w:hAnsi="Times New Roman" w:cs="Times New Roman"/>
            <w:sz w:val="24"/>
            <w:szCs w:val="24"/>
          </w:rPr>
          <w:t>https://doi.org/10.1108/16605370780000309</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Camilleri, M. A. (2018). The tourism industry: An overview. In Travel marketing, tourism economics and the airline product (pp. 3–27). Springer. </w:t>
      </w:r>
      <w:hyperlink r:id="rId10" w:tgtFrame="_blank" w:history="1">
        <w:r w:rsidRPr="000116EE">
          <w:rPr>
            <w:rStyle w:val="Hyperlink"/>
            <w:rFonts w:ascii="Times New Roman" w:hAnsi="Times New Roman" w:cs="Times New Roman"/>
            <w:sz w:val="24"/>
            <w:szCs w:val="24"/>
          </w:rPr>
          <w:t>https://doi.org/10.1007/978-3-319-49849-2_1</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Creswell, J. W., &amp; Creswell, J. D. (2018). Research design: Qualitative, quantitative, and mixed methods approaches (5th ed.). SAGE Publications.</w:t>
      </w:r>
    </w:p>
    <w:p w:rsidR="00E3080A" w:rsidRPr="000116EE" w:rsidRDefault="00E3080A" w:rsidP="00B92540">
      <w:pPr>
        <w:pStyle w:val="NoSpacing"/>
        <w:numPr>
          <w:ilvl w:val="0"/>
          <w:numId w:val="11"/>
        </w:numPr>
        <w:jc w:val="both"/>
        <w:rPr>
          <w:rFonts w:ascii="Times New Roman" w:hAnsi="Times New Roman" w:cs="Times New Roman"/>
          <w:sz w:val="24"/>
          <w:szCs w:val="24"/>
        </w:rPr>
      </w:pPr>
      <w:bookmarkStart w:id="6" w:name="_Hlk231124992"/>
      <w:r w:rsidRPr="000116EE">
        <w:rPr>
          <w:rFonts w:ascii="Times New Roman" w:hAnsi="Times New Roman" w:cs="Times New Roman"/>
          <w:sz w:val="24"/>
          <w:szCs w:val="24"/>
        </w:rPr>
        <w:t xml:space="preserve">Cronbach, L. J. (1951). Coefficient alpha and the internal structure of tests. </w:t>
      </w:r>
      <w:proofErr w:type="spellStart"/>
      <w:r w:rsidRPr="000116EE">
        <w:rPr>
          <w:rFonts w:ascii="Times New Roman" w:hAnsi="Times New Roman" w:cs="Times New Roman"/>
          <w:sz w:val="24"/>
          <w:szCs w:val="24"/>
        </w:rPr>
        <w:t>Psychometrika</w:t>
      </w:r>
      <w:proofErr w:type="spellEnd"/>
      <w:r w:rsidRPr="000116EE">
        <w:rPr>
          <w:rFonts w:ascii="Times New Roman" w:hAnsi="Times New Roman" w:cs="Times New Roman"/>
          <w:sz w:val="24"/>
          <w:szCs w:val="24"/>
        </w:rPr>
        <w:t>, 16(3), 297–334</w:t>
      </w:r>
      <w:r w:rsidR="00167188">
        <w:rPr>
          <w:rFonts w:ascii="Times New Roman" w:hAnsi="Times New Roman" w:cs="Times New Roman"/>
          <w:sz w:val="24"/>
          <w:szCs w:val="24"/>
          <w:lang w:val="en-US"/>
        </w:rPr>
        <w:t xml:space="preserve"> </w:t>
      </w:r>
      <w:hyperlink r:id="rId11" w:history="1">
        <w:r w:rsidR="00167188" w:rsidRPr="007659AF">
          <w:rPr>
            <w:rStyle w:val="Hyperlink"/>
            <w:rFonts w:ascii="Times New Roman" w:hAnsi="Times New Roman" w:cs="Times New Roman"/>
            <w:sz w:val="24"/>
            <w:szCs w:val="24"/>
          </w:rPr>
          <w:t>https://doi.org/10.1007/BF02310555</w:t>
        </w:r>
      </w:hyperlink>
    </w:p>
    <w:bookmarkEnd w:id="6"/>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Dawson, J. F. (2014). Moderation in management research: What, why, when, and how. Journal of Business and Psychology, 29(1), 1–19. </w:t>
      </w:r>
      <w:hyperlink r:id="rId12" w:tgtFrame="_blank" w:history="1">
        <w:r w:rsidRPr="000116EE">
          <w:rPr>
            <w:rStyle w:val="Hyperlink"/>
            <w:rFonts w:ascii="Times New Roman" w:hAnsi="Times New Roman" w:cs="Times New Roman"/>
            <w:sz w:val="24"/>
            <w:szCs w:val="24"/>
          </w:rPr>
          <w:t>https://doi.org/10.1007/s10869-013-9308-7</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De Angelis, R., Reynolds, L., Koenig-Lewis, N., &amp; </w:t>
      </w:r>
      <w:proofErr w:type="spellStart"/>
      <w:r w:rsidRPr="000116EE">
        <w:rPr>
          <w:rFonts w:ascii="Times New Roman" w:hAnsi="Times New Roman" w:cs="Times New Roman"/>
          <w:sz w:val="24"/>
          <w:szCs w:val="24"/>
        </w:rPr>
        <w:t>Bosangit</w:t>
      </w:r>
      <w:proofErr w:type="spellEnd"/>
      <w:r w:rsidRPr="000116EE">
        <w:rPr>
          <w:rFonts w:ascii="Times New Roman" w:hAnsi="Times New Roman" w:cs="Times New Roman"/>
          <w:sz w:val="24"/>
          <w:szCs w:val="24"/>
        </w:rPr>
        <w:t xml:space="preserve">, C. (2024). Conceptualising circular tourism: Taking a place-based eco-system perspective. </w:t>
      </w:r>
      <w:r w:rsidRPr="000116EE">
        <w:rPr>
          <w:rStyle w:val="Emphasis"/>
          <w:rFonts w:ascii="Times New Roman" w:hAnsi="Times New Roman" w:cs="Times New Roman"/>
          <w:sz w:val="24"/>
          <w:szCs w:val="24"/>
        </w:rPr>
        <w:t>Journal of Circular Economy, 3</w:t>
      </w:r>
      <w:r w:rsidRPr="000116EE">
        <w:rPr>
          <w:rFonts w:ascii="Times New Roman" w:hAnsi="Times New Roman" w:cs="Times New Roman"/>
          <w:sz w:val="24"/>
          <w:szCs w:val="24"/>
        </w:rPr>
        <w:t xml:space="preserve">(1), 1–18. </w:t>
      </w:r>
      <w:hyperlink r:id="rId13" w:tgtFrame="_new" w:history="1">
        <w:r w:rsidRPr="000116EE">
          <w:rPr>
            <w:rStyle w:val="Hyperlink"/>
            <w:rFonts w:ascii="Times New Roman" w:hAnsi="Times New Roman" w:cs="Times New Roman"/>
            <w:sz w:val="24"/>
            <w:szCs w:val="24"/>
          </w:rPr>
          <w:t>https://doi.org/10.55845/TVUZ5672</w:t>
        </w:r>
      </w:hyperlink>
    </w:p>
    <w:p w:rsidR="00E3080A" w:rsidRPr="000116EE" w:rsidRDefault="00E3080A" w:rsidP="00B92540">
      <w:pPr>
        <w:pStyle w:val="NoSpacing"/>
        <w:numPr>
          <w:ilvl w:val="0"/>
          <w:numId w:val="11"/>
        </w:numPr>
        <w:jc w:val="both"/>
        <w:rPr>
          <w:rStyle w:val="Hyperlink"/>
          <w:rFonts w:ascii="Times New Roman" w:hAnsi="Times New Roman" w:cs="Times New Roman"/>
          <w:sz w:val="24"/>
          <w:szCs w:val="24"/>
        </w:rPr>
      </w:pPr>
      <w:bookmarkStart w:id="7" w:name="_Hlk231125085"/>
      <w:r w:rsidRPr="000116EE">
        <w:rPr>
          <w:rFonts w:ascii="Times New Roman" w:hAnsi="Times New Roman" w:cs="Times New Roman"/>
          <w:bCs/>
          <w:sz w:val="24"/>
          <w:szCs w:val="24"/>
        </w:rPr>
        <w:t>DiMaggio, P. J., &amp; Powell, W. W. (1983).</w:t>
      </w:r>
      <w:r w:rsidRPr="000116EE">
        <w:rPr>
          <w:rFonts w:ascii="Times New Roman" w:hAnsi="Times New Roman" w:cs="Times New Roman"/>
          <w:sz w:val="24"/>
          <w:szCs w:val="24"/>
        </w:rPr>
        <w:t xml:space="preserve"> The iron cage revisited: Institutional isomorphism</w:t>
      </w:r>
      <w:r w:rsidRPr="000116EE">
        <w:rPr>
          <w:rFonts w:ascii="Times New Roman" w:hAnsi="Times New Roman" w:cs="Times New Roman"/>
          <w:sz w:val="24"/>
          <w:szCs w:val="24"/>
          <w:lang w:val="en-US"/>
        </w:rPr>
        <w:t xml:space="preserve"> </w:t>
      </w:r>
      <w:r w:rsidRPr="000116EE">
        <w:rPr>
          <w:rFonts w:ascii="Times New Roman" w:hAnsi="Times New Roman" w:cs="Times New Roman"/>
          <w:sz w:val="24"/>
          <w:szCs w:val="24"/>
        </w:rPr>
        <w:t xml:space="preserve">and collective rationality in organizational fields. American Sociological Review, 48(2),147–160. </w:t>
      </w:r>
      <w:hyperlink r:id="rId14" w:tgtFrame="_blank" w:history="1">
        <w:r w:rsidRPr="000116EE">
          <w:rPr>
            <w:rStyle w:val="Hyperlink"/>
            <w:rFonts w:ascii="Times New Roman" w:hAnsi="Times New Roman" w:cs="Times New Roman"/>
            <w:sz w:val="24"/>
            <w:szCs w:val="24"/>
          </w:rPr>
          <w:t>https://doi.org/10.2307/2095101</w:t>
        </w:r>
      </w:hyperlink>
    </w:p>
    <w:bookmarkEnd w:id="7"/>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Dredge, D., &amp; Jamal, T. (2015). Progress in tourism planning and policy: A post-structural perspective on knowledge production. Tourism Management, 51, 285–297. </w:t>
      </w:r>
      <w:hyperlink r:id="rId15" w:tgtFrame="_blank" w:history="1">
        <w:r w:rsidRPr="000116EE">
          <w:rPr>
            <w:rStyle w:val="Hyperlink"/>
            <w:rFonts w:ascii="Times New Roman" w:hAnsi="Times New Roman" w:cs="Times New Roman"/>
            <w:sz w:val="24"/>
            <w:szCs w:val="24"/>
          </w:rPr>
          <w:t>https://doi.org/10.1016/j.tourman.2015.06.002</w:t>
        </w:r>
      </w:hyperlink>
    </w:p>
    <w:p w:rsidR="00AC1A48" w:rsidRPr="000116EE" w:rsidRDefault="00AC1A4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Dwyer, L., &amp; Kim, C. (2003). Destination competitiveness: Determinants and indicators. Current Issues in Tourism, 6(5), 369–414. </w:t>
      </w:r>
      <w:hyperlink r:id="rId16" w:tgtFrame="_blank" w:history="1">
        <w:r w:rsidRPr="000116EE">
          <w:rPr>
            <w:rStyle w:val="Hyperlink"/>
            <w:rFonts w:ascii="Times New Roman" w:hAnsi="Times New Roman" w:cs="Times New Roman"/>
            <w:sz w:val="24"/>
            <w:szCs w:val="24"/>
          </w:rPr>
          <w:t>https://doi.org/10.1080/13683500308667962</w:t>
        </w:r>
      </w:hyperlink>
    </w:p>
    <w:p w:rsidR="00AC1A48" w:rsidRPr="000116EE" w:rsidRDefault="00AC1A4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Dwyer, L., Edwards, D., </w:t>
      </w:r>
      <w:proofErr w:type="spellStart"/>
      <w:r w:rsidRPr="000116EE">
        <w:rPr>
          <w:rFonts w:ascii="Times New Roman" w:hAnsi="Times New Roman" w:cs="Times New Roman"/>
          <w:sz w:val="24"/>
          <w:szCs w:val="24"/>
        </w:rPr>
        <w:t>Mistilis</w:t>
      </w:r>
      <w:proofErr w:type="spellEnd"/>
      <w:r w:rsidRPr="000116EE">
        <w:rPr>
          <w:rFonts w:ascii="Times New Roman" w:hAnsi="Times New Roman" w:cs="Times New Roman"/>
          <w:sz w:val="24"/>
          <w:szCs w:val="24"/>
        </w:rPr>
        <w:t xml:space="preserve">, N., Roman, C., &amp; Scott, N. (2009). Destination and enterprise management for a tourism future. Tourism Management, 30(1), 63–74. </w:t>
      </w:r>
      <w:hyperlink r:id="rId17" w:tgtFrame="_blank" w:history="1">
        <w:r w:rsidRPr="000116EE">
          <w:rPr>
            <w:rStyle w:val="Hyperlink"/>
            <w:rFonts w:ascii="Times New Roman" w:hAnsi="Times New Roman" w:cs="Times New Roman"/>
            <w:sz w:val="24"/>
            <w:szCs w:val="24"/>
          </w:rPr>
          <w:t>https://doi.org/10.1016/j.tourman.2008.04.002</w:t>
        </w:r>
      </w:hyperlink>
    </w:p>
    <w:p w:rsidR="00AC1A48" w:rsidRPr="000116EE" w:rsidRDefault="00AC1A4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Ellen MacArthur Foundation. (2019). Completing the picture: How the circular economy tackles climate change. Ellen MacArthur Foundation. </w:t>
      </w:r>
      <w:hyperlink r:id="rId18" w:tgtFrame="_blank" w:history="1">
        <w:r w:rsidRPr="000116EE">
          <w:rPr>
            <w:rStyle w:val="Hyperlink"/>
            <w:rFonts w:ascii="Times New Roman" w:hAnsi="Times New Roman" w:cs="Times New Roman"/>
            <w:sz w:val="24"/>
            <w:szCs w:val="24"/>
          </w:rPr>
          <w:t>https://www.ellenmacarthurfoundation.org/completing-the-picture</w:t>
        </w:r>
      </w:hyperlink>
    </w:p>
    <w:p w:rsidR="00AC1A48" w:rsidRPr="000116EE" w:rsidRDefault="00AC1A4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European Commission. (2025). INCIRCLE: Advancing circular economy in Mediterranean tourism. European Union Tourism Platform. </w:t>
      </w:r>
      <w:hyperlink r:id="rId19" w:tgtFrame="_blank" w:history="1">
        <w:r w:rsidRPr="000116EE">
          <w:rPr>
            <w:rStyle w:val="Hyperlink"/>
            <w:rFonts w:ascii="Times New Roman" w:hAnsi="Times New Roman" w:cs="Times New Roman"/>
            <w:sz w:val="24"/>
            <w:szCs w:val="24"/>
          </w:rPr>
          <w:t>https://tourism.ec.europa.eu/incircle-advancing-circular-economy-mediterranean-tourism</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Field, A. (2018). </w:t>
      </w:r>
      <w:r w:rsidRPr="000116EE">
        <w:rPr>
          <w:rStyle w:val="Emphasis"/>
          <w:rFonts w:ascii="Times New Roman" w:hAnsi="Times New Roman" w:cs="Times New Roman"/>
          <w:sz w:val="24"/>
          <w:szCs w:val="24"/>
        </w:rPr>
        <w:t>Discovering statistics using IBM SPSS statistics</w:t>
      </w:r>
      <w:r w:rsidRPr="000116EE">
        <w:rPr>
          <w:rFonts w:ascii="Times New Roman" w:hAnsi="Times New Roman" w:cs="Times New Roman"/>
          <w:sz w:val="24"/>
          <w:szCs w:val="24"/>
        </w:rPr>
        <w:t xml:space="preserve"> (5th ed.). Sage Publications.</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Fowler, F. J. (2014). </w:t>
      </w:r>
      <w:r w:rsidRPr="000116EE">
        <w:rPr>
          <w:rStyle w:val="Emphasis"/>
          <w:rFonts w:ascii="Times New Roman" w:hAnsi="Times New Roman" w:cs="Times New Roman"/>
          <w:sz w:val="24"/>
          <w:szCs w:val="24"/>
        </w:rPr>
        <w:t>Survey research methods</w:t>
      </w:r>
      <w:r w:rsidRPr="000116EE">
        <w:rPr>
          <w:rFonts w:ascii="Times New Roman" w:hAnsi="Times New Roman" w:cs="Times New Roman"/>
          <w:sz w:val="24"/>
          <w:szCs w:val="24"/>
        </w:rPr>
        <w:t xml:space="preserve"> (5th ed.). Sage Publications</w:t>
      </w:r>
    </w:p>
    <w:p w:rsidR="00AC1A48" w:rsidRPr="000116EE" w:rsidRDefault="00AC1A4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Freeman, R. E. (1984). Strategic management: A stakeholder approach. Pitman. </w:t>
      </w:r>
      <w:hyperlink w:tgtFrame="_blank" w:history="1">
        <w:r w:rsidRPr="000116EE">
          <w:rPr>
            <w:rStyle w:val="Hyperlink"/>
            <w:rFonts w:ascii="Times New Roman" w:hAnsi="Times New Roman" w:cs="Times New Roman"/>
            <w:sz w:val="24"/>
            <w:szCs w:val="24"/>
          </w:rPr>
          <w:t>https://doi.org/10.1017/CBO9781139192675</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t>Geissdoerfer</w:t>
      </w:r>
      <w:proofErr w:type="spellEnd"/>
      <w:r w:rsidRPr="000116EE">
        <w:rPr>
          <w:rFonts w:ascii="Times New Roman" w:hAnsi="Times New Roman" w:cs="Times New Roman"/>
          <w:sz w:val="24"/>
          <w:szCs w:val="24"/>
        </w:rPr>
        <w:t xml:space="preserve">, M., </w:t>
      </w:r>
      <w:proofErr w:type="spellStart"/>
      <w:r w:rsidRPr="000116EE">
        <w:rPr>
          <w:rFonts w:ascii="Times New Roman" w:hAnsi="Times New Roman" w:cs="Times New Roman"/>
          <w:sz w:val="24"/>
          <w:szCs w:val="24"/>
        </w:rPr>
        <w:t>Savaget</w:t>
      </w:r>
      <w:proofErr w:type="spellEnd"/>
      <w:r w:rsidRPr="000116EE">
        <w:rPr>
          <w:rFonts w:ascii="Times New Roman" w:hAnsi="Times New Roman" w:cs="Times New Roman"/>
          <w:sz w:val="24"/>
          <w:szCs w:val="24"/>
        </w:rPr>
        <w:t xml:space="preserve">, P., </w:t>
      </w:r>
      <w:proofErr w:type="spellStart"/>
      <w:r w:rsidRPr="000116EE">
        <w:rPr>
          <w:rFonts w:ascii="Times New Roman" w:hAnsi="Times New Roman" w:cs="Times New Roman"/>
          <w:sz w:val="24"/>
          <w:szCs w:val="24"/>
        </w:rPr>
        <w:t>Bocken</w:t>
      </w:r>
      <w:proofErr w:type="spellEnd"/>
      <w:r w:rsidRPr="000116EE">
        <w:rPr>
          <w:rFonts w:ascii="Times New Roman" w:hAnsi="Times New Roman" w:cs="Times New Roman"/>
          <w:sz w:val="24"/>
          <w:szCs w:val="24"/>
        </w:rPr>
        <w:t xml:space="preserve">, N. M. P., &amp; </w:t>
      </w:r>
      <w:proofErr w:type="spellStart"/>
      <w:r w:rsidRPr="000116EE">
        <w:rPr>
          <w:rFonts w:ascii="Times New Roman" w:hAnsi="Times New Roman" w:cs="Times New Roman"/>
          <w:sz w:val="24"/>
          <w:szCs w:val="24"/>
        </w:rPr>
        <w:t>Hultink</w:t>
      </w:r>
      <w:proofErr w:type="spellEnd"/>
      <w:r w:rsidRPr="000116EE">
        <w:rPr>
          <w:rFonts w:ascii="Times New Roman" w:hAnsi="Times New Roman" w:cs="Times New Roman"/>
          <w:sz w:val="24"/>
          <w:szCs w:val="24"/>
        </w:rPr>
        <w:t xml:space="preserve">, E. J. (2017). The circular economy: A new sustainability paradigm? </w:t>
      </w:r>
      <w:r w:rsidRPr="000116EE">
        <w:rPr>
          <w:rStyle w:val="Emphasis"/>
          <w:rFonts w:ascii="Times New Roman" w:hAnsi="Times New Roman" w:cs="Times New Roman"/>
          <w:sz w:val="24"/>
          <w:szCs w:val="24"/>
        </w:rPr>
        <w:t>Journal of Cleaner Production, 143</w:t>
      </w:r>
      <w:r w:rsidRPr="000116EE">
        <w:rPr>
          <w:rFonts w:ascii="Times New Roman" w:hAnsi="Times New Roman" w:cs="Times New Roman"/>
          <w:sz w:val="24"/>
          <w:szCs w:val="24"/>
        </w:rPr>
        <w:t>, 757</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768. </w:t>
      </w:r>
      <w:hyperlink r:id="rId20" w:tgtFrame="_new" w:history="1">
        <w:r w:rsidRPr="000116EE">
          <w:rPr>
            <w:rStyle w:val="Hyperlink"/>
            <w:rFonts w:ascii="Times New Roman" w:hAnsi="Times New Roman" w:cs="Times New Roman"/>
            <w:sz w:val="24"/>
            <w:szCs w:val="24"/>
          </w:rPr>
          <w:t>https://doi.org/10.1016/j.jclepro.2016.12.048</w:t>
        </w:r>
      </w:hyperlink>
    </w:p>
    <w:p w:rsidR="00AC1A48" w:rsidRPr="000116EE" w:rsidRDefault="00AC1A4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George, D., &amp; Mallery, P. (2020). IBM SPSS statistics 26 step by step: A simple guide and reference (16th ed.). Routledge. </w:t>
      </w:r>
      <w:hyperlink r:id="rId21" w:tgtFrame="_blank" w:history="1">
        <w:r w:rsidRPr="000116EE">
          <w:rPr>
            <w:rStyle w:val="Hyperlink"/>
            <w:rFonts w:ascii="Times New Roman" w:hAnsi="Times New Roman" w:cs="Times New Roman"/>
            <w:sz w:val="24"/>
            <w:szCs w:val="24"/>
          </w:rPr>
          <w:t>https://doi.org/10.4324/9780429056765</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t>Ghasemi</w:t>
      </w:r>
      <w:proofErr w:type="spellEnd"/>
      <w:r w:rsidRPr="000116EE">
        <w:rPr>
          <w:rFonts w:ascii="Times New Roman" w:hAnsi="Times New Roman" w:cs="Times New Roman"/>
          <w:sz w:val="24"/>
          <w:szCs w:val="24"/>
        </w:rPr>
        <w:t xml:space="preserve">, A., &amp; </w:t>
      </w:r>
      <w:proofErr w:type="spellStart"/>
      <w:r w:rsidRPr="000116EE">
        <w:rPr>
          <w:rFonts w:ascii="Times New Roman" w:hAnsi="Times New Roman" w:cs="Times New Roman"/>
          <w:sz w:val="24"/>
          <w:szCs w:val="24"/>
        </w:rPr>
        <w:t>Zahediasl</w:t>
      </w:r>
      <w:proofErr w:type="spellEnd"/>
      <w:r w:rsidRPr="000116EE">
        <w:rPr>
          <w:rFonts w:ascii="Times New Roman" w:hAnsi="Times New Roman" w:cs="Times New Roman"/>
          <w:sz w:val="24"/>
          <w:szCs w:val="24"/>
        </w:rPr>
        <w:t>, S. (2012). Normality tests for statistical analysis: A guide for non-statisticians. International Journal of Endocrinology and Metabolism, 10(2), 486</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489. </w:t>
      </w:r>
      <w:hyperlink r:id="rId22" w:tgtFrame="_blank" w:history="1">
        <w:r w:rsidRPr="000116EE">
          <w:rPr>
            <w:rStyle w:val="Hyperlink"/>
            <w:rFonts w:ascii="Times New Roman" w:hAnsi="Times New Roman" w:cs="Times New Roman"/>
            <w:sz w:val="24"/>
            <w:szCs w:val="24"/>
          </w:rPr>
          <w:t>https://doi.org/10.5812/ijem.3505</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Go</w:t>
      </w:r>
      <w:r w:rsidR="000116EE">
        <w:rPr>
          <w:rFonts w:ascii="Times New Roman" w:hAnsi="Times New Roman" w:cs="Times New Roman"/>
          <w:sz w:val="24"/>
          <w:szCs w:val="24"/>
          <w:lang w:val="en-US"/>
        </w:rPr>
        <w:t>K</w:t>
      </w:r>
      <w:r w:rsidRPr="000116EE">
        <w:rPr>
          <w:rFonts w:ascii="Times New Roman" w:hAnsi="Times New Roman" w:cs="Times New Roman"/>
          <w:sz w:val="24"/>
          <w:szCs w:val="24"/>
        </w:rPr>
        <w:t xml:space="preserve">. (2022). </w:t>
      </w:r>
      <w:r w:rsidRPr="000116EE">
        <w:rPr>
          <w:rStyle w:val="Emphasis"/>
          <w:rFonts w:ascii="Times New Roman" w:hAnsi="Times New Roman" w:cs="Times New Roman"/>
          <w:sz w:val="24"/>
          <w:szCs w:val="24"/>
        </w:rPr>
        <w:t>Kenya blue economy strategy and implementation plan 2022</w:t>
      </w:r>
      <w:r w:rsidR="00A760EE" w:rsidRPr="000116EE">
        <w:rPr>
          <w:rStyle w:val="Emphasis"/>
          <w:rFonts w:ascii="Times New Roman" w:hAnsi="Times New Roman" w:cs="Times New Roman"/>
          <w:sz w:val="24"/>
          <w:szCs w:val="24"/>
          <w:lang w:val="en-US"/>
        </w:rPr>
        <w:t>-</w:t>
      </w:r>
      <w:r w:rsidRPr="000116EE">
        <w:rPr>
          <w:rStyle w:val="Emphasis"/>
          <w:rFonts w:ascii="Times New Roman" w:hAnsi="Times New Roman" w:cs="Times New Roman"/>
          <w:sz w:val="24"/>
          <w:szCs w:val="24"/>
        </w:rPr>
        <w:t>2027</w:t>
      </w:r>
      <w:r w:rsidRPr="000116EE">
        <w:rPr>
          <w:rFonts w:ascii="Times New Roman" w:hAnsi="Times New Roman" w:cs="Times New Roman"/>
          <w:sz w:val="24"/>
          <w:szCs w:val="24"/>
        </w:rPr>
        <w:t>. Government Printer.</w:t>
      </w:r>
    </w:p>
    <w:p w:rsidR="00E3080A" w:rsidRPr="000116EE" w:rsidRDefault="00E3080A"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lang w:val="en-US"/>
        </w:rPr>
        <w:t>Go</w:t>
      </w:r>
      <w:r w:rsidR="000116EE">
        <w:rPr>
          <w:rFonts w:ascii="Times New Roman" w:hAnsi="Times New Roman" w:cs="Times New Roman"/>
          <w:sz w:val="24"/>
          <w:szCs w:val="24"/>
          <w:lang w:val="en-US"/>
        </w:rPr>
        <w:t>K</w:t>
      </w:r>
      <w:proofErr w:type="spellEnd"/>
      <w:r w:rsidRPr="000116EE">
        <w:rPr>
          <w:rFonts w:ascii="Times New Roman" w:hAnsi="Times New Roman" w:cs="Times New Roman"/>
          <w:sz w:val="24"/>
          <w:szCs w:val="24"/>
        </w:rPr>
        <w:t xml:space="preserve">. (2023). </w:t>
      </w:r>
      <w:r w:rsidRPr="000116EE">
        <w:rPr>
          <w:rStyle w:val="Emphasis"/>
          <w:rFonts w:ascii="Times New Roman" w:hAnsi="Times New Roman" w:cs="Times New Roman"/>
          <w:sz w:val="24"/>
          <w:szCs w:val="24"/>
        </w:rPr>
        <w:t>Kenya sustainable tourism agenda and policy framework</w:t>
      </w:r>
      <w:r w:rsidRPr="000116EE">
        <w:rPr>
          <w:rFonts w:ascii="Times New Roman" w:hAnsi="Times New Roman" w:cs="Times New Roman"/>
          <w:sz w:val="24"/>
          <w:szCs w:val="24"/>
        </w:rPr>
        <w:t>. Ministry of Tourism and Wildlife.</w:t>
      </w:r>
    </w:p>
    <w:p w:rsidR="00A760EE" w:rsidRPr="000116EE" w:rsidRDefault="00A760EE" w:rsidP="00B92540">
      <w:pPr>
        <w:pStyle w:val="NoSpacing"/>
        <w:numPr>
          <w:ilvl w:val="0"/>
          <w:numId w:val="11"/>
        </w:numPr>
        <w:jc w:val="both"/>
        <w:rPr>
          <w:rFonts w:ascii="Times New Roman" w:hAnsi="Times New Roman" w:cs="Times New Roman"/>
          <w:sz w:val="24"/>
          <w:szCs w:val="24"/>
        </w:rPr>
      </w:pPr>
      <w:bookmarkStart w:id="8" w:name="_Hlk231125213"/>
      <w:r w:rsidRPr="000116EE">
        <w:rPr>
          <w:rFonts w:ascii="Times New Roman" w:hAnsi="Times New Roman" w:cs="Times New Roman"/>
          <w:sz w:val="24"/>
          <w:szCs w:val="24"/>
        </w:rPr>
        <w:t xml:space="preserve">Hair, J. F., Black, W. C., </w:t>
      </w:r>
      <w:proofErr w:type="spellStart"/>
      <w:r w:rsidRPr="000116EE">
        <w:rPr>
          <w:rFonts w:ascii="Times New Roman" w:hAnsi="Times New Roman" w:cs="Times New Roman"/>
          <w:sz w:val="24"/>
          <w:szCs w:val="24"/>
        </w:rPr>
        <w:t>Babin</w:t>
      </w:r>
      <w:proofErr w:type="spellEnd"/>
      <w:r w:rsidRPr="000116EE">
        <w:rPr>
          <w:rFonts w:ascii="Times New Roman" w:hAnsi="Times New Roman" w:cs="Times New Roman"/>
          <w:sz w:val="24"/>
          <w:szCs w:val="24"/>
        </w:rPr>
        <w:t>, B. J., &amp; Anderson, R. E. (2019). Multivariate data analysis (8th ed.).</w:t>
      </w:r>
      <w:r w:rsidRPr="000116EE">
        <w:rPr>
          <w:rFonts w:ascii="Times New Roman" w:hAnsi="Times New Roman" w:cs="Times New Roman"/>
          <w:sz w:val="24"/>
          <w:szCs w:val="24"/>
          <w:lang w:val="en-US"/>
        </w:rPr>
        <w:t xml:space="preserve"> </w:t>
      </w:r>
      <w:r w:rsidRPr="000116EE">
        <w:rPr>
          <w:rFonts w:ascii="Times New Roman" w:hAnsi="Times New Roman" w:cs="Times New Roman"/>
          <w:sz w:val="24"/>
          <w:szCs w:val="24"/>
        </w:rPr>
        <w:t xml:space="preserve">Cengage Learning. </w:t>
      </w:r>
      <w:hyperlink r:id="rId23" w:history="1">
        <w:r w:rsidRPr="000116EE">
          <w:rPr>
            <w:rStyle w:val="Hyperlink"/>
            <w:rFonts w:ascii="Times New Roman" w:hAnsi="Times New Roman" w:cs="Times New Roman"/>
            <w:sz w:val="24"/>
            <w:szCs w:val="24"/>
          </w:rPr>
          <w:t>https://www.cengage.com/c/multivariate-data-analysis-8e-hair/9781473756540/</w:t>
        </w:r>
      </w:hyperlink>
    </w:p>
    <w:bookmarkEnd w:id="8"/>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Hall, C. M. (2011). Policy learning and policy failure in sustainable tourism governance: From first- and second-order to third-order change? </w:t>
      </w:r>
      <w:r w:rsidRPr="000116EE">
        <w:rPr>
          <w:rStyle w:val="Emphasis"/>
          <w:rFonts w:ascii="Times New Roman" w:hAnsi="Times New Roman" w:cs="Times New Roman"/>
          <w:sz w:val="24"/>
          <w:szCs w:val="24"/>
        </w:rPr>
        <w:t>Journal of Sustainable Tourism, 19</w:t>
      </w:r>
      <w:r w:rsidRPr="000116EE">
        <w:rPr>
          <w:rFonts w:ascii="Times New Roman" w:hAnsi="Times New Roman" w:cs="Times New Roman"/>
          <w:sz w:val="24"/>
          <w:szCs w:val="24"/>
        </w:rPr>
        <w:t>(4</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5), 649</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671. </w:t>
      </w:r>
      <w:hyperlink r:id="rId24" w:tgtFrame="_new" w:history="1">
        <w:r w:rsidRPr="000116EE">
          <w:rPr>
            <w:rStyle w:val="Hyperlink"/>
            <w:rFonts w:ascii="Times New Roman" w:hAnsi="Times New Roman" w:cs="Times New Roman"/>
            <w:sz w:val="24"/>
            <w:szCs w:val="24"/>
          </w:rPr>
          <w:t>https://doi.org/10.1080/09669582.2011.555555</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lastRenderedPageBreak/>
        <w:t>Harpe</w:t>
      </w:r>
      <w:proofErr w:type="spellEnd"/>
      <w:r w:rsidRPr="000116EE">
        <w:rPr>
          <w:rFonts w:ascii="Times New Roman" w:hAnsi="Times New Roman" w:cs="Times New Roman"/>
          <w:sz w:val="24"/>
          <w:szCs w:val="24"/>
        </w:rPr>
        <w:t>, S. E. (2015). How to analyze Likert and other rating scale data. Currents in Pharmacy Teaching and Learning, 7(6), 836</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850. </w:t>
      </w:r>
      <w:hyperlink r:id="rId25" w:tgtFrame="_blank" w:history="1">
        <w:r w:rsidRPr="000116EE">
          <w:rPr>
            <w:rStyle w:val="Hyperlink"/>
            <w:rFonts w:ascii="Times New Roman" w:hAnsi="Times New Roman" w:cs="Times New Roman"/>
            <w:sz w:val="24"/>
            <w:szCs w:val="24"/>
          </w:rPr>
          <w:t>https://doi.org/10.1016/j.cptl.2015.08.001</w:t>
        </w:r>
      </w:hyperlink>
    </w:p>
    <w:p w:rsidR="00A760EE" w:rsidRPr="000116EE" w:rsidRDefault="00A760EE"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Hayes, A. F. (2018). Introduction to mediation, moderation, and conditional process analysis: A regression-based approach (2nd ed.). Guilford Press.</w:t>
      </w:r>
    </w:p>
    <w:p w:rsidR="00A760EE" w:rsidRPr="000116EE" w:rsidRDefault="00A760EE"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Jamal, T. B., &amp; Getz, D. (1995). Collaboration theory and community tourism planning. Annals of Tourism Research, 22(1), 186–204. </w:t>
      </w:r>
      <w:hyperlink r:id="rId26" w:tgtFrame="_blank" w:history="1">
        <w:r w:rsidRPr="000116EE">
          <w:rPr>
            <w:rStyle w:val="Hyperlink"/>
            <w:rFonts w:ascii="Times New Roman" w:hAnsi="Times New Roman" w:cs="Times New Roman"/>
            <w:sz w:val="24"/>
            <w:szCs w:val="24"/>
          </w:rPr>
          <w:t>https://doi.org/10.1016/0160-7383(94)00067-3</w:t>
        </w:r>
      </w:hyperlink>
    </w:p>
    <w:p w:rsidR="00A760EE" w:rsidRPr="000116EE" w:rsidRDefault="00A760EE" w:rsidP="00B92540">
      <w:pPr>
        <w:pStyle w:val="NoSpacing"/>
        <w:numPr>
          <w:ilvl w:val="0"/>
          <w:numId w:val="11"/>
        </w:numPr>
        <w:jc w:val="both"/>
        <w:rPr>
          <w:rFonts w:ascii="Times New Roman" w:hAnsi="Times New Roman" w:cs="Times New Roman"/>
          <w:sz w:val="24"/>
          <w:szCs w:val="24"/>
        </w:rPr>
      </w:pPr>
      <w:bookmarkStart w:id="9" w:name="_Hlk231127935"/>
      <w:r w:rsidRPr="000116EE">
        <w:rPr>
          <w:rFonts w:ascii="Times New Roman" w:hAnsi="Times New Roman" w:cs="Times New Roman"/>
          <w:sz w:val="24"/>
          <w:szCs w:val="24"/>
        </w:rPr>
        <w:t xml:space="preserve">Joshi, A., Kale, S., </w:t>
      </w:r>
      <w:proofErr w:type="spellStart"/>
      <w:r w:rsidRPr="000116EE">
        <w:rPr>
          <w:rFonts w:ascii="Times New Roman" w:hAnsi="Times New Roman" w:cs="Times New Roman"/>
          <w:sz w:val="24"/>
          <w:szCs w:val="24"/>
        </w:rPr>
        <w:t>Chandel</w:t>
      </w:r>
      <w:proofErr w:type="spellEnd"/>
      <w:r w:rsidRPr="000116EE">
        <w:rPr>
          <w:rFonts w:ascii="Times New Roman" w:hAnsi="Times New Roman" w:cs="Times New Roman"/>
          <w:sz w:val="24"/>
          <w:szCs w:val="24"/>
        </w:rPr>
        <w:t>, S., &amp; Pal, D. K. (2015). Likert scale: Explored and explained. British Journal of Applied Science &amp; Technology, 7(4), 396</w:t>
      </w:r>
      <w:r w:rsidR="00F630C4">
        <w:rPr>
          <w:rFonts w:ascii="Times New Roman" w:hAnsi="Times New Roman" w:cs="Times New Roman"/>
          <w:sz w:val="24"/>
          <w:szCs w:val="24"/>
          <w:lang w:val="en-US"/>
        </w:rPr>
        <w:t>-</w:t>
      </w:r>
      <w:r w:rsidRPr="000116EE">
        <w:rPr>
          <w:rFonts w:ascii="Times New Roman" w:hAnsi="Times New Roman" w:cs="Times New Roman"/>
          <w:sz w:val="24"/>
          <w:szCs w:val="24"/>
        </w:rPr>
        <w:t xml:space="preserve">403. </w:t>
      </w:r>
      <w:hyperlink r:id="rId27" w:tgtFrame="_blank" w:history="1">
        <w:r w:rsidRPr="000116EE">
          <w:rPr>
            <w:rStyle w:val="Hyperlink"/>
            <w:rFonts w:ascii="Times New Roman" w:hAnsi="Times New Roman" w:cs="Times New Roman"/>
            <w:sz w:val="24"/>
            <w:szCs w:val="24"/>
          </w:rPr>
          <w:t>https://doi.org/10.9734/BJAST/2015/14975</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bookmarkStart w:id="10" w:name="_Hlk231127953"/>
      <w:bookmarkEnd w:id="9"/>
      <w:r w:rsidRPr="000116EE">
        <w:rPr>
          <w:rFonts w:ascii="Times New Roman" w:hAnsi="Times New Roman" w:cs="Times New Roman"/>
          <w:sz w:val="24"/>
          <w:szCs w:val="24"/>
        </w:rPr>
        <w:t xml:space="preserve">Kaiser, H. F. (1974). An index of factorial simplicity. </w:t>
      </w:r>
      <w:proofErr w:type="spellStart"/>
      <w:r w:rsidRPr="000116EE">
        <w:rPr>
          <w:rStyle w:val="Emphasis"/>
          <w:rFonts w:ascii="Times New Roman" w:hAnsi="Times New Roman" w:cs="Times New Roman"/>
          <w:sz w:val="24"/>
          <w:szCs w:val="24"/>
        </w:rPr>
        <w:t>Psychometrika</w:t>
      </w:r>
      <w:proofErr w:type="spellEnd"/>
      <w:r w:rsidRPr="000116EE">
        <w:rPr>
          <w:rStyle w:val="Emphasis"/>
          <w:rFonts w:ascii="Times New Roman" w:hAnsi="Times New Roman" w:cs="Times New Roman"/>
          <w:sz w:val="24"/>
          <w:szCs w:val="24"/>
        </w:rPr>
        <w:t>, 39</w:t>
      </w:r>
      <w:r w:rsidRPr="000116EE">
        <w:rPr>
          <w:rFonts w:ascii="Times New Roman" w:hAnsi="Times New Roman" w:cs="Times New Roman"/>
          <w:sz w:val="24"/>
          <w:szCs w:val="24"/>
        </w:rPr>
        <w:t>(1), 31</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36. </w:t>
      </w:r>
      <w:hyperlink r:id="rId28" w:tgtFrame="_new" w:history="1">
        <w:r w:rsidRPr="000116EE">
          <w:rPr>
            <w:rStyle w:val="Hyperlink"/>
            <w:rFonts w:ascii="Times New Roman" w:hAnsi="Times New Roman" w:cs="Times New Roman"/>
            <w:sz w:val="24"/>
            <w:szCs w:val="24"/>
          </w:rPr>
          <w:t>https://doi.org/10.1007/BF02291575</w:t>
        </w:r>
      </w:hyperlink>
    </w:p>
    <w:bookmarkEnd w:id="10"/>
    <w:p w:rsidR="00E3080A" w:rsidRPr="000116EE" w:rsidRDefault="00E3080A" w:rsidP="00B92540">
      <w:pPr>
        <w:pStyle w:val="NoSpacing"/>
        <w:numPr>
          <w:ilvl w:val="0"/>
          <w:numId w:val="11"/>
        </w:numPr>
        <w:jc w:val="both"/>
        <w:rPr>
          <w:rFonts w:ascii="Times New Roman" w:eastAsia="Times New Roman" w:hAnsi="Times New Roman" w:cs="Times New Roman"/>
          <w:sz w:val="24"/>
          <w:szCs w:val="24"/>
          <w:lang w:val="en-US" w:eastAsia="en-KE"/>
        </w:rPr>
      </w:pPr>
      <w:proofErr w:type="spellStart"/>
      <w:r w:rsidRPr="000116EE">
        <w:rPr>
          <w:rFonts w:ascii="Times New Roman" w:hAnsi="Times New Roman" w:cs="Times New Roman"/>
          <w:sz w:val="24"/>
          <w:szCs w:val="24"/>
        </w:rPr>
        <w:t>Kirchherr</w:t>
      </w:r>
      <w:proofErr w:type="spellEnd"/>
      <w:r w:rsidRPr="000116EE">
        <w:rPr>
          <w:rFonts w:ascii="Times New Roman" w:hAnsi="Times New Roman" w:cs="Times New Roman"/>
          <w:sz w:val="24"/>
          <w:szCs w:val="24"/>
        </w:rPr>
        <w:t xml:space="preserve">, J., </w:t>
      </w:r>
      <w:proofErr w:type="spellStart"/>
      <w:r w:rsidRPr="000116EE">
        <w:rPr>
          <w:rFonts w:ascii="Times New Roman" w:hAnsi="Times New Roman" w:cs="Times New Roman"/>
          <w:sz w:val="24"/>
          <w:szCs w:val="24"/>
        </w:rPr>
        <w:t>Reike</w:t>
      </w:r>
      <w:proofErr w:type="spellEnd"/>
      <w:r w:rsidRPr="000116EE">
        <w:rPr>
          <w:rFonts w:ascii="Times New Roman" w:hAnsi="Times New Roman" w:cs="Times New Roman"/>
          <w:sz w:val="24"/>
          <w:szCs w:val="24"/>
        </w:rPr>
        <w:t xml:space="preserve">, D., &amp; </w:t>
      </w:r>
      <w:proofErr w:type="spellStart"/>
      <w:r w:rsidRPr="000116EE">
        <w:rPr>
          <w:rFonts w:ascii="Times New Roman" w:hAnsi="Times New Roman" w:cs="Times New Roman"/>
          <w:sz w:val="24"/>
          <w:szCs w:val="24"/>
        </w:rPr>
        <w:t>Hekkert</w:t>
      </w:r>
      <w:proofErr w:type="spellEnd"/>
      <w:r w:rsidRPr="000116EE">
        <w:rPr>
          <w:rFonts w:ascii="Times New Roman" w:hAnsi="Times New Roman" w:cs="Times New Roman"/>
          <w:sz w:val="24"/>
          <w:szCs w:val="24"/>
        </w:rPr>
        <w:t>, M. (2017). Conceptualizing the circular economy: An analysis of 114 definitions. Resources, Conservation and Recycling, 127, 221</w:t>
      </w:r>
      <w:r w:rsidR="00A760EE"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232. </w:t>
      </w:r>
      <w:hyperlink w:tgtFrame="_blank" w:history="1">
        <w:r w:rsidRPr="000116EE">
          <w:rPr>
            <w:rStyle w:val="Hyperlink"/>
            <w:rFonts w:ascii="Times New Roman" w:hAnsi="Times New Roman" w:cs="Times New Roman"/>
            <w:sz w:val="24"/>
            <w:szCs w:val="24"/>
          </w:rPr>
          <w:t>https://doi.org/10.1016/j.resconrec.2017.09.005</w:t>
        </w:r>
      </w:hyperlink>
      <w:r w:rsidRPr="000116EE">
        <w:rPr>
          <w:rFonts w:ascii="Times New Roman" w:hAnsi="Times New Roman" w:cs="Times New Roman"/>
          <w:sz w:val="24"/>
          <w:szCs w:val="24"/>
          <w:lang w:val="en-US"/>
        </w:rPr>
        <w:t xml:space="preserve">  </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Kothari, C. R. (2004). </w:t>
      </w:r>
      <w:r w:rsidRPr="000116EE">
        <w:rPr>
          <w:rStyle w:val="Emphasis"/>
          <w:rFonts w:ascii="Times New Roman" w:hAnsi="Times New Roman" w:cs="Times New Roman"/>
          <w:sz w:val="24"/>
          <w:szCs w:val="24"/>
        </w:rPr>
        <w:t>Research methodology: Methods and techniques</w:t>
      </w:r>
      <w:r w:rsidRPr="000116EE">
        <w:rPr>
          <w:rFonts w:ascii="Times New Roman" w:hAnsi="Times New Roman" w:cs="Times New Roman"/>
          <w:sz w:val="24"/>
          <w:szCs w:val="24"/>
        </w:rPr>
        <w:t xml:space="preserve"> (2nd ed.). New Age International Publishers.</w:t>
      </w:r>
    </w:p>
    <w:p w:rsidR="00A760EE" w:rsidRPr="000116EE" w:rsidRDefault="00A760EE" w:rsidP="00B92540">
      <w:pPr>
        <w:pStyle w:val="NoSpacing"/>
        <w:numPr>
          <w:ilvl w:val="0"/>
          <w:numId w:val="11"/>
        </w:numPr>
        <w:jc w:val="both"/>
        <w:rPr>
          <w:rFonts w:ascii="Times New Roman" w:eastAsia="Times New Roman" w:hAnsi="Times New Roman" w:cs="Times New Roman"/>
          <w:sz w:val="24"/>
          <w:szCs w:val="24"/>
          <w:lang w:eastAsia="en-KE"/>
        </w:rPr>
      </w:pPr>
      <w:r w:rsidRPr="000116EE">
        <w:rPr>
          <w:rFonts w:ascii="Times New Roman" w:hAnsi="Times New Roman" w:cs="Times New Roman"/>
          <w:sz w:val="24"/>
          <w:szCs w:val="24"/>
        </w:rPr>
        <w:t>Mensah, I. (2019). Waste management practices of small hotels in Ghana: An application of the waste management hierarchy model. Journal of Global Business Insights, 4(1), 42</w:t>
      </w:r>
      <w:r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57. </w:t>
      </w:r>
    </w:p>
    <w:p w:rsidR="00A760EE" w:rsidRPr="000116EE" w:rsidRDefault="00A760EE"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Mol, A. P. J., &amp; </w:t>
      </w:r>
      <w:proofErr w:type="spellStart"/>
      <w:r w:rsidRPr="000116EE">
        <w:rPr>
          <w:rFonts w:ascii="Times New Roman" w:hAnsi="Times New Roman" w:cs="Times New Roman"/>
          <w:sz w:val="24"/>
          <w:szCs w:val="24"/>
        </w:rPr>
        <w:t>Spaargaren</w:t>
      </w:r>
      <w:proofErr w:type="spellEnd"/>
      <w:r w:rsidRPr="000116EE">
        <w:rPr>
          <w:rFonts w:ascii="Times New Roman" w:hAnsi="Times New Roman" w:cs="Times New Roman"/>
          <w:sz w:val="24"/>
          <w:szCs w:val="24"/>
        </w:rPr>
        <w:t xml:space="preserve">, G. (2000). Ecological modernization theory in debate: A review. Environmental Politics, 9(1), 17–49. </w:t>
      </w:r>
      <w:hyperlink r:id="rId29" w:tgtFrame="_blank" w:history="1">
        <w:r w:rsidRPr="000116EE">
          <w:rPr>
            <w:rStyle w:val="Hyperlink"/>
            <w:rFonts w:ascii="Times New Roman" w:hAnsi="Times New Roman" w:cs="Times New Roman"/>
            <w:sz w:val="24"/>
            <w:szCs w:val="24"/>
          </w:rPr>
          <w:t>https://doi.org/10.1080/09644010008414511</w:t>
        </w:r>
      </w:hyperlink>
    </w:p>
    <w:p w:rsidR="00E3080A"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National Environment Management Authority (NEMA). (2022). </w:t>
      </w:r>
      <w:r w:rsidRPr="000116EE">
        <w:rPr>
          <w:rStyle w:val="Emphasis"/>
          <w:rFonts w:ascii="Times New Roman" w:hAnsi="Times New Roman" w:cs="Times New Roman"/>
          <w:sz w:val="24"/>
          <w:szCs w:val="24"/>
        </w:rPr>
        <w:t>State of the coast report for Kenya</w:t>
      </w:r>
      <w:r w:rsidRPr="000116EE">
        <w:rPr>
          <w:rFonts w:ascii="Times New Roman" w:hAnsi="Times New Roman" w:cs="Times New Roman"/>
          <w:sz w:val="24"/>
          <w:szCs w:val="24"/>
        </w:rPr>
        <w:t>. NEMA.</w:t>
      </w:r>
    </w:p>
    <w:p w:rsidR="000E0F74" w:rsidRPr="000116EE" w:rsidRDefault="000E0F74" w:rsidP="00B92540">
      <w:pPr>
        <w:pStyle w:val="NoSpacing"/>
        <w:numPr>
          <w:ilvl w:val="0"/>
          <w:numId w:val="11"/>
        </w:numPr>
        <w:jc w:val="both"/>
        <w:rPr>
          <w:rFonts w:ascii="Times New Roman" w:hAnsi="Times New Roman" w:cs="Times New Roman"/>
          <w:sz w:val="24"/>
          <w:szCs w:val="24"/>
        </w:rPr>
      </w:pPr>
      <w:r w:rsidRPr="000E0F74">
        <w:rPr>
          <w:rFonts w:ascii="Times New Roman" w:hAnsi="Times New Roman" w:cs="Times New Roman"/>
          <w:bCs/>
          <w:sz w:val="24"/>
          <w:szCs w:val="24"/>
        </w:rPr>
        <w:t>Mugenda, O. M., &amp; Mugenda, A. G. (2003).</w:t>
      </w:r>
      <w:r w:rsidRPr="000E0F74">
        <w:rPr>
          <w:rFonts w:ascii="Times New Roman" w:hAnsi="Times New Roman" w:cs="Times New Roman"/>
          <w:sz w:val="24"/>
          <w:szCs w:val="24"/>
        </w:rPr>
        <w:t xml:space="preserve"> </w:t>
      </w:r>
      <w:r w:rsidRPr="000E0F74">
        <w:rPr>
          <w:rFonts w:ascii="Times New Roman" w:hAnsi="Times New Roman" w:cs="Times New Roman"/>
          <w:i/>
          <w:iCs/>
          <w:sz w:val="24"/>
          <w:szCs w:val="24"/>
        </w:rPr>
        <w:t>Research Methods: Quantitative and Qualitative</w:t>
      </w:r>
      <w:r>
        <w:rPr>
          <w:rFonts w:ascii="Times New Roman" w:hAnsi="Times New Roman" w:cs="Times New Roman"/>
          <w:i/>
          <w:iCs/>
          <w:sz w:val="24"/>
          <w:szCs w:val="24"/>
          <w:lang w:val="en-US"/>
        </w:rPr>
        <w:t xml:space="preserve"> </w:t>
      </w:r>
      <w:r w:rsidRPr="000E0F74">
        <w:rPr>
          <w:rFonts w:ascii="Times New Roman" w:hAnsi="Times New Roman" w:cs="Times New Roman"/>
          <w:i/>
          <w:iCs/>
          <w:sz w:val="24"/>
          <w:szCs w:val="24"/>
        </w:rPr>
        <w:t>Approaches.</w:t>
      </w:r>
      <w:r w:rsidRPr="000E0F74">
        <w:rPr>
          <w:rFonts w:ascii="Times New Roman" w:hAnsi="Times New Roman" w:cs="Times New Roman"/>
          <w:sz w:val="24"/>
          <w:szCs w:val="24"/>
        </w:rPr>
        <w:t xml:space="preserve"> African Centre for Technology Studies (ACTS) Press.</w:t>
      </w:r>
    </w:p>
    <w:p w:rsidR="00114898" w:rsidRPr="000116EE" w:rsidRDefault="00114898"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t>Nibigira</w:t>
      </w:r>
      <w:proofErr w:type="spellEnd"/>
      <w:r w:rsidRPr="000116EE">
        <w:rPr>
          <w:rFonts w:ascii="Times New Roman" w:hAnsi="Times New Roman" w:cs="Times New Roman"/>
          <w:sz w:val="24"/>
          <w:szCs w:val="24"/>
        </w:rPr>
        <w:t xml:space="preserve">, C. (2023). Sustainable tourism governance and environmental conservation in Rwanda. African Journal of Hospitality, Tourism and Leisure, 12(2), 512–526. </w:t>
      </w:r>
    </w:p>
    <w:p w:rsidR="003F00C5" w:rsidRPr="000116EE" w:rsidRDefault="003F00C5"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Njoroge, J. M., </w:t>
      </w:r>
      <w:proofErr w:type="spellStart"/>
      <w:r w:rsidRPr="000116EE">
        <w:rPr>
          <w:rFonts w:ascii="Times New Roman" w:hAnsi="Times New Roman" w:cs="Times New Roman"/>
          <w:sz w:val="24"/>
          <w:szCs w:val="24"/>
        </w:rPr>
        <w:t>Atieno</w:t>
      </w:r>
      <w:proofErr w:type="spellEnd"/>
      <w:r w:rsidRPr="000116EE">
        <w:rPr>
          <w:rFonts w:ascii="Times New Roman" w:hAnsi="Times New Roman" w:cs="Times New Roman"/>
          <w:sz w:val="24"/>
          <w:szCs w:val="24"/>
        </w:rPr>
        <w:t>, L., &amp; Do Valle, P. O. (2023). Sustainable tourism governance and stakeholder collaboration in coastal destinations in Kenya. African Journal of Hospitality, Tourism and Leisure, 12(4), 1187</w:t>
      </w:r>
      <w:r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1203. </w:t>
      </w:r>
    </w:p>
    <w:p w:rsidR="00C67B84" w:rsidRPr="00B92540" w:rsidRDefault="00C67B84" w:rsidP="00B92540">
      <w:pPr>
        <w:pStyle w:val="NoSpacing"/>
        <w:numPr>
          <w:ilvl w:val="0"/>
          <w:numId w:val="11"/>
        </w:numPr>
        <w:jc w:val="both"/>
        <w:rPr>
          <w:rFonts w:ascii="Times New Roman" w:hAnsi="Times New Roman" w:cs="Times New Roman"/>
          <w:sz w:val="24"/>
          <w:szCs w:val="24"/>
        </w:rPr>
      </w:pPr>
      <w:r w:rsidRPr="00B92540">
        <w:rPr>
          <w:rFonts w:ascii="Times New Roman" w:hAnsi="Times New Roman" w:cs="Times New Roman"/>
          <w:sz w:val="24"/>
          <w:szCs w:val="24"/>
        </w:rPr>
        <w:t xml:space="preserve">Nunnally, J. C., &amp; Bernstein, I. H. (1994). Psychometric theory (3rd ed.). McGraw-Hill. </w:t>
      </w:r>
    </w:p>
    <w:p w:rsidR="00301AA0" w:rsidRPr="000116EE" w:rsidRDefault="00301AA0"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Odhiambo, G. O., </w:t>
      </w:r>
      <w:proofErr w:type="spellStart"/>
      <w:r w:rsidRPr="000116EE">
        <w:rPr>
          <w:rFonts w:ascii="Times New Roman" w:hAnsi="Times New Roman" w:cs="Times New Roman"/>
          <w:sz w:val="24"/>
          <w:szCs w:val="24"/>
        </w:rPr>
        <w:t>Akivaga</w:t>
      </w:r>
      <w:proofErr w:type="spellEnd"/>
      <w:r w:rsidRPr="000116EE">
        <w:rPr>
          <w:rFonts w:ascii="Times New Roman" w:hAnsi="Times New Roman" w:cs="Times New Roman"/>
          <w:sz w:val="24"/>
          <w:szCs w:val="24"/>
        </w:rPr>
        <w:t xml:space="preserve">, G., &amp; </w:t>
      </w:r>
      <w:proofErr w:type="spellStart"/>
      <w:r w:rsidRPr="000116EE">
        <w:rPr>
          <w:rFonts w:ascii="Times New Roman" w:hAnsi="Times New Roman" w:cs="Times New Roman"/>
          <w:sz w:val="24"/>
          <w:szCs w:val="24"/>
        </w:rPr>
        <w:t>Okeyo</w:t>
      </w:r>
      <w:proofErr w:type="spellEnd"/>
      <w:r w:rsidRPr="000116EE">
        <w:rPr>
          <w:rFonts w:ascii="Times New Roman" w:hAnsi="Times New Roman" w:cs="Times New Roman"/>
          <w:sz w:val="24"/>
          <w:szCs w:val="24"/>
        </w:rPr>
        <w:t xml:space="preserve">, D. O. (2023). Circular economy practices and environmental sustainability of star-rated hotels in Kenya. Journal of Tourism and Sustainable Development, 5(1), 45–62. </w:t>
      </w:r>
    </w:p>
    <w:p w:rsidR="00E3080A" w:rsidRPr="000116EE" w:rsidRDefault="00E3080A" w:rsidP="00B92540">
      <w:pPr>
        <w:pStyle w:val="NoSpacing"/>
        <w:numPr>
          <w:ilvl w:val="0"/>
          <w:numId w:val="11"/>
        </w:numPr>
        <w:jc w:val="both"/>
        <w:rPr>
          <w:rFonts w:ascii="Times New Roman" w:hAnsi="Times New Roman" w:cs="Times New Roman"/>
          <w:sz w:val="24"/>
          <w:szCs w:val="24"/>
          <w:lang w:val="en-US"/>
        </w:rPr>
      </w:pPr>
      <w:proofErr w:type="spellStart"/>
      <w:r w:rsidRPr="000116EE">
        <w:rPr>
          <w:rFonts w:ascii="Times New Roman" w:hAnsi="Times New Roman" w:cs="Times New Roman"/>
          <w:sz w:val="24"/>
          <w:szCs w:val="24"/>
        </w:rPr>
        <w:t>Ogutu</w:t>
      </w:r>
      <w:proofErr w:type="spellEnd"/>
      <w:r w:rsidRPr="000116EE">
        <w:rPr>
          <w:rFonts w:ascii="Times New Roman" w:hAnsi="Times New Roman" w:cs="Times New Roman"/>
          <w:sz w:val="24"/>
          <w:szCs w:val="24"/>
        </w:rPr>
        <w:t xml:space="preserve">, M. O., </w:t>
      </w:r>
      <w:proofErr w:type="spellStart"/>
      <w:r w:rsidRPr="000116EE">
        <w:rPr>
          <w:rFonts w:ascii="Times New Roman" w:hAnsi="Times New Roman" w:cs="Times New Roman"/>
          <w:sz w:val="24"/>
          <w:szCs w:val="24"/>
        </w:rPr>
        <w:t>Akor</w:t>
      </w:r>
      <w:proofErr w:type="spellEnd"/>
      <w:r w:rsidRPr="000116EE">
        <w:rPr>
          <w:rFonts w:ascii="Times New Roman" w:hAnsi="Times New Roman" w:cs="Times New Roman"/>
          <w:sz w:val="24"/>
          <w:szCs w:val="24"/>
        </w:rPr>
        <w:t xml:space="preserve">, J., </w:t>
      </w:r>
      <w:proofErr w:type="spellStart"/>
      <w:r w:rsidRPr="000116EE">
        <w:rPr>
          <w:rFonts w:ascii="Times New Roman" w:hAnsi="Times New Roman" w:cs="Times New Roman"/>
          <w:sz w:val="24"/>
          <w:szCs w:val="24"/>
        </w:rPr>
        <w:t>Mulindwa</w:t>
      </w:r>
      <w:proofErr w:type="spellEnd"/>
      <w:r w:rsidRPr="000116EE">
        <w:rPr>
          <w:rFonts w:ascii="Times New Roman" w:hAnsi="Times New Roman" w:cs="Times New Roman"/>
          <w:sz w:val="24"/>
          <w:szCs w:val="24"/>
        </w:rPr>
        <w:t xml:space="preserve">, M. S., </w:t>
      </w:r>
      <w:proofErr w:type="spellStart"/>
      <w:r w:rsidRPr="000116EE">
        <w:rPr>
          <w:rFonts w:ascii="Times New Roman" w:hAnsi="Times New Roman" w:cs="Times New Roman"/>
          <w:sz w:val="24"/>
          <w:szCs w:val="24"/>
        </w:rPr>
        <w:t>Heshima</w:t>
      </w:r>
      <w:proofErr w:type="spellEnd"/>
      <w:r w:rsidRPr="000116EE">
        <w:rPr>
          <w:rFonts w:ascii="Times New Roman" w:hAnsi="Times New Roman" w:cs="Times New Roman"/>
          <w:sz w:val="24"/>
          <w:szCs w:val="24"/>
        </w:rPr>
        <w:t xml:space="preserve">, O., &amp; </w:t>
      </w:r>
      <w:proofErr w:type="spellStart"/>
      <w:r w:rsidRPr="000116EE">
        <w:rPr>
          <w:rFonts w:ascii="Times New Roman" w:hAnsi="Times New Roman" w:cs="Times New Roman"/>
          <w:sz w:val="24"/>
          <w:szCs w:val="24"/>
        </w:rPr>
        <w:t>Nsengimana</w:t>
      </w:r>
      <w:proofErr w:type="spellEnd"/>
      <w:r w:rsidRPr="000116EE">
        <w:rPr>
          <w:rFonts w:ascii="Times New Roman" w:hAnsi="Times New Roman" w:cs="Times New Roman"/>
          <w:sz w:val="24"/>
          <w:szCs w:val="24"/>
        </w:rPr>
        <w:t xml:space="preserve">, C. (2023). Implementing circular economy and sustainability policies in Rwanda: Experiences of Rwandan manufacturers with the plastic ban policy. Frontiers in Sustainability, 4, Article 1092107. </w:t>
      </w:r>
      <w:hyperlink w:tgtFrame="_blank" w:history="1">
        <w:r w:rsidRPr="000116EE">
          <w:rPr>
            <w:rStyle w:val="Hyperlink"/>
            <w:rFonts w:ascii="Times New Roman" w:hAnsi="Times New Roman" w:cs="Times New Roman"/>
            <w:sz w:val="24"/>
            <w:szCs w:val="24"/>
          </w:rPr>
          <w:t>https://doi.org/10.3389/frsus.2023.1092107</w:t>
        </w:r>
      </w:hyperlink>
      <w:r w:rsidRPr="000116EE">
        <w:rPr>
          <w:rFonts w:ascii="Times New Roman" w:hAnsi="Times New Roman" w:cs="Times New Roman"/>
          <w:sz w:val="24"/>
          <w:szCs w:val="24"/>
          <w:lang w:val="en-US"/>
        </w:rPr>
        <w:t xml:space="preserve"> </w:t>
      </w:r>
    </w:p>
    <w:p w:rsidR="00F06838" w:rsidRPr="000116EE" w:rsidRDefault="00F06838" w:rsidP="00B92540">
      <w:pPr>
        <w:pStyle w:val="NoSpacing"/>
        <w:numPr>
          <w:ilvl w:val="0"/>
          <w:numId w:val="11"/>
        </w:numPr>
        <w:jc w:val="both"/>
        <w:rPr>
          <w:rFonts w:ascii="Times New Roman" w:hAnsi="Times New Roman" w:cs="Times New Roman"/>
          <w:sz w:val="24"/>
          <w:szCs w:val="24"/>
        </w:rPr>
      </w:pPr>
      <w:r w:rsidRPr="000116EE">
        <w:rPr>
          <w:rStyle w:val="citation-64"/>
          <w:rFonts w:ascii="Times New Roman" w:hAnsi="Times New Roman" w:cs="Times New Roman"/>
          <w:sz w:val="24"/>
          <w:szCs w:val="24"/>
        </w:rPr>
        <w:t xml:space="preserve">Potting, J., </w:t>
      </w:r>
      <w:proofErr w:type="spellStart"/>
      <w:r w:rsidRPr="000116EE">
        <w:rPr>
          <w:rStyle w:val="citation-64"/>
          <w:rFonts w:ascii="Times New Roman" w:hAnsi="Times New Roman" w:cs="Times New Roman"/>
          <w:sz w:val="24"/>
          <w:szCs w:val="24"/>
        </w:rPr>
        <w:t>Hekkert</w:t>
      </w:r>
      <w:proofErr w:type="spellEnd"/>
      <w:r w:rsidRPr="000116EE">
        <w:rPr>
          <w:rStyle w:val="citation-64"/>
          <w:rFonts w:ascii="Times New Roman" w:hAnsi="Times New Roman" w:cs="Times New Roman"/>
          <w:sz w:val="24"/>
          <w:szCs w:val="24"/>
        </w:rPr>
        <w:t xml:space="preserve">, M., Worrell, E., &amp; </w:t>
      </w:r>
      <w:proofErr w:type="spellStart"/>
      <w:r w:rsidRPr="000116EE">
        <w:rPr>
          <w:rStyle w:val="citation-64"/>
          <w:rFonts w:ascii="Times New Roman" w:hAnsi="Times New Roman" w:cs="Times New Roman"/>
          <w:sz w:val="24"/>
          <w:szCs w:val="24"/>
        </w:rPr>
        <w:t>Hanemaaijer</w:t>
      </w:r>
      <w:proofErr w:type="spellEnd"/>
      <w:r w:rsidRPr="000116EE">
        <w:rPr>
          <w:rStyle w:val="citation-64"/>
          <w:rFonts w:ascii="Times New Roman" w:hAnsi="Times New Roman" w:cs="Times New Roman"/>
          <w:sz w:val="24"/>
          <w:szCs w:val="24"/>
        </w:rPr>
        <w:t xml:space="preserve">, A. (2017). </w:t>
      </w:r>
      <w:r w:rsidRPr="000116EE">
        <w:rPr>
          <w:rStyle w:val="citation-64"/>
          <w:rFonts w:ascii="Times New Roman" w:hAnsi="Times New Roman" w:cs="Times New Roman"/>
          <w:i/>
          <w:iCs/>
          <w:sz w:val="24"/>
          <w:szCs w:val="24"/>
        </w:rPr>
        <w:t>Circular economy: Measuring innovation in the product chain</w:t>
      </w:r>
      <w:r w:rsidRPr="000116EE">
        <w:rPr>
          <w:rStyle w:val="citation-64"/>
          <w:rFonts w:ascii="Times New Roman" w:hAnsi="Times New Roman" w:cs="Times New Roman"/>
          <w:sz w:val="24"/>
          <w:szCs w:val="24"/>
        </w:rPr>
        <w:t xml:space="preserve"> (Policy Report No. 2544). PBL Netherlands Environmental Assessment Agency. </w:t>
      </w:r>
      <w:hyperlink r:id="rId30" w:tgtFrame="_blank" w:history="1">
        <w:r w:rsidRPr="000116EE">
          <w:rPr>
            <w:rStyle w:val="citation-64"/>
            <w:rFonts w:ascii="Times New Roman" w:hAnsi="Times New Roman" w:cs="Times New Roman"/>
            <w:color w:val="0000FF"/>
            <w:sz w:val="24"/>
            <w:szCs w:val="24"/>
            <w:u w:val="single"/>
          </w:rPr>
          <w:t>https://www.pbl.nl/en/publications/circular-economy-measuring-innovation-in-product-chain</w:t>
        </w:r>
        <w:r w:rsidRPr="000116EE">
          <w:rPr>
            <w:rStyle w:val="Hyperlink"/>
            <w:rFonts w:ascii="Times New Roman" w:hAnsi="Times New Roman" w:cs="Times New Roman"/>
            <w:sz w:val="24"/>
            <w:szCs w:val="24"/>
          </w:rPr>
          <w:t>s</w:t>
        </w:r>
      </w:hyperlink>
    </w:p>
    <w:p w:rsidR="00F06838" w:rsidRPr="000116EE" w:rsidRDefault="00F06838" w:rsidP="00B92540">
      <w:pPr>
        <w:pStyle w:val="NoSpacing"/>
        <w:numPr>
          <w:ilvl w:val="0"/>
          <w:numId w:val="11"/>
        </w:numPr>
        <w:jc w:val="both"/>
        <w:rPr>
          <w:rFonts w:ascii="Times New Roman" w:hAnsi="Times New Roman" w:cs="Times New Roman"/>
          <w:sz w:val="24"/>
          <w:szCs w:val="24"/>
        </w:rPr>
      </w:pPr>
      <w:r w:rsidRPr="000116EE">
        <w:rPr>
          <w:rStyle w:val="citation-97"/>
          <w:rFonts w:ascii="Times New Roman" w:hAnsi="Times New Roman" w:cs="Times New Roman"/>
          <w:sz w:val="24"/>
          <w:szCs w:val="24"/>
        </w:rPr>
        <w:t xml:space="preserve">Pulido-Fernández, J. I., Cárdenas-García, P. J., &amp; Espinosa-Pulido, J. A. (2019). Does environmental sustainability contribute to tourism growth? An analysis at the country level. </w:t>
      </w:r>
      <w:r w:rsidRPr="000116EE">
        <w:rPr>
          <w:rStyle w:val="citation-97"/>
          <w:rFonts w:ascii="Times New Roman" w:hAnsi="Times New Roman" w:cs="Times New Roman"/>
          <w:i/>
          <w:iCs/>
          <w:sz w:val="24"/>
          <w:szCs w:val="24"/>
        </w:rPr>
        <w:t>Journal of Cleaner Production</w:t>
      </w:r>
      <w:r w:rsidRPr="000116EE">
        <w:rPr>
          <w:rStyle w:val="citation-97"/>
          <w:rFonts w:ascii="Times New Roman" w:hAnsi="Times New Roman" w:cs="Times New Roman"/>
          <w:sz w:val="24"/>
          <w:szCs w:val="24"/>
        </w:rPr>
        <w:t xml:space="preserve">, </w:t>
      </w:r>
      <w:r w:rsidRPr="000116EE">
        <w:rPr>
          <w:rStyle w:val="citation-97"/>
          <w:rFonts w:ascii="Times New Roman" w:hAnsi="Times New Roman" w:cs="Times New Roman"/>
          <w:i/>
          <w:iCs/>
          <w:sz w:val="24"/>
          <w:szCs w:val="24"/>
        </w:rPr>
        <w:t>213</w:t>
      </w:r>
      <w:r w:rsidRPr="000116EE">
        <w:rPr>
          <w:rStyle w:val="citation-97"/>
          <w:rFonts w:ascii="Times New Roman" w:hAnsi="Times New Roman" w:cs="Times New Roman"/>
          <w:sz w:val="24"/>
          <w:szCs w:val="24"/>
        </w:rPr>
        <w:t>, 309</w:t>
      </w:r>
      <w:r w:rsidRPr="000116EE">
        <w:rPr>
          <w:rStyle w:val="citation-97"/>
          <w:rFonts w:ascii="Times New Roman" w:hAnsi="Times New Roman" w:cs="Times New Roman"/>
          <w:sz w:val="24"/>
          <w:szCs w:val="24"/>
          <w:lang w:val="en-US"/>
        </w:rPr>
        <w:t>-</w:t>
      </w:r>
      <w:r w:rsidRPr="000116EE">
        <w:rPr>
          <w:rStyle w:val="citation-97"/>
          <w:rFonts w:ascii="Times New Roman" w:hAnsi="Times New Roman" w:cs="Times New Roman"/>
          <w:sz w:val="24"/>
          <w:szCs w:val="24"/>
        </w:rPr>
        <w:t xml:space="preserve">319. </w:t>
      </w:r>
      <w:hyperlink r:id="rId31" w:tgtFrame="_blank" w:history="1">
        <w:r w:rsidRPr="000116EE">
          <w:rPr>
            <w:rStyle w:val="citation-97"/>
            <w:rFonts w:ascii="Times New Roman" w:hAnsi="Times New Roman" w:cs="Times New Roman"/>
            <w:color w:val="0000FF"/>
            <w:sz w:val="24"/>
            <w:szCs w:val="24"/>
            <w:u w:val="single"/>
          </w:rPr>
          <w:t>https://doi.org/10.1016/j.jclepro.2018.</w:t>
        </w:r>
        <w:r w:rsidRPr="000116EE">
          <w:rPr>
            <w:rStyle w:val="Hyperlink"/>
            <w:rFonts w:ascii="Times New Roman" w:hAnsi="Times New Roman" w:cs="Times New Roman"/>
            <w:sz w:val="24"/>
            <w:szCs w:val="24"/>
          </w:rPr>
          <w:t>12.151</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Rodríguez, C., </w:t>
      </w:r>
      <w:proofErr w:type="spellStart"/>
      <w:r w:rsidRPr="000116EE">
        <w:rPr>
          <w:rFonts w:ascii="Times New Roman" w:hAnsi="Times New Roman" w:cs="Times New Roman"/>
          <w:sz w:val="24"/>
          <w:szCs w:val="24"/>
        </w:rPr>
        <w:t>Florido</w:t>
      </w:r>
      <w:proofErr w:type="spellEnd"/>
      <w:r w:rsidRPr="000116EE">
        <w:rPr>
          <w:rFonts w:ascii="Times New Roman" w:hAnsi="Times New Roman" w:cs="Times New Roman"/>
          <w:sz w:val="24"/>
          <w:szCs w:val="24"/>
        </w:rPr>
        <w:t xml:space="preserve">, C., &amp; Jacob, M. (2020). Circular economy contributions to the tourism sector: A critical literature review. </w:t>
      </w:r>
      <w:r w:rsidRPr="000116EE">
        <w:rPr>
          <w:rStyle w:val="Emphasis"/>
          <w:rFonts w:ascii="Times New Roman" w:hAnsi="Times New Roman" w:cs="Times New Roman"/>
          <w:sz w:val="24"/>
          <w:szCs w:val="24"/>
        </w:rPr>
        <w:t>Sustainability, 12</w:t>
      </w:r>
      <w:r w:rsidRPr="000116EE">
        <w:rPr>
          <w:rFonts w:ascii="Times New Roman" w:hAnsi="Times New Roman" w:cs="Times New Roman"/>
          <w:sz w:val="24"/>
          <w:szCs w:val="24"/>
        </w:rPr>
        <w:t xml:space="preserve">(11), 4338. </w:t>
      </w:r>
      <w:hyperlink r:id="rId32" w:tgtFrame="_new" w:history="1">
        <w:r w:rsidRPr="000116EE">
          <w:rPr>
            <w:rStyle w:val="Hyperlink"/>
            <w:rFonts w:ascii="Times New Roman" w:hAnsi="Times New Roman" w:cs="Times New Roman"/>
            <w:sz w:val="24"/>
            <w:szCs w:val="24"/>
          </w:rPr>
          <w:t>https://doi.org/10.3390/su12114338</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Saunders, M., Lewis, P., &amp; Thornhill, A. (2019). </w:t>
      </w:r>
      <w:r w:rsidRPr="000116EE">
        <w:rPr>
          <w:rStyle w:val="Emphasis"/>
          <w:rFonts w:ascii="Times New Roman" w:hAnsi="Times New Roman" w:cs="Times New Roman"/>
          <w:sz w:val="24"/>
          <w:szCs w:val="24"/>
        </w:rPr>
        <w:t>Research methods for business students</w:t>
      </w:r>
      <w:r w:rsidRPr="000116EE">
        <w:rPr>
          <w:rFonts w:ascii="Times New Roman" w:hAnsi="Times New Roman" w:cs="Times New Roman"/>
          <w:sz w:val="24"/>
          <w:szCs w:val="24"/>
        </w:rPr>
        <w:t xml:space="preserve"> (8th ed.). Pearson Education.</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Schober, P., Boer, C., &amp; </w:t>
      </w:r>
      <w:proofErr w:type="spellStart"/>
      <w:r w:rsidRPr="000116EE">
        <w:rPr>
          <w:rFonts w:ascii="Times New Roman" w:hAnsi="Times New Roman" w:cs="Times New Roman"/>
          <w:sz w:val="24"/>
          <w:szCs w:val="24"/>
        </w:rPr>
        <w:t>Schwarte</w:t>
      </w:r>
      <w:proofErr w:type="spellEnd"/>
      <w:r w:rsidRPr="000116EE">
        <w:rPr>
          <w:rFonts w:ascii="Times New Roman" w:hAnsi="Times New Roman" w:cs="Times New Roman"/>
          <w:sz w:val="24"/>
          <w:szCs w:val="24"/>
        </w:rPr>
        <w:t xml:space="preserve">, L. A. (2018). Correlation coefficients: Appropriate use and interpretation. </w:t>
      </w:r>
      <w:proofErr w:type="spellStart"/>
      <w:r w:rsidRPr="000116EE">
        <w:rPr>
          <w:rStyle w:val="Emphasis"/>
          <w:rFonts w:ascii="Times New Roman" w:hAnsi="Times New Roman" w:cs="Times New Roman"/>
          <w:sz w:val="24"/>
          <w:szCs w:val="24"/>
        </w:rPr>
        <w:t>Anesthesia</w:t>
      </w:r>
      <w:proofErr w:type="spellEnd"/>
      <w:r w:rsidRPr="000116EE">
        <w:rPr>
          <w:rStyle w:val="Emphasis"/>
          <w:rFonts w:ascii="Times New Roman" w:hAnsi="Times New Roman" w:cs="Times New Roman"/>
          <w:sz w:val="24"/>
          <w:szCs w:val="24"/>
        </w:rPr>
        <w:t xml:space="preserve"> &amp; Analgesia, 126</w:t>
      </w:r>
      <w:r w:rsidRPr="000116EE">
        <w:rPr>
          <w:rFonts w:ascii="Times New Roman" w:hAnsi="Times New Roman" w:cs="Times New Roman"/>
          <w:sz w:val="24"/>
          <w:szCs w:val="24"/>
        </w:rPr>
        <w:t>(5), 1763</w:t>
      </w:r>
      <w:r w:rsidR="00F06838"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1768. </w:t>
      </w:r>
      <w:hyperlink r:id="rId33" w:tgtFrame="_new" w:history="1">
        <w:r w:rsidRPr="000116EE">
          <w:rPr>
            <w:rStyle w:val="Hyperlink"/>
            <w:rFonts w:ascii="Times New Roman" w:hAnsi="Times New Roman" w:cs="Times New Roman"/>
            <w:sz w:val="24"/>
            <w:szCs w:val="24"/>
          </w:rPr>
          <w:t>https://doi.org/10.1213/ANE.0000000000002864</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Scott, W. R. (2008). </w:t>
      </w:r>
      <w:r w:rsidRPr="000116EE">
        <w:rPr>
          <w:rStyle w:val="Emphasis"/>
          <w:rFonts w:ascii="Times New Roman" w:hAnsi="Times New Roman" w:cs="Times New Roman"/>
          <w:sz w:val="24"/>
          <w:szCs w:val="24"/>
        </w:rPr>
        <w:t>Institutions and organizations: Ideas and interests</w:t>
      </w:r>
      <w:r w:rsidRPr="000116EE">
        <w:rPr>
          <w:rFonts w:ascii="Times New Roman" w:hAnsi="Times New Roman" w:cs="Times New Roman"/>
          <w:sz w:val="24"/>
          <w:szCs w:val="24"/>
        </w:rPr>
        <w:t xml:space="preserve"> (3rd ed.). Sage Publications.</w:t>
      </w:r>
    </w:p>
    <w:p w:rsidR="00E3080A" w:rsidRPr="000116EE" w:rsidRDefault="00E3080A" w:rsidP="00B92540">
      <w:pPr>
        <w:pStyle w:val="NoSpacing"/>
        <w:numPr>
          <w:ilvl w:val="0"/>
          <w:numId w:val="11"/>
        </w:numPr>
        <w:jc w:val="both"/>
        <w:rPr>
          <w:rFonts w:ascii="Times New Roman" w:hAnsi="Times New Roman" w:cs="Times New Roman"/>
          <w:sz w:val="24"/>
          <w:szCs w:val="24"/>
          <w:lang w:val="en-US"/>
        </w:rPr>
      </w:pPr>
      <w:proofErr w:type="spellStart"/>
      <w:r w:rsidRPr="000116EE">
        <w:rPr>
          <w:rFonts w:ascii="Times New Roman" w:hAnsi="Times New Roman" w:cs="Times New Roman"/>
          <w:sz w:val="24"/>
          <w:szCs w:val="24"/>
        </w:rPr>
        <w:t>Siakwah</w:t>
      </w:r>
      <w:proofErr w:type="spellEnd"/>
      <w:r w:rsidRPr="000116EE">
        <w:rPr>
          <w:rFonts w:ascii="Times New Roman" w:hAnsi="Times New Roman" w:cs="Times New Roman"/>
          <w:sz w:val="24"/>
          <w:szCs w:val="24"/>
        </w:rPr>
        <w:t>, P. (2018). Tourism geographies and spatial distribution of tourist sites in Ghana. African Journal of Hospitality, Tourism and Leisure, 7(1), 1</w:t>
      </w:r>
      <w:r w:rsidR="00DB3428"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19. </w:t>
      </w:r>
      <w:hyperlink w:tgtFrame="_blank" w:history="1">
        <w:r w:rsidRPr="000116EE">
          <w:rPr>
            <w:rStyle w:val="Hyperlink"/>
            <w:rFonts w:ascii="Times New Roman" w:hAnsi="Times New Roman" w:cs="Times New Roman"/>
            <w:sz w:val="24"/>
            <w:szCs w:val="24"/>
          </w:rPr>
          <w:t>https://www.ajhtl.com/uploads/7/1/6/3/7163688/article_9_vol_7__1__2018.pdf</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Sobel, M. E. (1982). Asymptotic confidence intervals for indirect effects in structural equation models. Sociological Methodology, 13, 290–312. </w:t>
      </w:r>
      <w:hyperlink r:id="rId34" w:tgtFrame="_blank" w:history="1">
        <w:r w:rsidRPr="000116EE">
          <w:rPr>
            <w:rStyle w:val="Hyperlink"/>
            <w:rFonts w:ascii="Times New Roman" w:hAnsi="Times New Roman" w:cs="Times New Roman"/>
            <w:sz w:val="24"/>
            <w:szCs w:val="24"/>
          </w:rPr>
          <w:t>https://doi.org/10.2307/270723</w:t>
        </w:r>
      </w:hyperlink>
    </w:p>
    <w:p w:rsidR="00DB3428" w:rsidRPr="000116EE" w:rsidRDefault="00DB3428"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lastRenderedPageBreak/>
        <w:t>Strippoli</w:t>
      </w:r>
      <w:proofErr w:type="spellEnd"/>
      <w:r w:rsidRPr="000116EE">
        <w:rPr>
          <w:rFonts w:ascii="Times New Roman" w:hAnsi="Times New Roman" w:cs="Times New Roman"/>
          <w:sz w:val="24"/>
          <w:szCs w:val="24"/>
        </w:rPr>
        <w:t xml:space="preserve">, R., Gallucci, T., &amp; </w:t>
      </w:r>
      <w:proofErr w:type="spellStart"/>
      <w:r w:rsidRPr="000116EE">
        <w:rPr>
          <w:rFonts w:ascii="Times New Roman" w:hAnsi="Times New Roman" w:cs="Times New Roman"/>
          <w:sz w:val="24"/>
          <w:szCs w:val="24"/>
        </w:rPr>
        <w:t>Ingrao</w:t>
      </w:r>
      <w:proofErr w:type="spellEnd"/>
      <w:r w:rsidRPr="000116EE">
        <w:rPr>
          <w:rFonts w:ascii="Times New Roman" w:hAnsi="Times New Roman" w:cs="Times New Roman"/>
          <w:sz w:val="24"/>
          <w:szCs w:val="24"/>
        </w:rPr>
        <w:t xml:space="preserve">, C. (2024). Circular economy and sustainable development in the tourism sector: An overview of the truly-effective strategies and related benefits. </w:t>
      </w:r>
      <w:proofErr w:type="spellStart"/>
      <w:r w:rsidRPr="000116EE">
        <w:rPr>
          <w:rFonts w:ascii="Times New Roman" w:hAnsi="Times New Roman" w:cs="Times New Roman"/>
          <w:sz w:val="24"/>
          <w:szCs w:val="24"/>
        </w:rPr>
        <w:t>Heliyon</w:t>
      </w:r>
      <w:proofErr w:type="spellEnd"/>
      <w:r w:rsidRPr="000116EE">
        <w:rPr>
          <w:rFonts w:ascii="Times New Roman" w:hAnsi="Times New Roman" w:cs="Times New Roman"/>
          <w:sz w:val="24"/>
          <w:szCs w:val="24"/>
        </w:rPr>
        <w:t xml:space="preserve">, 10(17), Article e36801. </w:t>
      </w:r>
      <w:hyperlink r:id="rId35" w:tgtFrame="_blank" w:history="1">
        <w:r w:rsidRPr="000116EE">
          <w:rPr>
            <w:rStyle w:val="Hyperlink"/>
            <w:rFonts w:ascii="Times New Roman" w:hAnsi="Times New Roman" w:cs="Times New Roman"/>
            <w:sz w:val="24"/>
            <w:szCs w:val="24"/>
          </w:rPr>
          <w:t>https://doi.org/10.1016/j.heliyon.2024.e36801</w:t>
        </w:r>
      </w:hyperlink>
    </w:p>
    <w:p w:rsidR="00DB3428" w:rsidRPr="000116EE" w:rsidRDefault="00DB342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Sullivan, G. M., &amp; </w:t>
      </w:r>
      <w:proofErr w:type="spellStart"/>
      <w:r w:rsidRPr="000116EE">
        <w:rPr>
          <w:rFonts w:ascii="Times New Roman" w:hAnsi="Times New Roman" w:cs="Times New Roman"/>
          <w:sz w:val="24"/>
          <w:szCs w:val="24"/>
        </w:rPr>
        <w:t>Artino</w:t>
      </w:r>
      <w:proofErr w:type="spellEnd"/>
      <w:r w:rsidRPr="000116EE">
        <w:rPr>
          <w:rFonts w:ascii="Times New Roman" w:hAnsi="Times New Roman" w:cs="Times New Roman"/>
          <w:sz w:val="24"/>
          <w:szCs w:val="24"/>
        </w:rPr>
        <w:t xml:space="preserve">, A. R., Jr. (2013). </w:t>
      </w:r>
      <w:proofErr w:type="spellStart"/>
      <w:r w:rsidRPr="000116EE">
        <w:rPr>
          <w:rFonts w:ascii="Times New Roman" w:hAnsi="Times New Roman" w:cs="Times New Roman"/>
          <w:sz w:val="24"/>
          <w:szCs w:val="24"/>
        </w:rPr>
        <w:t>Analyzing</w:t>
      </w:r>
      <w:proofErr w:type="spellEnd"/>
      <w:r w:rsidRPr="000116EE">
        <w:rPr>
          <w:rFonts w:ascii="Times New Roman" w:hAnsi="Times New Roman" w:cs="Times New Roman"/>
          <w:sz w:val="24"/>
          <w:szCs w:val="24"/>
        </w:rPr>
        <w:t xml:space="preserve"> and interpreting data from Likert-type scales. </w:t>
      </w:r>
      <w:r w:rsidRPr="000116EE">
        <w:rPr>
          <w:rStyle w:val="Emphasis"/>
          <w:rFonts w:ascii="Times New Roman" w:hAnsi="Times New Roman" w:cs="Times New Roman"/>
          <w:sz w:val="24"/>
          <w:szCs w:val="24"/>
        </w:rPr>
        <w:t>Journal of Graduate Medical Education, 5</w:t>
      </w:r>
      <w:r w:rsidRPr="000116EE">
        <w:rPr>
          <w:rFonts w:ascii="Times New Roman" w:hAnsi="Times New Roman" w:cs="Times New Roman"/>
          <w:sz w:val="24"/>
          <w:szCs w:val="24"/>
        </w:rPr>
        <w:t xml:space="preserve">(4), 541–542. </w:t>
      </w:r>
      <w:hyperlink r:id="rId36" w:tgtFrame="_new" w:history="1">
        <w:r w:rsidRPr="000116EE">
          <w:rPr>
            <w:rStyle w:val="Hyperlink"/>
            <w:rFonts w:ascii="Times New Roman" w:hAnsi="Times New Roman" w:cs="Times New Roman"/>
            <w:sz w:val="24"/>
            <w:szCs w:val="24"/>
          </w:rPr>
          <w:t>https://doi.org/10.4300/JGME-5-4-18</w:t>
        </w:r>
      </w:hyperlink>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Tabachnick, B. G., &amp; Fidell, L. S. (2019). </w:t>
      </w:r>
      <w:r w:rsidRPr="000116EE">
        <w:rPr>
          <w:rStyle w:val="Emphasis"/>
          <w:rFonts w:ascii="Times New Roman" w:hAnsi="Times New Roman" w:cs="Times New Roman"/>
          <w:sz w:val="24"/>
          <w:szCs w:val="24"/>
        </w:rPr>
        <w:t>Using multivariate statistics</w:t>
      </w:r>
      <w:r w:rsidRPr="000116EE">
        <w:rPr>
          <w:rFonts w:ascii="Times New Roman" w:hAnsi="Times New Roman" w:cs="Times New Roman"/>
          <w:sz w:val="24"/>
          <w:szCs w:val="24"/>
        </w:rPr>
        <w:t xml:space="preserve"> (7th ed.). Pearson.</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Taber, K. S. (2018). The use of Cronbach’s alpha when developing and reporting research instruments in science education. </w:t>
      </w:r>
      <w:r w:rsidRPr="000116EE">
        <w:rPr>
          <w:rStyle w:val="Emphasis"/>
          <w:rFonts w:ascii="Times New Roman" w:hAnsi="Times New Roman" w:cs="Times New Roman"/>
          <w:sz w:val="24"/>
          <w:szCs w:val="24"/>
        </w:rPr>
        <w:t>Research in Science Education, 48</w:t>
      </w:r>
      <w:r w:rsidRPr="000116EE">
        <w:rPr>
          <w:rFonts w:ascii="Times New Roman" w:hAnsi="Times New Roman" w:cs="Times New Roman"/>
          <w:sz w:val="24"/>
          <w:szCs w:val="24"/>
        </w:rPr>
        <w:t>(6), 1273</w:t>
      </w:r>
      <w:r w:rsidR="00DB3428"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1296. </w:t>
      </w:r>
      <w:hyperlink r:id="rId37" w:tgtFrame="_new" w:history="1">
        <w:r w:rsidRPr="000116EE">
          <w:rPr>
            <w:rStyle w:val="Hyperlink"/>
            <w:rFonts w:ascii="Times New Roman" w:hAnsi="Times New Roman" w:cs="Times New Roman"/>
            <w:sz w:val="24"/>
            <w:szCs w:val="24"/>
          </w:rPr>
          <w:t>https://doi.org/10.1007/s11165-016-9602-2</w:t>
        </w:r>
      </w:hyperlink>
    </w:p>
    <w:p w:rsidR="00DB3428" w:rsidRPr="000116EE" w:rsidRDefault="00DB3428" w:rsidP="000116EE">
      <w:pPr>
        <w:pStyle w:val="NoSpacing"/>
        <w:jc w:val="both"/>
        <w:rPr>
          <w:rFonts w:ascii="Times New Roman" w:hAnsi="Times New Roman" w:cs="Times New Roman"/>
          <w:sz w:val="24"/>
          <w:szCs w:val="24"/>
        </w:rPr>
      </w:pPr>
    </w:p>
    <w:p w:rsidR="00DB3428" w:rsidRPr="000116EE" w:rsidRDefault="00DB3428" w:rsidP="00B92540">
      <w:pPr>
        <w:pStyle w:val="NoSpacing"/>
        <w:numPr>
          <w:ilvl w:val="0"/>
          <w:numId w:val="11"/>
        </w:numPr>
        <w:jc w:val="both"/>
        <w:rPr>
          <w:rFonts w:ascii="Times New Roman" w:hAnsi="Times New Roman" w:cs="Times New Roman"/>
          <w:sz w:val="24"/>
          <w:szCs w:val="24"/>
        </w:rPr>
      </w:pPr>
      <w:proofErr w:type="spellStart"/>
      <w:r w:rsidRPr="000116EE">
        <w:rPr>
          <w:rFonts w:ascii="Times New Roman" w:hAnsi="Times New Roman" w:cs="Times New Roman"/>
          <w:sz w:val="24"/>
          <w:szCs w:val="24"/>
        </w:rPr>
        <w:t>Tosun</w:t>
      </w:r>
      <w:proofErr w:type="spellEnd"/>
      <w:r w:rsidRPr="000116EE">
        <w:rPr>
          <w:rFonts w:ascii="Times New Roman" w:hAnsi="Times New Roman" w:cs="Times New Roman"/>
          <w:sz w:val="24"/>
          <w:szCs w:val="24"/>
        </w:rPr>
        <w:t xml:space="preserve">, C. (2000). Limits to community participation in the tourism development process in developing countries. Tourism Management, 21(6), 613–633. </w:t>
      </w:r>
      <w:hyperlink r:id="rId38" w:tgtFrame="_blank" w:history="1">
        <w:r w:rsidRPr="000116EE">
          <w:rPr>
            <w:rStyle w:val="Hyperlink"/>
            <w:rFonts w:ascii="Times New Roman" w:hAnsi="Times New Roman" w:cs="Times New Roman"/>
            <w:sz w:val="24"/>
            <w:szCs w:val="24"/>
          </w:rPr>
          <w:t>https://doi.org/10.1016/S0261-5177(00)00009-1</w:t>
        </w:r>
      </w:hyperlink>
    </w:p>
    <w:p w:rsidR="00E3080A" w:rsidRPr="000116EE" w:rsidRDefault="00E3080A" w:rsidP="00B92540">
      <w:pPr>
        <w:pStyle w:val="NoSpacing"/>
        <w:numPr>
          <w:ilvl w:val="0"/>
          <w:numId w:val="11"/>
        </w:numPr>
        <w:jc w:val="both"/>
        <w:rPr>
          <w:rFonts w:ascii="Times New Roman" w:hAnsi="Times New Roman" w:cs="Times New Roman"/>
          <w:sz w:val="24"/>
          <w:szCs w:val="24"/>
          <w:lang w:val="en-US"/>
        </w:rPr>
      </w:pPr>
      <w:r w:rsidRPr="000116EE">
        <w:rPr>
          <w:rFonts w:ascii="Times New Roman" w:hAnsi="Times New Roman" w:cs="Times New Roman"/>
          <w:sz w:val="24"/>
          <w:szCs w:val="24"/>
          <w:lang w:val="en-US"/>
        </w:rPr>
        <w:t xml:space="preserve">TRA (2025). Registered Accommodation Facilities in Kenya’s Coastal Counties. Tourism Regulatory Authority </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Tran, T. (2025). Applying circular economy to regenerative tourism on island: Insights from Con Dao, Vietnam. </w:t>
      </w:r>
      <w:r w:rsidRPr="000116EE">
        <w:rPr>
          <w:rStyle w:val="Emphasis"/>
          <w:rFonts w:ascii="Times New Roman" w:hAnsi="Times New Roman" w:cs="Times New Roman"/>
          <w:sz w:val="24"/>
          <w:szCs w:val="24"/>
        </w:rPr>
        <w:t>International Journal of Qualitative Research, 4</w:t>
      </w:r>
      <w:r w:rsidRPr="000116EE">
        <w:rPr>
          <w:rFonts w:ascii="Times New Roman" w:hAnsi="Times New Roman" w:cs="Times New Roman"/>
          <w:sz w:val="24"/>
          <w:szCs w:val="24"/>
        </w:rPr>
        <w:t>(3), 274</w:t>
      </w:r>
      <w:r w:rsidR="00DB3428"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284. </w:t>
      </w:r>
      <w:hyperlink r:id="rId39" w:tgtFrame="_new" w:history="1">
        <w:r w:rsidRPr="000116EE">
          <w:rPr>
            <w:rStyle w:val="Hyperlink"/>
            <w:rFonts w:ascii="Times New Roman" w:hAnsi="Times New Roman" w:cs="Times New Roman"/>
            <w:sz w:val="24"/>
            <w:szCs w:val="24"/>
          </w:rPr>
          <w:t>https://doi.org/10.47540/ijqr.v4i3.1771</w:t>
        </w:r>
      </w:hyperlink>
    </w:p>
    <w:p w:rsidR="00DB3428" w:rsidRPr="000116EE" w:rsidRDefault="00DB342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United Nations Environment Programme, &amp; </w:t>
      </w:r>
      <w:r w:rsidRPr="000116EE">
        <w:rPr>
          <w:rFonts w:ascii="Times New Roman" w:hAnsi="Times New Roman" w:cs="Times New Roman"/>
          <w:sz w:val="24"/>
          <w:szCs w:val="24"/>
          <w:lang w:val="en-US"/>
        </w:rPr>
        <w:t>UN Tourism</w:t>
      </w:r>
      <w:r w:rsidRPr="000116EE">
        <w:rPr>
          <w:rFonts w:ascii="Times New Roman" w:hAnsi="Times New Roman" w:cs="Times New Roman"/>
          <w:sz w:val="24"/>
          <w:szCs w:val="24"/>
        </w:rPr>
        <w:t xml:space="preserve">. (2020). Sustainable tourism governance and destination management. UNEP; UNWTO. </w:t>
      </w:r>
    </w:p>
    <w:p w:rsidR="00DB3428" w:rsidRPr="000116EE" w:rsidRDefault="00DB3428"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United Nations Environment Programme. (2021). Marine litter and plastic pollution in East Africa: Regional overview and policy recommendations. UNEP.</w:t>
      </w:r>
      <w:r w:rsidRPr="000116EE">
        <w:rPr>
          <w:rFonts w:ascii="Times New Roman" w:hAnsi="Times New Roman" w:cs="Times New Roman"/>
          <w:sz w:val="24"/>
          <w:szCs w:val="24"/>
          <w:lang w:val="en-US"/>
        </w:rPr>
        <w:t xml:space="preserve"> </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 xml:space="preserve">VOV World. (2025). Con Dao embraces circular economy to protect nature, drive sustainable tourism. </w:t>
      </w:r>
      <w:r w:rsidRPr="000116EE">
        <w:rPr>
          <w:rStyle w:val="Emphasis"/>
          <w:rFonts w:ascii="Times New Roman" w:hAnsi="Times New Roman" w:cs="Times New Roman"/>
          <w:sz w:val="24"/>
          <w:szCs w:val="24"/>
        </w:rPr>
        <w:t>Voice of Vietnam</w:t>
      </w:r>
      <w:r w:rsidRPr="000116EE">
        <w:rPr>
          <w:rFonts w:ascii="Times New Roman" w:hAnsi="Times New Roman" w:cs="Times New Roman"/>
          <w:sz w:val="24"/>
          <w:szCs w:val="24"/>
        </w:rPr>
        <w:t xml:space="preserve">. </w:t>
      </w:r>
      <w:hyperlink r:id="rId40" w:tgtFrame="_new" w:history="1">
        <w:r w:rsidRPr="000116EE">
          <w:rPr>
            <w:rStyle w:val="Hyperlink"/>
            <w:rFonts w:ascii="Times New Roman" w:hAnsi="Times New Roman" w:cs="Times New Roman"/>
            <w:sz w:val="24"/>
            <w:szCs w:val="24"/>
          </w:rPr>
          <w:t>https://vovworld.vn/economy/con-dao-embraces-circular-economy-to-protect-nature-drive-sustainable-tourism-2239585.vov5</w:t>
        </w:r>
      </w:hyperlink>
    </w:p>
    <w:p w:rsidR="008129C9" w:rsidRPr="000116EE" w:rsidRDefault="008129C9" w:rsidP="00B92540">
      <w:pPr>
        <w:pStyle w:val="NoSpacing"/>
        <w:numPr>
          <w:ilvl w:val="0"/>
          <w:numId w:val="11"/>
        </w:numPr>
        <w:jc w:val="both"/>
        <w:rPr>
          <w:rFonts w:ascii="Times New Roman" w:eastAsia="Times New Roman" w:hAnsi="Times New Roman" w:cs="Times New Roman"/>
          <w:sz w:val="24"/>
          <w:szCs w:val="24"/>
          <w:lang w:eastAsia="en-KE"/>
        </w:rPr>
      </w:pPr>
      <w:r w:rsidRPr="000116EE">
        <w:rPr>
          <w:rFonts w:ascii="Times New Roman" w:hAnsi="Times New Roman" w:cs="Times New Roman"/>
          <w:sz w:val="24"/>
          <w:szCs w:val="24"/>
        </w:rPr>
        <w:t xml:space="preserve">World Bank. (2022). Rwanda economic update: Leveraging tourism for sustainable growth. World Bank Group. </w:t>
      </w:r>
    </w:p>
    <w:p w:rsidR="00E3080A"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Yamane, T. (1967). Statistics: An introductory analysis (2nd ed.). Harper and Row.</w:t>
      </w:r>
    </w:p>
    <w:p w:rsidR="00E36D2E" w:rsidRPr="000116EE" w:rsidRDefault="00E3080A" w:rsidP="00B92540">
      <w:pPr>
        <w:pStyle w:val="NoSpacing"/>
        <w:numPr>
          <w:ilvl w:val="0"/>
          <w:numId w:val="11"/>
        </w:numPr>
        <w:jc w:val="both"/>
        <w:rPr>
          <w:rFonts w:ascii="Times New Roman" w:hAnsi="Times New Roman" w:cs="Times New Roman"/>
          <w:sz w:val="24"/>
          <w:szCs w:val="24"/>
        </w:rPr>
      </w:pPr>
      <w:r w:rsidRPr="000116EE">
        <w:rPr>
          <w:rFonts w:ascii="Times New Roman" w:hAnsi="Times New Roman" w:cs="Times New Roman"/>
          <w:sz w:val="24"/>
          <w:szCs w:val="24"/>
        </w:rPr>
        <w:t>York, R., &amp; Rosa, E. A. (2003). Key challenges to ecological modernization theory: Institutional efficacy, case study evidence, units of analysis, and the pace of eco-efficiency. Organization &amp; Environment, 16(3), 273</w:t>
      </w:r>
      <w:r w:rsidR="008129C9" w:rsidRPr="000116EE">
        <w:rPr>
          <w:rFonts w:ascii="Times New Roman" w:hAnsi="Times New Roman" w:cs="Times New Roman"/>
          <w:sz w:val="24"/>
          <w:szCs w:val="24"/>
          <w:lang w:val="en-US"/>
        </w:rPr>
        <w:t>-</w:t>
      </w:r>
      <w:r w:rsidRPr="000116EE">
        <w:rPr>
          <w:rFonts w:ascii="Times New Roman" w:hAnsi="Times New Roman" w:cs="Times New Roman"/>
          <w:sz w:val="24"/>
          <w:szCs w:val="24"/>
        </w:rPr>
        <w:t xml:space="preserve">288. </w:t>
      </w:r>
      <w:hyperlink r:id="rId41" w:tgtFrame="_blank" w:history="1">
        <w:r w:rsidRPr="000116EE">
          <w:rPr>
            <w:rStyle w:val="Hyperlink"/>
            <w:rFonts w:ascii="Times New Roman" w:hAnsi="Times New Roman" w:cs="Times New Roman"/>
            <w:sz w:val="24"/>
            <w:szCs w:val="24"/>
          </w:rPr>
          <w:t>https://doi.org/10.1177/1086026603256299</w:t>
        </w:r>
      </w:hyperlink>
    </w:p>
    <w:sectPr w:rsidR="00E36D2E" w:rsidRPr="000116EE" w:rsidSect="00A33B69">
      <w:pgSz w:w="11906" w:h="16838"/>
      <w:pgMar w:top="1095" w:right="571" w:bottom="605" w:left="60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3B01"/>
    <w:multiLevelType w:val="hybridMultilevel"/>
    <w:tmpl w:val="D05A821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5EF5477"/>
    <w:multiLevelType w:val="hybridMultilevel"/>
    <w:tmpl w:val="38BCDD1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18AB1BEA"/>
    <w:multiLevelType w:val="hybridMultilevel"/>
    <w:tmpl w:val="D05A821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 w15:restartNumberingAfterBreak="0">
    <w:nsid w:val="2F3E20C0"/>
    <w:multiLevelType w:val="hybridMultilevel"/>
    <w:tmpl w:val="21EA75E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340E2BBF"/>
    <w:multiLevelType w:val="hybridMultilevel"/>
    <w:tmpl w:val="FB3832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4E747F0"/>
    <w:multiLevelType w:val="multilevel"/>
    <w:tmpl w:val="31668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F25517"/>
    <w:multiLevelType w:val="hybridMultilevel"/>
    <w:tmpl w:val="117C3F4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7" w15:restartNumberingAfterBreak="0">
    <w:nsid w:val="3CF70DF2"/>
    <w:multiLevelType w:val="hybridMultilevel"/>
    <w:tmpl w:val="6A34E43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EB92B8A"/>
    <w:multiLevelType w:val="hybridMultilevel"/>
    <w:tmpl w:val="171E3F22"/>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 w15:restartNumberingAfterBreak="0">
    <w:nsid w:val="67557243"/>
    <w:multiLevelType w:val="hybridMultilevel"/>
    <w:tmpl w:val="AC70CAA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71EE1377"/>
    <w:multiLevelType w:val="hybridMultilevel"/>
    <w:tmpl w:val="E5209558"/>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8"/>
  </w:num>
  <w:num w:numId="5">
    <w:abstractNumId w:val="10"/>
  </w:num>
  <w:num w:numId="6">
    <w:abstractNumId w:val="2"/>
  </w:num>
  <w:num w:numId="7">
    <w:abstractNumId w:val="9"/>
  </w:num>
  <w:num w:numId="8">
    <w:abstractNumId w:val="0"/>
  </w:num>
  <w:num w:numId="9">
    <w:abstractNumId w:val="6"/>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47"/>
    <w:rsid w:val="0000290B"/>
    <w:rsid w:val="00007BCD"/>
    <w:rsid w:val="000116EE"/>
    <w:rsid w:val="0002152B"/>
    <w:rsid w:val="000222C8"/>
    <w:rsid w:val="000330A2"/>
    <w:rsid w:val="0003565B"/>
    <w:rsid w:val="00037EDD"/>
    <w:rsid w:val="00040C02"/>
    <w:rsid w:val="0004380E"/>
    <w:rsid w:val="00051AC3"/>
    <w:rsid w:val="00074F3E"/>
    <w:rsid w:val="00090DBA"/>
    <w:rsid w:val="000931E1"/>
    <w:rsid w:val="000A0AC0"/>
    <w:rsid w:val="000A522D"/>
    <w:rsid w:val="000B3E61"/>
    <w:rsid w:val="000C6AA5"/>
    <w:rsid w:val="000C6BCC"/>
    <w:rsid w:val="000D05D5"/>
    <w:rsid w:val="000D0CC8"/>
    <w:rsid w:val="000D787E"/>
    <w:rsid w:val="000E0F74"/>
    <w:rsid w:val="000E36E6"/>
    <w:rsid w:val="000F3DAD"/>
    <w:rsid w:val="00104E30"/>
    <w:rsid w:val="00107C50"/>
    <w:rsid w:val="00112D20"/>
    <w:rsid w:val="00114202"/>
    <w:rsid w:val="00114898"/>
    <w:rsid w:val="00115A53"/>
    <w:rsid w:val="001222AF"/>
    <w:rsid w:val="00140A40"/>
    <w:rsid w:val="001415B2"/>
    <w:rsid w:val="00144E82"/>
    <w:rsid w:val="00146AB9"/>
    <w:rsid w:val="00155561"/>
    <w:rsid w:val="00157192"/>
    <w:rsid w:val="001637DA"/>
    <w:rsid w:val="00165D47"/>
    <w:rsid w:val="001669E4"/>
    <w:rsid w:val="00167188"/>
    <w:rsid w:val="00175EFB"/>
    <w:rsid w:val="00177FCE"/>
    <w:rsid w:val="001845FA"/>
    <w:rsid w:val="0019105F"/>
    <w:rsid w:val="0019542B"/>
    <w:rsid w:val="00195B5B"/>
    <w:rsid w:val="00195B7B"/>
    <w:rsid w:val="001A42FC"/>
    <w:rsid w:val="001A4423"/>
    <w:rsid w:val="001A466D"/>
    <w:rsid w:val="001A5543"/>
    <w:rsid w:val="001A75F0"/>
    <w:rsid w:val="001D1BC6"/>
    <w:rsid w:val="001D3265"/>
    <w:rsid w:val="001D3677"/>
    <w:rsid w:val="001D68D0"/>
    <w:rsid w:val="001F43C1"/>
    <w:rsid w:val="00201DF3"/>
    <w:rsid w:val="00215FB2"/>
    <w:rsid w:val="002232C0"/>
    <w:rsid w:val="00227559"/>
    <w:rsid w:val="002348BF"/>
    <w:rsid w:val="00234B61"/>
    <w:rsid w:val="00235994"/>
    <w:rsid w:val="0025778C"/>
    <w:rsid w:val="00260349"/>
    <w:rsid w:val="002B1096"/>
    <w:rsid w:val="002C0A4A"/>
    <w:rsid w:val="002C4C19"/>
    <w:rsid w:val="002D28B6"/>
    <w:rsid w:val="002D7DD6"/>
    <w:rsid w:val="002E4CEB"/>
    <w:rsid w:val="002E4EA7"/>
    <w:rsid w:val="002E5AE1"/>
    <w:rsid w:val="002F7F6E"/>
    <w:rsid w:val="00301AA0"/>
    <w:rsid w:val="0030475F"/>
    <w:rsid w:val="00304CB3"/>
    <w:rsid w:val="00306A3C"/>
    <w:rsid w:val="003106A0"/>
    <w:rsid w:val="0031126C"/>
    <w:rsid w:val="003150C7"/>
    <w:rsid w:val="00315777"/>
    <w:rsid w:val="003219F6"/>
    <w:rsid w:val="003341F6"/>
    <w:rsid w:val="00337059"/>
    <w:rsid w:val="00356ED9"/>
    <w:rsid w:val="00364EE3"/>
    <w:rsid w:val="00365291"/>
    <w:rsid w:val="00367D44"/>
    <w:rsid w:val="003713C5"/>
    <w:rsid w:val="0038142E"/>
    <w:rsid w:val="00392B29"/>
    <w:rsid w:val="003A2E7E"/>
    <w:rsid w:val="003A3088"/>
    <w:rsid w:val="003B0C40"/>
    <w:rsid w:val="003B4C3E"/>
    <w:rsid w:val="003B543E"/>
    <w:rsid w:val="003B57E1"/>
    <w:rsid w:val="003B6447"/>
    <w:rsid w:val="003B79C6"/>
    <w:rsid w:val="003D2C79"/>
    <w:rsid w:val="003D51FB"/>
    <w:rsid w:val="003D7CC7"/>
    <w:rsid w:val="003E1A7C"/>
    <w:rsid w:val="003E7559"/>
    <w:rsid w:val="003F00C5"/>
    <w:rsid w:val="003F767B"/>
    <w:rsid w:val="003F7FC8"/>
    <w:rsid w:val="00407FB2"/>
    <w:rsid w:val="00411C65"/>
    <w:rsid w:val="00415C2C"/>
    <w:rsid w:val="004228E9"/>
    <w:rsid w:val="00423654"/>
    <w:rsid w:val="00424ABD"/>
    <w:rsid w:val="00431D8D"/>
    <w:rsid w:val="0043242A"/>
    <w:rsid w:val="004442D2"/>
    <w:rsid w:val="00447A6E"/>
    <w:rsid w:val="00450B21"/>
    <w:rsid w:val="00450E44"/>
    <w:rsid w:val="00457AB2"/>
    <w:rsid w:val="00460846"/>
    <w:rsid w:val="004716E3"/>
    <w:rsid w:val="004725D0"/>
    <w:rsid w:val="0047395C"/>
    <w:rsid w:val="00473C55"/>
    <w:rsid w:val="00480EDE"/>
    <w:rsid w:val="00495C09"/>
    <w:rsid w:val="004A56E0"/>
    <w:rsid w:val="004B75ED"/>
    <w:rsid w:val="004B79FA"/>
    <w:rsid w:val="004C3165"/>
    <w:rsid w:val="004D08CB"/>
    <w:rsid w:val="004D1F49"/>
    <w:rsid w:val="004D6260"/>
    <w:rsid w:val="004E7F81"/>
    <w:rsid w:val="004F1DB8"/>
    <w:rsid w:val="004F253C"/>
    <w:rsid w:val="004F73A5"/>
    <w:rsid w:val="00501F49"/>
    <w:rsid w:val="005027DC"/>
    <w:rsid w:val="00506309"/>
    <w:rsid w:val="00520791"/>
    <w:rsid w:val="00533AB6"/>
    <w:rsid w:val="005354E8"/>
    <w:rsid w:val="0055200F"/>
    <w:rsid w:val="00561408"/>
    <w:rsid w:val="00561E8C"/>
    <w:rsid w:val="00563490"/>
    <w:rsid w:val="00580290"/>
    <w:rsid w:val="005811DF"/>
    <w:rsid w:val="00581866"/>
    <w:rsid w:val="00581FF3"/>
    <w:rsid w:val="0058302A"/>
    <w:rsid w:val="00586335"/>
    <w:rsid w:val="00594342"/>
    <w:rsid w:val="00596667"/>
    <w:rsid w:val="005A2087"/>
    <w:rsid w:val="005A40E1"/>
    <w:rsid w:val="005B4BA5"/>
    <w:rsid w:val="005C2275"/>
    <w:rsid w:val="005D0306"/>
    <w:rsid w:val="005D0E87"/>
    <w:rsid w:val="005D2B30"/>
    <w:rsid w:val="005D62F1"/>
    <w:rsid w:val="005D7B41"/>
    <w:rsid w:val="005E32B0"/>
    <w:rsid w:val="005E3FF0"/>
    <w:rsid w:val="00624EB0"/>
    <w:rsid w:val="00630D87"/>
    <w:rsid w:val="00650868"/>
    <w:rsid w:val="006514C7"/>
    <w:rsid w:val="00651664"/>
    <w:rsid w:val="00655B3F"/>
    <w:rsid w:val="00663613"/>
    <w:rsid w:val="00664194"/>
    <w:rsid w:val="0067757E"/>
    <w:rsid w:val="006777EE"/>
    <w:rsid w:val="00681221"/>
    <w:rsid w:val="00685FBF"/>
    <w:rsid w:val="00692531"/>
    <w:rsid w:val="00693444"/>
    <w:rsid w:val="006A0D88"/>
    <w:rsid w:val="006A25E9"/>
    <w:rsid w:val="006A318B"/>
    <w:rsid w:val="006A4890"/>
    <w:rsid w:val="006B3CF5"/>
    <w:rsid w:val="006B5D0F"/>
    <w:rsid w:val="006C3E8B"/>
    <w:rsid w:val="006D43C5"/>
    <w:rsid w:val="006D7E53"/>
    <w:rsid w:val="006D7E6C"/>
    <w:rsid w:val="006E4061"/>
    <w:rsid w:val="006E7625"/>
    <w:rsid w:val="006F4FE0"/>
    <w:rsid w:val="0073540B"/>
    <w:rsid w:val="00736A47"/>
    <w:rsid w:val="007409AD"/>
    <w:rsid w:val="00744623"/>
    <w:rsid w:val="00746480"/>
    <w:rsid w:val="007562EB"/>
    <w:rsid w:val="00783D1B"/>
    <w:rsid w:val="00787922"/>
    <w:rsid w:val="00793446"/>
    <w:rsid w:val="007B170F"/>
    <w:rsid w:val="007C615D"/>
    <w:rsid w:val="007D42AC"/>
    <w:rsid w:val="007E7EC8"/>
    <w:rsid w:val="007F1F95"/>
    <w:rsid w:val="00800620"/>
    <w:rsid w:val="008010CA"/>
    <w:rsid w:val="008018C2"/>
    <w:rsid w:val="008124EB"/>
    <w:rsid w:val="008129C9"/>
    <w:rsid w:val="008148D3"/>
    <w:rsid w:val="0081775F"/>
    <w:rsid w:val="00821320"/>
    <w:rsid w:val="008223A2"/>
    <w:rsid w:val="00843D82"/>
    <w:rsid w:val="00853D5B"/>
    <w:rsid w:val="008547A5"/>
    <w:rsid w:val="00871E42"/>
    <w:rsid w:val="00877AF4"/>
    <w:rsid w:val="008820ED"/>
    <w:rsid w:val="008953E0"/>
    <w:rsid w:val="008A41BB"/>
    <w:rsid w:val="008A4E09"/>
    <w:rsid w:val="008B01F5"/>
    <w:rsid w:val="008B04E8"/>
    <w:rsid w:val="008D0078"/>
    <w:rsid w:val="008E2E50"/>
    <w:rsid w:val="008E4152"/>
    <w:rsid w:val="008E5FF5"/>
    <w:rsid w:val="008E6B22"/>
    <w:rsid w:val="008F785D"/>
    <w:rsid w:val="00902795"/>
    <w:rsid w:val="00907AF4"/>
    <w:rsid w:val="0091538F"/>
    <w:rsid w:val="009223CA"/>
    <w:rsid w:val="00923172"/>
    <w:rsid w:val="0093224A"/>
    <w:rsid w:val="00937925"/>
    <w:rsid w:val="00945BB9"/>
    <w:rsid w:val="00946652"/>
    <w:rsid w:val="00953407"/>
    <w:rsid w:val="0097155F"/>
    <w:rsid w:val="00971730"/>
    <w:rsid w:val="00975696"/>
    <w:rsid w:val="0099649F"/>
    <w:rsid w:val="00997F96"/>
    <w:rsid w:val="009A4106"/>
    <w:rsid w:val="009D1E69"/>
    <w:rsid w:val="009D3ED3"/>
    <w:rsid w:val="009E086B"/>
    <w:rsid w:val="009F3AA7"/>
    <w:rsid w:val="009F7F37"/>
    <w:rsid w:val="00A10203"/>
    <w:rsid w:val="00A2760C"/>
    <w:rsid w:val="00A32372"/>
    <w:rsid w:val="00A336CB"/>
    <w:rsid w:val="00A33B69"/>
    <w:rsid w:val="00A34D2D"/>
    <w:rsid w:val="00A36EF8"/>
    <w:rsid w:val="00A634A8"/>
    <w:rsid w:val="00A67EB6"/>
    <w:rsid w:val="00A74B2B"/>
    <w:rsid w:val="00A760EE"/>
    <w:rsid w:val="00A95139"/>
    <w:rsid w:val="00A9699C"/>
    <w:rsid w:val="00A97142"/>
    <w:rsid w:val="00A97DA4"/>
    <w:rsid w:val="00AA7B10"/>
    <w:rsid w:val="00AC1A48"/>
    <w:rsid w:val="00AE40FF"/>
    <w:rsid w:val="00AE5613"/>
    <w:rsid w:val="00AF264F"/>
    <w:rsid w:val="00B02308"/>
    <w:rsid w:val="00B1128B"/>
    <w:rsid w:val="00B2492B"/>
    <w:rsid w:val="00B27121"/>
    <w:rsid w:val="00B41697"/>
    <w:rsid w:val="00B55ADA"/>
    <w:rsid w:val="00B55AF6"/>
    <w:rsid w:val="00B55E55"/>
    <w:rsid w:val="00B57CC4"/>
    <w:rsid w:val="00B639B3"/>
    <w:rsid w:val="00B661B0"/>
    <w:rsid w:val="00B6687D"/>
    <w:rsid w:val="00B7748C"/>
    <w:rsid w:val="00B92540"/>
    <w:rsid w:val="00BA5A56"/>
    <w:rsid w:val="00BB213E"/>
    <w:rsid w:val="00BB288C"/>
    <w:rsid w:val="00BC52AB"/>
    <w:rsid w:val="00BD7CF1"/>
    <w:rsid w:val="00BE01FB"/>
    <w:rsid w:val="00BF1811"/>
    <w:rsid w:val="00BF3AC7"/>
    <w:rsid w:val="00BF7E05"/>
    <w:rsid w:val="00C1449D"/>
    <w:rsid w:val="00C1777F"/>
    <w:rsid w:val="00C231E2"/>
    <w:rsid w:val="00C233C5"/>
    <w:rsid w:val="00C2746E"/>
    <w:rsid w:val="00C3761D"/>
    <w:rsid w:val="00C45986"/>
    <w:rsid w:val="00C65F9F"/>
    <w:rsid w:val="00C67B84"/>
    <w:rsid w:val="00C80F90"/>
    <w:rsid w:val="00CA369C"/>
    <w:rsid w:val="00CA4E7E"/>
    <w:rsid w:val="00CA708A"/>
    <w:rsid w:val="00CB060B"/>
    <w:rsid w:val="00CB76FA"/>
    <w:rsid w:val="00CC30FD"/>
    <w:rsid w:val="00CD3C2D"/>
    <w:rsid w:val="00CD5F5C"/>
    <w:rsid w:val="00CE3A27"/>
    <w:rsid w:val="00CF2004"/>
    <w:rsid w:val="00D13103"/>
    <w:rsid w:val="00D13622"/>
    <w:rsid w:val="00D17028"/>
    <w:rsid w:val="00D216DF"/>
    <w:rsid w:val="00D223CD"/>
    <w:rsid w:val="00D40330"/>
    <w:rsid w:val="00D46162"/>
    <w:rsid w:val="00D707B4"/>
    <w:rsid w:val="00D75338"/>
    <w:rsid w:val="00D7774B"/>
    <w:rsid w:val="00D905D2"/>
    <w:rsid w:val="00D91EB5"/>
    <w:rsid w:val="00D956CA"/>
    <w:rsid w:val="00DA23A8"/>
    <w:rsid w:val="00DA50E8"/>
    <w:rsid w:val="00DA5E44"/>
    <w:rsid w:val="00DA65B8"/>
    <w:rsid w:val="00DA769A"/>
    <w:rsid w:val="00DA7816"/>
    <w:rsid w:val="00DB00D7"/>
    <w:rsid w:val="00DB0FB1"/>
    <w:rsid w:val="00DB3428"/>
    <w:rsid w:val="00DB4BCD"/>
    <w:rsid w:val="00DB5A9D"/>
    <w:rsid w:val="00DC2F37"/>
    <w:rsid w:val="00DC367F"/>
    <w:rsid w:val="00DC4C07"/>
    <w:rsid w:val="00DD3085"/>
    <w:rsid w:val="00DD632C"/>
    <w:rsid w:val="00DD7B6D"/>
    <w:rsid w:val="00DF6287"/>
    <w:rsid w:val="00DF7D39"/>
    <w:rsid w:val="00E10C73"/>
    <w:rsid w:val="00E1352D"/>
    <w:rsid w:val="00E15699"/>
    <w:rsid w:val="00E3080A"/>
    <w:rsid w:val="00E359E4"/>
    <w:rsid w:val="00E36D2E"/>
    <w:rsid w:val="00E42554"/>
    <w:rsid w:val="00E43429"/>
    <w:rsid w:val="00E536EC"/>
    <w:rsid w:val="00E6615F"/>
    <w:rsid w:val="00E7296E"/>
    <w:rsid w:val="00E73103"/>
    <w:rsid w:val="00E84FD3"/>
    <w:rsid w:val="00E91B11"/>
    <w:rsid w:val="00E92E04"/>
    <w:rsid w:val="00E97881"/>
    <w:rsid w:val="00EA5AC1"/>
    <w:rsid w:val="00EB0F77"/>
    <w:rsid w:val="00EB2BE5"/>
    <w:rsid w:val="00EB41AB"/>
    <w:rsid w:val="00EB4E57"/>
    <w:rsid w:val="00EB7346"/>
    <w:rsid w:val="00EC2B9B"/>
    <w:rsid w:val="00ED54B8"/>
    <w:rsid w:val="00EE178A"/>
    <w:rsid w:val="00EE3D74"/>
    <w:rsid w:val="00EF3611"/>
    <w:rsid w:val="00EF4544"/>
    <w:rsid w:val="00EF6EF4"/>
    <w:rsid w:val="00F06838"/>
    <w:rsid w:val="00F24CC8"/>
    <w:rsid w:val="00F46AB2"/>
    <w:rsid w:val="00F630C4"/>
    <w:rsid w:val="00F67277"/>
    <w:rsid w:val="00F75163"/>
    <w:rsid w:val="00F76D01"/>
    <w:rsid w:val="00F77CFE"/>
    <w:rsid w:val="00F80A41"/>
    <w:rsid w:val="00FB05F9"/>
    <w:rsid w:val="00FB4CBE"/>
    <w:rsid w:val="00FC785A"/>
    <w:rsid w:val="00FD28ED"/>
    <w:rsid w:val="00FD68E5"/>
    <w:rsid w:val="00FE27E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7F163"/>
  <w15:chartTrackingRefBased/>
  <w15:docId w15:val="{5C360152-4ED6-440B-8FD6-8AF64D6E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D5B"/>
  </w:style>
  <w:style w:type="paragraph" w:styleId="Heading3">
    <w:name w:val="heading 3"/>
    <w:basedOn w:val="Normal"/>
    <w:link w:val="Heading3Char"/>
    <w:uiPriority w:val="9"/>
    <w:qFormat/>
    <w:rsid w:val="003713C5"/>
    <w:pPr>
      <w:spacing w:before="100" w:beforeAutospacing="1" w:after="100" w:afterAutospacing="1" w:line="240" w:lineRule="auto"/>
      <w:outlineLvl w:val="2"/>
    </w:pPr>
    <w:rPr>
      <w:rFonts w:ascii="Times New Roman" w:eastAsia="Times New Roman" w:hAnsi="Times New Roman" w:cs="Times New Roman"/>
      <w:b/>
      <w:bCs/>
      <w:sz w:val="27"/>
      <w:szCs w:val="27"/>
      <w:lang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4202"/>
    <w:pPr>
      <w:spacing w:after="0" w:line="240" w:lineRule="auto"/>
    </w:pPr>
  </w:style>
  <w:style w:type="table" w:styleId="TableGrid">
    <w:name w:val="Table Grid"/>
    <w:basedOn w:val="TableNormal"/>
    <w:uiPriority w:val="39"/>
    <w:rsid w:val="003B7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9C6"/>
    <w:pPr>
      <w:ind w:left="720"/>
      <w:contextualSpacing/>
    </w:pPr>
  </w:style>
  <w:style w:type="character" w:customStyle="1" w:styleId="Heading3Char">
    <w:name w:val="Heading 3 Char"/>
    <w:basedOn w:val="DefaultParagraphFont"/>
    <w:link w:val="Heading3"/>
    <w:uiPriority w:val="9"/>
    <w:rsid w:val="003713C5"/>
    <w:rPr>
      <w:rFonts w:ascii="Times New Roman" w:eastAsia="Times New Roman" w:hAnsi="Times New Roman" w:cs="Times New Roman"/>
      <w:b/>
      <w:bCs/>
      <w:sz w:val="27"/>
      <w:szCs w:val="27"/>
      <w:lang w:eastAsia="en-KE"/>
    </w:rPr>
  </w:style>
  <w:style w:type="paragraph" w:styleId="NormalWeb">
    <w:name w:val="Normal (Web)"/>
    <w:basedOn w:val="Normal"/>
    <w:uiPriority w:val="99"/>
    <w:unhideWhenUsed/>
    <w:rsid w:val="00FD68E5"/>
    <w:pPr>
      <w:spacing w:before="100" w:beforeAutospacing="1" w:after="100" w:afterAutospacing="1" w:line="240" w:lineRule="auto"/>
    </w:pPr>
    <w:rPr>
      <w:rFonts w:ascii="Times New Roman" w:eastAsia="Times New Roman" w:hAnsi="Times New Roman" w:cs="Times New Roman"/>
      <w:sz w:val="24"/>
      <w:szCs w:val="24"/>
      <w:lang w:eastAsia="en-KE"/>
    </w:rPr>
  </w:style>
  <w:style w:type="character" w:customStyle="1" w:styleId="NoSpacingChar">
    <w:name w:val="No Spacing Char"/>
    <w:link w:val="NoSpacing"/>
    <w:uiPriority w:val="1"/>
    <w:qFormat/>
    <w:rsid w:val="00177FCE"/>
  </w:style>
  <w:style w:type="character" w:customStyle="1" w:styleId="citation-233">
    <w:name w:val="citation-233"/>
    <w:basedOn w:val="DefaultParagraphFont"/>
    <w:rsid w:val="00DA23A8"/>
  </w:style>
  <w:style w:type="character" w:customStyle="1" w:styleId="math-inline">
    <w:name w:val="math-inline"/>
    <w:basedOn w:val="DefaultParagraphFont"/>
    <w:rsid w:val="00DA23A8"/>
  </w:style>
  <w:style w:type="character" w:customStyle="1" w:styleId="citation-232">
    <w:name w:val="citation-232"/>
    <w:basedOn w:val="DefaultParagraphFont"/>
    <w:rsid w:val="00DA23A8"/>
  </w:style>
  <w:style w:type="character" w:customStyle="1" w:styleId="citation-231">
    <w:name w:val="citation-231"/>
    <w:basedOn w:val="DefaultParagraphFont"/>
    <w:rsid w:val="00DA23A8"/>
  </w:style>
  <w:style w:type="character" w:customStyle="1" w:styleId="citation-230">
    <w:name w:val="citation-230"/>
    <w:basedOn w:val="DefaultParagraphFont"/>
    <w:rsid w:val="000E36E6"/>
  </w:style>
  <w:style w:type="character" w:customStyle="1" w:styleId="citation-229">
    <w:name w:val="citation-229"/>
    <w:basedOn w:val="DefaultParagraphFont"/>
    <w:rsid w:val="000E36E6"/>
  </w:style>
  <w:style w:type="character" w:customStyle="1" w:styleId="citation-228">
    <w:name w:val="citation-228"/>
    <w:basedOn w:val="DefaultParagraphFont"/>
    <w:rsid w:val="000E36E6"/>
  </w:style>
  <w:style w:type="character" w:customStyle="1" w:styleId="citation-227">
    <w:name w:val="citation-227"/>
    <w:basedOn w:val="DefaultParagraphFont"/>
    <w:rsid w:val="002E4EA7"/>
  </w:style>
  <w:style w:type="character" w:customStyle="1" w:styleId="citation-226">
    <w:name w:val="citation-226"/>
    <w:basedOn w:val="DefaultParagraphFont"/>
    <w:rsid w:val="002E4EA7"/>
  </w:style>
  <w:style w:type="character" w:customStyle="1" w:styleId="citation-225">
    <w:name w:val="citation-225"/>
    <w:basedOn w:val="DefaultParagraphFont"/>
    <w:rsid w:val="00651664"/>
  </w:style>
  <w:style w:type="character" w:customStyle="1" w:styleId="citation-224">
    <w:name w:val="citation-224"/>
    <w:basedOn w:val="DefaultParagraphFont"/>
    <w:rsid w:val="00EE3D74"/>
  </w:style>
  <w:style w:type="character" w:customStyle="1" w:styleId="citation-223">
    <w:name w:val="citation-223"/>
    <w:basedOn w:val="DefaultParagraphFont"/>
    <w:rsid w:val="00EE3D74"/>
  </w:style>
  <w:style w:type="character" w:customStyle="1" w:styleId="citation-222">
    <w:name w:val="citation-222"/>
    <w:basedOn w:val="DefaultParagraphFont"/>
    <w:rsid w:val="00EE3D74"/>
  </w:style>
  <w:style w:type="character" w:customStyle="1" w:styleId="citation-221">
    <w:name w:val="citation-221"/>
    <w:basedOn w:val="DefaultParagraphFont"/>
    <w:rsid w:val="00EE3D74"/>
  </w:style>
  <w:style w:type="character" w:customStyle="1" w:styleId="citation-220">
    <w:name w:val="citation-220"/>
    <w:basedOn w:val="DefaultParagraphFont"/>
    <w:rsid w:val="00EE3D74"/>
  </w:style>
  <w:style w:type="character" w:styleId="Emphasis">
    <w:name w:val="Emphasis"/>
    <w:basedOn w:val="DefaultParagraphFont"/>
    <w:uiPriority w:val="20"/>
    <w:qFormat/>
    <w:rsid w:val="00BF3AC7"/>
    <w:rPr>
      <w:i/>
      <w:iCs/>
    </w:rPr>
  </w:style>
  <w:style w:type="character" w:styleId="Hyperlink">
    <w:name w:val="Hyperlink"/>
    <w:basedOn w:val="DefaultParagraphFont"/>
    <w:uiPriority w:val="99"/>
    <w:unhideWhenUsed/>
    <w:rsid w:val="00BF3AC7"/>
    <w:rPr>
      <w:color w:val="0000FF"/>
      <w:u w:val="single"/>
    </w:rPr>
  </w:style>
  <w:style w:type="character" w:customStyle="1" w:styleId="citation-64">
    <w:name w:val="citation-64"/>
    <w:basedOn w:val="DefaultParagraphFont"/>
    <w:rsid w:val="00F06838"/>
  </w:style>
  <w:style w:type="character" w:customStyle="1" w:styleId="citation-97">
    <w:name w:val="citation-97"/>
    <w:basedOn w:val="DefaultParagraphFont"/>
    <w:rsid w:val="00F06838"/>
  </w:style>
  <w:style w:type="character" w:styleId="UnresolvedMention">
    <w:name w:val="Unresolved Mention"/>
    <w:basedOn w:val="DefaultParagraphFont"/>
    <w:uiPriority w:val="99"/>
    <w:semiHidden/>
    <w:unhideWhenUsed/>
    <w:rsid w:val="00DB3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154058">
      <w:bodyDiv w:val="1"/>
      <w:marLeft w:val="0"/>
      <w:marRight w:val="0"/>
      <w:marTop w:val="0"/>
      <w:marBottom w:val="0"/>
      <w:divBdr>
        <w:top w:val="none" w:sz="0" w:space="0" w:color="auto"/>
        <w:left w:val="none" w:sz="0" w:space="0" w:color="auto"/>
        <w:bottom w:val="none" w:sz="0" w:space="0" w:color="auto"/>
        <w:right w:val="none" w:sz="0" w:space="0" w:color="auto"/>
      </w:divBdr>
    </w:div>
    <w:div w:id="584532285">
      <w:bodyDiv w:val="1"/>
      <w:marLeft w:val="0"/>
      <w:marRight w:val="0"/>
      <w:marTop w:val="0"/>
      <w:marBottom w:val="0"/>
      <w:divBdr>
        <w:top w:val="none" w:sz="0" w:space="0" w:color="auto"/>
        <w:left w:val="none" w:sz="0" w:space="0" w:color="auto"/>
        <w:bottom w:val="none" w:sz="0" w:space="0" w:color="auto"/>
        <w:right w:val="none" w:sz="0" w:space="0" w:color="auto"/>
      </w:divBdr>
      <w:divsChild>
        <w:div w:id="1450778814">
          <w:marLeft w:val="0"/>
          <w:marRight w:val="0"/>
          <w:marTop w:val="120"/>
          <w:marBottom w:val="120"/>
          <w:divBdr>
            <w:top w:val="none" w:sz="0" w:space="0" w:color="auto"/>
            <w:left w:val="none" w:sz="0" w:space="0" w:color="auto"/>
            <w:bottom w:val="none" w:sz="0" w:space="0" w:color="auto"/>
            <w:right w:val="none" w:sz="0" w:space="0" w:color="auto"/>
          </w:divBdr>
        </w:div>
      </w:divsChild>
    </w:div>
    <w:div w:id="613639889">
      <w:bodyDiv w:val="1"/>
      <w:marLeft w:val="0"/>
      <w:marRight w:val="0"/>
      <w:marTop w:val="0"/>
      <w:marBottom w:val="0"/>
      <w:divBdr>
        <w:top w:val="none" w:sz="0" w:space="0" w:color="auto"/>
        <w:left w:val="none" w:sz="0" w:space="0" w:color="auto"/>
        <w:bottom w:val="none" w:sz="0" w:space="0" w:color="auto"/>
        <w:right w:val="none" w:sz="0" w:space="0" w:color="auto"/>
      </w:divBdr>
      <w:divsChild>
        <w:div w:id="1989432373">
          <w:marLeft w:val="0"/>
          <w:marRight w:val="0"/>
          <w:marTop w:val="120"/>
          <w:marBottom w:val="120"/>
          <w:divBdr>
            <w:top w:val="none" w:sz="0" w:space="0" w:color="auto"/>
            <w:left w:val="none" w:sz="0" w:space="0" w:color="auto"/>
            <w:bottom w:val="none" w:sz="0" w:space="0" w:color="auto"/>
            <w:right w:val="none" w:sz="0" w:space="0" w:color="auto"/>
          </w:divBdr>
        </w:div>
      </w:divsChild>
    </w:div>
    <w:div w:id="737245554">
      <w:bodyDiv w:val="1"/>
      <w:marLeft w:val="0"/>
      <w:marRight w:val="0"/>
      <w:marTop w:val="0"/>
      <w:marBottom w:val="0"/>
      <w:divBdr>
        <w:top w:val="none" w:sz="0" w:space="0" w:color="auto"/>
        <w:left w:val="none" w:sz="0" w:space="0" w:color="auto"/>
        <w:bottom w:val="none" w:sz="0" w:space="0" w:color="auto"/>
        <w:right w:val="none" w:sz="0" w:space="0" w:color="auto"/>
      </w:divBdr>
    </w:div>
    <w:div w:id="1157571841">
      <w:bodyDiv w:val="1"/>
      <w:marLeft w:val="0"/>
      <w:marRight w:val="0"/>
      <w:marTop w:val="0"/>
      <w:marBottom w:val="0"/>
      <w:divBdr>
        <w:top w:val="none" w:sz="0" w:space="0" w:color="auto"/>
        <w:left w:val="none" w:sz="0" w:space="0" w:color="auto"/>
        <w:bottom w:val="none" w:sz="0" w:space="0" w:color="auto"/>
        <w:right w:val="none" w:sz="0" w:space="0" w:color="auto"/>
      </w:divBdr>
    </w:div>
    <w:div w:id="1433744070">
      <w:bodyDiv w:val="1"/>
      <w:marLeft w:val="0"/>
      <w:marRight w:val="0"/>
      <w:marTop w:val="0"/>
      <w:marBottom w:val="0"/>
      <w:divBdr>
        <w:top w:val="none" w:sz="0" w:space="0" w:color="auto"/>
        <w:left w:val="none" w:sz="0" w:space="0" w:color="auto"/>
        <w:bottom w:val="none" w:sz="0" w:space="0" w:color="auto"/>
        <w:right w:val="none" w:sz="0" w:space="0" w:color="auto"/>
      </w:divBdr>
      <w:divsChild>
        <w:div w:id="1051802657">
          <w:marLeft w:val="0"/>
          <w:marRight w:val="0"/>
          <w:marTop w:val="120"/>
          <w:marBottom w:val="120"/>
          <w:divBdr>
            <w:top w:val="none" w:sz="0" w:space="0" w:color="auto"/>
            <w:left w:val="none" w:sz="0" w:space="0" w:color="auto"/>
            <w:bottom w:val="none" w:sz="0" w:space="0" w:color="auto"/>
            <w:right w:val="none" w:sz="0" w:space="0" w:color="auto"/>
          </w:divBdr>
        </w:div>
      </w:divsChild>
    </w:div>
    <w:div w:id="1569148215">
      <w:bodyDiv w:val="1"/>
      <w:marLeft w:val="0"/>
      <w:marRight w:val="0"/>
      <w:marTop w:val="0"/>
      <w:marBottom w:val="0"/>
      <w:divBdr>
        <w:top w:val="none" w:sz="0" w:space="0" w:color="auto"/>
        <w:left w:val="none" w:sz="0" w:space="0" w:color="auto"/>
        <w:bottom w:val="none" w:sz="0" w:space="0" w:color="auto"/>
        <w:right w:val="none" w:sz="0" w:space="0" w:color="auto"/>
      </w:divBdr>
      <w:divsChild>
        <w:div w:id="93215249">
          <w:marLeft w:val="0"/>
          <w:marRight w:val="0"/>
          <w:marTop w:val="120"/>
          <w:marBottom w:val="120"/>
          <w:divBdr>
            <w:top w:val="none" w:sz="0" w:space="0" w:color="auto"/>
            <w:left w:val="none" w:sz="0" w:space="0" w:color="auto"/>
            <w:bottom w:val="none" w:sz="0" w:space="0" w:color="auto"/>
            <w:right w:val="none" w:sz="0" w:space="0" w:color="auto"/>
          </w:divBdr>
        </w:div>
      </w:divsChild>
    </w:div>
    <w:div w:id="1647321603">
      <w:bodyDiv w:val="1"/>
      <w:marLeft w:val="0"/>
      <w:marRight w:val="0"/>
      <w:marTop w:val="0"/>
      <w:marBottom w:val="0"/>
      <w:divBdr>
        <w:top w:val="none" w:sz="0" w:space="0" w:color="auto"/>
        <w:left w:val="none" w:sz="0" w:space="0" w:color="auto"/>
        <w:bottom w:val="none" w:sz="0" w:space="0" w:color="auto"/>
        <w:right w:val="none" w:sz="0" w:space="0" w:color="auto"/>
      </w:divBdr>
      <w:divsChild>
        <w:div w:id="284391522">
          <w:marLeft w:val="0"/>
          <w:marRight w:val="0"/>
          <w:marTop w:val="120"/>
          <w:marBottom w:val="120"/>
          <w:divBdr>
            <w:top w:val="none" w:sz="0" w:space="0" w:color="auto"/>
            <w:left w:val="none" w:sz="0" w:space="0" w:color="auto"/>
            <w:bottom w:val="none" w:sz="0" w:space="0" w:color="auto"/>
            <w:right w:val="none" w:sz="0" w:space="0" w:color="auto"/>
          </w:divBdr>
        </w:div>
      </w:divsChild>
    </w:div>
    <w:div w:id="1668945024">
      <w:bodyDiv w:val="1"/>
      <w:marLeft w:val="0"/>
      <w:marRight w:val="0"/>
      <w:marTop w:val="0"/>
      <w:marBottom w:val="0"/>
      <w:divBdr>
        <w:top w:val="none" w:sz="0" w:space="0" w:color="auto"/>
        <w:left w:val="none" w:sz="0" w:space="0" w:color="auto"/>
        <w:bottom w:val="none" w:sz="0" w:space="0" w:color="auto"/>
        <w:right w:val="none" w:sz="0" w:space="0" w:color="auto"/>
      </w:divBdr>
    </w:div>
    <w:div w:id="1683780967">
      <w:bodyDiv w:val="1"/>
      <w:marLeft w:val="0"/>
      <w:marRight w:val="0"/>
      <w:marTop w:val="0"/>
      <w:marBottom w:val="0"/>
      <w:divBdr>
        <w:top w:val="none" w:sz="0" w:space="0" w:color="auto"/>
        <w:left w:val="none" w:sz="0" w:space="0" w:color="auto"/>
        <w:bottom w:val="none" w:sz="0" w:space="0" w:color="auto"/>
        <w:right w:val="none" w:sz="0" w:space="0" w:color="auto"/>
      </w:divBdr>
    </w:div>
    <w:div w:id="1910578052">
      <w:bodyDiv w:val="1"/>
      <w:marLeft w:val="0"/>
      <w:marRight w:val="0"/>
      <w:marTop w:val="0"/>
      <w:marBottom w:val="0"/>
      <w:divBdr>
        <w:top w:val="none" w:sz="0" w:space="0" w:color="auto"/>
        <w:left w:val="none" w:sz="0" w:space="0" w:color="auto"/>
        <w:bottom w:val="none" w:sz="0" w:space="0" w:color="auto"/>
        <w:right w:val="none" w:sz="0" w:space="0" w:color="auto"/>
      </w:divBdr>
      <w:divsChild>
        <w:div w:id="795835213">
          <w:marLeft w:val="0"/>
          <w:marRight w:val="0"/>
          <w:marTop w:val="120"/>
          <w:marBottom w:val="120"/>
          <w:divBdr>
            <w:top w:val="none" w:sz="0" w:space="0" w:color="auto"/>
            <w:left w:val="none" w:sz="0" w:space="0" w:color="auto"/>
            <w:bottom w:val="none" w:sz="0" w:space="0" w:color="auto"/>
            <w:right w:val="none" w:sz="0" w:space="0" w:color="auto"/>
          </w:divBdr>
        </w:div>
      </w:divsChild>
    </w:div>
    <w:div w:id="1936281788">
      <w:bodyDiv w:val="1"/>
      <w:marLeft w:val="0"/>
      <w:marRight w:val="0"/>
      <w:marTop w:val="0"/>
      <w:marBottom w:val="0"/>
      <w:divBdr>
        <w:top w:val="none" w:sz="0" w:space="0" w:color="auto"/>
        <w:left w:val="none" w:sz="0" w:space="0" w:color="auto"/>
        <w:bottom w:val="none" w:sz="0" w:space="0" w:color="auto"/>
        <w:right w:val="none" w:sz="0" w:space="0" w:color="auto"/>
      </w:divBdr>
      <w:divsChild>
        <w:div w:id="1388606140">
          <w:marLeft w:val="0"/>
          <w:marRight w:val="0"/>
          <w:marTop w:val="120"/>
          <w:marBottom w:val="120"/>
          <w:divBdr>
            <w:top w:val="none" w:sz="0" w:space="0" w:color="auto"/>
            <w:left w:val="none" w:sz="0" w:space="0" w:color="auto"/>
            <w:bottom w:val="none" w:sz="0" w:space="0" w:color="auto"/>
            <w:right w:val="none" w:sz="0" w:space="0" w:color="auto"/>
          </w:divBdr>
        </w:div>
        <w:div w:id="809904461">
          <w:marLeft w:val="0"/>
          <w:marRight w:val="0"/>
          <w:marTop w:val="120"/>
          <w:marBottom w:val="120"/>
          <w:divBdr>
            <w:top w:val="none" w:sz="0" w:space="0" w:color="auto"/>
            <w:left w:val="none" w:sz="0" w:space="0" w:color="auto"/>
            <w:bottom w:val="none" w:sz="0" w:space="0" w:color="auto"/>
            <w:right w:val="none" w:sz="0" w:space="0" w:color="auto"/>
          </w:divBdr>
        </w:div>
      </w:divsChild>
    </w:div>
    <w:div w:id="2012563887">
      <w:bodyDiv w:val="1"/>
      <w:marLeft w:val="0"/>
      <w:marRight w:val="0"/>
      <w:marTop w:val="0"/>
      <w:marBottom w:val="0"/>
      <w:divBdr>
        <w:top w:val="none" w:sz="0" w:space="0" w:color="auto"/>
        <w:left w:val="none" w:sz="0" w:space="0" w:color="auto"/>
        <w:bottom w:val="none" w:sz="0" w:space="0" w:color="auto"/>
        <w:right w:val="none" w:sz="0" w:space="0" w:color="auto"/>
      </w:divBdr>
      <w:divsChild>
        <w:div w:id="228347035">
          <w:marLeft w:val="0"/>
          <w:marRight w:val="0"/>
          <w:marTop w:val="120"/>
          <w:marBottom w:val="120"/>
          <w:divBdr>
            <w:top w:val="none" w:sz="0" w:space="0" w:color="auto"/>
            <w:left w:val="none" w:sz="0" w:space="0" w:color="auto"/>
            <w:bottom w:val="none" w:sz="0" w:space="0" w:color="auto"/>
            <w:right w:val="none" w:sz="0" w:space="0" w:color="auto"/>
          </w:divBdr>
        </w:div>
      </w:divsChild>
    </w:div>
    <w:div w:id="21415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068/joe.50.02.48" TargetMode="External"/><Relationship Id="rId13" Type="http://schemas.openxmlformats.org/officeDocument/2006/relationships/hyperlink" Target="https://doi.org/10.55845/TVUZ5672" TargetMode="External"/><Relationship Id="rId18" Type="http://schemas.openxmlformats.org/officeDocument/2006/relationships/hyperlink" Target="https://www.ellenmacarthurfoundation.org/completing-the-picture" TargetMode="External"/><Relationship Id="rId26" Type="http://schemas.openxmlformats.org/officeDocument/2006/relationships/hyperlink" Target="https://doi.org/10.1016/0160-7383(94)00067-3" TargetMode="External"/><Relationship Id="rId39" Type="http://schemas.openxmlformats.org/officeDocument/2006/relationships/hyperlink" Target="https://doi.org/10.47540/ijqr.v4i3.1771" TargetMode="External"/><Relationship Id="rId3" Type="http://schemas.openxmlformats.org/officeDocument/2006/relationships/settings" Target="settings.xml"/><Relationship Id="rId21" Type="http://schemas.openxmlformats.org/officeDocument/2006/relationships/hyperlink" Target="https://www.google.com/search?q=https://doi.org/10.4324/9780429056765" TargetMode="External"/><Relationship Id="rId34" Type="http://schemas.openxmlformats.org/officeDocument/2006/relationships/hyperlink" Target="https://www.google.com/search?q=https://doi.org/10.2307/270723" TargetMode="External"/><Relationship Id="rId42" Type="http://schemas.openxmlformats.org/officeDocument/2006/relationships/fontTable" Target="fontTable.xml"/><Relationship Id="rId7" Type="http://schemas.openxmlformats.org/officeDocument/2006/relationships/hyperlink" Target="https://doi.org/10.1037/0022-3514.51.6.1173" TargetMode="External"/><Relationship Id="rId12" Type="http://schemas.openxmlformats.org/officeDocument/2006/relationships/hyperlink" Target="https://doi.org/10.1007/s10869-013-9308-7" TargetMode="External"/><Relationship Id="rId17" Type="http://schemas.openxmlformats.org/officeDocument/2006/relationships/hyperlink" Target="https://doi.org/10.1016/j.tourman.2008.04.002" TargetMode="External"/><Relationship Id="rId25" Type="http://schemas.openxmlformats.org/officeDocument/2006/relationships/hyperlink" Target="https://www.google.com/search?q=https://doi.org/10.1016/j.cptl.2015.08.001" TargetMode="External"/><Relationship Id="rId33" Type="http://schemas.openxmlformats.org/officeDocument/2006/relationships/hyperlink" Target="https://doi.org/10.1213/ANE.0000000000002864" TargetMode="External"/><Relationship Id="rId38" Type="http://schemas.openxmlformats.org/officeDocument/2006/relationships/hyperlink" Target="https://doi.org/10.1016/S0261-5177(00)00009-1" TargetMode="External"/><Relationship Id="rId2" Type="http://schemas.openxmlformats.org/officeDocument/2006/relationships/styles" Target="styles.xml"/><Relationship Id="rId16" Type="http://schemas.openxmlformats.org/officeDocument/2006/relationships/hyperlink" Target="https://doi.org/10.1080/13683500308667962" TargetMode="External"/><Relationship Id="rId20" Type="http://schemas.openxmlformats.org/officeDocument/2006/relationships/hyperlink" Target="https://doi.org/10.1016/j.jclepro.2016.12.048" TargetMode="External"/><Relationship Id="rId29" Type="http://schemas.openxmlformats.org/officeDocument/2006/relationships/hyperlink" Target="https://doi.org/10.1080/09644010008414511" TargetMode="External"/><Relationship Id="rId41" Type="http://schemas.openxmlformats.org/officeDocument/2006/relationships/hyperlink" Target="https://www.google.com/search?q=https://doi.org/10.1177/1086026603256299" TargetMode="External"/><Relationship Id="rId1" Type="http://schemas.openxmlformats.org/officeDocument/2006/relationships/numbering" Target="numbering.xml"/><Relationship Id="rId6" Type="http://schemas.openxmlformats.org/officeDocument/2006/relationships/hyperlink" Target="https://doi.org/10.1016/j.tjem.2018.08.001" TargetMode="External"/><Relationship Id="rId11" Type="http://schemas.openxmlformats.org/officeDocument/2006/relationships/hyperlink" Target="https://doi.org/10.1007/BF02310555" TargetMode="External"/><Relationship Id="rId24" Type="http://schemas.openxmlformats.org/officeDocument/2006/relationships/hyperlink" Target="https://doi.org/10.1080/09669582.2011.555555" TargetMode="External"/><Relationship Id="rId32" Type="http://schemas.openxmlformats.org/officeDocument/2006/relationships/hyperlink" Target="https://doi.org/10.3390/su12114338" TargetMode="External"/><Relationship Id="rId37" Type="http://schemas.openxmlformats.org/officeDocument/2006/relationships/hyperlink" Target="https://doi.org/10.1007/s11165-016-9602-2" TargetMode="External"/><Relationship Id="rId40" Type="http://schemas.openxmlformats.org/officeDocument/2006/relationships/hyperlink" Target="https://vovworld.vn/economy/con-dao-embraces-circular-economy-to-protect-nature-drive-sustainable-tourism-2239585.vov5?utm_source=chatgpt.com" TargetMode="External"/><Relationship Id="rId5" Type="http://schemas.openxmlformats.org/officeDocument/2006/relationships/hyperlink" Target="mailto:ruthkimaiga2@gmail.com" TargetMode="External"/><Relationship Id="rId15" Type="http://schemas.openxmlformats.org/officeDocument/2006/relationships/hyperlink" Target="https://doi.org/10.1016/j.tourman.2015.06.002" TargetMode="External"/><Relationship Id="rId23" Type="http://schemas.openxmlformats.org/officeDocument/2006/relationships/hyperlink" Target="https://www.cengage.com/c/multivariate-data-analysis-8e-hair/9781473756540/" TargetMode="External"/><Relationship Id="rId28" Type="http://schemas.openxmlformats.org/officeDocument/2006/relationships/hyperlink" Target="https://doi.org/10.1007/BF02291575" TargetMode="External"/><Relationship Id="rId36" Type="http://schemas.openxmlformats.org/officeDocument/2006/relationships/hyperlink" Target="https://doi.org/10.4300/JGME-5-4-18" TargetMode="External"/><Relationship Id="rId10" Type="http://schemas.openxmlformats.org/officeDocument/2006/relationships/hyperlink" Target="https://doi.org/10.1007/978-3-319-49849-2_1" TargetMode="External"/><Relationship Id="rId19" Type="http://schemas.openxmlformats.org/officeDocument/2006/relationships/hyperlink" Target="https://www.google.com/search?q=https://tourism.ec.europa.eu/incircle-advancing-circular-economy-mediterranean-tourism" TargetMode="External"/><Relationship Id="rId31" Type="http://schemas.openxmlformats.org/officeDocument/2006/relationships/hyperlink" Target="https://doi.org/10.1016/j.jclepro.2018.12.151" TargetMode="External"/><Relationship Id="rId4" Type="http://schemas.openxmlformats.org/officeDocument/2006/relationships/webSettings" Target="webSettings.xml"/><Relationship Id="rId9" Type="http://schemas.openxmlformats.org/officeDocument/2006/relationships/hyperlink" Target="https://doi.org/10.1108/16605370780000309" TargetMode="External"/><Relationship Id="rId14" Type="http://schemas.openxmlformats.org/officeDocument/2006/relationships/hyperlink" Target="https://www.google.com/search?q=https://doi.org/10.2307/2095101" TargetMode="External"/><Relationship Id="rId22" Type="http://schemas.openxmlformats.org/officeDocument/2006/relationships/hyperlink" Target="https://www.google.com/search?q=https://doi.org/10.5812/ijem.3505" TargetMode="External"/><Relationship Id="rId27" Type="http://schemas.openxmlformats.org/officeDocument/2006/relationships/hyperlink" Target="https://doi.org/10.9734/BJAST/2015/14975" TargetMode="External"/><Relationship Id="rId30" Type="http://schemas.openxmlformats.org/officeDocument/2006/relationships/hyperlink" Target="https://www.pbl.nl/en/publications/circular-economy-measuring-innovation-in-product-chains" TargetMode="External"/><Relationship Id="rId35" Type="http://schemas.openxmlformats.org/officeDocument/2006/relationships/hyperlink" Target="https://doi.org/10.1016/j.heliyon.2024.e3680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21</Pages>
  <Words>13724</Words>
  <Characters>78232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Kimaiga, Ruth</dc:creator>
  <cp:keywords/>
  <dc:description/>
  <cp:lastModifiedBy>Kimaiga, Ruth</cp:lastModifiedBy>
  <cp:revision>38</cp:revision>
  <dcterms:created xsi:type="dcterms:W3CDTF">2026-06-07T08:33:00Z</dcterms:created>
  <dcterms:modified xsi:type="dcterms:W3CDTF">2026-06-07T09:44:00Z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bc4d5d07-eceb-46dc-b463-7f53f120ebb8</vt:lpwstr>
  </property>
</Properties>
</file>