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4AD9" w:rsidRPr="008641C2" w:rsidRDefault="00334AD9" w:rsidP="008641C2">
      <w:pPr>
        <w:spacing w:after="240" w:line="240" w:lineRule="auto"/>
        <w:ind w:left="605" w:right="605"/>
        <w:jc w:val="center"/>
        <w:rPr>
          <w:rFonts w:ascii="Times New Roman" w:hAnsi="Times New Roman" w:cs="Times New Roman"/>
          <w:b/>
          <w:sz w:val="36"/>
          <w:szCs w:val="36"/>
        </w:rPr>
      </w:pPr>
    </w:p>
    <w:p w:rsidR="00F95CC2" w:rsidRPr="008641C2" w:rsidRDefault="00F95CC2" w:rsidP="008641C2">
      <w:pPr>
        <w:spacing w:before="100" w:beforeAutospacing="1" w:after="240" w:line="240" w:lineRule="auto"/>
        <w:ind w:left="605" w:right="605"/>
        <w:jc w:val="center"/>
        <w:rPr>
          <w:rFonts w:ascii="Times New Roman" w:hAnsi="Times New Roman" w:cs="Times New Roman"/>
          <w:b/>
          <w:sz w:val="36"/>
          <w:szCs w:val="36"/>
        </w:rPr>
      </w:pPr>
      <w:r w:rsidRPr="008641C2">
        <w:rPr>
          <w:rFonts w:ascii="Times New Roman" w:hAnsi="Times New Roman" w:cs="Times New Roman"/>
          <w:b/>
          <w:bCs/>
          <w:sz w:val="36"/>
          <w:szCs w:val="36"/>
        </w:rPr>
        <w:t>Integrating Design Thinking into Participatory Approaches to Community-Based Conservation for Enhanced Livelihoods in Kenya</w:t>
      </w:r>
    </w:p>
    <w:p w:rsidR="00FA10ED" w:rsidRDefault="00FA10ED" w:rsidP="008641C2">
      <w:pPr>
        <w:spacing w:after="240" w:line="240" w:lineRule="auto"/>
        <w:ind w:left="605" w:right="605"/>
        <w:rPr>
          <w:rFonts w:ascii="Times New Roman" w:hAnsi="Times New Roman" w:cs="Times New Roman"/>
          <w:sz w:val="24"/>
          <w:szCs w:val="24"/>
        </w:rPr>
      </w:pPr>
    </w:p>
    <w:p w:rsidR="00F95CC2" w:rsidRPr="00E10087" w:rsidRDefault="00F95CC2" w:rsidP="00E10087">
      <w:pPr>
        <w:spacing w:after="240" w:line="240" w:lineRule="auto"/>
        <w:ind w:left="605" w:right="605"/>
        <w:jc w:val="center"/>
        <w:rPr>
          <w:rFonts w:ascii="Times New Roman" w:hAnsi="Times New Roman" w:cs="Times New Roman"/>
          <w:b/>
          <w:sz w:val="24"/>
          <w:szCs w:val="24"/>
        </w:rPr>
      </w:pPr>
      <w:proofErr w:type="spellStart"/>
      <w:r w:rsidRPr="00E10087">
        <w:rPr>
          <w:rFonts w:ascii="Times New Roman" w:hAnsi="Times New Roman" w:cs="Times New Roman"/>
          <w:b/>
          <w:sz w:val="24"/>
          <w:szCs w:val="24"/>
        </w:rPr>
        <w:t/>
      </w:r>
      <w:proofErr w:type="spellEnd"/>
      <w:r w:rsidRPr="00E10087">
        <w:rPr>
          <w:rFonts w:ascii="Times New Roman" w:hAnsi="Times New Roman" w:cs="Times New Roman"/>
          <w:b/>
          <w:sz w:val="24"/>
          <w:szCs w:val="24"/>
        </w:rPr>
        <w:t xml:space="preserve"/>
      </w:r>
      <w:proofErr w:type="spellStart"/>
      <w:r w:rsidRPr="00E10087">
        <w:rPr>
          <w:rFonts w:ascii="Times New Roman" w:hAnsi="Times New Roman" w:cs="Times New Roman"/>
          <w:b/>
          <w:sz w:val="24"/>
          <w:szCs w:val="24"/>
        </w:rPr>
        <w:t/>
      </w:r>
      <w:proofErr w:type="spellEnd"/>
      <w:r w:rsidRPr="00E10087">
        <w:rPr>
          <w:rFonts w:ascii="Times New Roman" w:hAnsi="Times New Roman" w:cs="Times New Roman"/>
          <w:b/>
          <w:sz w:val="24"/>
          <w:szCs w:val="24"/>
        </w:rPr>
        <w:t xml:space="preserve"/>
      </w:r>
    </w:p>
    <w:bookmarkStart w:id="0" w:name="_GoBack"/>
    <w:bookmarkEnd w:id="0"/>
    <w:p w:rsidR="00F95CC2" w:rsidRPr="007350C0" w:rsidRDefault="00FA10ED" w:rsidP="00E10087">
      <w:pPr>
        <w:spacing w:after="240" w:line="240" w:lineRule="auto"/>
        <w:ind w:left="3485" w:right="605" w:firstLine="115"/>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"mailto:</w:instrText>
      </w:r>
      <w:r w:rsidRPr="00FA10ED">
        <w:rPr>
          <w:rFonts w:ascii="Times New Roman" w:hAnsi="Times New Roman" w:cs="Times New Roman"/>
          <w:sz w:val="24"/>
          <w:szCs w:val="24"/>
        </w:rPr>
        <w:instrText>mwangi.ruth@gmail.com</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sidRPr="00980C47">
        <w:rPr>
          <w:rStyle w:val="Hyperlink"/>
          <w:rFonts w:ascii="Times New Roman" w:hAnsi="Times New Roman" w:cs="Times New Roman"/>
          <w:sz w:val="24"/>
          <w:szCs w:val="24"/>
        </w:rPr>
        <w:t/>
      </w:r>
      <w:r>
        <w:rPr>
          <w:rFonts w:ascii="Times New Roman" w:hAnsi="Times New Roman" w:cs="Times New Roman"/>
          <w:sz w:val="24"/>
          <w:szCs w:val="24"/>
        </w:rPr>
        <w:fldChar w:fldCharType="end"/>
      </w:r>
    </w:p>
    <w:p w:rsidR="00F95CC2" w:rsidRPr="007350C0" w:rsidRDefault="00F95CC2" w:rsidP="008641C2">
      <w:pPr>
        <w:spacing w:after="240" w:line="240" w:lineRule="auto"/>
        <w:ind w:left="605" w:right="605"/>
        <w:rPr>
          <w:rFonts w:ascii="Times New Roman" w:hAnsi="Times New Roman" w:cs="Times New Roman"/>
          <w:sz w:val="24"/>
          <w:szCs w:val="24"/>
        </w:rPr>
      </w:pPr>
    </w:p>
    <w:p w:rsidR="00F95CC2" w:rsidRPr="007350C0" w:rsidRDefault="00F95CC2" w:rsidP="008641C2">
      <w:pPr>
        <w:spacing w:after="240" w:line="240" w:lineRule="auto"/>
        <w:ind w:left="605" w:right="605"/>
        <w:rPr>
          <w:rFonts w:ascii="Times New Roman" w:hAnsi="Times New Roman" w:cs="Times New Roman"/>
          <w:sz w:val="24"/>
          <w:szCs w:val="24"/>
        </w:rPr>
      </w:pPr>
    </w:p>
    <w:p w:rsidR="00F95CC2" w:rsidRPr="007350C0" w:rsidRDefault="00F95CC2" w:rsidP="008641C2">
      <w:pPr>
        <w:spacing w:after="240" w:line="240" w:lineRule="auto"/>
        <w:ind w:left="605" w:right="605"/>
        <w:rPr>
          <w:rFonts w:ascii="Times New Roman" w:hAnsi="Times New Roman" w:cs="Times New Roman"/>
          <w:sz w:val="24"/>
          <w:szCs w:val="24"/>
        </w:rPr>
      </w:pPr>
    </w:p>
    <w:p w:rsidR="00F95CC2" w:rsidRPr="007350C0" w:rsidRDefault="00F95CC2" w:rsidP="008641C2">
      <w:pPr>
        <w:spacing w:after="240" w:line="240" w:lineRule="auto"/>
        <w:ind w:left="605" w:right="605"/>
        <w:rPr>
          <w:rFonts w:ascii="Times New Roman" w:hAnsi="Times New Roman" w:cs="Times New Roman"/>
          <w:sz w:val="24"/>
          <w:szCs w:val="24"/>
        </w:rPr>
      </w:pPr>
    </w:p>
    <w:p w:rsidR="00F95CC2" w:rsidRPr="007350C0" w:rsidRDefault="00F95CC2" w:rsidP="008641C2">
      <w:pPr>
        <w:spacing w:after="240" w:line="240" w:lineRule="auto"/>
        <w:ind w:left="605" w:right="605"/>
        <w:rPr>
          <w:rFonts w:ascii="Times New Roman" w:hAnsi="Times New Roman" w:cs="Times New Roman"/>
          <w:sz w:val="24"/>
          <w:szCs w:val="24"/>
        </w:rPr>
      </w:pPr>
    </w:p>
    <w:p w:rsidR="00F95CC2" w:rsidRPr="007350C0" w:rsidRDefault="00F95CC2" w:rsidP="008641C2">
      <w:pPr>
        <w:spacing w:after="240" w:line="240" w:lineRule="auto"/>
        <w:ind w:left="605" w:right="605"/>
        <w:rPr>
          <w:rFonts w:ascii="Times New Roman" w:hAnsi="Times New Roman" w:cs="Times New Roman"/>
          <w:sz w:val="24"/>
          <w:szCs w:val="24"/>
        </w:rPr>
      </w:pPr>
    </w:p>
    <w:p w:rsidR="00F95CC2" w:rsidRPr="007350C0" w:rsidRDefault="00F95CC2" w:rsidP="008641C2">
      <w:pPr>
        <w:spacing w:after="240" w:line="240" w:lineRule="auto"/>
        <w:ind w:left="605" w:right="605"/>
        <w:rPr>
          <w:rFonts w:ascii="Times New Roman" w:hAnsi="Times New Roman" w:cs="Times New Roman"/>
          <w:sz w:val="24"/>
          <w:szCs w:val="24"/>
        </w:rPr>
      </w:pPr>
    </w:p>
    <w:p w:rsidR="00F95CC2" w:rsidRPr="007350C0" w:rsidRDefault="00F95CC2" w:rsidP="008641C2">
      <w:pPr>
        <w:spacing w:after="240" w:line="240" w:lineRule="auto"/>
        <w:ind w:left="605" w:right="605"/>
        <w:rPr>
          <w:rFonts w:ascii="Times New Roman" w:hAnsi="Times New Roman" w:cs="Times New Roman"/>
          <w:sz w:val="24"/>
          <w:szCs w:val="24"/>
        </w:rPr>
      </w:pPr>
    </w:p>
    <w:p w:rsidR="00F95CC2" w:rsidRPr="007350C0" w:rsidRDefault="00F95CC2" w:rsidP="008641C2">
      <w:pPr>
        <w:spacing w:after="240" w:line="240" w:lineRule="auto"/>
        <w:ind w:left="605" w:right="605"/>
        <w:rPr>
          <w:rFonts w:ascii="Times New Roman" w:hAnsi="Times New Roman" w:cs="Times New Roman"/>
          <w:sz w:val="24"/>
          <w:szCs w:val="24"/>
        </w:rPr>
      </w:pPr>
    </w:p>
    <w:p w:rsidR="00F95CC2" w:rsidRPr="007350C0" w:rsidRDefault="00F95CC2" w:rsidP="008641C2">
      <w:pPr>
        <w:spacing w:after="240" w:line="240" w:lineRule="auto"/>
        <w:ind w:left="605" w:right="605"/>
        <w:rPr>
          <w:rFonts w:ascii="Times New Roman" w:hAnsi="Times New Roman" w:cs="Times New Roman"/>
          <w:sz w:val="24"/>
          <w:szCs w:val="24"/>
        </w:rPr>
      </w:pPr>
    </w:p>
    <w:p w:rsidR="00F95CC2" w:rsidRPr="007350C0" w:rsidRDefault="00F95CC2" w:rsidP="008641C2">
      <w:pPr>
        <w:spacing w:after="240" w:line="240" w:lineRule="auto"/>
        <w:ind w:left="605" w:right="605"/>
        <w:rPr>
          <w:rFonts w:ascii="Times New Roman" w:hAnsi="Times New Roman" w:cs="Times New Roman"/>
          <w:sz w:val="24"/>
          <w:szCs w:val="24"/>
        </w:rPr>
      </w:pPr>
    </w:p>
    <w:p w:rsidR="00F95CC2" w:rsidRPr="007350C0" w:rsidRDefault="00F95CC2" w:rsidP="008641C2">
      <w:pPr>
        <w:spacing w:after="240" w:line="240" w:lineRule="auto"/>
        <w:ind w:left="605" w:right="605"/>
        <w:rPr>
          <w:rFonts w:ascii="Times New Roman" w:hAnsi="Times New Roman" w:cs="Times New Roman"/>
          <w:sz w:val="24"/>
          <w:szCs w:val="24"/>
        </w:rPr>
      </w:pPr>
    </w:p>
    <w:p w:rsidR="00F95CC2" w:rsidRPr="007350C0" w:rsidRDefault="00F95CC2" w:rsidP="008641C2">
      <w:pPr>
        <w:spacing w:after="240" w:line="240" w:lineRule="auto"/>
        <w:ind w:left="605" w:right="605"/>
        <w:rPr>
          <w:rFonts w:ascii="Times New Roman" w:hAnsi="Times New Roman" w:cs="Times New Roman"/>
          <w:sz w:val="24"/>
          <w:szCs w:val="24"/>
        </w:rPr>
      </w:pPr>
    </w:p>
    <w:p w:rsidR="00F95CC2" w:rsidRPr="007350C0" w:rsidRDefault="00F95CC2" w:rsidP="008641C2">
      <w:pPr>
        <w:spacing w:after="240" w:line="240" w:lineRule="auto"/>
        <w:ind w:left="605" w:right="605"/>
        <w:rPr>
          <w:rFonts w:ascii="Times New Roman" w:hAnsi="Times New Roman" w:cs="Times New Roman"/>
          <w:sz w:val="24"/>
          <w:szCs w:val="24"/>
        </w:rPr>
      </w:pPr>
    </w:p>
    <w:p w:rsidR="00F95CC2" w:rsidRPr="007350C0" w:rsidRDefault="00F95CC2" w:rsidP="008641C2">
      <w:pPr>
        <w:spacing w:after="240" w:line="240" w:lineRule="auto"/>
        <w:ind w:left="605" w:right="605"/>
        <w:rPr>
          <w:rFonts w:ascii="Times New Roman" w:hAnsi="Times New Roman" w:cs="Times New Roman"/>
          <w:sz w:val="24"/>
          <w:szCs w:val="24"/>
        </w:rPr>
      </w:pPr>
    </w:p>
    <w:p w:rsidR="00F95CC2" w:rsidRPr="007350C0" w:rsidRDefault="00F95CC2" w:rsidP="008641C2">
      <w:pPr>
        <w:spacing w:after="240" w:line="240" w:lineRule="auto"/>
        <w:ind w:left="605" w:right="605"/>
        <w:rPr>
          <w:rFonts w:ascii="Times New Roman" w:hAnsi="Times New Roman" w:cs="Times New Roman"/>
          <w:sz w:val="24"/>
          <w:szCs w:val="24"/>
        </w:rPr>
      </w:pPr>
    </w:p>
    <w:p w:rsidR="00F95CC2" w:rsidRPr="007350C0" w:rsidRDefault="00F95CC2" w:rsidP="008641C2">
      <w:pPr>
        <w:spacing w:after="240" w:line="240" w:lineRule="auto"/>
        <w:ind w:left="605" w:right="605"/>
        <w:rPr>
          <w:rFonts w:ascii="Times New Roman" w:hAnsi="Times New Roman" w:cs="Times New Roman"/>
          <w:sz w:val="24"/>
          <w:szCs w:val="24"/>
        </w:rPr>
      </w:pPr>
    </w:p>
    <w:p w:rsidR="00FA10ED" w:rsidRDefault="00FA10ED" w:rsidP="00FA10ED">
      <w:pPr>
        <w:pStyle w:val="NormalWeb"/>
        <w:spacing w:after="240" w:afterAutospacing="0"/>
        <w:ind w:right="605" w:firstLine="605"/>
        <w:rPr>
          <w:rFonts w:eastAsiaTheme="minorHAnsi"/>
        </w:rPr>
      </w:pPr>
    </w:p>
    <w:p w:rsidR="00F95CC2" w:rsidRPr="00FA10ED" w:rsidRDefault="00F95CC2" w:rsidP="00FA10ED">
      <w:pPr>
        <w:pStyle w:val="NormalWeb"/>
        <w:spacing w:after="240" w:afterAutospacing="0"/>
        <w:ind w:right="605" w:firstLine="605"/>
        <w:rPr>
          <w:sz w:val="28"/>
          <w:szCs w:val="28"/>
        </w:rPr>
      </w:pPr>
      <w:r w:rsidRPr="00FA10ED">
        <w:rPr>
          <w:rStyle w:val="Strong"/>
          <w:sz w:val="28"/>
          <w:szCs w:val="28"/>
        </w:rPr>
        <w:lastRenderedPageBreak/>
        <w:t>Abstract</w:t>
      </w:r>
    </w:p>
    <w:p w:rsidR="00F95CC2" w:rsidRPr="007350C0" w:rsidRDefault="00F95CC2" w:rsidP="008641C2">
      <w:pPr>
        <w:pStyle w:val="NormalWeb"/>
        <w:spacing w:after="240" w:afterAutospacing="0"/>
        <w:ind w:left="605" w:right="605"/>
      </w:pPr>
      <w:r w:rsidRPr="007350C0">
        <w:t xml:space="preserve">Community participation has emerged as a fundamental principle in Community-Based Conservation (CBC), representing a significant departure from the traditional fortress conservation model that dominated conservation practice for much of the twentieth century. Fortress conservation </w:t>
      </w:r>
      <w:r w:rsidRPr="007350C0">
        <w:t>ranked</w:t>
      </w:r>
      <w:r w:rsidRPr="007350C0">
        <w:t xml:space="preserve"> biodiversity protection </w:t>
      </w:r>
      <w:r w:rsidRPr="007350C0">
        <w:t xml:space="preserve">by excluding </w:t>
      </w:r>
      <w:r w:rsidRPr="007350C0">
        <w:t xml:space="preserve">local communities from protected areas, often resulting in displacement from ancestral lands, restricted access to natural resources, and conflicts between conservation authorities and local populations. While such approaches contributed to the establishment of protected areas, they </w:t>
      </w:r>
      <w:r w:rsidRPr="007350C0">
        <w:t>challenged</w:t>
      </w:r>
      <w:r w:rsidRPr="007350C0">
        <w:t xml:space="preserve"> long-term conservation outcomes by </w:t>
      </w:r>
      <w:r w:rsidRPr="007350C0">
        <w:t>sidelining</w:t>
      </w:r>
      <w:r w:rsidRPr="007350C0">
        <w:t xml:space="preserve"> communities </w:t>
      </w:r>
      <w:r w:rsidRPr="007350C0">
        <w:t>that thrive side by side with wildlife.</w:t>
      </w:r>
    </w:p>
    <w:p w:rsidR="00F95CC2" w:rsidRPr="007350C0" w:rsidRDefault="00F95CC2" w:rsidP="008641C2">
      <w:pPr>
        <w:pStyle w:val="NormalWeb"/>
        <w:spacing w:after="240" w:afterAutospacing="0"/>
        <w:ind w:left="605" w:right="605"/>
      </w:pPr>
      <w:r w:rsidRPr="007350C0">
        <w:t xml:space="preserve">In response to these challenges, contemporary conservation approaches </w:t>
      </w:r>
      <w:r w:rsidRPr="007350C0">
        <w:t>highlight</w:t>
      </w:r>
      <w:r w:rsidRPr="007350C0">
        <w:t xml:space="preserve"> participatory governance, local empowerment, and community involvement in decision-making processes. In Kenya, the growth of community conservancies has </w:t>
      </w:r>
      <w:r w:rsidRPr="007350C0">
        <w:t>advanced</w:t>
      </w:r>
      <w:r w:rsidRPr="007350C0">
        <w:t xml:space="preserve"> by integrating conservat</w:t>
      </w:r>
      <w:r w:rsidRPr="007350C0">
        <w:t>ion objectives with enhanced livelihood</w:t>
      </w:r>
      <w:r w:rsidRPr="007350C0">
        <w:t xml:space="preserve">. Through initiatives such as ecotourism, </w:t>
      </w:r>
      <w:r w:rsidRPr="007350C0">
        <w:t xml:space="preserve">artefacts </w:t>
      </w:r>
      <w:r w:rsidRPr="007350C0">
        <w:t xml:space="preserve">production, sustainable natural resource utilization, and alternative energy projects, community conservancies seek to create incentives for local participation while promoting environmental </w:t>
      </w:r>
      <w:r w:rsidRPr="007350C0">
        <w:t>conservation</w:t>
      </w:r>
      <w:r w:rsidRPr="007350C0">
        <w:t>.</w:t>
      </w:r>
    </w:p>
    <w:p w:rsidR="00F95CC2" w:rsidRPr="007350C0" w:rsidRDefault="00F95CC2" w:rsidP="008641C2">
      <w:pPr>
        <w:pStyle w:val="NormalWeb"/>
        <w:spacing w:after="240" w:afterAutospacing="0"/>
        <w:ind w:left="605" w:right="605"/>
      </w:pPr>
      <w:r w:rsidRPr="007350C0">
        <w:t>This study examines the role of community participation in enhancing the effectiveness and sustainability of community-based conservation initiatives. It explores how participatory approaches contribute to improved conservation outcomes, strengthened local ownership, enhanced livelihoods</w:t>
      </w:r>
      <w:r w:rsidRPr="007350C0">
        <w:t xml:space="preserve"> and community development and sustainability</w:t>
      </w:r>
      <w:r w:rsidRPr="007350C0">
        <w:t xml:space="preserve">. The study further investigates challenges that continue to hinder meaningful participation, including tokenism, unequal </w:t>
      </w:r>
      <w:r w:rsidRPr="007350C0">
        <w:t>governance</w:t>
      </w:r>
      <w:r w:rsidRPr="007350C0">
        <w:t xml:space="preserve">, </w:t>
      </w:r>
      <w:r w:rsidRPr="007350C0">
        <w:t>capture by the elite</w:t>
      </w:r>
      <w:r w:rsidRPr="007350C0">
        <w:t xml:space="preserve"> and top-down decision-making structures. By analyzing these dynamics, the study contributes to the growing body of knowledge on participatory</w:t>
      </w:r>
      <w:r w:rsidRPr="007350C0">
        <w:t xml:space="preserve"> approaches to</w:t>
      </w:r>
      <w:r w:rsidRPr="007350C0">
        <w:t xml:space="preserve"> conservation and provides recommendations for strengthening community engagement in conser</w:t>
      </w:r>
      <w:r w:rsidRPr="007350C0">
        <w:t>vation governance. E</w:t>
      </w:r>
      <w:r w:rsidRPr="007350C0">
        <w:t>ffective community participation is critical for achieving both biodiversity conservation and sustainable livelihood development.</w:t>
      </w:r>
    </w:p>
    <w:p w:rsidR="00F95CC2" w:rsidRPr="007350C0" w:rsidRDefault="00F95CC2" w:rsidP="008641C2">
      <w:pPr>
        <w:pStyle w:val="NormalWeb"/>
        <w:spacing w:after="240" w:afterAutospacing="0"/>
        <w:ind w:left="605" w:right="605"/>
      </w:pPr>
      <w:r w:rsidRPr="007350C0">
        <w:rPr>
          <w:b/>
        </w:rPr>
        <w:t>Key words</w:t>
      </w:r>
      <w:r w:rsidRPr="007350C0">
        <w:t>: community-based conservation, participatory approach, livelihoods, sustainable development</w:t>
      </w:r>
    </w:p>
    <w:p w:rsidR="00F95CC2" w:rsidRPr="007350C0" w:rsidRDefault="00F95CC2" w:rsidP="008641C2">
      <w:pPr>
        <w:pStyle w:val="NormalWeb"/>
        <w:spacing w:after="240" w:afterAutospacing="0"/>
        <w:ind w:left="605" w:right="605"/>
      </w:pPr>
    </w:p>
    <w:p w:rsidR="00F95CC2" w:rsidRPr="007350C0" w:rsidRDefault="00F95CC2" w:rsidP="008641C2">
      <w:pPr>
        <w:pStyle w:val="NormalWeb"/>
        <w:spacing w:after="240" w:afterAutospacing="0"/>
        <w:ind w:left="605" w:right="605"/>
      </w:pPr>
    </w:p>
    <w:p w:rsidR="00F95CC2" w:rsidRPr="007350C0" w:rsidRDefault="00F95CC2" w:rsidP="008641C2">
      <w:pPr>
        <w:pStyle w:val="NormalWeb"/>
        <w:spacing w:after="240" w:afterAutospacing="0"/>
        <w:ind w:left="605" w:right="605"/>
      </w:pPr>
    </w:p>
    <w:p w:rsidR="00F95CC2" w:rsidRPr="007350C0" w:rsidRDefault="00F95CC2" w:rsidP="008641C2">
      <w:pPr>
        <w:pStyle w:val="NormalWeb"/>
        <w:spacing w:after="240" w:afterAutospacing="0"/>
        <w:ind w:left="605" w:right="605"/>
      </w:pPr>
    </w:p>
    <w:p w:rsidR="00F95CC2" w:rsidRPr="007350C0" w:rsidRDefault="00F95CC2" w:rsidP="008641C2">
      <w:pPr>
        <w:pStyle w:val="NormalWeb"/>
        <w:spacing w:after="240" w:afterAutospacing="0"/>
        <w:ind w:left="605" w:right="605"/>
      </w:pPr>
    </w:p>
    <w:p w:rsidR="00F95CC2" w:rsidRPr="007350C0" w:rsidRDefault="00F95CC2" w:rsidP="008641C2">
      <w:pPr>
        <w:pStyle w:val="NormalWeb"/>
        <w:spacing w:after="240" w:afterAutospacing="0"/>
        <w:ind w:left="605" w:right="605"/>
      </w:pPr>
    </w:p>
    <w:p w:rsidR="00F95CC2" w:rsidRPr="00FA10ED" w:rsidRDefault="00F95CC2" w:rsidP="008641C2">
      <w:pPr>
        <w:pStyle w:val="NormalWeb"/>
        <w:spacing w:after="240" w:afterAutospacing="0"/>
        <w:ind w:left="605" w:right="605"/>
        <w:rPr>
          <w:b/>
          <w:sz w:val="28"/>
          <w:szCs w:val="28"/>
        </w:rPr>
      </w:pPr>
      <w:r w:rsidRPr="00FA10ED">
        <w:rPr>
          <w:b/>
          <w:sz w:val="28"/>
          <w:szCs w:val="28"/>
        </w:rPr>
        <w:t>INTRODUCTION</w:t>
      </w:r>
    </w:p>
    <w:p w:rsidR="00F95CC2" w:rsidRPr="007350C0" w:rsidRDefault="00F95CC2" w:rsidP="008641C2">
      <w:pPr>
        <w:pStyle w:val="NormalWeb"/>
        <w:spacing w:after="240" w:afterAutospacing="0"/>
        <w:ind w:left="605" w:right="605"/>
        <w:jc w:val="both"/>
      </w:pPr>
      <w:r w:rsidRPr="007350C0">
        <w:t>Community participation has become a key principle in community-based conservation (CBC), marking a shift away from exclusionary “fortress conservation” models toward more comprehensive engaging strategies. Historically, fortress conservation approaches prioritized ecological protection through the exclusion of local communities, often leading to displacement from ancestral lands and denial of access to critical natural resources (</w:t>
      </w:r>
      <w:sdt>
        <w:sdtPr>
          <w:id w:val="-512990612"/>
          <w:citation/>
        </w:sdtPr>
        <w:sdtContent>
          <w:r w:rsidRPr="007350C0">
            <w:fldChar w:fldCharType="begin"/>
          </w:r>
          <w:r w:rsidRPr="007350C0">
            <w:instrText xml:space="preserve"> CITATION Büs20 \l 1033 </w:instrText>
          </w:r>
          <w:r w:rsidRPr="007350C0">
            <w:fldChar w:fldCharType="separate"/>
          </w:r>
          <w:r w:rsidRPr="007350C0">
            <w:rPr>
              <w:noProof/>
            </w:rPr>
            <w:t xml:space="preserve"> (Büscher &amp; Fletcher, 2020)</w:t>
          </w:r>
          <w:r w:rsidRPr="007350C0">
            <w:fldChar w:fldCharType="end"/>
          </w:r>
        </w:sdtContent>
      </w:sdt>
      <w:r w:rsidRPr="007350C0">
        <w:t>;</w:t>
      </w:r>
      <w:sdt>
        <w:sdtPr>
          <w:id w:val="707066077"/>
          <w:citation/>
        </w:sdtPr>
        <w:sdtContent>
          <w:r w:rsidRPr="007350C0">
            <w:fldChar w:fldCharType="begin"/>
          </w:r>
          <w:r w:rsidRPr="007350C0">
            <w:instrText xml:space="preserve"> CITATION Rai21 \l 1033 </w:instrText>
          </w:r>
          <w:r w:rsidRPr="007350C0">
            <w:fldChar w:fldCharType="separate"/>
          </w:r>
          <w:r w:rsidRPr="007350C0">
            <w:rPr>
              <w:noProof/>
            </w:rPr>
            <w:t xml:space="preserve"> (Rai, et al., 2021)</w:t>
          </w:r>
          <w:r w:rsidRPr="007350C0">
            <w:fldChar w:fldCharType="end"/>
          </w:r>
        </w:sdtContent>
      </w:sdt>
      <w:r w:rsidRPr="007350C0">
        <w:t>). While these approaches were effective in establishing protected areas, they frequently generated conflicts between conservation authorities and local populations, ultimately undermining conservation goals by eroding local support.</w:t>
      </w:r>
    </w:p>
    <w:p w:rsidR="00F95CC2" w:rsidRPr="007350C0" w:rsidRDefault="00F95CC2" w:rsidP="008641C2">
      <w:pPr>
        <w:pStyle w:val="NormalWeb"/>
        <w:spacing w:after="240" w:afterAutospacing="0"/>
        <w:ind w:left="605" w:right="605"/>
        <w:jc w:val="both"/>
      </w:pPr>
      <w:r w:rsidRPr="007350C0">
        <w:t xml:space="preserve">In response, more inclusive conservation models have emerged, emphasizing the involvement of local people in conservation planning and management. In Kenya, the growth of community conservancies and participatory governance structures reflects this shift, linking conservation efforts with livelihood strategies such as tourism, crafts, and alternative energy resource management (Kenya Wildlife Service [KWS], 2022; </w:t>
      </w:r>
      <w:sdt>
        <w:sdtPr>
          <w:id w:val="1169748914"/>
          <w:citation/>
        </w:sdtPr>
        <w:sdtContent>
          <w:r w:rsidRPr="007350C0">
            <w:fldChar w:fldCharType="begin"/>
          </w:r>
          <w:r w:rsidRPr="007350C0">
            <w:instrText xml:space="preserve"> CITATION Gal21 \l 1033 </w:instrText>
          </w:r>
          <w:r w:rsidRPr="007350C0">
            <w:fldChar w:fldCharType="separate"/>
          </w:r>
          <w:r w:rsidRPr="007350C0">
            <w:rPr>
              <w:noProof/>
            </w:rPr>
            <w:t>(Galvin, Rowland, Pickering, Walker, &amp; Jablonski, 2021)</w:t>
          </w:r>
          <w:r w:rsidRPr="007350C0">
            <w:fldChar w:fldCharType="end"/>
          </w:r>
        </w:sdtContent>
      </w:sdt>
      <w:r w:rsidRPr="007350C0">
        <w:t xml:space="preserve"> These initiatives demonstrate a deliberate facilitation to empower communities as the main stakeholders in conservation while enhancing socio-economic outcomes.</w:t>
      </w:r>
    </w:p>
    <w:p w:rsidR="00F95CC2" w:rsidRPr="007350C0" w:rsidRDefault="00F95CC2" w:rsidP="008641C2">
      <w:pPr>
        <w:pStyle w:val="NormalWeb"/>
        <w:spacing w:after="240" w:afterAutospacing="0"/>
        <w:ind w:left="605" w:right="605"/>
        <w:jc w:val="both"/>
      </w:pPr>
      <w:r w:rsidRPr="007350C0">
        <w:t>However, the success of these initiatives rest on how participation is developed and implemented. Participation extends beyond mere involvement in activities to include meaningful engagement in decision-making, equitable access to benefits, and a sense of ownership over conservation processes (Reed, 2017;</w:t>
      </w:r>
      <w:sdt>
        <w:sdtPr>
          <w:id w:val="-1940284332"/>
          <w:citation/>
        </w:sdtPr>
        <w:sdtContent>
          <w:r w:rsidRPr="007350C0">
            <w:fldChar w:fldCharType="begin"/>
          </w:r>
          <w:r w:rsidRPr="007350C0">
            <w:instrText xml:space="preserve"> CITATION Rai21 \l 1033 </w:instrText>
          </w:r>
          <w:r w:rsidRPr="007350C0">
            <w:fldChar w:fldCharType="separate"/>
          </w:r>
          <w:r w:rsidRPr="007350C0">
            <w:rPr>
              <w:noProof/>
            </w:rPr>
            <w:t xml:space="preserve"> (Rai, et al., 2021)</w:t>
          </w:r>
          <w:r w:rsidRPr="007350C0">
            <w:fldChar w:fldCharType="end"/>
          </w:r>
        </w:sdtContent>
      </w:sdt>
      <w:r w:rsidRPr="007350C0">
        <w:t>). In practice, these ideals are not always realized. Decision-making often remains centralized, benefits are unevenly distributed, and communities may lack the capacity or opportunity to engage effectively. This aligns with the linear approach to participation, which follows a structured sequence of problem identification, planning, implementation, monitoring, and evaluation, often limiting iterative feedback and local innovation (Reed, 2017).</w:t>
      </w:r>
    </w:p>
    <w:p w:rsidR="00F95CC2" w:rsidRPr="007350C0" w:rsidRDefault="00F95CC2" w:rsidP="008641C2">
      <w:pPr>
        <w:pStyle w:val="NormalWeb"/>
        <w:spacing w:after="240" w:afterAutospacing="0"/>
        <w:ind w:left="605" w:right="605"/>
        <w:jc w:val="both"/>
      </w:pPr>
      <w:r w:rsidRPr="007350C0">
        <w:t xml:space="preserve">Consequently, participation in many CBC initiatives remains consultative where members provide input but not in decision making and policies are executed by external stakeholders. As a result, ownership of the project is wanting and feedback loops are not used leading to dependence and disgruntlement among communities. Tools like Participatory Rural Appraisal have been adopted in adoption of indigenous knowledge in solving community needs. Conservation planning counts on technical and scientific expertise which lacks in problem identification and iterative learning with the people. </w:t>
      </w:r>
    </w:p>
    <w:p w:rsidR="00F95CC2" w:rsidRPr="007350C0" w:rsidRDefault="00F95CC2" w:rsidP="008641C2">
      <w:pPr>
        <w:pStyle w:val="NormalWeb"/>
        <w:spacing w:after="240" w:afterAutospacing="0"/>
        <w:ind w:left="605" w:right="605"/>
        <w:jc w:val="both"/>
      </w:pPr>
      <w:r w:rsidRPr="007350C0">
        <w:t xml:space="preserve">The study aims to examine how community participation contributes to sustainable resource management and biodiversity conservation while addressing socio-economic needs </w:t>
      </w:r>
      <w:sdt>
        <w:sdtPr>
          <w:id w:val="1662892407"/>
          <w:citation/>
        </w:sdtPr>
        <w:sdtContent>
          <w:r w:rsidRPr="007350C0">
            <w:fldChar w:fldCharType="begin"/>
          </w:r>
          <w:r w:rsidRPr="007350C0">
            <w:instrText xml:space="preserve"> CITATION Boc16 \l 1033 </w:instrText>
          </w:r>
          <w:r w:rsidRPr="007350C0">
            <w:fldChar w:fldCharType="separate"/>
          </w:r>
          <w:r w:rsidRPr="007350C0">
            <w:rPr>
              <w:noProof/>
            </w:rPr>
            <w:t>(Bockstael, Bahia, Seixas, &amp; Berkes, 2016)</w:t>
          </w:r>
          <w:r w:rsidRPr="007350C0">
            <w:fldChar w:fldCharType="end"/>
          </w:r>
        </w:sdtContent>
      </w:sdt>
      <w:r w:rsidRPr="007350C0">
        <w:t>.</w:t>
      </w:r>
    </w:p>
    <w:p w:rsidR="00F95CC2" w:rsidRPr="00FA10ED" w:rsidRDefault="00F95CC2" w:rsidP="008641C2">
      <w:pPr>
        <w:pStyle w:val="NormalWeb"/>
        <w:spacing w:after="240" w:afterAutospacing="0"/>
        <w:ind w:left="605" w:right="605"/>
        <w:jc w:val="both"/>
        <w:rPr>
          <w:b/>
          <w:sz w:val="28"/>
          <w:szCs w:val="28"/>
        </w:rPr>
      </w:pPr>
      <w:r w:rsidRPr="00FA10ED">
        <w:rPr>
          <w:b/>
          <w:sz w:val="28"/>
          <w:szCs w:val="28"/>
        </w:rPr>
        <w:lastRenderedPageBreak/>
        <w:t>LITERATURE REVIEW</w:t>
      </w:r>
    </w:p>
    <w:p w:rsidR="00F95CC2" w:rsidRPr="007350C0" w:rsidRDefault="00F95CC2" w:rsidP="008641C2">
      <w:pPr>
        <w:spacing w:before="100" w:beforeAutospacing="1" w:after="240" w:line="240" w:lineRule="auto"/>
        <w:ind w:left="605" w:right="605"/>
        <w:jc w:val="both"/>
        <w:rPr>
          <w:rFonts w:ascii="Times New Roman" w:hAnsi="Times New Roman" w:cs="Times New Roman"/>
          <w:sz w:val="24"/>
          <w:szCs w:val="24"/>
        </w:rPr>
      </w:pPr>
      <w:r w:rsidRPr="007350C0">
        <w:rPr>
          <w:rFonts w:ascii="Times New Roman" w:hAnsi="Times New Roman" w:cs="Times New Roman"/>
          <w:sz w:val="24"/>
          <w:szCs w:val="24"/>
        </w:rPr>
        <w:t xml:space="preserve">Community-based conservation (CBC) has gained prominence as a strategic approach to simultaneously address biodiversity protection and the improvement of rural livelihoods. Modern-day conservation increasingly advocates for participatory approaches that incorporate local knowledge, community engagement, and equitable benefit-sharing in resource governance </w:t>
      </w:r>
      <w:sdt>
        <w:sdtPr>
          <w:rPr>
            <w:rFonts w:ascii="Times New Roman" w:hAnsi="Times New Roman" w:cs="Times New Roman"/>
            <w:sz w:val="24"/>
            <w:szCs w:val="24"/>
          </w:rPr>
          <w:id w:val="1603915348"/>
          <w:citation/>
        </w:sdtPr>
        <w:sdtContent>
          <w:r w:rsidRPr="007350C0">
            <w:rPr>
              <w:rFonts w:ascii="Times New Roman" w:hAnsi="Times New Roman" w:cs="Times New Roman"/>
              <w:sz w:val="24"/>
              <w:szCs w:val="24"/>
            </w:rPr>
            <w:fldChar w:fldCharType="begin"/>
          </w:r>
          <w:r w:rsidRPr="007350C0">
            <w:rPr>
              <w:rFonts w:ascii="Times New Roman" w:hAnsi="Times New Roman" w:cs="Times New Roman"/>
              <w:sz w:val="24"/>
              <w:szCs w:val="24"/>
            </w:rPr>
            <w:instrText xml:space="preserve"> CITATION Che24 \l 1033 </w:instrText>
          </w:r>
          <w:r w:rsidRPr="007350C0">
            <w:rPr>
              <w:rFonts w:ascii="Times New Roman" w:hAnsi="Times New Roman" w:cs="Times New Roman"/>
              <w:sz w:val="24"/>
              <w:szCs w:val="24"/>
            </w:rPr>
            <w:fldChar w:fldCharType="separate"/>
          </w:r>
          <w:r w:rsidRPr="007350C0">
            <w:rPr>
              <w:rFonts w:ascii="Times New Roman" w:hAnsi="Times New Roman" w:cs="Times New Roman"/>
              <w:noProof/>
              <w:sz w:val="24"/>
              <w:szCs w:val="24"/>
            </w:rPr>
            <w:t>(Cheeseman K. , 2024)</w:t>
          </w:r>
          <w:r w:rsidRPr="007350C0">
            <w:rPr>
              <w:rFonts w:ascii="Times New Roman" w:hAnsi="Times New Roman" w:cs="Times New Roman"/>
              <w:sz w:val="24"/>
              <w:szCs w:val="24"/>
            </w:rPr>
            <w:fldChar w:fldCharType="end"/>
          </w:r>
        </w:sdtContent>
      </w:sdt>
      <w:r w:rsidRPr="007350C0">
        <w:rPr>
          <w:rFonts w:ascii="Times New Roman" w:hAnsi="Times New Roman" w:cs="Times New Roman"/>
          <w:sz w:val="24"/>
          <w:szCs w:val="24"/>
        </w:rPr>
        <w:t>.</w:t>
      </w:r>
    </w:p>
    <w:p w:rsidR="00F95CC2" w:rsidRPr="007350C0" w:rsidRDefault="00F95CC2" w:rsidP="008641C2">
      <w:pPr>
        <w:spacing w:before="100" w:beforeAutospacing="1" w:after="240" w:line="240" w:lineRule="auto"/>
        <w:ind w:left="605" w:right="605"/>
        <w:jc w:val="both"/>
        <w:rPr>
          <w:rFonts w:ascii="Times New Roman" w:hAnsi="Times New Roman" w:cs="Times New Roman"/>
          <w:sz w:val="24"/>
          <w:szCs w:val="24"/>
        </w:rPr>
      </w:pPr>
      <w:r w:rsidRPr="007350C0">
        <w:rPr>
          <w:rFonts w:ascii="Times New Roman" w:hAnsi="Times New Roman" w:cs="Times New Roman"/>
          <w:sz w:val="24"/>
          <w:szCs w:val="24"/>
        </w:rPr>
        <w:t>More recently, attention has turned to the integration of innovation-oriented methodologies, particularly design thinking, in addressing complex sustainability challenges. Design thinking is a human-centered, iterative approach to problem-solving that prioritizes empathy, stakeholder collaboration, idea generation, prototyping, and continuous refinement. In the context of environmental governance and development practice, it offers practical tools for engaging diverse stakeholders, redefining conservation challenges, and co-developing context-specific solutions. Its emphasis on experimentation and adaptability makes it well-suited to addressing the dynamic trade-offs between conservation and livelihoods in rural settings.</w:t>
      </w:r>
    </w:p>
    <w:p w:rsidR="00F95CC2" w:rsidRPr="007350C0" w:rsidRDefault="00F95CC2" w:rsidP="008641C2">
      <w:pPr>
        <w:spacing w:before="100" w:beforeAutospacing="1" w:after="240" w:line="240" w:lineRule="auto"/>
        <w:ind w:left="605" w:right="605"/>
        <w:jc w:val="both"/>
        <w:rPr>
          <w:rFonts w:ascii="Times New Roman" w:hAnsi="Times New Roman" w:cs="Times New Roman"/>
          <w:sz w:val="24"/>
          <w:szCs w:val="24"/>
        </w:rPr>
      </w:pPr>
      <w:r w:rsidRPr="007350C0">
        <w:rPr>
          <w:rFonts w:ascii="Times New Roman" w:hAnsi="Times New Roman" w:cs="Times New Roman"/>
          <w:sz w:val="24"/>
          <w:szCs w:val="24"/>
        </w:rPr>
        <w:t xml:space="preserve">Application of design thinking and community-based conservation creates an opportunity for enhanced livelihood outcomes while sustaining ecological integrity. Structured participatory processes supported by innovation frameworks can facilitate the development of alternative income-generating activities such as ecotourism, sustainable agriculture, and nature-based enterprises. Empirical studies indicate that when communities are directly involved in designing and implementing livelihood interventions, there are notable improvements in income diversification, food security, and gender inclusivity. Furthermore, collaborative learning within conservation governance systems has been shown to strengthen adaptive capacity, improve decision-making processes, and foster more sustainable human–wildlife coexistence. </w:t>
      </w:r>
    </w:p>
    <w:p w:rsidR="00F95CC2" w:rsidRPr="00FA10ED" w:rsidRDefault="00F95CC2" w:rsidP="008641C2">
      <w:pPr>
        <w:pStyle w:val="Heading2"/>
        <w:spacing w:after="240"/>
        <w:ind w:left="605" w:right="605"/>
        <w:rPr>
          <w:i w:val="0"/>
          <w:lang w:bidi="ar-SA"/>
        </w:rPr>
      </w:pPr>
      <w:r w:rsidRPr="00FA10ED">
        <w:rPr>
          <w:i w:val="0"/>
          <w:lang w:bidi="ar-SA"/>
        </w:rPr>
        <w:t>Community-based Conservation</w:t>
      </w:r>
    </w:p>
    <w:p w:rsidR="00F95CC2" w:rsidRPr="007350C0" w:rsidRDefault="00F95CC2" w:rsidP="008641C2">
      <w:pPr>
        <w:spacing w:before="100" w:beforeAutospacing="1" w:after="240" w:line="240" w:lineRule="auto"/>
        <w:ind w:left="605" w:right="605"/>
        <w:jc w:val="both"/>
        <w:rPr>
          <w:rFonts w:ascii="Times New Roman" w:hAnsi="Times New Roman" w:cs="Times New Roman"/>
          <w:sz w:val="24"/>
          <w:szCs w:val="24"/>
        </w:rPr>
      </w:pPr>
      <w:r w:rsidRPr="007350C0">
        <w:rPr>
          <w:rFonts w:ascii="Times New Roman" w:hAnsi="Times New Roman" w:cs="Times New Roman"/>
          <w:sz w:val="24"/>
          <w:szCs w:val="24"/>
        </w:rPr>
        <w:t xml:space="preserve">In a study by </w:t>
      </w:r>
      <w:proofErr w:type="spellStart"/>
      <w:r w:rsidRPr="007350C0">
        <w:rPr>
          <w:rFonts w:ascii="Times New Roman" w:hAnsi="Times New Roman" w:cs="Times New Roman"/>
          <w:sz w:val="24"/>
          <w:szCs w:val="24"/>
        </w:rPr>
        <w:t>Cheeseman</w:t>
      </w:r>
      <w:proofErr w:type="spellEnd"/>
      <w:r w:rsidRPr="007350C0">
        <w:rPr>
          <w:rFonts w:ascii="Times New Roman" w:hAnsi="Times New Roman" w:cs="Times New Roman"/>
          <w:sz w:val="24"/>
          <w:szCs w:val="24"/>
        </w:rPr>
        <w:t xml:space="preserve"> (2024) looking at contemporary conservation approaches, it was discovered that community-based conservation (CBC) has emerged as a strategic model for addressing both biodiversity conservation and rural livelihood improvement. </w:t>
      </w:r>
      <w:proofErr w:type="spellStart"/>
      <w:r w:rsidRPr="007350C0">
        <w:rPr>
          <w:rFonts w:ascii="Times New Roman" w:hAnsi="Times New Roman" w:cs="Times New Roman"/>
          <w:sz w:val="24"/>
          <w:szCs w:val="24"/>
        </w:rPr>
        <w:t>Koricha</w:t>
      </w:r>
      <w:proofErr w:type="spellEnd"/>
      <w:r w:rsidRPr="007350C0">
        <w:rPr>
          <w:rFonts w:ascii="Times New Roman" w:hAnsi="Times New Roman" w:cs="Times New Roman"/>
          <w:sz w:val="24"/>
          <w:szCs w:val="24"/>
        </w:rPr>
        <w:t xml:space="preserve"> and </w:t>
      </w:r>
      <w:proofErr w:type="spellStart"/>
      <w:r w:rsidRPr="007350C0">
        <w:rPr>
          <w:rFonts w:ascii="Times New Roman" w:hAnsi="Times New Roman" w:cs="Times New Roman"/>
          <w:sz w:val="24"/>
          <w:szCs w:val="24"/>
        </w:rPr>
        <w:t>Jemal</w:t>
      </w:r>
      <w:proofErr w:type="spellEnd"/>
      <w:r w:rsidRPr="007350C0">
        <w:rPr>
          <w:rFonts w:ascii="Times New Roman" w:hAnsi="Times New Roman" w:cs="Times New Roman"/>
          <w:sz w:val="24"/>
          <w:szCs w:val="24"/>
        </w:rPr>
        <w:t xml:space="preserve"> </w:t>
      </w:r>
      <w:proofErr w:type="spellStart"/>
      <w:r w:rsidRPr="007350C0">
        <w:rPr>
          <w:rFonts w:ascii="Times New Roman" w:hAnsi="Times New Roman" w:cs="Times New Roman"/>
          <w:sz w:val="24"/>
          <w:szCs w:val="24"/>
        </w:rPr>
        <w:t>Adem</w:t>
      </w:r>
      <w:proofErr w:type="spellEnd"/>
      <w:r w:rsidRPr="007350C0">
        <w:rPr>
          <w:rFonts w:ascii="Times New Roman" w:hAnsi="Times New Roman" w:cs="Times New Roman"/>
          <w:sz w:val="24"/>
          <w:szCs w:val="24"/>
        </w:rPr>
        <w:t xml:space="preserve"> (2024) echoes this model by agreeing that conservation outcomes in African contexts, enhances conservation success by fostering ownership, improving compliance, and promoting sustainable resource use. The authors conclude that tangible community benefits are critical for long-term conservation support. Research established that modern conservation increasingly prioritizes participatory approaches that integrate local knowledge, community engagement, and equitable benefit-sharing.</w:t>
      </w:r>
    </w:p>
    <w:p w:rsidR="00F95CC2" w:rsidRPr="007350C0" w:rsidRDefault="00F95CC2" w:rsidP="00FA10ED">
      <w:pPr>
        <w:pStyle w:val="NormalWeb"/>
        <w:spacing w:after="240" w:afterAutospacing="0"/>
        <w:ind w:left="605" w:right="605"/>
        <w:jc w:val="both"/>
      </w:pPr>
      <w:r w:rsidRPr="007350C0">
        <w:t xml:space="preserve">Decision-making within community-based frameworks is guided by the principles of inclusivity and fairness. Ideally, community members are not just consulted but are actively involved in determining project priorities, allocating resources, and shaping </w:t>
      </w:r>
      <w:r w:rsidRPr="007350C0">
        <w:lastRenderedPageBreak/>
        <w:t xml:space="preserve">governance structures. Frameworks such as </w:t>
      </w:r>
      <w:proofErr w:type="spellStart"/>
      <w:r w:rsidRPr="007350C0">
        <w:rPr>
          <w:rStyle w:val="whitespace-normal"/>
          <w:rFonts w:eastAsiaTheme="majorEastAsia"/>
        </w:rPr>
        <w:t>Arnstein’s</w:t>
      </w:r>
      <w:proofErr w:type="spellEnd"/>
      <w:r w:rsidRPr="007350C0">
        <w:rPr>
          <w:rStyle w:val="whitespace-normal"/>
          <w:rFonts w:eastAsiaTheme="majorEastAsia"/>
        </w:rPr>
        <w:t xml:space="preserve"> Ladder of Citizen Participation</w:t>
      </w:r>
      <w:r w:rsidRPr="007350C0">
        <w:t xml:space="preserve">, study by </w:t>
      </w:r>
      <w:sdt>
        <w:sdtPr>
          <w:id w:val="-706476631"/>
          <w:citation/>
        </w:sdtPr>
        <w:sdtContent>
          <w:r w:rsidRPr="007350C0">
            <w:fldChar w:fldCharType="begin"/>
          </w:r>
          <w:r w:rsidRPr="007350C0">
            <w:instrText xml:space="preserve"> CITATION Erb18 \l 1033 </w:instrText>
          </w:r>
          <w:r w:rsidRPr="007350C0">
            <w:fldChar w:fldCharType="separate"/>
          </w:r>
          <w:r w:rsidRPr="007350C0">
            <w:rPr>
              <w:noProof/>
            </w:rPr>
            <w:t>(Erbaugh, 2018)</w:t>
          </w:r>
          <w:r w:rsidRPr="007350C0">
            <w:fldChar w:fldCharType="end"/>
          </w:r>
        </w:sdtContent>
      </w:sdt>
      <w:r w:rsidRPr="007350C0">
        <w:t xml:space="preserve"> established that CBC initiatives are most successful where communities have decision-making authority and access to economic incentives.</w:t>
      </w:r>
    </w:p>
    <w:p w:rsidR="00F95CC2" w:rsidRPr="007350C0" w:rsidRDefault="00F95CC2" w:rsidP="008641C2">
      <w:pPr>
        <w:pStyle w:val="NormalWeb"/>
        <w:spacing w:after="240" w:afterAutospacing="0"/>
        <w:ind w:left="605" w:right="605"/>
        <w:jc w:val="both"/>
      </w:pPr>
      <w:r w:rsidRPr="007350C0">
        <w:t xml:space="preserve">To address these limitations, there is growing interest in more innovative and flexible approaches that can strengthen participation in conservation. One such approach is </w:t>
      </w:r>
      <w:r w:rsidRPr="007350C0">
        <w:rPr>
          <w:rStyle w:val="Strong"/>
        </w:rPr>
        <w:t>design thinking</w:t>
      </w:r>
      <w:r w:rsidRPr="007350C0">
        <w:t xml:space="preserve">, which emphasizes empathy, collaboration, and iterative problem-solving. Further, </w:t>
      </w:r>
      <w:r w:rsidRPr="007350C0">
        <w:rPr>
          <w:rStyle w:val="whitespace-normal"/>
          <w:rFonts w:eastAsiaTheme="majorEastAsia"/>
        </w:rPr>
        <w:t>Roger Martin</w:t>
      </w:r>
      <w:r w:rsidRPr="007350C0">
        <w:t xml:space="preserve"> emphasizes the role of integrative thinking in addressing complex, “wicked problems” such as those found in conservation contexts. In development and social innovation fields, </w:t>
      </w:r>
      <w:sdt>
        <w:sdtPr>
          <w:rPr>
            <w:rStyle w:val="whitespace-normal"/>
            <w:rFonts w:eastAsiaTheme="majorEastAsia"/>
          </w:rPr>
          <w:id w:val="990604304"/>
          <w:citation/>
        </w:sdtPr>
        <w:sdtContent>
          <w:r w:rsidRPr="007350C0">
            <w:rPr>
              <w:rStyle w:val="whitespace-normal"/>
              <w:rFonts w:eastAsiaTheme="majorEastAsia"/>
            </w:rPr>
            <w:fldChar w:fldCharType="begin"/>
          </w:r>
          <w:r w:rsidRPr="007350C0">
            <w:rPr>
              <w:rStyle w:val="whitespace-normal"/>
              <w:rFonts w:eastAsiaTheme="majorEastAsia"/>
            </w:rPr>
            <w:instrText xml:space="preserve"> CITATION Man16 \l 1033 </w:instrText>
          </w:r>
          <w:r w:rsidRPr="007350C0">
            <w:rPr>
              <w:rStyle w:val="whitespace-normal"/>
              <w:rFonts w:eastAsiaTheme="majorEastAsia"/>
            </w:rPr>
            <w:fldChar w:fldCharType="separate"/>
          </w:r>
          <w:r w:rsidRPr="007350C0">
            <w:rPr>
              <w:rFonts w:eastAsiaTheme="majorEastAsia"/>
              <w:noProof/>
            </w:rPr>
            <w:t>(Manzini, 2016)</w:t>
          </w:r>
          <w:r w:rsidRPr="007350C0">
            <w:rPr>
              <w:rStyle w:val="whitespace-normal"/>
              <w:rFonts w:eastAsiaTheme="majorEastAsia"/>
            </w:rPr>
            <w:fldChar w:fldCharType="end"/>
          </w:r>
        </w:sdtContent>
      </w:sdt>
      <w:r w:rsidRPr="007350C0">
        <w:t xml:space="preserve"> notes that design thinking enables collaborative processes that empower communities and support locally driven solutions.</w:t>
      </w:r>
    </w:p>
    <w:p w:rsidR="00F95CC2" w:rsidRPr="00FA10ED" w:rsidRDefault="00F95CC2" w:rsidP="008641C2">
      <w:pPr>
        <w:pStyle w:val="Heading2"/>
        <w:spacing w:after="240"/>
        <w:ind w:left="605" w:right="605"/>
        <w:rPr>
          <w:i w:val="0"/>
          <w:lang w:bidi="ar-SA"/>
        </w:rPr>
      </w:pPr>
      <w:r w:rsidRPr="00FA10ED">
        <w:rPr>
          <w:i w:val="0"/>
          <w:lang w:bidi="ar-SA"/>
        </w:rPr>
        <w:t>Community participation</w:t>
      </w:r>
    </w:p>
    <w:p w:rsidR="00F95CC2" w:rsidRPr="007350C0" w:rsidRDefault="00F95CC2" w:rsidP="008641C2">
      <w:pPr>
        <w:spacing w:before="100" w:beforeAutospacing="1" w:after="240" w:line="240" w:lineRule="auto"/>
        <w:ind w:left="605" w:right="605"/>
        <w:jc w:val="both"/>
        <w:rPr>
          <w:rFonts w:ascii="Times New Roman" w:hAnsi="Times New Roman" w:cs="Times New Roman"/>
          <w:sz w:val="24"/>
          <w:szCs w:val="24"/>
        </w:rPr>
      </w:pPr>
      <w:r w:rsidRPr="007350C0">
        <w:rPr>
          <w:rFonts w:ascii="Times New Roman" w:hAnsi="Times New Roman" w:cs="Times New Roman"/>
          <w:sz w:val="24"/>
          <w:szCs w:val="24"/>
        </w:rPr>
        <w:t xml:space="preserve">Community participation has become an anchor to sustainable development and conservation practice across the world. Globally, there has been a clear shift away from exclusionary, top-down conservation models toward approaches that recognize local communities as essential partners rather than passive beneficiaries. Institutions such as the </w:t>
      </w:r>
      <w:r w:rsidRPr="007350C0">
        <w:rPr>
          <w:rStyle w:val="whitespace-normal"/>
          <w:rFonts w:ascii="Times New Roman" w:eastAsiaTheme="majorEastAsia" w:hAnsi="Times New Roman" w:cs="Times New Roman"/>
          <w:sz w:val="24"/>
          <w:szCs w:val="24"/>
        </w:rPr>
        <w:t xml:space="preserve">United Nations Development </w:t>
      </w:r>
      <w:proofErr w:type="spellStart"/>
      <w:r w:rsidRPr="007350C0">
        <w:rPr>
          <w:rStyle w:val="whitespace-normal"/>
          <w:rFonts w:ascii="Times New Roman" w:eastAsiaTheme="majorEastAsia" w:hAnsi="Times New Roman" w:cs="Times New Roman"/>
          <w:sz w:val="24"/>
          <w:szCs w:val="24"/>
        </w:rPr>
        <w:t>Programme</w:t>
      </w:r>
      <w:proofErr w:type="spellEnd"/>
      <w:r w:rsidRPr="007350C0">
        <w:rPr>
          <w:rFonts w:ascii="Times New Roman" w:hAnsi="Times New Roman" w:cs="Times New Roman"/>
          <w:sz w:val="24"/>
          <w:szCs w:val="24"/>
        </w:rPr>
        <w:t xml:space="preserve"> and the </w:t>
      </w:r>
      <w:r w:rsidRPr="007350C0">
        <w:rPr>
          <w:rStyle w:val="whitespace-normal"/>
          <w:rFonts w:ascii="Times New Roman" w:eastAsiaTheme="majorEastAsia" w:hAnsi="Times New Roman" w:cs="Times New Roman"/>
          <w:sz w:val="24"/>
          <w:szCs w:val="24"/>
        </w:rPr>
        <w:t>World Bank</w:t>
      </w:r>
      <w:r w:rsidRPr="007350C0">
        <w:rPr>
          <w:rFonts w:ascii="Times New Roman" w:hAnsi="Times New Roman" w:cs="Times New Roman"/>
          <w:sz w:val="24"/>
          <w:szCs w:val="24"/>
        </w:rPr>
        <w:t xml:space="preserve"> have consistently emphasized that meaningful participation improves project relevance, improved livelihoods, and sustainability. In a study by Reed (2017), it was discovered that meaningful participation improves project sustainability and legitimacy. His opinion is that participation must include decision-making authority. When communities are involved in shaping decisions, they will support and implement conservation initiatives because these initiatives reflect their needs, knowledge, and priorities. Community participatory approach has been used in fields such as agriculture, health and development to engage members to create solutions to community needs.</w:t>
      </w:r>
    </w:p>
    <w:p w:rsidR="00F95CC2" w:rsidRPr="007350C0" w:rsidRDefault="00F95CC2" w:rsidP="008641C2">
      <w:pPr>
        <w:pStyle w:val="NormalWeb"/>
        <w:spacing w:after="240" w:afterAutospacing="0"/>
        <w:ind w:left="605" w:right="605"/>
        <w:jc w:val="both"/>
      </w:pPr>
      <w:r w:rsidRPr="007350C0">
        <w:t xml:space="preserve">Participation according to </w:t>
      </w:r>
      <w:sdt>
        <w:sdtPr>
          <w:id w:val="1083413526"/>
          <w:citation/>
        </w:sdtPr>
        <w:sdtContent>
          <w:r w:rsidRPr="007350C0">
            <w:fldChar w:fldCharType="begin"/>
          </w:r>
          <w:r w:rsidRPr="007350C0">
            <w:instrText xml:space="preserve"> CITATION Daw24 \l 1033 </w:instrText>
          </w:r>
          <w:r w:rsidRPr="007350C0">
            <w:fldChar w:fldCharType="separate"/>
          </w:r>
          <w:r w:rsidRPr="007350C0">
            <w:rPr>
              <w:noProof/>
            </w:rPr>
            <w:t>(Dawson, et al., 2024)</w:t>
          </w:r>
          <w:r w:rsidRPr="007350C0">
            <w:fldChar w:fldCharType="end"/>
          </w:r>
        </w:sdtContent>
      </w:sdt>
      <w:r w:rsidRPr="007350C0">
        <w:t xml:space="preserve"> strengthens both conservation outcomes and local livelihoods by creating a mutually reinforcing relationship between environmental sustainability and community well-being. Participation allows for the integration of local and indigenous knowledge into resource management. Communities have had a relationship with the environment, including climate patterns, wildlife conservation, and sustainable resource use practices. When this knowledge is incorporated into conservation strategies, interventions become more context-specific and adaptive, ultimately enhancing ecological outcomes. While policies may promote inclusivity, in practice, many projects still operate at consultative levels where communities are heard but not empowered to influence final decisions. This gap between policy and practice has necessitated application of transformative and locally grounded participation models.</w:t>
      </w:r>
    </w:p>
    <w:p w:rsidR="00F95CC2" w:rsidRPr="007350C0" w:rsidRDefault="00F95CC2" w:rsidP="008641C2">
      <w:pPr>
        <w:pStyle w:val="NormalWeb"/>
        <w:spacing w:after="240" w:afterAutospacing="0"/>
        <w:ind w:left="605" w:right="605"/>
        <w:jc w:val="both"/>
      </w:pPr>
      <w:r w:rsidRPr="007350C0">
        <w:t xml:space="preserve">Kenya Wildlife Service </w:t>
      </w:r>
      <w:sdt>
        <w:sdtPr>
          <w:id w:val="314306134"/>
          <w:citation/>
        </w:sdtPr>
        <w:sdtContent>
          <w:r w:rsidRPr="007350C0">
            <w:fldChar w:fldCharType="begin"/>
          </w:r>
          <w:r w:rsidRPr="007350C0">
            <w:instrText xml:space="preserve">CITATION Ken26 \l 1033 </w:instrText>
          </w:r>
          <w:r w:rsidRPr="007350C0">
            <w:fldChar w:fldCharType="separate"/>
          </w:r>
          <w:r w:rsidRPr="007350C0">
            <w:rPr>
              <w:noProof/>
            </w:rPr>
            <w:t>(KWS, Collaboration and Partnerships, 2026)</w:t>
          </w:r>
          <w:r w:rsidRPr="007350C0">
            <w:fldChar w:fldCharType="end"/>
          </w:r>
        </w:sdtContent>
      </w:sdt>
      <w:r w:rsidRPr="007350C0">
        <w:t xml:space="preserve">states that community participation has evolved in its effectiveness in conservation, especially with the growth of community conservancies. The country is often cited as a leading </w:t>
      </w:r>
      <w:r w:rsidRPr="007350C0">
        <w:lastRenderedPageBreak/>
        <w:t xml:space="preserve">example of how conservation can be integrated with local livelihoods through participatory approaches. Key institutions such as the </w:t>
      </w:r>
      <w:r w:rsidRPr="007350C0">
        <w:rPr>
          <w:rStyle w:val="whitespace-normal"/>
          <w:rFonts w:eastAsiaTheme="majorEastAsia"/>
        </w:rPr>
        <w:t>Kenya Wildlife Service</w:t>
      </w:r>
      <w:r w:rsidRPr="007350C0">
        <w:t xml:space="preserve">, the </w:t>
      </w:r>
      <w:r w:rsidRPr="007350C0">
        <w:rPr>
          <w:rStyle w:val="whitespace-normal"/>
          <w:rFonts w:eastAsiaTheme="majorEastAsia"/>
        </w:rPr>
        <w:t>Northern Rangelands Trust</w:t>
      </w:r>
      <w:r w:rsidRPr="007350C0">
        <w:t xml:space="preserve">, and the </w:t>
      </w:r>
      <w:r w:rsidRPr="007350C0">
        <w:rPr>
          <w:rStyle w:val="whitespace-normal"/>
          <w:rFonts w:eastAsiaTheme="majorEastAsia"/>
        </w:rPr>
        <w:t>Kenya Wildlife Conservancies Association</w:t>
      </w:r>
      <w:r w:rsidRPr="007350C0">
        <w:t xml:space="preserve"> have been central in advancing this model.</w:t>
      </w:r>
    </w:p>
    <w:p w:rsidR="00F95CC2" w:rsidRPr="007350C0" w:rsidRDefault="00F95CC2" w:rsidP="008641C2">
      <w:pPr>
        <w:spacing w:before="100" w:beforeAutospacing="1" w:after="240" w:line="240" w:lineRule="auto"/>
        <w:ind w:left="605" w:right="605"/>
        <w:jc w:val="both"/>
        <w:rPr>
          <w:rFonts w:ascii="Times New Roman" w:hAnsi="Times New Roman" w:cs="Times New Roman"/>
          <w:sz w:val="24"/>
          <w:szCs w:val="24"/>
        </w:rPr>
      </w:pPr>
      <w:r w:rsidRPr="007350C0">
        <w:rPr>
          <w:rFonts w:ascii="Times New Roman" w:hAnsi="Times New Roman" w:cs="Times New Roman"/>
          <w:sz w:val="24"/>
          <w:szCs w:val="24"/>
        </w:rPr>
        <w:t xml:space="preserve">The </w:t>
      </w:r>
      <w:r w:rsidRPr="007350C0">
        <w:rPr>
          <w:rStyle w:val="whitespace-normal"/>
          <w:rFonts w:ascii="Times New Roman" w:eastAsiaTheme="majorEastAsia" w:hAnsi="Times New Roman" w:cs="Times New Roman"/>
          <w:sz w:val="24"/>
          <w:szCs w:val="24"/>
        </w:rPr>
        <w:t>organization</w:t>
      </w:r>
      <w:r w:rsidRPr="007350C0">
        <w:rPr>
          <w:rFonts w:ascii="Times New Roman" w:hAnsi="Times New Roman" w:cs="Times New Roman"/>
          <w:sz w:val="24"/>
          <w:szCs w:val="24"/>
        </w:rPr>
        <w:t xml:space="preserve"> as the national body mandated to manage wildlife, has increasingly embraced community participation through collaborative management strategies.</w:t>
      </w:r>
      <w:r w:rsidRPr="007350C0">
        <w:rPr>
          <w:rFonts w:ascii="Times New Roman" w:hAnsi="Times New Roman" w:cs="Times New Roman"/>
          <w:sz w:val="24"/>
          <w:szCs w:val="24"/>
        </w:rPr>
        <w:t xml:space="preserve"> </w:t>
      </w:r>
      <w:r w:rsidRPr="007350C0">
        <w:rPr>
          <w:rFonts w:ascii="Times New Roman" w:hAnsi="Times New Roman" w:cs="Times New Roman"/>
          <w:sz w:val="24"/>
          <w:szCs w:val="24"/>
        </w:rPr>
        <w:t>However, challenges remain and studies by Cooke and Kothari (2016), Armitage et al. (2020), criticize the nature of participation as often tokenistic, where communities are involved without real influence. The authors argue that such participation limits empowerment and need for effective conservation outcomes require collaborative governance systems with genuine power-sharing.</w:t>
      </w:r>
    </w:p>
    <w:p w:rsidR="00F95CC2" w:rsidRPr="007350C0" w:rsidRDefault="00F95CC2" w:rsidP="008641C2">
      <w:pPr>
        <w:pStyle w:val="Heading2Char"/>
        <w:spacing w:after="240" w:line="240" w:lineRule="auto"/>
        <w:ind w:left="605" w:right="605"/>
        <w:jc w:val="both"/>
        <w:rPr>
          <w:rFonts w:ascii="Times New Roman" w:hAnsi="Times New Roman" w:cs="Times New Roman"/>
          <w:sz w:val="24"/>
          <w:szCs w:val="24"/>
        </w:rPr>
      </w:pPr>
      <w:r w:rsidRPr="007350C0">
        <w:rPr>
          <w:rFonts w:ascii="Times New Roman" w:hAnsi="Times New Roman" w:cs="Times New Roman"/>
          <w:sz w:val="24"/>
          <w:szCs w:val="24"/>
        </w:rPr>
        <w:t>Participation is not always evenly distributed, and issues such as elite capture, gender exclusion, and unequal benefit-sharing persist</w:t>
      </w:r>
      <w:r w:rsidRPr="007350C0">
        <w:rPr>
          <w:rFonts w:ascii="Times New Roman" w:hAnsi="Times New Roman" w:cs="Times New Roman"/>
          <w:sz w:val="24"/>
          <w:szCs w:val="24"/>
        </w:rPr>
        <w:t>.</w:t>
      </w:r>
    </w:p>
    <w:p w:rsidR="00F95CC2" w:rsidRPr="00FA10ED" w:rsidRDefault="00F95CC2" w:rsidP="008641C2">
      <w:pPr>
        <w:pStyle w:val="Heading2Char"/>
        <w:spacing w:after="240" w:line="240" w:lineRule="auto"/>
        <w:ind w:left="605" w:right="605"/>
        <w:jc w:val="both"/>
        <w:rPr>
          <w:rFonts w:ascii="Times New Roman" w:hAnsi="Times New Roman" w:cs="Times New Roman"/>
          <w:b/>
          <w:sz w:val="24"/>
          <w:szCs w:val="24"/>
        </w:rPr>
      </w:pPr>
      <w:r w:rsidRPr="00FA10ED">
        <w:rPr>
          <w:rFonts w:ascii="Times New Roman" w:hAnsi="Times New Roman" w:cs="Times New Roman"/>
          <w:b/>
          <w:sz w:val="24"/>
          <w:szCs w:val="24"/>
        </w:rPr>
        <w:t>Participatory approach</w:t>
      </w:r>
    </w:p>
    <w:p w:rsidR="00A52A94" w:rsidRPr="007350C0" w:rsidRDefault="00A52A94" w:rsidP="008641C2">
      <w:pPr>
        <w:pStyle w:val="NormalWeb"/>
        <w:spacing w:after="240" w:afterAutospacing="0"/>
        <w:ind w:left="605" w:right="605"/>
        <w:jc w:val="both"/>
      </w:pPr>
      <w:r w:rsidRPr="007350C0">
        <w:t xml:space="preserve">Frameworks such as </w:t>
      </w:r>
      <w:proofErr w:type="spellStart"/>
      <w:r w:rsidRPr="007350C0">
        <w:rPr>
          <w:rStyle w:val="whitespace-normal"/>
          <w:rFonts w:eastAsiaTheme="majorEastAsia"/>
        </w:rPr>
        <w:t>Arnstein’s</w:t>
      </w:r>
      <w:proofErr w:type="spellEnd"/>
      <w:r w:rsidRPr="007350C0">
        <w:rPr>
          <w:rStyle w:val="whitespace-normal"/>
          <w:rFonts w:eastAsiaTheme="majorEastAsia"/>
        </w:rPr>
        <w:t xml:space="preserve"> Ladder of Citizen Participation</w:t>
      </w:r>
      <w:r w:rsidRPr="007350C0">
        <w:t xml:space="preserve"> is applicable in stakeholder analysis because it highlights how power is distributed to members. Participatory techniques </w:t>
      </w:r>
      <w:proofErr w:type="spellStart"/>
      <w:r w:rsidRPr="007350C0">
        <w:t>analyse</w:t>
      </w:r>
      <w:proofErr w:type="spellEnd"/>
      <w:r w:rsidRPr="007350C0">
        <w:t xml:space="preserve"> whether stakeholders are honestly involved in decision-making or appear to be involved. Effective stakeholder engagement requires moving toward higher levels of participation, power sharing to the people and applying models that are applicable and adaptable to local context.</w:t>
      </w:r>
    </w:p>
    <w:p w:rsidR="00A52A94" w:rsidRPr="007350C0" w:rsidRDefault="00A52A94" w:rsidP="008641C2">
      <w:pPr>
        <w:pStyle w:val="NormalWeb"/>
        <w:spacing w:after="240" w:afterAutospacing="0"/>
        <w:ind w:left="605" w:right="605"/>
        <w:jc w:val="both"/>
      </w:pPr>
      <w:r w:rsidRPr="007350C0">
        <w:t xml:space="preserve">The challenges discussed above can reduce the acceptability and effectiveness of conservation initiatives. </w:t>
      </w:r>
      <w:proofErr w:type="spellStart"/>
      <w:r w:rsidRPr="007350C0">
        <w:t>Holifield</w:t>
      </w:r>
      <w:proofErr w:type="spellEnd"/>
      <w:r w:rsidRPr="007350C0">
        <w:t xml:space="preserve"> and Williams (2019) note that understanding these differences is vital, yet demanding, because participation is dictated by existing political and social inequalities. Consequently, participatory structures may exist formally while meaningful power remains concentrated among a few actors. The implementation of participatory techniques also faces significant obstacles. Traditional methods such as public hearings and consultation meetings are frequently criticized for providing limited opportunities for genuine dialogue and collaborative problem-solving. </w:t>
      </w:r>
      <w:proofErr w:type="spellStart"/>
      <w:r w:rsidRPr="007350C0">
        <w:t>Holifield</w:t>
      </w:r>
      <w:proofErr w:type="spellEnd"/>
      <w:r w:rsidRPr="007350C0">
        <w:t xml:space="preserve"> and Williams (2019) observed that formal participation mechanisms often fail to sustain stakeholder interest or facilitate meaningful engagement. </w:t>
      </w:r>
      <w:sdt>
        <w:sdtPr>
          <w:id w:val="837661800"/>
          <w:citation/>
        </w:sdtPr>
        <w:sdtContent>
          <w:r w:rsidRPr="007350C0">
            <w:fldChar w:fldCharType="begin"/>
          </w:r>
          <w:r w:rsidRPr="007350C0">
            <w:instrText xml:space="preserve"> CITATION Bob19 \l 1033 </w:instrText>
          </w:r>
          <w:r w:rsidRPr="007350C0">
            <w:fldChar w:fldCharType="separate"/>
          </w:r>
          <w:r w:rsidRPr="007350C0">
            <w:rPr>
              <w:noProof/>
            </w:rPr>
            <w:t>(Bobbio, 2019)</w:t>
          </w:r>
          <w:r w:rsidRPr="007350C0">
            <w:fldChar w:fldCharType="end"/>
          </w:r>
        </w:sdtContent>
      </w:sdt>
      <w:r w:rsidRPr="007350C0">
        <w:t xml:space="preserve"> “argues that participatory processes may become ineffective when they rely heavily on rigid consultation procedures rather than interactive and inclusive engagement approaches.” Without effective evaluation tools, it is difficult to determine whether participation has genuinely influenced decision-making and conservation outcomes. These challenges demonstrate that stakeholder participation extends beyond simply involving communities in conservation activities to incorporation of indigenous knowledge to transform top down approach to planning of conservation projects.</w:t>
      </w:r>
    </w:p>
    <w:p w:rsidR="00A52A94" w:rsidRPr="007350C0" w:rsidRDefault="00A52A94" w:rsidP="008641C2">
      <w:pPr>
        <w:pStyle w:val="NormalWeb"/>
        <w:spacing w:after="240" w:afterAutospacing="0"/>
        <w:ind w:left="605" w:right="605"/>
        <w:jc w:val="both"/>
      </w:pPr>
      <w:r w:rsidRPr="007350C0">
        <w:t>Figure 1</w:t>
      </w:r>
      <w:r w:rsidRPr="007350C0">
        <w:t xml:space="preserve"> below is an analysis of participatory approach discussed above and the challenges encountered through understanding of participation by conservation managers’ vis a vi participation by community members. Within community-based </w:t>
      </w:r>
      <w:r w:rsidRPr="007350C0">
        <w:lastRenderedPageBreak/>
        <w:t xml:space="preserve">conservation, the processes of selecting participatory techniques, implementing participation strategies, and evaluating participation outcomes, as proposed by </w:t>
      </w:r>
      <w:proofErr w:type="spellStart"/>
      <w:r w:rsidRPr="007350C0">
        <w:t>Holifield</w:t>
      </w:r>
      <w:proofErr w:type="spellEnd"/>
      <w:r w:rsidRPr="007350C0">
        <w:t xml:space="preserve"> and Williams (2019), can be understood through </w:t>
      </w:r>
      <w:proofErr w:type="spellStart"/>
      <w:r w:rsidRPr="007350C0">
        <w:t>Arnstein's</w:t>
      </w:r>
      <w:proofErr w:type="spellEnd"/>
      <w:r w:rsidRPr="007350C0">
        <w:t xml:space="preserve"> Ladder of Participation, which highlights varying levels of citizen involvement and decision-making power.</w:t>
      </w:r>
    </w:p>
    <w:p w:rsidR="00A52A94" w:rsidRPr="007350C0" w:rsidRDefault="00A52A94" w:rsidP="008641C2">
      <w:pPr>
        <w:pStyle w:val="NormalWeb"/>
        <w:spacing w:after="240" w:afterAutospacing="0"/>
        <w:ind w:left="605" w:right="605"/>
        <w:jc w:val="both"/>
      </w:pPr>
    </w:p>
    <w:p w:rsidR="00A52A94" w:rsidRPr="007350C0" w:rsidRDefault="00A52A94" w:rsidP="008641C2">
      <w:pPr>
        <w:pStyle w:val="NormalWeb"/>
        <w:keepNext/>
        <w:spacing w:after="240" w:afterAutospacing="0"/>
        <w:ind w:left="605" w:right="605"/>
        <w:jc w:val="both"/>
      </w:pPr>
      <w:r w:rsidRPr="007350C0">
        <w:rPr>
          <w:noProof/>
        </w:rPr>
        <mc:AlternateContent>
          <mc:Choice Requires="wps">
            <w:drawing>
              <wp:inline distT="0" distB="0" distL="0" distR="0" wp14:anchorId="25B9A69D" wp14:editId="5E39ACC6">
                <wp:extent cx="304800" cy="304800"/>
                <wp:effectExtent l="0" t="0" r="0" b="0"/>
                <wp:docPr id="42" name="Rectangle 42" descr="Community-based conservation participation framewor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7D02E1" id="Rectangle 42" o:spid="_x0000_s1026" alt="Community-based conservation participation framewor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PdYcrLbAgAA9gUAAA4AAAAAAAAAAAAAAAAALgIAAGRycy9l&#10;Mm9Eb2MueG1sUEsBAi0AFAAGAAgAAAAhAEyg6SzYAAAAAwEAAA8AAAAAAAAAAAAAAAAANQUAAGRy&#10;cy9kb3ducmV2LnhtbFBLBQYAAAAABAAEAPMAAAA6BgAAAAA=&#10;" filled="f" stroked="f">
                <o:lock v:ext="edit" aspectratio="t"/>
                <w10:anchorlock/>
              </v:rect>
            </w:pict>
          </mc:Fallback>
        </mc:AlternateContent>
      </w:r>
      <w:r w:rsidRPr="007350C0">
        <w:rPr>
          <w:noProof/>
        </w:rPr>
        <w:t xml:space="preserve"> </w:t>
      </w:r>
      <w:r w:rsidRPr="007350C0">
        <w:rPr>
          <w:noProof/>
        </w:rPr>
        <w:drawing>
          <wp:inline distT="0" distB="0" distL="0" distR="0" wp14:anchorId="65A61CAA" wp14:editId="30A6A5D0">
            <wp:extent cx="6366510" cy="489204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369332" cy="4894208"/>
                    </a:xfrm>
                    <a:prstGeom prst="rect">
                      <a:avLst/>
                    </a:prstGeom>
                  </pic:spPr>
                </pic:pic>
              </a:graphicData>
            </a:graphic>
          </wp:inline>
        </w:drawing>
      </w:r>
    </w:p>
    <w:p w:rsidR="00A52A94" w:rsidRPr="007350C0" w:rsidRDefault="00A52A94" w:rsidP="008641C2">
      <w:pPr>
        <w:pStyle w:val="Caption"/>
        <w:spacing w:after="240"/>
        <w:ind w:left="605" w:right="605"/>
        <w:jc w:val="both"/>
        <w:rPr>
          <w:b w:val="0"/>
          <w:noProof/>
          <w:color w:val="auto"/>
          <w:sz w:val="24"/>
          <w:szCs w:val="24"/>
        </w:rPr>
      </w:pPr>
      <w:bookmarkStart w:id="1" w:name="_Toc231282046"/>
      <w:r w:rsidRPr="007350C0">
        <w:rPr>
          <w:b w:val="0"/>
          <w:color w:val="auto"/>
          <w:sz w:val="24"/>
          <w:szCs w:val="24"/>
        </w:rPr>
        <w:t xml:space="preserve">Figure </w:t>
      </w:r>
      <w:proofErr w:type="gramStart"/>
      <w:r w:rsidRPr="007350C0">
        <w:rPr>
          <w:b w:val="0"/>
          <w:color w:val="auto"/>
          <w:sz w:val="24"/>
          <w:szCs w:val="24"/>
        </w:rPr>
        <w:t>1.</w:t>
      </w:r>
      <w:r w:rsidRPr="007350C0">
        <w:rPr>
          <w:b w:val="0"/>
          <w:color w:val="auto"/>
          <w:sz w:val="24"/>
          <w:szCs w:val="24"/>
        </w:rPr>
        <w:t>Participatory</w:t>
      </w:r>
      <w:proofErr w:type="gramEnd"/>
      <w:r w:rsidRPr="007350C0">
        <w:rPr>
          <w:b w:val="0"/>
          <w:color w:val="auto"/>
          <w:sz w:val="24"/>
          <w:szCs w:val="24"/>
        </w:rPr>
        <w:t xml:space="preserve"> framework (source: adopted from literature)</w:t>
      </w:r>
      <w:bookmarkEnd w:id="1"/>
    </w:p>
    <w:p w:rsidR="00A52A94" w:rsidRPr="007350C0" w:rsidRDefault="00A52A94" w:rsidP="008641C2">
      <w:pPr>
        <w:pStyle w:val="NormalWeb"/>
        <w:spacing w:after="240" w:afterAutospacing="0"/>
        <w:ind w:left="605" w:right="605"/>
        <w:jc w:val="both"/>
      </w:pPr>
      <w:r w:rsidRPr="007350C0">
        <w:t xml:space="preserve">The proposed framework is particularly relevant to this study as it explores a systematic approach to investigate how participatory design can strengthen community-based conservation and improve livelihood outcomes within conservancies. By combining </w:t>
      </w:r>
      <w:proofErr w:type="spellStart"/>
      <w:r w:rsidRPr="007350C0">
        <w:t>Arnstein’s</w:t>
      </w:r>
      <w:proofErr w:type="spellEnd"/>
      <w:r w:rsidRPr="007350C0">
        <w:t xml:space="preserve"> Ladder of </w:t>
      </w:r>
      <w:proofErr w:type="spellStart"/>
      <w:r w:rsidRPr="007350C0">
        <w:t>Participatin</w:t>
      </w:r>
      <w:proofErr w:type="spellEnd"/>
      <w:r w:rsidRPr="007350C0">
        <w:t xml:space="preserve"> with the stakeholder participation defined by </w:t>
      </w:r>
      <w:proofErr w:type="spellStart"/>
      <w:r w:rsidRPr="007350C0">
        <w:t>Holifield</w:t>
      </w:r>
      <w:proofErr w:type="spellEnd"/>
      <w:r w:rsidRPr="007350C0">
        <w:t xml:space="preserve"> and Williams, this framework uncovers where participation lacks in planning, implementation, and decision-making stages. These </w:t>
      </w:r>
      <w:r w:rsidRPr="007350C0">
        <w:lastRenderedPageBreak/>
        <w:t>limitations may include controlled community influence in conservation planning, marginalized stakeholder groups, the control of powerful leaders, insufficient participatory methods, and restricted decision making.</w:t>
      </w:r>
    </w:p>
    <w:p w:rsidR="00A52A94" w:rsidRPr="00FA10ED" w:rsidRDefault="00A52A94" w:rsidP="008641C2">
      <w:pPr>
        <w:pStyle w:val="Heading2"/>
        <w:spacing w:after="240"/>
        <w:ind w:left="605" w:right="605"/>
        <w:rPr>
          <w:rStyle w:val="whitespace-normal"/>
          <w:rFonts w:eastAsiaTheme="majorEastAsia"/>
          <w:i w:val="0"/>
        </w:rPr>
      </w:pPr>
      <w:proofErr w:type="spellStart"/>
      <w:r w:rsidRPr="00FA10ED">
        <w:rPr>
          <w:rStyle w:val="whitespace-normal"/>
          <w:rFonts w:eastAsiaTheme="majorEastAsia"/>
          <w:i w:val="0"/>
        </w:rPr>
        <w:t>Arnstein’s</w:t>
      </w:r>
      <w:proofErr w:type="spellEnd"/>
      <w:r w:rsidRPr="00FA10ED">
        <w:rPr>
          <w:rStyle w:val="whitespace-normal"/>
          <w:rFonts w:eastAsiaTheme="majorEastAsia"/>
          <w:i w:val="0"/>
        </w:rPr>
        <w:t xml:space="preserve"> Ladder of Citizen Participation</w:t>
      </w:r>
    </w:p>
    <w:p w:rsidR="00A52A94" w:rsidRPr="007350C0" w:rsidRDefault="00A52A94" w:rsidP="008641C2">
      <w:pPr>
        <w:spacing w:before="100" w:beforeAutospacing="1" w:after="240" w:line="240" w:lineRule="auto"/>
        <w:ind w:left="605" w:right="605"/>
        <w:jc w:val="both"/>
        <w:rPr>
          <w:rFonts w:ascii="Times New Roman" w:hAnsi="Times New Roman" w:cs="Times New Roman"/>
          <w:sz w:val="24"/>
          <w:szCs w:val="24"/>
        </w:rPr>
      </w:pPr>
      <w:r w:rsidRPr="007350C0">
        <w:rPr>
          <w:rFonts w:ascii="Times New Roman" w:hAnsi="Times New Roman" w:cs="Times New Roman"/>
          <w:sz w:val="24"/>
          <w:szCs w:val="24"/>
        </w:rPr>
        <w:t xml:space="preserve">Participatory practices create an avenue to relent power to citizens of a community. In a study by </w:t>
      </w:r>
      <w:proofErr w:type="spellStart"/>
      <w:r w:rsidRPr="007350C0">
        <w:rPr>
          <w:rFonts w:ascii="Times New Roman" w:hAnsi="Times New Roman" w:cs="Times New Roman"/>
          <w:sz w:val="24"/>
          <w:szCs w:val="24"/>
        </w:rPr>
        <w:t>Arnstein</w:t>
      </w:r>
      <w:proofErr w:type="spellEnd"/>
      <w:r w:rsidRPr="007350C0">
        <w:rPr>
          <w:rFonts w:ascii="Times New Roman" w:hAnsi="Times New Roman" w:cs="Times New Roman"/>
          <w:sz w:val="24"/>
          <w:szCs w:val="24"/>
        </w:rPr>
        <w:t xml:space="preserve"> (1969), it was discovered that participation ranges from non-participation to full citizen control. The study established that meaningful participation requires power redistribution.</w:t>
      </w:r>
    </w:p>
    <w:p w:rsidR="00A52A94" w:rsidRPr="007350C0" w:rsidRDefault="00A52A94" w:rsidP="00FA10ED">
      <w:pPr>
        <w:adjustRightInd w:val="0"/>
        <w:spacing w:after="240" w:line="240" w:lineRule="auto"/>
        <w:ind w:left="605" w:right="605"/>
        <w:jc w:val="both"/>
        <w:rPr>
          <w:rFonts w:ascii="Times New Roman" w:hAnsi="Times New Roman" w:cs="Times New Roman"/>
          <w:sz w:val="24"/>
          <w:szCs w:val="24"/>
        </w:rPr>
      </w:pPr>
      <w:r w:rsidRPr="007350C0">
        <w:rPr>
          <w:rFonts w:ascii="Times New Roman" w:hAnsi="Times New Roman" w:cs="Times New Roman"/>
          <w:sz w:val="24"/>
          <w:szCs w:val="24"/>
        </w:rPr>
        <w:t xml:space="preserve">The author argues that “most processes remain at tokenism, limiting community influence. These varied from non-participation (manipulation, therapy), to tokenism (informing, consultation, placation), to citizen control (partnership, delegated power, citizen control)”. Control is a crucial aspect of resource management because it determines the extent to which individuals and groups can influence decisions that affect them. When decision-making power is concentrated among policymakers, it can lead to inefficient use of resources, growing distrust and resentment among communities, and in some cases, conflict arising from the exclusion of stakeholders from meaningful participation. </w:t>
      </w:r>
      <w:proofErr w:type="spellStart"/>
      <w:r w:rsidRPr="007350C0">
        <w:rPr>
          <w:rFonts w:ascii="Times New Roman" w:hAnsi="Times New Roman" w:cs="Times New Roman"/>
          <w:sz w:val="24"/>
          <w:szCs w:val="24"/>
        </w:rPr>
        <w:t>Arnstein’s</w:t>
      </w:r>
      <w:proofErr w:type="spellEnd"/>
      <w:r w:rsidRPr="007350C0">
        <w:rPr>
          <w:rFonts w:ascii="Times New Roman" w:hAnsi="Times New Roman" w:cs="Times New Roman"/>
          <w:sz w:val="24"/>
          <w:szCs w:val="24"/>
        </w:rPr>
        <w:t xml:space="preserve"> Ladder provides a clear visual and conceptual framework for understanding the different levels of power and control that participants have within decision-making processes, highlighting the extent to which their involvement is genuinely influential.</w:t>
      </w:r>
      <w:r w:rsidRPr="007350C0">
        <w:rPr>
          <w:rFonts w:ascii="Times New Roman" w:hAnsi="Times New Roman" w:cs="Times New Roman"/>
          <w:sz w:val="24"/>
          <w:szCs w:val="24"/>
          <w:lang w:val="en-GB"/>
        </w:rPr>
        <w:t xml:space="preserve">                              </w:t>
      </w:r>
      <w:r w:rsidRPr="007350C0">
        <w:rPr>
          <w:rFonts w:ascii="Times New Roman" w:hAnsi="Times New Roman" w:cs="Times New Roman"/>
          <w:noProof/>
          <w:sz w:val="24"/>
          <w:szCs w:val="24"/>
        </w:rPr>
        <w:drawing>
          <wp:inline distT="0" distB="0" distL="0" distR="0" wp14:anchorId="6EAFC868" wp14:editId="68A83EBB">
            <wp:extent cx="2315910" cy="3085460"/>
            <wp:effectExtent l="0" t="0" r="8255" b="127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28025" cy="3101601"/>
                    </a:xfrm>
                    <a:prstGeom prst="rect">
                      <a:avLst/>
                    </a:prstGeom>
                  </pic:spPr>
                </pic:pic>
              </a:graphicData>
            </a:graphic>
          </wp:inline>
        </w:drawing>
      </w:r>
    </w:p>
    <w:p w:rsidR="00A52A94" w:rsidRPr="007350C0" w:rsidRDefault="00A52A94" w:rsidP="008641C2">
      <w:pPr>
        <w:pStyle w:val="Caption"/>
        <w:spacing w:after="240"/>
        <w:ind w:left="605" w:right="605"/>
        <w:jc w:val="both"/>
        <w:rPr>
          <w:rFonts w:eastAsiaTheme="minorHAnsi"/>
          <w:b w:val="0"/>
          <w:color w:val="auto"/>
          <w:sz w:val="24"/>
          <w:szCs w:val="24"/>
          <w:lang w:val="en-GB" w:bidi="ar-SA"/>
        </w:rPr>
      </w:pPr>
      <w:bookmarkStart w:id="2" w:name="_Toc231282047"/>
      <w:r w:rsidRPr="007350C0">
        <w:rPr>
          <w:b w:val="0"/>
          <w:color w:val="auto"/>
          <w:sz w:val="24"/>
          <w:szCs w:val="24"/>
        </w:rPr>
        <w:t xml:space="preserve">Figure </w:t>
      </w:r>
      <w:r w:rsidRPr="007350C0">
        <w:rPr>
          <w:b w:val="0"/>
          <w:color w:val="auto"/>
          <w:sz w:val="24"/>
          <w:szCs w:val="24"/>
        </w:rPr>
        <w:t>2</w:t>
      </w:r>
      <w:r w:rsidRPr="007350C0">
        <w:rPr>
          <w:b w:val="0"/>
          <w:color w:val="auto"/>
          <w:sz w:val="24"/>
          <w:szCs w:val="24"/>
        </w:rPr>
        <w:t>.</w:t>
      </w:r>
      <w:r w:rsidR="00FA10ED">
        <w:rPr>
          <w:b w:val="0"/>
          <w:color w:val="auto"/>
          <w:sz w:val="24"/>
          <w:szCs w:val="24"/>
        </w:rPr>
        <w:t xml:space="preserve"> </w:t>
      </w:r>
      <w:proofErr w:type="spellStart"/>
      <w:r w:rsidRPr="007350C0">
        <w:rPr>
          <w:b w:val="0"/>
          <w:color w:val="auto"/>
          <w:sz w:val="24"/>
          <w:szCs w:val="24"/>
        </w:rPr>
        <w:t>Arnstein's</w:t>
      </w:r>
      <w:proofErr w:type="spellEnd"/>
      <w:r w:rsidRPr="007350C0">
        <w:rPr>
          <w:b w:val="0"/>
          <w:color w:val="auto"/>
          <w:sz w:val="24"/>
          <w:szCs w:val="24"/>
        </w:rPr>
        <w:t xml:space="preserve"> Ladder of Participation (source: (</w:t>
      </w:r>
      <w:proofErr w:type="spellStart"/>
      <w:r w:rsidRPr="007350C0">
        <w:rPr>
          <w:b w:val="0"/>
          <w:color w:val="auto"/>
          <w:sz w:val="24"/>
          <w:szCs w:val="24"/>
        </w:rPr>
        <w:t>Lauria</w:t>
      </w:r>
      <w:proofErr w:type="spellEnd"/>
      <w:r w:rsidRPr="007350C0">
        <w:rPr>
          <w:b w:val="0"/>
          <w:color w:val="auto"/>
          <w:sz w:val="24"/>
          <w:szCs w:val="24"/>
        </w:rPr>
        <w:t xml:space="preserve"> &amp; </w:t>
      </w:r>
      <w:proofErr w:type="spellStart"/>
      <w:r w:rsidRPr="007350C0">
        <w:rPr>
          <w:b w:val="0"/>
          <w:color w:val="auto"/>
          <w:sz w:val="24"/>
          <w:szCs w:val="24"/>
        </w:rPr>
        <w:t>Slotterback</w:t>
      </w:r>
      <w:proofErr w:type="spellEnd"/>
      <w:r w:rsidRPr="007350C0">
        <w:rPr>
          <w:b w:val="0"/>
          <w:color w:val="auto"/>
          <w:sz w:val="24"/>
          <w:szCs w:val="24"/>
        </w:rPr>
        <w:t>, 2020)</w:t>
      </w:r>
      <w:bookmarkEnd w:id="2"/>
    </w:p>
    <w:p w:rsidR="00A52A94" w:rsidRPr="007350C0" w:rsidRDefault="00A52A94" w:rsidP="008641C2">
      <w:pPr>
        <w:adjustRightInd w:val="0"/>
        <w:spacing w:after="240" w:line="240" w:lineRule="auto"/>
        <w:ind w:left="605" w:right="605" w:firstLine="60"/>
        <w:jc w:val="both"/>
        <w:rPr>
          <w:rFonts w:ascii="Times New Roman" w:hAnsi="Times New Roman" w:cs="Times New Roman"/>
          <w:sz w:val="24"/>
          <w:szCs w:val="24"/>
        </w:rPr>
      </w:pPr>
    </w:p>
    <w:p w:rsidR="00A52A94" w:rsidRPr="007350C0" w:rsidRDefault="00A52A94" w:rsidP="008641C2">
      <w:pPr>
        <w:adjustRightInd w:val="0"/>
        <w:spacing w:after="240" w:line="240" w:lineRule="auto"/>
        <w:ind w:left="605" w:right="605" w:firstLine="60"/>
        <w:jc w:val="both"/>
        <w:rPr>
          <w:rFonts w:ascii="Times New Roman" w:hAnsi="Times New Roman" w:cs="Times New Roman"/>
          <w:sz w:val="24"/>
          <w:szCs w:val="24"/>
        </w:rPr>
      </w:pPr>
      <w:r w:rsidRPr="007350C0">
        <w:rPr>
          <w:rFonts w:ascii="Times New Roman" w:hAnsi="Times New Roman" w:cs="Times New Roman"/>
          <w:sz w:val="24"/>
          <w:szCs w:val="24"/>
        </w:rPr>
        <w:lastRenderedPageBreak/>
        <w:t xml:space="preserve">The </w:t>
      </w:r>
      <w:r w:rsidRPr="007350C0">
        <w:rPr>
          <w:rStyle w:val="Strong"/>
          <w:rFonts w:ascii="Times New Roman" w:eastAsiaTheme="majorEastAsia" w:hAnsi="Times New Roman" w:cs="Times New Roman"/>
          <w:sz w:val="24"/>
          <w:szCs w:val="24"/>
        </w:rPr>
        <w:t>"participation ladder"</w:t>
      </w:r>
      <w:r w:rsidRPr="007350C0">
        <w:rPr>
          <w:rFonts w:ascii="Times New Roman" w:hAnsi="Times New Roman" w:cs="Times New Roman"/>
          <w:sz w:val="24"/>
          <w:szCs w:val="24"/>
        </w:rPr>
        <w:t xml:space="preserve"> </w:t>
      </w:r>
      <w:sdt>
        <w:sdtPr>
          <w:rPr>
            <w:rFonts w:ascii="Times New Roman" w:hAnsi="Times New Roman" w:cs="Times New Roman"/>
            <w:sz w:val="24"/>
            <w:szCs w:val="24"/>
          </w:rPr>
          <w:id w:val="-1962408803"/>
          <w:citation/>
        </w:sdtPr>
        <w:sdtContent>
          <w:r w:rsidRPr="007350C0">
            <w:rPr>
              <w:rFonts w:ascii="Times New Roman" w:hAnsi="Times New Roman" w:cs="Times New Roman"/>
              <w:sz w:val="24"/>
              <w:szCs w:val="24"/>
            </w:rPr>
            <w:fldChar w:fldCharType="begin"/>
          </w:r>
          <w:r w:rsidRPr="007350C0">
            <w:rPr>
              <w:rFonts w:ascii="Times New Roman" w:hAnsi="Times New Roman" w:cs="Times New Roman"/>
              <w:sz w:val="24"/>
              <w:szCs w:val="24"/>
            </w:rPr>
            <w:instrText xml:space="preserve"> CITATION Hur15 \l 1033 </w:instrText>
          </w:r>
          <w:r w:rsidRPr="007350C0">
            <w:rPr>
              <w:rFonts w:ascii="Times New Roman" w:hAnsi="Times New Roman" w:cs="Times New Roman"/>
              <w:sz w:val="24"/>
              <w:szCs w:val="24"/>
            </w:rPr>
            <w:fldChar w:fldCharType="separate"/>
          </w:r>
          <w:r w:rsidRPr="007350C0">
            <w:rPr>
              <w:rFonts w:ascii="Times New Roman" w:hAnsi="Times New Roman" w:cs="Times New Roman"/>
              <w:noProof/>
              <w:sz w:val="24"/>
              <w:szCs w:val="24"/>
            </w:rPr>
            <w:t>(Hurlbert &amp; Gupta, 2015)</w:t>
          </w:r>
          <w:r w:rsidRPr="007350C0">
            <w:rPr>
              <w:rFonts w:ascii="Times New Roman" w:hAnsi="Times New Roman" w:cs="Times New Roman"/>
              <w:sz w:val="24"/>
              <w:szCs w:val="24"/>
            </w:rPr>
            <w:fldChar w:fldCharType="end"/>
          </w:r>
        </w:sdtContent>
      </w:sdt>
      <w:r w:rsidRPr="007350C0">
        <w:rPr>
          <w:rFonts w:ascii="Times New Roman" w:hAnsi="Times New Roman" w:cs="Times New Roman"/>
          <w:sz w:val="24"/>
          <w:szCs w:val="24"/>
        </w:rPr>
        <w:t xml:space="preserve"> states that significant participation requires a shift from consultation towards partnership. Policy makers shall facilitate participatory planning technique where communities are co-owners rather than students complimenting predetermined policies. Community leaders should pioneer local knowledge and represent diverse interests, while empowering community members to citizen control and skill acquisition.</w:t>
      </w:r>
    </w:p>
    <w:p w:rsidR="00A52A94" w:rsidRPr="00FA10ED" w:rsidRDefault="00A52A94" w:rsidP="008641C2">
      <w:pPr>
        <w:pStyle w:val="Heading2"/>
        <w:spacing w:after="240"/>
        <w:ind w:left="605" w:right="605"/>
        <w:rPr>
          <w:i w:val="0"/>
        </w:rPr>
      </w:pPr>
      <w:r w:rsidRPr="00FA10ED">
        <w:rPr>
          <w:rFonts w:eastAsia="CharisSIL"/>
          <w:i w:val="0"/>
        </w:rPr>
        <w:t>Top- down approach to community participation</w:t>
      </w:r>
    </w:p>
    <w:p w:rsidR="00A52A94" w:rsidRPr="007350C0" w:rsidRDefault="00A52A94" w:rsidP="008641C2">
      <w:pPr>
        <w:pStyle w:val="isselectedend"/>
        <w:spacing w:after="240" w:afterAutospacing="0"/>
        <w:ind w:left="605" w:right="605"/>
        <w:jc w:val="both"/>
      </w:pPr>
      <w:r w:rsidRPr="007350C0">
        <w:t xml:space="preserve">The top-down approach to community participation is a development and governance strategy in which decisions are primarily made by government agencies, policymakers, experts, or project managers, with limited input from local communities. Under this approach, priorities, plans, and implementation strategies are designed by higher authorities and subsequently communicated to community members for adoption or compliance. Community involvement is often confined to receiving information, implementing predetermined activities, or providing feedback after major decisions have already been made. In a study by </w:t>
      </w:r>
      <w:proofErr w:type="spellStart"/>
      <w:r w:rsidRPr="007350C0">
        <w:t>Berkes</w:t>
      </w:r>
      <w:proofErr w:type="spellEnd"/>
      <w:r w:rsidRPr="007350C0">
        <w:t xml:space="preserve"> (2021), it was discovered that top-down conservation excludes communities and reduces effectiveness. He further states that such approaches centralize decision-making within governments or external organizations, ignoring the knowledge, needs, and rights of indigenous and local populations who directly interact with the environment. participation has often been implemented through a top-down approach in which governments, conservation agencies, non-governmental organizations (NGOs), and conservancy managers retain primary control over planning and decision-making processes. Although local communities may be involved in conservation activities, the extent of their influence varies considerably. </w:t>
      </w:r>
      <w:proofErr w:type="spellStart"/>
      <w:r w:rsidRPr="007350C0">
        <w:t>Arnstein’s</w:t>
      </w:r>
      <w:proofErr w:type="spellEnd"/>
      <w:r w:rsidRPr="007350C0">
        <w:t xml:space="preserve"> framework helps explain these varying levels of participation by categorizing them into non-participation, tokenistic participation, and citizen power.</w:t>
      </w:r>
    </w:p>
    <w:p w:rsidR="00A52A94" w:rsidRPr="007350C0" w:rsidRDefault="00A52A94" w:rsidP="008641C2">
      <w:pPr>
        <w:spacing w:before="100" w:beforeAutospacing="1" w:after="240" w:line="240" w:lineRule="auto"/>
        <w:ind w:left="605" w:right="605"/>
        <w:jc w:val="both"/>
        <w:rPr>
          <w:rFonts w:ascii="Times New Roman" w:hAnsi="Times New Roman" w:cs="Times New Roman"/>
          <w:sz w:val="24"/>
          <w:szCs w:val="24"/>
        </w:rPr>
      </w:pPr>
      <w:r w:rsidRPr="007350C0">
        <w:rPr>
          <w:rFonts w:ascii="Times New Roman" w:hAnsi="Times New Roman" w:cs="Times New Roman"/>
          <w:sz w:val="24"/>
          <w:szCs w:val="24"/>
        </w:rPr>
        <w:t>At the lowest level, non-participation occurs when community members have little or no opportunity to influence decisions affecting conservation initiatives. Rather than being actively engaged in governance, local people are often encouraged to support predetermined programs. In some cases, participation serves mainly to persuade communities to accept conservation objectives established by external actors. In others, efforts focus on changing community attitudes and behaviors without involving residents in actual planning or management processes. Within conservancies, this situation may arise when conservation regulations, land-use policies, or wildlife management strategies are formulated by authorities and later communicated to local residents for implementation, leaving little room for dialogue.</w:t>
      </w:r>
    </w:p>
    <w:p w:rsidR="00A52A94" w:rsidRPr="007350C0" w:rsidRDefault="00A52A94" w:rsidP="008641C2">
      <w:pPr>
        <w:adjustRightInd w:val="0"/>
        <w:spacing w:after="240" w:line="240" w:lineRule="auto"/>
        <w:ind w:left="605" w:right="605" w:firstLine="60"/>
        <w:jc w:val="both"/>
        <w:rPr>
          <w:rFonts w:ascii="Times New Roman" w:hAnsi="Times New Roman" w:cs="Times New Roman"/>
          <w:sz w:val="24"/>
          <w:szCs w:val="24"/>
        </w:rPr>
      </w:pPr>
      <w:r w:rsidRPr="007350C0">
        <w:rPr>
          <w:rFonts w:ascii="Times New Roman" w:hAnsi="Times New Roman" w:cs="Times New Roman"/>
          <w:sz w:val="24"/>
          <w:szCs w:val="24"/>
        </w:rPr>
        <w:t xml:space="preserve">A bottom-up approach to community participation emphasizes the active involvement of local people in decision-making, planning, and implementation processes, thereby enhancing the sustainability and legitimacy of development and conservation initiatives. Recent studies by </w:t>
      </w:r>
      <w:sdt>
        <w:sdtPr>
          <w:rPr>
            <w:rFonts w:ascii="Times New Roman" w:hAnsi="Times New Roman" w:cs="Times New Roman"/>
            <w:b/>
            <w:sz w:val="24"/>
            <w:szCs w:val="24"/>
          </w:rPr>
          <w:id w:val="653415930"/>
          <w:citation/>
        </w:sdtPr>
        <w:sdtContent>
          <w:r w:rsidRPr="007350C0">
            <w:rPr>
              <w:rFonts w:ascii="Times New Roman" w:hAnsi="Times New Roman" w:cs="Times New Roman"/>
              <w:b/>
              <w:sz w:val="24"/>
              <w:szCs w:val="24"/>
            </w:rPr>
            <w:fldChar w:fldCharType="begin"/>
          </w:r>
          <w:r w:rsidRPr="007350C0">
            <w:rPr>
              <w:rFonts w:ascii="Times New Roman" w:hAnsi="Times New Roman" w:cs="Times New Roman"/>
              <w:sz w:val="24"/>
              <w:szCs w:val="24"/>
            </w:rPr>
            <w:instrText xml:space="preserve"> CITATION Har25 \l 1033 </w:instrText>
          </w:r>
          <w:r w:rsidRPr="007350C0">
            <w:rPr>
              <w:rFonts w:ascii="Times New Roman" w:hAnsi="Times New Roman" w:cs="Times New Roman"/>
              <w:b/>
              <w:sz w:val="24"/>
              <w:szCs w:val="24"/>
            </w:rPr>
            <w:fldChar w:fldCharType="separate"/>
          </w:r>
          <w:r w:rsidRPr="007350C0">
            <w:rPr>
              <w:rFonts w:ascii="Times New Roman" w:hAnsi="Times New Roman" w:cs="Times New Roman"/>
              <w:noProof/>
              <w:sz w:val="24"/>
              <w:szCs w:val="24"/>
            </w:rPr>
            <w:t>(Haris, 2025)</w:t>
          </w:r>
          <w:r w:rsidRPr="007350C0">
            <w:rPr>
              <w:rFonts w:ascii="Times New Roman" w:hAnsi="Times New Roman" w:cs="Times New Roman"/>
              <w:b/>
              <w:sz w:val="24"/>
              <w:szCs w:val="24"/>
            </w:rPr>
            <w:fldChar w:fldCharType="end"/>
          </w:r>
        </w:sdtContent>
      </w:sdt>
      <w:r w:rsidRPr="007350C0">
        <w:rPr>
          <w:rFonts w:ascii="Times New Roman" w:hAnsi="Times New Roman" w:cs="Times New Roman"/>
          <w:sz w:val="24"/>
          <w:szCs w:val="24"/>
        </w:rPr>
        <w:t xml:space="preserve"> show that such approaches empower communities by valuing their knowledge, fostering ownership, and promoting solutions tailored to local contexts</w:t>
      </w:r>
      <w:r w:rsidRPr="007350C0">
        <w:rPr>
          <w:rFonts w:ascii="Times New Roman" w:hAnsi="Times New Roman" w:cs="Times New Roman"/>
          <w:sz w:val="24"/>
          <w:szCs w:val="24"/>
        </w:rPr>
        <w:t>.</w:t>
      </w:r>
    </w:p>
    <w:p w:rsidR="00A52A94" w:rsidRPr="00FA10ED" w:rsidRDefault="00A52A94" w:rsidP="008641C2">
      <w:pPr>
        <w:pStyle w:val="Heading2"/>
        <w:spacing w:after="240"/>
        <w:ind w:left="605" w:right="605"/>
        <w:rPr>
          <w:i w:val="0"/>
        </w:rPr>
      </w:pPr>
      <w:r w:rsidRPr="00FA10ED">
        <w:rPr>
          <w:i w:val="0"/>
        </w:rPr>
        <w:lastRenderedPageBreak/>
        <w:t>Hindrances to a participatory approach</w:t>
      </w:r>
    </w:p>
    <w:p w:rsidR="00A52A94" w:rsidRPr="007350C0" w:rsidRDefault="00A52A94" w:rsidP="008641C2">
      <w:pPr>
        <w:pStyle w:val="NormalWeb"/>
        <w:spacing w:after="240" w:afterAutospacing="0"/>
        <w:ind w:left="605" w:right="605"/>
        <w:jc w:val="both"/>
      </w:pPr>
      <w:r w:rsidRPr="007350C0">
        <w:t>Linear participation, tokenism, and donor dependence are key hindrances that undermine meaningful community participation in conservation initiatives. Linear participation refers to a one-directional, planner-</w:t>
      </w:r>
      <w:proofErr w:type="spellStart"/>
      <w:r w:rsidRPr="007350C0">
        <w:t>centred</w:t>
      </w:r>
      <w:proofErr w:type="spellEnd"/>
      <w:r w:rsidRPr="007350C0">
        <w:t xml:space="preserve"> process where decisions are made externally and communities are only involved at later stages, often to implement predetermined plans; this limits genuine engagement and reduces participation to a procedural requirement rather than a transformative process (Meer, 2025; Zheng et al., 2025). Similarly, tokenism represents a superficial form of participation where communities are informed or consulted but lack real decision-making power, resulting in what has been described as an “illusion of participation” that erodes trust and weakens conservation outcomes. Such symbolic involvement prevents communities from contributing local knowledge, discourages ownership, and often leads to unsustainable projects due to the lack of commitment. In addition, donor dependence further constrains participatory approaches by shifting control toward external funders whose priorities may not align with local needs, thereby reinforcing top-down tendencies and limiting community autonomy. </w:t>
      </w:r>
      <w:proofErr w:type="spellStart"/>
      <w:proofErr w:type="gramStart"/>
      <w:r w:rsidRPr="007350C0">
        <w:t>Dr.Modecai</w:t>
      </w:r>
      <w:proofErr w:type="spellEnd"/>
      <w:proofErr w:type="gramEnd"/>
      <w:r w:rsidRPr="007350C0">
        <w:t xml:space="preserve"> is of the opinion that CBCs are dependent on donor agents and donor-led conservation initiatives which overshadow local participation create opaque governance systems, and increase community vulnerability, especially when funding conditions dictate decision-making processes . Moreover, reliance on external funding can foster dependency syndromes, reduce local initiative, and weaken long-term sustainability when funding cycles end. He states that these factors collectively restrict genuine participation by maintaining unequal power relations, limiting community influence, and undermining the effectiveness and sustainability of community-based conservation (Dawson et al., 2024; Meer, 2025; Zheng et al., 2025).</w:t>
      </w:r>
    </w:p>
    <w:p w:rsidR="00A52A94" w:rsidRPr="00FA10ED" w:rsidRDefault="00A52A94" w:rsidP="008641C2">
      <w:pPr>
        <w:pStyle w:val="Heading2"/>
        <w:spacing w:after="240"/>
        <w:ind w:left="605" w:right="605"/>
        <w:rPr>
          <w:i w:val="0"/>
          <w:lang w:bidi="ar-SA"/>
        </w:rPr>
      </w:pPr>
      <w:r w:rsidRPr="00FA10ED">
        <w:rPr>
          <w:i w:val="0"/>
          <w:lang w:bidi="ar-SA"/>
        </w:rPr>
        <w:t>Theoretical Foundations of Design Thinking in Conservation</w:t>
      </w:r>
    </w:p>
    <w:p w:rsidR="00A52A94" w:rsidRPr="007350C0" w:rsidRDefault="00A52A94" w:rsidP="008641C2">
      <w:pPr>
        <w:spacing w:before="100" w:beforeAutospacing="1" w:after="240" w:line="240" w:lineRule="auto"/>
        <w:ind w:left="605" w:right="605"/>
        <w:jc w:val="both"/>
        <w:rPr>
          <w:rFonts w:ascii="Times New Roman" w:hAnsi="Times New Roman" w:cs="Times New Roman"/>
          <w:sz w:val="24"/>
          <w:szCs w:val="24"/>
        </w:rPr>
      </w:pPr>
      <w:r w:rsidRPr="007350C0">
        <w:rPr>
          <w:rFonts w:ascii="Times New Roman" w:hAnsi="Times New Roman" w:cs="Times New Roman"/>
          <w:sz w:val="24"/>
          <w:szCs w:val="24"/>
        </w:rPr>
        <w:t xml:space="preserve">Design thinking has begun as a human-centered, solution-oriented framework that emphasizes empathy, collaboration, experimentation, and iteration in addressing complex social and environmental challenges. Rooted in the disciplines of design and innovation, it provides a structured yet flexible process for understanding user needs, redefining problems, and developing contextually grounded solutions (Brown, 2008; </w:t>
      </w:r>
      <w:proofErr w:type="spellStart"/>
      <w:r w:rsidRPr="007350C0">
        <w:rPr>
          <w:rFonts w:ascii="Times New Roman" w:hAnsi="Times New Roman" w:cs="Times New Roman"/>
          <w:sz w:val="24"/>
          <w:szCs w:val="24"/>
        </w:rPr>
        <w:t>Liedtka</w:t>
      </w:r>
      <w:proofErr w:type="spellEnd"/>
      <w:r w:rsidRPr="007350C0">
        <w:rPr>
          <w:rFonts w:ascii="Times New Roman" w:hAnsi="Times New Roman" w:cs="Times New Roman"/>
          <w:sz w:val="24"/>
          <w:szCs w:val="24"/>
        </w:rPr>
        <w:t>, 2015). In recent years, design thinking has been increasingly applied beyond the traditional design professions to fields such as health, education, and sustainability, where problems are characterized by uncertainty, multiple stakeholders, and systemic interdependencies.</w:t>
      </w:r>
    </w:p>
    <w:p w:rsidR="00A52A94" w:rsidRPr="007350C0" w:rsidRDefault="00A52A94" w:rsidP="008641C2">
      <w:pPr>
        <w:spacing w:before="100" w:beforeAutospacing="1" w:after="240" w:line="240" w:lineRule="auto"/>
        <w:ind w:left="605" w:right="605"/>
        <w:jc w:val="both"/>
        <w:rPr>
          <w:rFonts w:ascii="Times New Roman" w:hAnsi="Times New Roman" w:cs="Times New Roman"/>
          <w:sz w:val="24"/>
          <w:szCs w:val="24"/>
        </w:rPr>
      </w:pPr>
      <w:r w:rsidRPr="007350C0">
        <w:rPr>
          <w:rFonts w:ascii="Times New Roman" w:hAnsi="Times New Roman" w:cs="Times New Roman"/>
          <w:sz w:val="24"/>
          <w:szCs w:val="24"/>
        </w:rPr>
        <w:t xml:space="preserve">In the context of </w:t>
      </w:r>
      <w:r w:rsidRPr="007350C0">
        <w:rPr>
          <w:rFonts w:ascii="Times New Roman" w:hAnsi="Times New Roman" w:cs="Times New Roman"/>
          <w:bCs/>
          <w:sz w:val="24"/>
          <w:szCs w:val="24"/>
        </w:rPr>
        <w:t>community-based conservation (CBC)</w:t>
      </w:r>
      <w:r w:rsidRPr="007350C0">
        <w:rPr>
          <w:rFonts w:ascii="Times New Roman" w:hAnsi="Times New Roman" w:cs="Times New Roman"/>
          <w:sz w:val="24"/>
          <w:szCs w:val="24"/>
        </w:rPr>
        <w:t xml:space="preserve">, design thinking provides a lens through which traditional participatory methods can be strengthened. While participatory approaches emphasize inclusion, they often lack mechanisms for </w:t>
      </w:r>
      <w:r w:rsidRPr="007350C0">
        <w:rPr>
          <w:rFonts w:ascii="Times New Roman" w:hAnsi="Times New Roman" w:cs="Times New Roman"/>
          <w:bCs/>
          <w:sz w:val="24"/>
          <w:szCs w:val="24"/>
        </w:rPr>
        <w:t>transformative innovation</w:t>
      </w:r>
      <w:r w:rsidRPr="007350C0">
        <w:rPr>
          <w:rFonts w:ascii="Times New Roman" w:hAnsi="Times New Roman" w:cs="Times New Roman"/>
          <w:sz w:val="24"/>
          <w:szCs w:val="24"/>
        </w:rPr>
        <w:t xml:space="preserve">—the ability to generate and test new ideas collaboratively. Design thinking complements participatory conservation by embedding creativity and experimentation into the process, thus transforming stakeholders from passive participants into active co-designers of conservation strategies. This transformation </w:t>
      </w:r>
      <w:r w:rsidRPr="007350C0">
        <w:rPr>
          <w:rFonts w:ascii="Times New Roman" w:hAnsi="Times New Roman" w:cs="Times New Roman"/>
          <w:sz w:val="24"/>
          <w:szCs w:val="24"/>
        </w:rPr>
        <w:lastRenderedPageBreak/>
        <w:t>can deepen community ownership and accountability, leading to more resilient conservation practices.</w:t>
      </w:r>
    </w:p>
    <w:p w:rsidR="00A52A94" w:rsidRPr="007350C0" w:rsidRDefault="00A52A94" w:rsidP="008641C2">
      <w:pPr>
        <w:spacing w:before="100" w:beforeAutospacing="1" w:after="240" w:line="240" w:lineRule="auto"/>
        <w:ind w:left="605" w:right="605"/>
        <w:jc w:val="both"/>
        <w:rPr>
          <w:rFonts w:ascii="Times New Roman" w:hAnsi="Times New Roman" w:cs="Times New Roman"/>
          <w:sz w:val="24"/>
          <w:szCs w:val="24"/>
        </w:rPr>
      </w:pPr>
      <w:r w:rsidRPr="007350C0">
        <w:rPr>
          <w:rFonts w:ascii="Times New Roman" w:hAnsi="Times New Roman" w:cs="Times New Roman"/>
          <w:sz w:val="24"/>
          <w:szCs w:val="24"/>
        </w:rPr>
        <w:t xml:space="preserve">The use </w:t>
      </w:r>
      <w:r w:rsidRPr="007350C0">
        <w:rPr>
          <w:rFonts w:ascii="Times New Roman" w:hAnsi="Times New Roman" w:cs="Times New Roman"/>
          <w:bCs/>
          <w:sz w:val="24"/>
          <w:szCs w:val="24"/>
        </w:rPr>
        <w:t>of design thinking in conservation remains restricted</w:t>
      </w:r>
      <w:r w:rsidRPr="007350C0">
        <w:rPr>
          <w:rFonts w:ascii="Times New Roman" w:hAnsi="Times New Roman" w:cs="Times New Roman"/>
          <w:sz w:val="24"/>
          <w:szCs w:val="24"/>
        </w:rPr>
        <w:t>, particularly in African contexts where participatory models are still evolving. Existing research has primarily focused on stakeholder engagement frameworks, leaving a gap in the operationalization of design-based methodologies within conservation initiatives. This calls for empirical exploration into this methodology and its application to governance framework, resource management traditions, and socio-cultural norms within community-based conservation projects in Kenya.</w:t>
      </w:r>
    </w:p>
    <w:p w:rsidR="00A52A94" w:rsidRPr="007350C0" w:rsidRDefault="00A52A94" w:rsidP="008641C2">
      <w:pPr>
        <w:adjustRightInd w:val="0"/>
        <w:spacing w:after="240" w:line="240" w:lineRule="auto"/>
        <w:ind w:left="605" w:right="605" w:firstLine="60"/>
        <w:jc w:val="both"/>
        <w:rPr>
          <w:rFonts w:ascii="Times New Roman" w:hAnsi="Times New Roman" w:cs="Times New Roman"/>
          <w:sz w:val="24"/>
          <w:szCs w:val="24"/>
        </w:rPr>
      </w:pPr>
      <w:r w:rsidRPr="007350C0">
        <w:rPr>
          <w:rFonts w:ascii="Times New Roman" w:hAnsi="Times New Roman" w:cs="Times New Roman"/>
          <w:sz w:val="24"/>
          <w:szCs w:val="24"/>
        </w:rPr>
        <w:t xml:space="preserve">Integrating design thinking into participatory conservation, therefore, presents a novel approach to reimagining conservation practice. It moves beyond traditional participation to emphasize </w:t>
      </w:r>
      <w:r w:rsidRPr="007350C0">
        <w:rPr>
          <w:rFonts w:ascii="Times New Roman" w:hAnsi="Times New Roman" w:cs="Times New Roman"/>
          <w:bCs/>
          <w:sz w:val="24"/>
          <w:szCs w:val="24"/>
        </w:rPr>
        <w:t>co-creation, adaptability, and human-centered innovation</w:t>
      </w:r>
      <w:r w:rsidRPr="007350C0">
        <w:rPr>
          <w:rFonts w:ascii="Times New Roman" w:hAnsi="Times New Roman" w:cs="Times New Roman"/>
          <w:sz w:val="24"/>
          <w:szCs w:val="24"/>
        </w:rPr>
        <w:t>, ensuring that conservation initiatives improve community well-being and livelihoods</w:t>
      </w:r>
      <w:r w:rsidRPr="007350C0">
        <w:rPr>
          <w:rFonts w:ascii="Times New Roman" w:hAnsi="Times New Roman" w:cs="Times New Roman"/>
          <w:sz w:val="24"/>
          <w:szCs w:val="24"/>
        </w:rPr>
        <w:t>.</w:t>
      </w:r>
    </w:p>
    <w:p w:rsidR="00A52A94" w:rsidRPr="00FA10ED" w:rsidRDefault="00A52A94" w:rsidP="008641C2">
      <w:pPr>
        <w:adjustRightInd w:val="0"/>
        <w:spacing w:after="240" w:line="240" w:lineRule="auto"/>
        <w:ind w:left="605" w:right="605" w:firstLine="60"/>
        <w:jc w:val="both"/>
        <w:rPr>
          <w:rFonts w:ascii="Times New Roman" w:hAnsi="Times New Roman" w:cs="Times New Roman"/>
          <w:b/>
          <w:sz w:val="24"/>
          <w:szCs w:val="24"/>
        </w:rPr>
      </w:pPr>
      <w:r w:rsidRPr="00FA10ED">
        <w:rPr>
          <w:rFonts w:ascii="Times New Roman" w:hAnsi="Times New Roman" w:cs="Times New Roman"/>
          <w:b/>
          <w:sz w:val="24"/>
          <w:szCs w:val="24"/>
        </w:rPr>
        <w:t>Participatory Approach</w:t>
      </w:r>
    </w:p>
    <w:p w:rsidR="00A52A94" w:rsidRPr="007350C0" w:rsidRDefault="00A52A94" w:rsidP="008641C2">
      <w:pPr>
        <w:adjustRightInd w:val="0"/>
        <w:spacing w:after="240" w:line="240" w:lineRule="auto"/>
        <w:ind w:left="605" w:right="605" w:firstLine="60"/>
        <w:jc w:val="both"/>
        <w:rPr>
          <w:rFonts w:ascii="Times New Roman" w:hAnsi="Times New Roman" w:cs="Times New Roman"/>
          <w:sz w:val="24"/>
          <w:szCs w:val="24"/>
        </w:rPr>
      </w:pPr>
      <w:r w:rsidRPr="007350C0">
        <w:rPr>
          <w:rFonts w:ascii="Times New Roman" w:hAnsi="Times New Roman" w:cs="Times New Roman"/>
          <w:sz w:val="24"/>
          <w:szCs w:val="24"/>
        </w:rPr>
        <w:t>The participatory approach can be applied as a means or an end to enhanced livelihoods. This study will apply it as a methodology in community-based conservation (CBC) to improve active and meaningful engagement of local communities in decision-making, planning, and implementation of conservation initiatives, recognizing them as key stakeholders rather than passive beneficiaries.</w:t>
      </w:r>
    </w:p>
    <w:p w:rsidR="00A52A94" w:rsidRPr="007350C0" w:rsidRDefault="00A52A94" w:rsidP="008641C2">
      <w:pPr>
        <w:spacing w:before="100" w:beforeAutospacing="1" w:after="240" w:line="240" w:lineRule="auto"/>
        <w:ind w:left="605" w:right="605"/>
        <w:jc w:val="both"/>
        <w:rPr>
          <w:rFonts w:ascii="Times New Roman" w:hAnsi="Times New Roman" w:cs="Times New Roman"/>
          <w:sz w:val="24"/>
          <w:szCs w:val="24"/>
        </w:rPr>
      </w:pPr>
      <w:r w:rsidRPr="007350C0">
        <w:rPr>
          <w:rFonts w:ascii="Times New Roman" w:hAnsi="Times New Roman" w:cs="Times New Roman"/>
          <w:sz w:val="24"/>
          <w:szCs w:val="24"/>
        </w:rPr>
        <w:t xml:space="preserve">This methodology begins with a process of </w:t>
      </w:r>
      <w:r w:rsidRPr="007350C0">
        <w:rPr>
          <w:rFonts w:ascii="Times New Roman" w:hAnsi="Times New Roman" w:cs="Times New Roman"/>
          <w:bCs/>
          <w:sz w:val="24"/>
          <w:szCs w:val="24"/>
        </w:rPr>
        <w:t>community engagement and consultation</w:t>
      </w:r>
      <w:r w:rsidRPr="007350C0">
        <w:rPr>
          <w:rFonts w:ascii="Times New Roman" w:hAnsi="Times New Roman" w:cs="Times New Roman"/>
          <w:sz w:val="24"/>
          <w:szCs w:val="24"/>
        </w:rPr>
        <w:t>, where all stakeholders are invited to share their knowledge, ideas and aspirations. Tools such as participatory rural appraisal (PRA), community mapping, and stakeholder analysis are often used to understand the local context, identify conservation priorities, and build trust. Through dialogue and collaboration, communities help define conservation objectives, design interventions, and decide on benefit-sharing mechanisms.</w:t>
      </w:r>
    </w:p>
    <w:p w:rsidR="00A52A94" w:rsidRPr="007350C0" w:rsidRDefault="00A52A94" w:rsidP="008641C2">
      <w:pPr>
        <w:spacing w:before="100" w:beforeAutospacing="1" w:after="240" w:line="240" w:lineRule="auto"/>
        <w:ind w:left="605" w:right="605"/>
        <w:jc w:val="both"/>
        <w:rPr>
          <w:rFonts w:ascii="Times New Roman" w:hAnsi="Times New Roman" w:cs="Times New Roman"/>
          <w:sz w:val="24"/>
          <w:szCs w:val="24"/>
        </w:rPr>
      </w:pPr>
      <w:r w:rsidRPr="007350C0">
        <w:rPr>
          <w:rFonts w:ascii="Times New Roman" w:hAnsi="Times New Roman" w:cs="Times New Roman"/>
          <w:sz w:val="24"/>
          <w:szCs w:val="24"/>
        </w:rPr>
        <w:t>Once stakeholders have been identified, the next step is to understand who they are and the roles they play in conservation. This involves examining their interests, level of influence, knowledge, access to resources, and degree of dependence on natural resources. Within community-based conservation (CBC), local communities often possess valuable traditional and ecological knowledge gained through long-term interaction with the environment. Different levels of stakeholders interact with the ecosystem differently and understanding their characteristics will aid in classification of their needs and wants.</w:t>
      </w:r>
    </w:p>
    <w:p w:rsidR="00A52A94" w:rsidRPr="007350C0" w:rsidRDefault="00A52A94" w:rsidP="008641C2">
      <w:pPr>
        <w:pStyle w:val="NormalWeb"/>
        <w:spacing w:after="240" w:afterAutospacing="0"/>
        <w:ind w:left="605" w:right="605"/>
        <w:jc w:val="both"/>
      </w:pPr>
      <w:r w:rsidRPr="007350C0">
        <w:t>Participation moves from planning to action. Stakeholders become actively involved in co</w:t>
      </w:r>
      <w:r w:rsidR="00052528" w:rsidRPr="007350C0">
        <w:t>e</w:t>
      </w:r>
      <w:r w:rsidRPr="007350C0">
        <w:t>xisting participatory approaches are limited by their linear and externally driven nature as illustrated in figure below, which constrains meaningful community engagement.</w:t>
      </w:r>
    </w:p>
    <w:p w:rsidR="00A52A94" w:rsidRPr="007350C0" w:rsidRDefault="00A52A94" w:rsidP="008641C2">
      <w:pPr>
        <w:pStyle w:val="NormalWeb"/>
        <w:keepNext/>
        <w:spacing w:after="240" w:afterAutospacing="0"/>
        <w:ind w:left="605" w:right="605"/>
        <w:jc w:val="both"/>
      </w:pPr>
      <w:r w:rsidRPr="007350C0">
        <w:rPr>
          <w:noProof/>
        </w:rPr>
        <w:lastRenderedPageBreak/>
        <w:drawing>
          <wp:inline distT="0" distB="0" distL="0" distR="0" wp14:anchorId="5898FA8F" wp14:editId="7FD11AFC">
            <wp:extent cx="4448175" cy="30289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48175" cy="3028950"/>
                    </a:xfrm>
                    <a:prstGeom prst="rect">
                      <a:avLst/>
                    </a:prstGeom>
                  </pic:spPr>
                </pic:pic>
              </a:graphicData>
            </a:graphic>
          </wp:inline>
        </w:drawing>
      </w:r>
    </w:p>
    <w:p w:rsidR="00A52A94" w:rsidRPr="007350C0" w:rsidRDefault="00A52A94" w:rsidP="008641C2">
      <w:pPr>
        <w:pStyle w:val="Caption"/>
        <w:spacing w:after="240"/>
        <w:ind w:left="605" w:right="605"/>
        <w:jc w:val="both"/>
        <w:rPr>
          <w:b w:val="0"/>
          <w:color w:val="auto"/>
          <w:sz w:val="24"/>
          <w:szCs w:val="24"/>
        </w:rPr>
      </w:pPr>
      <w:bookmarkStart w:id="3" w:name="_Toc231282049"/>
      <w:r w:rsidRPr="007350C0">
        <w:rPr>
          <w:b w:val="0"/>
          <w:color w:val="auto"/>
          <w:sz w:val="24"/>
          <w:szCs w:val="24"/>
        </w:rPr>
        <w:t xml:space="preserve">Figure </w:t>
      </w:r>
      <w:r w:rsidR="00052528" w:rsidRPr="007350C0">
        <w:rPr>
          <w:b w:val="0"/>
          <w:color w:val="auto"/>
          <w:sz w:val="24"/>
          <w:szCs w:val="24"/>
        </w:rPr>
        <w:t>3</w:t>
      </w:r>
      <w:r w:rsidRPr="007350C0">
        <w:rPr>
          <w:b w:val="0"/>
          <w:color w:val="auto"/>
          <w:sz w:val="24"/>
          <w:szCs w:val="24"/>
        </w:rPr>
        <w:t>. Gaps in participatory approach in conservation management (source: author 2026)</w:t>
      </w:r>
      <w:bookmarkEnd w:id="3"/>
    </w:p>
    <w:p w:rsidR="00A52A94" w:rsidRPr="007350C0" w:rsidRDefault="00A52A94" w:rsidP="008641C2">
      <w:pPr>
        <w:spacing w:before="100" w:beforeAutospacing="1" w:after="240" w:line="240" w:lineRule="auto"/>
        <w:ind w:left="605" w:right="605"/>
        <w:jc w:val="both"/>
        <w:rPr>
          <w:rFonts w:ascii="Times New Roman" w:hAnsi="Times New Roman" w:cs="Times New Roman"/>
          <w:sz w:val="24"/>
          <w:szCs w:val="24"/>
        </w:rPr>
      </w:pPr>
      <w:r w:rsidRPr="007350C0">
        <w:rPr>
          <w:rFonts w:ascii="Times New Roman" w:hAnsi="Times New Roman" w:cs="Times New Roman"/>
          <w:sz w:val="24"/>
          <w:szCs w:val="24"/>
        </w:rPr>
        <w:t>The study concludes that existing participatory approaches in community-based conservation are often constrained by their linear, externally driven structures, which limit genuine community engagement by positioning local people as passive recipients rather than active decision-makers. Such approaches tend to follow rigid, top-down processes that fail to capture the complexity of local contexts or incorporate community knowledge effectively.</w:t>
      </w:r>
    </w:p>
    <w:p w:rsidR="00F95CC2" w:rsidRPr="007350C0" w:rsidRDefault="00BC21F7" w:rsidP="008641C2">
      <w:pPr>
        <w:pStyle w:val="Heading4Char"/>
        <w:spacing w:after="240" w:line="240" w:lineRule="auto"/>
        <w:ind w:left="605" w:right="605"/>
        <w:jc w:val="both"/>
        <w:rPr>
          <w:rFonts w:ascii="Times New Roman" w:hAnsi="Times New Roman" w:cs="Times New Roman"/>
          <w:sz w:val="24"/>
          <w:szCs w:val="24"/>
        </w:rPr>
      </w:pPr>
      <w:r w:rsidRPr="007350C0">
        <w:rPr>
          <w:rFonts w:ascii="Times New Roman" w:hAnsi="Times New Roman" w:cs="Times New Roman"/>
          <w:sz w:val="24"/>
          <w:szCs w:val="24"/>
        </w:rPr>
        <w:t xml:space="preserve">The participatory approach also enhances the </w:t>
      </w:r>
      <w:r w:rsidRPr="007350C0">
        <w:rPr>
          <w:rFonts w:ascii="Times New Roman" w:hAnsi="Times New Roman" w:cs="Times New Roman"/>
          <w:bCs/>
          <w:sz w:val="24"/>
          <w:szCs w:val="24"/>
        </w:rPr>
        <w:t>legitimacy and equity</w:t>
      </w:r>
      <w:r w:rsidRPr="007350C0">
        <w:rPr>
          <w:rFonts w:ascii="Times New Roman" w:hAnsi="Times New Roman" w:cs="Times New Roman"/>
          <w:sz w:val="24"/>
          <w:szCs w:val="24"/>
        </w:rPr>
        <w:t xml:space="preserve"> of conservation efforts. By giving communities a voice in decision-making, it helps to address historical power imbalances and reduce conflict, especially in areas where conservation has previously led to displacement or restricted access to traditional lands. Participation ensures that conservation strategies are sensitive to local needs and livelihoods. However, for participation to be effective, it must go beyond token consultation to ensure genuine power-sharing and inclusion in all stages of conservation processes </w:t>
      </w:r>
      <w:sdt>
        <w:sdtPr>
          <w:rPr>
            <w:rFonts w:ascii="Times New Roman" w:hAnsi="Times New Roman" w:cs="Times New Roman"/>
            <w:sz w:val="24"/>
            <w:szCs w:val="24"/>
          </w:rPr>
          <w:id w:val="831419618"/>
          <w:citation/>
        </w:sdtPr>
        <w:sdtContent>
          <w:r w:rsidRPr="007350C0">
            <w:rPr>
              <w:rFonts w:ascii="Times New Roman" w:hAnsi="Times New Roman" w:cs="Times New Roman"/>
              <w:sz w:val="24"/>
              <w:szCs w:val="24"/>
            </w:rPr>
            <w:fldChar w:fldCharType="begin"/>
          </w:r>
          <w:r w:rsidRPr="007350C0">
            <w:rPr>
              <w:rFonts w:ascii="Times New Roman" w:hAnsi="Times New Roman" w:cs="Times New Roman"/>
              <w:sz w:val="24"/>
              <w:szCs w:val="24"/>
            </w:rPr>
            <w:instrText xml:space="preserve"> CITATION Hol191 \l 1033 </w:instrText>
          </w:r>
          <w:r w:rsidRPr="007350C0">
            <w:rPr>
              <w:rFonts w:ascii="Times New Roman" w:hAnsi="Times New Roman" w:cs="Times New Roman"/>
              <w:sz w:val="24"/>
              <w:szCs w:val="24"/>
            </w:rPr>
            <w:fldChar w:fldCharType="separate"/>
          </w:r>
          <w:r w:rsidRPr="007350C0">
            <w:rPr>
              <w:rFonts w:ascii="Times New Roman" w:hAnsi="Times New Roman" w:cs="Times New Roman"/>
              <w:noProof/>
              <w:sz w:val="24"/>
              <w:szCs w:val="24"/>
            </w:rPr>
            <w:t>(Holifield &amp; Williams, 2019)</w:t>
          </w:r>
          <w:r w:rsidRPr="007350C0">
            <w:rPr>
              <w:rFonts w:ascii="Times New Roman" w:hAnsi="Times New Roman" w:cs="Times New Roman"/>
              <w:sz w:val="24"/>
              <w:szCs w:val="24"/>
            </w:rPr>
            <w:fldChar w:fldCharType="end"/>
          </w:r>
        </w:sdtContent>
      </w:sdt>
      <w:r w:rsidRPr="007350C0">
        <w:rPr>
          <w:rFonts w:ascii="Times New Roman" w:hAnsi="Times New Roman" w:cs="Times New Roman"/>
          <w:sz w:val="24"/>
          <w:szCs w:val="24"/>
        </w:rPr>
        <w:t xml:space="preserve">. Therefore, as a methodology, participatory approaches are essential for achieving inclusive, resilient, and sustainable conservation outcomes by aligning environmental objectives with community needs and priorities Dawson et al., 2023; </w:t>
      </w:r>
      <w:proofErr w:type="spellStart"/>
      <w:r w:rsidRPr="007350C0">
        <w:rPr>
          <w:rFonts w:ascii="Times New Roman" w:hAnsi="Times New Roman" w:cs="Times New Roman"/>
          <w:sz w:val="24"/>
          <w:szCs w:val="24"/>
        </w:rPr>
        <w:t>Ramcilovic-Suominen</w:t>
      </w:r>
      <w:proofErr w:type="spellEnd"/>
      <w:r w:rsidRPr="007350C0">
        <w:rPr>
          <w:rFonts w:ascii="Times New Roman" w:hAnsi="Times New Roman" w:cs="Times New Roman"/>
          <w:sz w:val="24"/>
          <w:szCs w:val="24"/>
        </w:rPr>
        <w:t xml:space="preserve"> et al., 2024).</w:t>
      </w:r>
    </w:p>
    <w:p w:rsidR="00BC21F7" w:rsidRPr="00FA10ED" w:rsidRDefault="00BC21F7" w:rsidP="008641C2">
      <w:pPr>
        <w:pStyle w:val="Heading2"/>
        <w:spacing w:after="240"/>
        <w:ind w:left="605" w:right="605"/>
        <w:rPr>
          <w:i w:val="0"/>
        </w:rPr>
      </w:pPr>
      <w:r w:rsidRPr="00FA10ED">
        <w:rPr>
          <w:i w:val="0"/>
        </w:rPr>
        <w:t>Improved livelihoods</w:t>
      </w:r>
    </w:p>
    <w:p w:rsidR="00BC21F7" w:rsidRPr="007350C0" w:rsidRDefault="00BC21F7" w:rsidP="008641C2">
      <w:pPr>
        <w:spacing w:after="240" w:line="240" w:lineRule="auto"/>
        <w:ind w:left="605" w:right="605"/>
        <w:jc w:val="both"/>
        <w:rPr>
          <w:rFonts w:ascii="Times New Roman" w:hAnsi="Times New Roman" w:cs="Times New Roman"/>
          <w:sz w:val="24"/>
          <w:szCs w:val="24"/>
        </w:rPr>
      </w:pPr>
      <w:r w:rsidRPr="007350C0">
        <w:rPr>
          <w:rFonts w:ascii="Times New Roman" w:hAnsi="Times New Roman" w:cs="Times New Roman"/>
          <w:sz w:val="24"/>
          <w:szCs w:val="24"/>
        </w:rPr>
        <w:t>Community-based conservation (CBC) models have been adopted for their efficiency in improved biodiversity protection with increased livelihoods</w:t>
      </w:r>
      <w:sdt>
        <w:sdtPr>
          <w:rPr>
            <w:rFonts w:ascii="Times New Roman" w:hAnsi="Times New Roman" w:cs="Times New Roman"/>
            <w:sz w:val="24"/>
            <w:szCs w:val="24"/>
          </w:rPr>
          <w:id w:val="-1234076959"/>
          <w:citation/>
        </w:sdtPr>
        <w:sdtContent>
          <w:r w:rsidRPr="007350C0">
            <w:rPr>
              <w:rFonts w:ascii="Times New Roman" w:hAnsi="Times New Roman" w:cs="Times New Roman"/>
              <w:sz w:val="24"/>
              <w:szCs w:val="24"/>
            </w:rPr>
            <w:fldChar w:fldCharType="begin"/>
          </w:r>
          <w:r w:rsidRPr="007350C0">
            <w:rPr>
              <w:rFonts w:ascii="Times New Roman" w:hAnsi="Times New Roman" w:cs="Times New Roman"/>
              <w:sz w:val="24"/>
              <w:szCs w:val="24"/>
            </w:rPr>
            <w:instrText xml:space="preserve"> CITATION Wri16 \l 1033 </w:instrText>
          </w:r>
          <w:r w:rsidRPr="007350C0">
            <w:rPr>
              <w:rFonts w:ascii="Times New Roman" w:hAnsi="Times New Roman" w:cs="Times New Roman"/>
              <w:sz w:val="24"/>
              <w:szCs w:val="24"/>
            </w:rPr>
            <w:fldChar w:fldCharType="separate"/>
          </w:r>
          <w:r w:rsidRPr="007350C0">
            <w:rPr>
              <w:rFonts w:ascii="Times New Roman" w:hAnsi="Times New Roman" w:cs="Times New Roman"/>
              <w:noProof/>
              <w:sz w:val="24"/>
              <w:szCs w:val="24"/>
            </w:rPr>
            <w:t xml:space="preserve"> (Wright J. H., et al., 2016)</w:t>
          </w:r>
          <w:r w:rsidRPr="007350C0">
            <w:rPr>
              <w:rFonts w:ascii="Times New Roman" w:hAnsi="Times New Roman" w:cs="Times New Roman"/>
              <w:sz w:val="24"/>
              <w:szCs w:val="24"/>
            </w:rPr>
            <w:fldChar w:fldCharType="end"/>
          </w:r>
        </w:sdtContent>
      </w:sdt>
      <w:r w:rsidRPr="007350C0">
        <w:rPr>
          <w:rFonts w:ascii="Times New Roman" w:hAnsi="Times New Roman" w:cs="Times New Roman"/>
          <w:sz w:val="24"/>
          <w:szCs w:val="24"/>
        </w:rPr>
        <w:t xml:space="preserve">. Conservation (CBC) can improve livelihoods by associating conservation efforts to socio-economic benefits such as employment, revenue-sharing, and </w:t>
      </w:r>
      <w:r w:rsidRPr="007350C0">
        <w:rPr>
          <w:rFonts w:ascii="Times New Roman" w:hAnsi="Times New Roman" w:cs="Times New Roman"/>
          <w:sz w:val="24"/>
          <w:szCs w:val="24"/>
        </w:rPr>
        <w:lastRenderedPageBreak/>
        <w:t>financial assistance.</w:t>
      </w:r>
      <w:r w:rsidRPr="007350C0">
        <w:rPr>
          <w:rFonts w:ascii="Times New Roman" w:hAnsi="Times New Roman" w:cs="Times New Roman"/>
          <w:color w:val="1F1F1F"/>
          <w:sz w:val="24"/>
          <w:szCs w:val="24"/>
        </w:rPr>
        <w:t xml:space="preserve"> Exploring views in different context of conservation initiatives can help identify features of the initiatives that are succeeding and those that are failing.</w:t>
      </w:r>
    </w:p>
    <w:p w:rsidR="00BC21F7" w:rsidRPr="007350C0" w:rsidRDefault="00BC21F7" w:rsidP="008641C2">
      <w:pPr>
        <w:pStyle w:val="isselectedend"/>
        <w:spacing w:after="240" w:afterAutospacing="0"/>
        <w:ind w:left="605" w:right="605"/>
        <w:jc w:val="both"/>
      </w:pPr>
      <w:r w:rsidRPr="007350C0">
        <w:t xml:space="preserve"> According to </w:t>
      </w:r>
      <w:sdt>
        <w:sdtPr>
          <w:id w:val="-1906441096"/>
          <w:citation/>
        </w:sdtPr>
        <w:sdtContent>
          <w:r w:rsidRPr="007350C0">
            <w:fldChar w:fldCharType="begin"/>
          </w:r>
          <w:r w:rsidRPr="007350C0">
            <w:instrText xml:space="preserve"> CITATION Ben16 \l 1033 </w:instrText>
          </w:r>
          <w:r w:rsidRPr="007350C0">
            <w:fldChar w:fldCharType="separate"/>
          </w:r>
          <w:r w:rsidRPr="007350C0">
            <w:rPr>
              <w:noProof/>
            </w:rPr>
            <w:t>(Bennett, 2016)</w:t>
          </w:r>
          <w:r w:rsidRPr="007350C0">
            <w:fldChar w:fldCharType="end"/>
          </w:r>
        </w:sdtContent>
      </w:sdt>
      <w:r w:rsidRPr="007350C0">
        <w:t xml:space="preserve"> “local people’s perceptions about conservation in PAs can be categorized into four thematic areas: social impacts of conservation, ecological outcomes of conservation, legitimacy of conservation governance, and acceptability of conservation management”. Researchers have increasingly recognized that community perceptions of conservation initiatives in protected areas can be understood through four key dimensions: social impacts, ecological outcomes, governance legitimacy, and management acceptability. Together, these dimensions’ influence how local people evaluate conservation efforts and whether they are willing to support them over the long term.</w:t>
      </w:r>
    </w:p>
    <w:p w:rsidR="00BC21F7" w:rsidRPr="007350C0" w:rsidRDefault="00BC21F7" w:rsidP="008641C2">
      <w:pPr>
        <w:spacing w:before="100" w:beforeAutospacing="1" w:after="240" w:line="240" w:lineRule="auto"/>
        <w:ind w:left="605" w:right="605"/>
        <w:jc w:val="both"/>
        <w:rPr>
          <w:rFonts w:ascii="Times New Roman" w:hAnsi="Times New Roman" w:cs="Times New Roman"/>
          <w:sz w:val="24"/>
          <w:szCs w:val="24"/>
        </w:rPr>
      </w:pPr>
      <w:r w:rsidRPr="007350C0">
        <w:rPr>
          <w:rFonts w:ascii="Times New Roman" w:hAnsi="Times New Roman" w:cs="Times New Roman"/>
          <w:sz w:val="24"/>
          <w:szCs w:val="24"/>
        </w:rPr>
        <w:t xml:space="preserve">The </w:t>
      </w:r>
      <w:r w:rsidRPr="007350C0">
        <w:rPr>
          <w:rFonts w:ascii="Times New Roman" w:hAnsi="Times New Roman" w:cs="Times New Roman"/>
          <w:b/>
          <w:bCs/>
          <w:sz w:val="24"/>
          <w:szCs w:val="24"/>
        </w:rPr>
        <w:t>social dimension</w:t>
      </w:r>
      <w:r w:rsidRPr="007350C0">
        <w:rPr>
          <w:rFonts w:ascii="Times New Roman" w:hAnsi="Times New Roman" w:cs="Times New Roman"/>
          <w:sz w:val="24"/>
          <w:szCs w:val="24"/>
        </w:rPr>
        <w:t xml:space="preserve"> focuses on how conservation activities affect the livelihoods and well-being of local communities. People are generally more supportive of conservation when it contributes positively to their quality of life through employment opportunities, improved income, access to social services, and community development. On the other hand, restrictions on resource use, unequal distribution of benefits, or increased human–wildlife conflicts can generate dissatisfaction and opposition. As a result, indicators such as household income, food security, employment levels, access to education and healthcare, and perceptions of fairness are commonly used to assess social impacts.</w:t>
      </w:r>
    </w:p>
    <w:p w:rsidR="00BC21F7" w:rsidRPr="007350C0" w:rsidRDefault="00BC21F7" w:rsidP="008641C2">
      <w:pPr>
        <w:spacing w:before="100" w:beforeAutospacing="1" w:after="240" w:line="240" w:lineRule="auto"/>
        <w:ind w:left="605" w:right="605"/>
        <w:jc w:val="both"/>
        <w:rPr>
          <w:rFonts w:ascii="Times New Roman" w:hAnsi="Times New Roman" w:cs="Times New Roman"/>
          <w:sz w:val="24"/>
          <w:szCs w:val="24"/>
        </w:rPr>
      </w:pPr>
      <w:r w:rsidRPr="007350C0">
        <w:rPr>
          <w:rFonts w:ascii="Times New Roman" w:hAnsi="Times New Roman" w:cs="Times New Roman"/>
          <w:sz w:val="24"/>
          <w:szCs w:val="24"/>
        </w:rPr>
        <w:t xml:space="preserve">The </w:t>
      </w:r>
      <w:r w:rsidRPr="007350C0">
        <w:rPr>
          <w:rFonts w:ascii="Times New Roman" w:hAnsi="Times New Roman" w:cs="Times New Roman"/>
          <w:b/>
          <w:bCs/>
          <w:sz w:val="24"/>
          <w:szCs w:val="24"/>
        </w:rPr>
        <w:t>ecological dimension</w:t>
      </w:r>
      <w:r w:rsidRPr="007350C0">
        <w:rPr>
          <w:rFonts w:ascii="Times New Roman" w:hAnsi="Times New Roman" w:cs="Times New Roman"/>
          <w:sz w:val="24"/>
          <w:szCs w:val="24"/>
        </w:rPr>
        <w:t xml:space="preserve"> relates to local perceptions of environmental change resulting from conservation interventions. Community members often judge conservation success by observing improvements in wildlife populations, vegetation cover, habitat condition, water resources, and the overall health of ecosystems. Positive environmental outcomes can strengthen confidence in conservation programs, particularly where livelihoods depend directly on natural resources. Measures frequently used to evaluate ecological outcomes include biodiversity status, species abundance, habitat quality, forest regeneration, and ecosystem sustainability.</w:t>
      </w:r>
    </w:p>
    <w:p w:rsidR="00BC21F7" w:rsidRPr="007350C0" w:rsidRDefault="00BC21F7" w:rsidP="008641C2">
      <w:pPr>
        <w:spacing w:before="100" w:beforeAutospacing="1" w:after="240" w:line="240" w:lineRule="auto"/>
        <w:ind w:left="605" w:right="605"/>
        <w:jc w:val="both"/>
        <w:rPr>
          <w:rFonts w:ascii="Times New Roman" w:hAnsi="Times New Roman" w:cs="Times New Roman"/>
          <w:sz w:val="24"/>
          <w:szCs w:val="24"/>
        </w:rPr>
      </w:pPr>
      <w:r w:rsidRPr="007350C0">
        <w:rPr>
          <w:rFonts w:ascii="Times New Roman" w:hAnsi="Times New Roman" w:cs="Times New Roman"/>
          <w:sz w:val="24"/>
          <w:szCs w:val="24"/>
        </w:rPr>
        <w:t xml:space="preserve">The </w:t>
      </w:r>
      <w:r w:rsidRPr="007350C0">
        <w:rPr>
          <w:rFonts w:ascii="Times New Roman" w:hAnsi="Times New Roman" w:cs="Times New Roman"/>
          <w:b/>
          <w:bCs/>
          <w:sz w:val="24"/>
          <w:szCs w:val="24"/>
        </w:rPr>
        <w:t>legitimacy of governance</w:t>
      </w:r>
      <w:r w:rsidRPr="007350C0">
        <w:rPr>
          <w:rFonts w:ascii="Times New Roman" w:hAnsi="Times New Roman" w:cs="Times New Roman"/>
          <w:sz w:val="24"/>
          <w:szCs w:val="24"/>
        </w:rPr>
        <w:t xml:space="preserve"> reflects the extent to which conservation institutions and decision-making processes are perceived as fair, transparent, and accountable. Communities are more likely to trust and support conservation initiatives when they feel their views are considered and when governance structures operate openly and equitably. Legitimacy is therefore commonly assessed through indicators such as stakeholder representation, participation in decision-making, institutional transparency, accountability mechanisms, trust in conservation authorities, and perceptions of procedural justice.</w:t>
      </w:r>
    </w:p>
    <w:p w:rsidR="00BC21F7" w:rsidRPr="007350C0" w:rsidRDefault="00BC21F7" w:rsidP="008641C2">
      <w:pPr>
        <w:spacing w:before="100" w:beforeAutospacing="1" w:after="240" w:line="240" w:lineRule="auto"/>
        <w:ind w:left="605" w:right="605"/>
        <w:jc w:val="both"/>
        <w:rPr>
          <w:rFonts w:ascii="Times New Roman" w:hAnsi="Times New Roman" w:cs="Times New Roman"/>
          <w:sz w:val="24"/>
          <w:szCs w:val="24"/>
        </w:rPr>
      </w:pPr>
      <w:r w:rsidRPr="007350C0">
        <w:rPr>
          <w:rFonts w:ascii="Times New Roman" w:hAnsi="Times New Roman" w:cs="Times New Roman"/>
          <w:sz w:val="24"/>
          <w:szCs w:val="24"/>
        </w:rPr>
        <w:t xml:space="preserve">The </w:t>
      </w:r>
      <w:r w:rsidRPr="007350C0">
        <w:rPr>
          <w:rFonts w:ascii="Times New Roman" w:hAnsi="Times New Roman" w:cs="Times New Roman"/>
          <w:b/>
          <w:bCs/>
          <w:sz w:val="24"/>
          <w:szCs w:val="24"/>
        </w:rPr>
        <w:t>acceptability of conservation management</w:t>
      </w:r>
      <w:r w:rsidRPr="007350C0">
        <w:rPr>
          <w:rFonts w:ascii="Times New Roman" w:hAnsi="Times New Roman" w:cs="Times New Roman"/>
          <w:sz w:val="24"/>
          <w:szCs w:val="24"/>
        </w:rPr>
        <w:t xml:space="preserve"> concerns the degree to which local communities approve of conservation policies, regulations, and management practices. Acceptance tends to increase when conservation measures align with local values, address community priorities, and distribute costs and benefits fairly. In </w:t>
      </w:r>
      <w:r w:rsidRPr="007350C0">
        <w:rPr>
          <w:rFonts w:ascii="Times New Roman" w:hAnsi="Times New Roman" w:cs="Times New Roman"/>
          <w:sz w:val="24"/>
          <w:szCs w:val="24"/>
        </w:rPr>
        <w:lastRenderedPageBreak/>
        <w:t>contrast, policies perceived as restrictive or imposed without consultation often face resistance. Researchers commonly evaluate acceptability through community attitudes toward conservation, levels of compliance with regulations, satisfaction with management practices, willingness to participate in conservation activities, and support for future conservation initiatives.</w:t>
      </w:r>
    </w:p>
    <w:p w:rsidR="00BC21F7" w:rsidRPr="007350C0" w:rsidRDefault="00BC21F7" w:rsidP="008641C2">
      <w:pPr>
        <w:pStyle w:val="Heading4Char"/>
        <w:spacing w:after="240" w:line="240" w:lineRule="auto"/>
        <w:ind w:left="605" w:right="605"/>
        <w:jc w:val="both"/>
        <w:rPr>
          <w:rFonts w:ascii="Times New Roman" w:hAnsi="Times New Roman" w:cs="Times New Roman"/>
          <w:sz w:val="24"/>
          <w:szCs w:val="24"/>
        </w:rPr>
      </w:pPr>
      <w:r w:rsidRPr="007350C0">
        <w:rPr>
          <w:rFonts w:ascii="Times New Roman" w:hAnsi="Times New Roman" w:cs="Times New Roman"/>
          <w:sz w:val="24"/>
          <w:szCs w:val="24"/>
        </w:rPr>
        <w:t xml:space="preserve">Within Community-Based Conservation (CBC), these four dimensions are closely connected to livelihood improvement. CBC emphasizes the involvement of local communities in conservation while ensuring that they benefit </w:t>
      </w:r>
      <w:r w:rsidR="0021560F">
        <w:rPr>
          <w:rFonts w:ascii="Times New Roman" w:hAnsi="Times New Roman" w:cs="Times New Roman"/>
          <w:sz w:val="24"/>
          <w:szCs w:val="24"/>
        </w:rPr>
        <w:t>from natural resource management as illustrated in figure 4 below</w:t>
      </w:r>
      <w:r w:rsidRPr="007350C0">
        <w:rPr>
          <w:rFonts w:ascii="Times New Roman" w:hAnsi="Times New Roman" w:cs="Times New Roman"/>
          <w:sz w:val="24"/>
          <w:szCs w:val="24"/>
        </w:rPr>
        <w:t>. When conservation initiatives generate employment, support local enterprises, improve infrastructure, and enhance access to resources, communities are more likely to perceive conservation positively. Improved livelihoods can strengthen social well-being, encourage support for environmental protection, increase confidence in governance institutions, and enhance acceptance of conservation measures. Consequently, livelihood enhancement serves as a critical link between community participation and successful conservation outcomes, contributing to both environmental sustainability and long-term community development</w:t>
      </w:r>
      <w:r w:rsidRPr="007350C0">
        <w:rPr>
          <w:rFonts w:ascii="Times New Roman" w:hAnsi="Times New Roman" w:cs="Times New Roman"/>
          <w:sz w:val="24"/>
          <w:szCs w:val="24"/>
        </w:rPr>
        <w:t>.</w:t>
      </w:r>
    </w:p>
    <w:p w:rsidR="00BC21F7" w:rsidRPr="007350C0" w:rsidRDefault="00BC21F7" w:rsidP="008641C2">
      <w:pPr>
        <w:keepNext/>
        <w:spacing w:before="100" w:beforeAutospacing="1" w:after="240" w:line="240" w:lineRule="auto"/>
        <w:ind w:left="605" w:right="605"/>
        <w:jc w:val="both"/>
        <w:rPr>
          <w:rFonts w:ascii="Times New Roman" w:hAnsi="Times New Roman" w:cs="Times New Roman"/>
          <w:sz w:val="24"/>
          <w:szCs w:val="24"/>
        </w:rPr>
      </w:pPr>
      <w:r w:rsidRPr="007350C0">
        <w:rPr>
          <w:rFonts w:ascii="Times New Roman" w:hAnsi="Times New Roman" w:cs="Times New Roman"/>
          <w:noProof/>
          <w:sz w:val="24"/>
          <w:szCs w:val="24"/>
        </w:rPr>
        <w:drawing>
          <wp:inline distT="0" distB="0" distL="0" distR="0" wp14:anchorId="598EAAEA" wp14:editId="513FB1B7">
            <wp:extent cx="5090984" cy="2613660"/>
            <wp:effectExtent l="0" t="0" r="0" b="0"/>
            <wp:docPr id="47" name="Diagram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BC21F7" w:rsidRPr="007350C0" w:rsidRDefault="00BC21F7" w:rsidP="008641C2">
      <w:pPr>
        <w:pStyle w:val="Heading4Char"/>
        <w:spacing w:after="240" w:line="240" w:lineRule="auto"/>
        <w:ind w:left="605" w:right="605"/>
        <w:jc w:val="both"/>
        <w:rPr>
          <w:rFonts w:ascii="Times New Roman" w:hAnsi="Times New Roman" w:cs="Times New Roman"/>
          <w:sz w:val="24"/>
          <w:szCs w:val="24"/>
        </w:rPr>
      </w:pPr>
      <w:r w:rsidRPr="007350C0">
        <w:rPr>
          <w:rFonts w:ascii="Times New Roman" w:hAnsi="Times New Roman" w:cs="Times New Roman"/>
          <w:sz w:val="24"/>
          <w:szCs w:val="24"/>
        </w:rPr>
        <w:t xml:space="preserve">Figure </w:t>
      </w:r>
      <w:proofErr w:type="gramStart"/>
      <w:r w:rsidR="00FA10ED">
        <w:rPr>
          <w:rFonts w:ascii="Times New Roman" w:hAnsi="Times New Roman" w:cs="Times New Roman"/>
          <w:b/>
          <w:sz w:val="24"/>
          <w:szCs w:val="24"/>
        </w:rPr>
        <w:t xml:space="preserve">4 </w:t>
      </w:r>
      <w:r w:rsidRPr="007350C0">
        <w:rPr>
          <w:rFonts w:ascii="Times New Roman" w:hAnsi="Times New Roman" w:cs="Times New Roman"/>
          <w:sz w:val="24"/>
          <w:szCs w:val="24"/>
        </w:rPr>
        <w:t>.Outcomes</w:t>
      </w:r>
      <w:proofErr w:type="gramEnd"/>
      <w:r w:rsidRPr="007350C0">
        <w:rPr>
          <w:rFonts w:ascii="Times New Roman" w:hAnsi="Times New Roman" w:cs="Times New Roman"/>
          <w:sz w:val="24"/>
          <w:szCs w:val="24"/>
        </w:rPr>
        <w:t xml:space="preserve"> of improved livelihoods enhanced by a participatory approach (source: (D. </w:t>
      </w:r>
      <w:proofErr w:type="spellStart"/>
      <w:r w:rsidRPr="007350C0">
        <w:rPr>
          <w:rFonts w:ascii="Times New Roman" w:hAnsi="Times New Roman" w:cs="Times New Roman"/>
          <w:sz w:val="24"/>
          <w:szCs w:val="24"/>
        </w:rPr>
        <w:t>Matarrita-Cascante</w:t>
      </w:r>
      <w:proofErr w:type="spellEnd"/>
      <w:r w:rsidRPr="007350C0">
        <w:rPr>
          <w:rFonts w:ascii="Times New Roman" w:hAnsi="Times New Roman" w:cs="Times New Roman"/>
          <w:sz w:val="24"/>
          <w:szCs w:val="24"/>
        </w:rPr>
        <w:t>, 2019</w:t>
      </w:r>
      <w:r w:rsidRPr="007350C0">
        <w:rPr>
          <w:rFonts w:ascii="Times New Roman" w:hAnsi="Times New Roman" w:cs="Times New Roman"/>
          <w:sz w:val="24"/>
          <w:szCs w:val="24"/>
        </w:rPr>
        <w:t>)</w:t>
      </w:r>
    </w:p>
    <w:p w:rsidR="00BC21F7" w:rsidRPr="007350C0" w:rsidRDefault="00BC21F7" w:rsidP="008641C2">
      <w:pPr>
        <w:spacing w:before="100" w:beforeAutospacing="1" w:after="240" w:line="240" w:lineRule="auto"/>
        <w:ind w:left="605" w:right="605"/>
        <w:jc w:val="both"/>
        <w:rPr>
          <w:rFonts w:ascii="Times New Roman" w:hAnsi="Times New Roman" w:cs="Times New Roman"/>
          <w:sz w:val="24"/>
          <w:szCs w:val="24"/>
        </w:rPr>
      </w:pPr>
      <w:proofErr w:type="spellStart"/>
      <w:r w:rsidRPr="007350C0">
        <w:rPr>
          <w:rFonts w:ascii="Times New Roman" w:hAnsi="Times New Roman" w:cs="Times New Roman"/>
          <w:sz w:val="24"/>
          <w:szCs w:val="24"/>
        </w:rPr>
        <w:t>Berkes</w:t>
      </w:r>
      <w:proofErr w:type="spellEnd"/>
      <w:r w:rsidRPr="007350C0">
        <w:rPr>
          <w:rFonts w:ascii="Times New Roman" w:hAnsi="Times New Roman" w:cs="Times New Roman"/>
          <w:sz w:val="24"/>
          <w:szCs w:val="24"/>
        </w:rPr>
        <w:t xml:space="preserve"> argues that for conservation to be effective and sustainable, it must contribute to improving local livelihoods. In turn, </w:t>
      </w:r>
      <w:r w:rsidRPr="007350C0">
        <w:rPr>
          <w:rFonts w:ascii="Times New Roman" w:hAnsi="Times New Roman" w:cs="Times New Roman"/>
          <w:bCs/>
          <w:sz w:val="24"/>
          <w:szCs w:val="24"/>
        </w:rPr>
        <w:t>when livelihoods improve through conservation-related benefits</w:t>
      </w:r>
      <w:r w:rsidRPr="007350C0">
        <w:rPr>
          <w:rFonts w:ascii="Times New Roman" w:hAnsi="Times New Roman" w:cs="Times New Roman"/>
          <w:sz w:val="24"/>
          <w:szCs w:val="24"/>
        </w:rPr>
        <w:t xml:space="preserve">, communities are more likely to support and invest in conservation initiatives, thus </w:t>
      </w:r>
      <w:r w:rsidRPr="007350C0">
        <w:rPr>
          <w:rFonts w:ascii="Times New Roman" w:hAnsi="Times New Roman" w:cs="Times New Roman"/>
          <w:bCs/>
          <w:sz w:val="24"/>
          <w:szCs w:val="24"/>
        </w:rPr>
        <w:t>creating a positive feedback loop</w:t>
      </w:r>
      <w:r w:rsidRPr="007350C0">
        <w:rPr>
          <w:rFonts w:ascii="Times New Roman" w:hAnsi="Times New Roman" w:cs="Times New Roman"/>
          <w:sz w:val="24"/>
          <w:szCs w:val="24"/>
        </w:rPr>
        <w:t xml:space="preserve">. This loop—where conservation supports livelihoods, which in turn support conservation—can be a foundation for </w:t>
      </w:r>
      <w:r w:rsidRPr="007350C0">
        <w:rPr>
          <w:rFonts w:ascii="Times New Roman" w:hAnsi="Times New Roman" w:cs="Times New Roman"/>
          <w:bCs/>
          <w:sz w:val="24"/>
          <w:szCs w:val="24"/>
        </w:rPr>
        <w:t>resilient and adaptive community-based conservation strategies</w:t>
      </w:r>
      <w:r w:rsidRPr="007350C0">
        <w:rPr>
          <w:rFonts w:ascii="Times New Roman" w:hAnsi="Times New Roman" w:cs="Times New Roman"/>
          <w:sz w:val="24"/>
          <w:szCs w:val="24"/>
        </w:rPr>
        <w:t>.</w:t>
      </w:r>
    </w:p>
    <w:p w:rsidR="0021560F" w:rsidRDefault="0021560F" w:rsidP="008641C2">
      <w:pPr>
        <w:pStyle w:val="Heading2"/>
        <w:spacing w:after="240"/>
        <w:ind w:left="605" w:right="605"/>
        <w:rPr>
          <w:i w:val="0"/>
        </w:rPr>
      </w:pPr>
    </w:p>
    <w:p w:rsidR="0021560F" w:rsidRDefault="0021560F" w:rsidP="008641C2">
      <w:pPr>
        <w:pStyle w:val="Heading2"/>
        <w:spacing w:after="240"/>
        <w:ind w:left="605" w:right="605"/>
        <w:rPr>
          <w:i w:val="0"/>
        </w:rPr>
      </w:pPr>
    </w:p>
    <w:p w:rsidR="00BC21F7" w:rsidRPr="0021560F" w:rsidRDefault="00BC21F7" w:rsidP="008641C2">
      <w:pPr>
        <w:pStyle w:val="Heading2"/>
        <w:spacing w:after="240"/>
        <w:ind w:left="605" w:right="605"/>
        <w:rPr>
          <w:i w:val="0"/>
        </w:rPr>
      </w:pPr>
      <w:r w:rsidRPr="0021560F">
        <w:rPr>
          <w:i w:val="0"/>
        </w:rPr>
        <w:lastRenderedPageBreak/>
        <w:t>Theoretical Framework</w:t>
      </w:r>
    </w:p>
    <w:p w:rsidR="00BC21F7" w:rsidRPr="007350C0" w:rsidRDefault="00BC21F7" w:rsidP="008641C2">
      <w:pPr>
        <w:spacing w:before="240" w:after="240" w:line="240" w:lineRule="auto"/>
        <w:ind w:left="605" w:right="605"/>
        <w:jc w:val="both"/>
        <w:rPr>
          <w:rFonts w:ascii="Times New Roman" w:hAnsi="Times New Roman" w:cs="Times New Roman"/>
          <w:sz w:val="24"/>
          <w:szCs w:val="24"/>
        </w:rPr>
      </w:pPr>
      <w:r w:rsidRPr="007350C0">
        <w:rPr>
          <w:rFonts w:ascii="Times New Roman" w:hAnsi="Times New Roman" w:cs="Times New Roman"/>
          <w:sz w:val="24"/>
          <w:szCs w:val="24"/>
        </w:rPr>
        <w:t>Good design should promote sustainable development; improve the quality of society and the wildlife species thriving in their habitat as they share the same biodiversity resources. As an embodiment of the long-term view of sustainable development, the thesis will look at the following philosophies:</w:t>
      </w:r>
    </w:p>
    <w:p w:rsidR="00BC21F7" w:rsidRPr="007350C0" w:rsidRDefault="00BC21F7" w:rsidP="008641C2">
      <w:pPr>
        <w:spacing w:before="240" w:after="240" w:line="240" w:lineRule="auto"/>
        <w:ind w:left="605" w:right="605"/>
        <w:jc w:val="both"/>
        <w:rPr>
          <w:rFonts w:ascii="Times New Roman" w:hAnsi="Times New Roman" w:cs="Times New Roman"/>
          <w:b/>
          <w:sz w:val="24"/>
          <w:szCs w:val="24"/>
        </w:rPr>
      </w:pPr>
      <w:r w:rsidRPr="007350C0">
        <w:rPr>
          <w:rFonts w:ascii="Times New Roman" w:hAnsi="Times New Roman" w:cs="Times New Roman"/>
          <w:b/>
          <w:sz w:val="24"/>
          <w:szCs w:val="24"/>
        </w:rPr>
        <w:t xml:space="preserve">Participatory Approach </w:t>
      </w:r>
      <w:r w:rsidRPr="007350C0">
        <w:rPr>
          <w:rFonts w:ascii="Times New Roman" w:hAnsi="Times New Roman" w:cs="Times New Roman"/>
          <w:sz w:val="24"/>
          <w:szCs w:val="24"/>
        </w:rPr>
        <w:t xml:space="preserve">; Bottom up approach by definition </w:t>
      </w:r>
      <w:r w:rsidRPr="007350C0">
        <w:rPr>
          <w:rFonts w:ascii="Times New Roman" w:eastAsia="CIDFont+F3" w:hAnsi="Times New Roman" w:cs="Times New Roman"/>
          <w:sz w:val="24"/>
          <w:szCs w:val="24"/>
        </w:rPr>
        <w:t>“In the design process bottom up approach involves engaging the end-user(s) of the design intervention in the decision-making about the said strategy or solution and in the choice of how to go about working on this solution</w:t>
      </w:r>
      <w:sdt>
        <w:sdtPr>
          <w:rPr>
            <w:rFonts w:ascii="Times New Roman" w:eastAsia="CIDFont+F3" w:hAnsi="Times New Roman" w:cs="Times New Roman"/>
            <w:sz w:val="24"/>
            <w:szCs w:val="24"/>
          </w:rPr>
          <w:id w:val="-1888878712"/>
          <w:citation/>
        </w:sdtPr>
        <w:sdtContent>
          <w:r w:rsidRPr="007350C0">
            <w:rPr>
              <w:rFonts w:ascii="Times New Roman" w:eastAsia="CIDFont+F3" w:hAnsi="Times New Roman" w:cs="Times New Roman"/>
              <w:sz w:val="24"/>
              <w:szCs w:val="24"/>
            </w:rPr>
            <w:fldChar w:fldCharType="begin"/>
          </w:r>
          <w:r w:rsidRPr="007350C0">
            <w:rPr>
              <w:rFonts w:ascii="Times New Roman" w:eastAsia="CIDFont+F3" w:hAnsi="Times New Roman" w:cs="Times New Roman"/>
              <w:sz w:val="24"/>
              <w:szCs w:val="24"/>
            </w:rPr>
            <w:instrText xml:space="preserve"> CITATION Mwi20 \l 1033 </w:instrText>
          </w:r>
          <w:r w:rsidRPr="007350C0">
            <w:rPr>
              <w:rFonts w:ascii="Times New Roman" w:eastAsia="CIDFont+F3" w:hAnsi="Times New Roman" w:cs="Times New Roman"/>
              <w:sz w:val="24"/>
              <w:szCs w:val="24"/>
            </w:rPr>
            <w:fldChar w:fldCharType="separate"/>
          </w:r>
          <w:r w:rsidRPr="007350C0">
            <w:rPr>
              <w:rFonts w:ascii="Times New Roman" w:eastAsia="CIDFont+F3" w:hAnsi="Times New Roman" w:cs="Times New Roman"/>
              <w:noProof/>
              <w:sz w:val="24"/>
              <w:szCs w:val="24"/>
            </w:rPr>
            <w:t xml:space="preserve"> (Mwiti, 2020)</w:t>
          </w:r>
          <w:r w:rsidRPr="007350C0">
            <w:rPr>
              <w:rFonts w:ascii="Times New Roman" w:eastAsia="CIDFont+F3" w:hAnsi="Times New Roman" w:cs="Times New Roman"/>
              <w:sz w:val="24"/>
              <w:szCs w:val="24"/>
            </w:rPr>
            <w:fldChar w:fldCharType="end"/>
          </w:r>
        </w:sdtContent>
      </w:sdt>
      <w:r w:rsidRPr="007350C0">
        <w:rPr>
          <w:rFonts w:ascii="Times New Roman" w:eastAsia="CIDFont+F3" w:hAnsi="Times New Roman" w:cs="Times New Roman"/>
          <w:sz w:val="24"/>
          <w:szCs w:val="24"/>
        </w:rPr>
        <w:t xml:space="preserve">”. </w:t>
      </w:r>
      <w:r w:rsidRPr="007350C0">
        <w:rPr>
          <w:rFonts w:ascii="Times New Roman" w:hAnsi="Times New Roman" w:cs="Times New Roman"/>
          <w:sz w:val="24"/>
          <w:szCs w:val="24"/>
        </w:rPr>
        <w:t>According to</w:t>
      </w:r>
      <w:sdt>
        <w:sdtPr>
          <w:rPr>
            <w:rFonts w:ascii="Times New Roman" w:hAnsi="Times New Roman" w:cs="Times New Roman"/>
            <w:sz w:val="24"/>
            <w:szCs w:val="24"/>
          </w:rPr>
          <w:id w:val="1206902862"/>
          <w:citation/>
        </w:sdtPr>
        <w:sdtContent>
          <w:r w:rsidRPr="007350C0">
            <w:rPr>
              <w:rFonts w:ascii="Times New Roman" w:hAnsi="Times New Roman" w:cs="Times New Roman"/>
              <w:sz w:val="24"/>
              <w:szCs w:val="24"/>
            </w:rPr>
            <w:fldChar w:fldCharType="begin"/>
          </w:r>
          <w:r w:rsidRPr="007350C0">
            <w:rPr>
              <w:rFonts w:ascii="Times New Roman" w:hAnsi="Times New Roman" w:cs="Times New Roman"/>
              <w:sz w:val="24"/>
              <w:szCs w:val="24"/>
            </w:rPr>
            <w:instrText xml:space="preserve">CITATION Sod111 \l 1033 </w:instrText>
          </w:r>
          <w:r w:rsidRPr="007350C0">
            <w:rPr>
              <w:rFonts w:ascii="Times New Roman" w:hAnsi="Times New Roman" w:cs="Times New Roman"/>
              <w:sz w:val="24"/>
              <w:szCs w:val="24"/>
            </w:rPr>
            <w:fldChar w:fldCharType="separate"/>
          </w:r>
          <w:r w:rsidRPr="007350C0">
            <w:rPr>
              <w:rFonts w:ascii="Times New Roman" w:hAnsi="Times New Roman" w:cs="Times New Roman"/>
              <w:noProof/>
              <w:sz w:val="24"/>
              <w:szCs w:val="24"/>
            </w:rPr>
            <w:t xml:space="preserve"> (Sodhi, Butler, &amp; Raven, 2011)</w:t>
          </w:r>
          <w:r w:rsidRPr="007350C0">
            <w:rPr>
              <w:rFonts w:ascii="Times New Roman" w:hAnsi="Times New Roman" w:cs="Times New Roman"/>
              <w:sz w:val="24"/>
              <w:szCs w:val="24"/>
            </w:rPr>
            <w:fldChar w:fldCharType="end"/>
          </w:r>
        </w:sdtContent>
      </w:sdt>
      <w:sdt>
        <w:sdtPr>
          <w:rPr>
            <w:rFonts w:ascii="Times New Roman" w:hAnsi="Times New Roman" w:cs="Times New Roman"/>
            <w:sz w:val="24"/>
            <w:szCs w:val="24"/>
          </w:rPr>
          <w:id w:val="-1726742157"/>
          <w:citation/>
        </w:sdtPr>
        <w:sdtContent>
          <w:r w:rsidRPr="007350C0">
            <w:rPr>
              <w:rFonts w:ascii="Times New Roman" w:hAnsi="Times New Roman" w:cs="Times New Roman"/>
              <w:sz w:val="24"/>
              <w:szCs w:val="24"/>
            </w:rPr>
            <w:fldChar w:fldCharType="begin"/>
          </w:r>
          <w:r w:rsidRPr="007350C0">
            <w:rPr>
              <w:rFonts w:ascii="Times New Roman" w:hAnsi="Times New Roman" w:cs="Times New Roman"/>
              <w:sz w:val="24"/>
              <w:szCs w:val="24"/>
            </w:rPr>
            <w:instrText xml:space="preserve"> CITATION Ami15 \l 1033 </w:instrText>
          </w:r>
          <w:r w:rsidRPr="007350C0">
            <w:rPr>
              <w:rFonts w:ascii="Times New Roman" w:hAnsi="Times New Roman" w:cs="Times New Roman"/>
              <w:sz w:val="24"/>
              <w:szCs w:val="24"/>
            </w:rPr>
            <w:fldChar w:fldCharType="separate"/>
          </w:r>
          <w:r w:rsidRPr="007350C0">
            <w:rPr>
              <w:rFonts w:ascii="Times New Roman" w:hAnsi="Times New Roman" w:cs="Times New Roman"/>
              <w:noProof/>
              <w:sz w:val="24"/>
              <w:szCs w:val="24"/>
            </w:rPr>
            <w:t xml:space="preserve"> (Amineh &amp; Asl, 2015)</w:t>
          </w:r>
          <w:r w:rsidRPr="007350C0">
            <w:rPr>
              <w:rFonts w:ascii="Times New Roman" w:hAnsi="Times New Roman" w:cs="Times New Roman"/>
              <w:sz w:val="24"/>
              <w:szCs w:val="24"/>
            </w:rPr>
            <w:fldChar w:fldCharType="end"/>
          </w:r>
        </w:sdtContent>
      </w:sdt>
      <w:r w:rsidRPr="007350C0">
        <w:rPr>
          <w:rFonts w:ascii="Times New Roman" w:hAnsi="Times New Roman" w:cs="Times New Roman"/>
          <w:sz w:val="24"/>
          <w:szCs w:val="24"/>
        </w:rPr>
        <w:t xml:space="preserve"> Conservation initiatives that have worked well in developing countries have often been applied in the tropics but with only limited success due to top–down conservation planning systems. Studies indicate that local socioeconomic considerations must be considered, inadequate power sharing between external actors and local communities thus leading to low community participation.</w:t>
      </w:r>
    </w:p>
    <w:p w:rsidR="00BC21F7" w:rsidRPr="007350C0" w:rsidRDefault="00BC21F7" w:rsidP="008641C2">
      <w:pPr>
        <w:adjustRightInd w:val="0"/>
        <w:spacing w:after="240" w:line="240" w:lineRule="auto"/>
        <w:ind w:left="605" w:right="605"/>
        <w:jc w:val="both"/>
        <w:rPr>
          <w:rFonts w:ascii="Times New Roman" w:hAnsi="Times New Roman" w:cs="Times New Roman"/>
          <w:bCs/>
          <w:sz w:val="24"/>
          <w:szCs w:val="24"/>
          <w:shd w:val="clear" w:color="auto" w:fill="FFFFFF"/>
        </w:rPr>
      </w:pPr>
    </w:p>
    <w:p w:rsidR="00BC21F7" w:rsidRPr="007350C0" w:rsidRDefault="00BC21F7" w:rsidP="008641C2">
      <w:pPr>
        <w:spacing w:before="240" w:after="240" w:line="240" w:lineRule="auto"/>
        <w:ind w:left="605" w:right="605"/>
        <w:jc w:val="both"/>
        <w:rPr>
          <w:rFonts w:ascii="Times New Roman" w:hAnsi="Times New Roman" w:cs="Times New Roman"/>
          <w:sz w:val="24"/>
          <w:szCs w:val="24"/>
        </w:rPr>
      </w:pPr>
      <w:r w:rsidRPr="007350C0">
        <w:rPr>
          <w:rFonts w:ascii="Times New Roman" w:hAnsi="Times New Roman" w:cs="Times New Roman"/>
          <w:sz w:val="24"/>
          <w:szCs w:val="24"/>
        </w:rPr>
        <w:t>Some authors argue that top–down conservation approaches would inevitably benefit from a deeper understanding of human–nature interactions. Participatory approaches provide an angle for policy makers and governmental institutions to explore ways to engage the community. The community needs to be involved in the planning, decision making and implementation stages of conservation. Once the community has been involved and indigenous knowledge tapped, then resource management will be effective and conservation programs will be fruitful. Active involvement with cohesive relationship of the local community and the wildlife will foster.</w:t>
      </w:r>
    </w:p>
    <w:p w:rsidR="00BC21F7" w:rsidRPr="007350C0" w:rsidRDefault="00BC21F7" w:rsidP="008641C2">
      <w:pPr>
        <w:spacing w:before="100" w:beforeAutospacing="1" w:after="240" w:line="240" w:lineRule="auto"/>
        <w:ind w:left="605" w:right="605"/>
        <w:jc w:val="both"/>
        <w:rPr>
          <w:rFonts w:ascii="Times New Roman" w:hAnsi="Times New Roman" w:cs="Times New Roman"/>
          <w:sz w:val="24"/>
          <w:szCs w:val="24"/>
        </w:rPr>
      </w:pPr>
      <w:r w:rsidRPr="007350C0">
        <w:rPr>
          <w:rFonts w:ascii="Times New Roman" w:hAnsi="Times New Roman" w:cs="Times New Roman"/>
          <w:sz w:val="24"/>
          <w:szCs w:val="24"/>
        </w:rPr>
        <w:t xml:space="preserve">Participation theory serves dual roles: </w:t>
      </w:r>
      <w:r w:rsidRPr="007350C0">
        <w:rPr>
          <w:rFonts w:ascii="Times New Roman" w:hAnsi="Times New Roman" w:cs="Times New Roman"/>
          <w:b/>
          <w:bCs/>
          <w:sz w:val="24"/>
          <w:szCs w:val="24"/>
        </w:rPr>
        <w:t>As a Means</w:t>
      </w:r>
      <w:r w:rsidRPr="007350C0">
        <w:rPr>
          <w:rFonts w:ascii="Times New Roman" w:hAnsi="Times New Roman" w:cs="Times New Roman"/>
          <w:sz w:val="24"/>
          <w:szCs w:val="24"/>
        </w:rPr>
        <w:t xml:space="preserve">: Engaging communities enhances the effectiveness of conservation initiatives by exploiting local knowledge and nurturing ownership. </w:t>
      </w:r>
      <w:r w:rsidRPr="007350C0">
        <w:rPr>
          <w:rFonts w:ascii="Times New Roman" w:hAnsi="Times New Roman" w:cs="Times New Roman"/>
          <w:b/>
          <w:bCs/>
          <w:sz w:val="24"/>
          <w:szCs w:val="24"/>
        </w:rPr>
        <w:t>As an End</w:t>
      </w:r>
      <w:r w:rsidRPr="007350C0">
        <w:rPr>
          <w:rFonts w:ascii="Times New Roman" w:hAnsi="Times New Roman" w:cs="Times New Roman"/>
          <w:sz w:val="24"/>
          <w:szCs w:val="24"/>
        </w:rPr>
        <w:t>: Participation is esteemed for its fundamental role in promoting equity, empowerment, and social justice, while achieving conservation goals. The researcher will look at participation approach as an end to improved livelihoods of community members through benefits accrued from conservation programs.</w:t>
      </w:r>
    </w:p>
    <w:p w:rsidR="00BC21F7" w:rsidRPr="007350C0" w:rsidRDefault="00BC21F7" w:rsidP="008641C2">
      <w:pPr>
        <w:spacing w:before="100" w:beforeAutospacing="1" w:after="240" w:line="240" w:lineRule="auto"/>
        <w:ind w:left="605" w:right="605"/>
        <w:jc w:val="both"/>
        <w:rPr>
          <w:rFonts w:ascii="Times New Roman" w:hAnsi="Times New Roman" w:cs="Times New Roman"/>
          <w:sz w:val="24"/>
          <w:szCs w:val="24"/>
        </w:rPr>
      </w:pPr>
      <w:r w:rsidRPr="007350C0">
        <w:rPr>
          <w:rFonts w:ascii="Times New Roman" w:hAnsi="Times New Roman" w:cs="Times New Roman"/>
          <w:sz w:val="24"/>
          <w:szCs w:val="24"/>
        </w:rPr>
        <w:t>Design thinking has emerged as a human-centered and iterative innovation methodology capable of addressing complex development challenges by facilitating empathy-driven problem framing, co-creation, prototyping, and adaptive learning (</w:t>
      </w:r>
      <w:proofErr w:type="spellStart"/>
      <w:r w:rsidRPr="007350C0">
        <w:rPr>
          <w:rFonts w:ascii="Times New Roman" w:hAnsi="Times New Roman" w:cs="Times New Roman"/>
          <w:sz w:val="24"/>
          <w:szCs w:val="24"/>
        </w:rPr>
        <w:t>Liedtka</w:t>
      </w:r>
      <w:proofErr w:type="spellEnd"/>
      <w:r w:rsidRPr="007350C0">
        <w:rPr>
          <w:rFonts w:ascii="Times New Roman" w:hAnsi="Times New Roman" w:cs="Times New Roman"/>
          <w:sz w:val="24"/>
          <w:szCs w:val="24"/>
        </w:rPr>
        <w:t xml:space="preserve">, 2018; </w:t>
      </w:r>
      <w:proofErr w:type="spellStart"/>
      <w:r w:rsidRPr="007350C0">
        <w:rPr>
          <w:rFonts w:ascii="Times New Roman" w:hAnsi="Times New Roman" w:cs="Times New Roman"/>
          <w:sz w:val="24"/>
          <w:szCs w:val="24"/>
        </w:rPr>
        <w:t>Micheli</w:t>
      </w:r>
      <w:proofErr w:type="spellEnd"/>
      <w:r w:rsidRPr="007350C0">
        <w:rPr>
          <w:rFonts w:ascii="Times New Roman" w:hAnsi="Times New Roman" w:cs="Times New Roman"/>
          <w:sz w:val="24"/>
          <w:szCs w:val="24"/>
        </w:rPr>
        <w:t xml:space="preserve"> et al., 2019). In development practice, design thinking has demonstrated potential in enhancing service delivery, fostering innovation, and improving user-centered outcomes. Scholars such as </w:t>
      </w:r>
      <w:proofErr w:type="spellStart"/>
      <w:r w:rsidRPr="007350C0">
        <w:rPr>
          <w:rFonts w:ascii="Times New Roman" w:hAnsi="Times New Roman" w:cs="Times New Roman"/>
          <w:sz w:val="24"/>
          <w:szCs w:val="24"/>
        </w:rPr>
        <w:t>Arnstein</w:t>
      </w:r>
      <w:proofErr w:type="spellEnd"/>
      <w:r w:rsidRPr="007350C0">
        <w:rPr>
          <w:rFonts w:ascii="Times New Roman" w:hAnsi="Times New Roman" w:cs="Times New Roman"/>
          <w:sz w:val="24"/>
          <w:szCs w:val="24"/>
        </w:rPr>
        <w:t xml:space="preserve">, Cooke and Kothari, and Cornwall argue that participation often remains linear and tokenistic due to lack of power redistribution, while design thinkers like Tim Brown and </w:t>
      </w:r>
      <w:proofErr w:type="spellStart"/>
      <w:r w:rsidRPr="007350C0">
        <w:rPr>
          <w:rFonts w:ascii="Times New Roman" w:hAnsi="Times New Roman" w:cs="Times New Roman"/>
          <w:sz w:val="24"/>
          <w:szCs w:val="24"/>
        </w:rPr>
        <w:t>Ezio</w:t>
      </w:r>
      <w:proofErr w:type="spellEnd"/>
      <w:r w:rsidRPr="007350C0">
        <w:rPr>
          <w:rFonts w:ascii="Times New Roman" w:hAnsi="Times New Roman" w:cs="Times New Roman"/>
          <w:sz w:val="24"/>
          <w:szCs w:val="24"/>
        </w:rPr>
        <w:t xml:space="preserve"> </w:t>
      </w:r>
      <w:proofErr w:type="spellStart"/>
      <w:r w:rsidRPr="007350C0">
        <w:rPr>
          <w:rFonts w:ascii="Times New Roman" w:hAnsi="Times New Roman" w:cs="Times New Roman"/>
          <w:sz w:val="24"/>
          <w:szCs w:val="24"/>
        </w:rPr>
        <w:t>Manzini</w:t>
      </w:r>
      <w:proofErr w:type="spellEnd"/>
      <w:r w:rsidRPr="007350C0">
        <w:rPr>
          <w:rFonts w:ascii="Times New Roman" w:hAnsi="Times New Roman" w:cs="Times New Roman"/>
          <w:sz w:val="24"/>
          <w:szCs w:val="24"/>
        </w:rPr>
        <w:t xml:space="preserve"> propose co-creation and iterative processes as pathways to transformative participation and enhanced livelihoods.</w:t>
      </w:r>
    </w:p>
    <w:p w:rsidR="00BC21F7" w:rsidRPr="007350C0" w:rsidRDefault="00BC21F7" w:rsidP="008641C2">
      <w:pPr>
        <w:pStyle w:val="Heading4Char"/>
        <w:spacing w:after="240" w:line="240" w:lineRule="auto"/>
        <w:ind w:left="605" w:right="605"/>
        <w:jc w:val="both"/>
        <w:rPr>
          <w:rFonts w:ascii="Times New Roman" w:hAnsi="Times New Roman" w:cs="Times New Roman"/>
          <w:b/>
          <w:sz w:val="24"/>
          <w:szCs w:val="24"/>
        </w:rPr>
      </w:pPr>
      <w:r w:rsidRPr="007350C0">
        <w:rPr>
          <w:rFonts w:ascii="Times New Roman" w:hAnsi="Times New Roman" w:cs="Times New Roman"/>
          <w:b/>
          <w:sz w:val="24"/>
          <w:szCs w:val="24"/>
        </w:rPr>
        <w:lastRenderedPageBreak/>
        <w:t>Methodology</w:t>
      </w:r>
    </w:p>
    <w:p w:rsidR="00BC21F7" w:rsidRPr="007350C0" w:rsidRDefault="00BC21F7" w:rsidP="008641C2">
      <w:pPr>
        <w:pStyle w:val="Heading2"/>
        <w:spacing w:after="240"/>
        <w:ind w:left="605" w:right="605"/>
        <w:jc w:val="both"/>
        <w:rPr>
          <w:b w:val="0"/>
          <w:bCs w:val="0"/>
          <w:i w:val="0"/>
          <w:iCs/>
        </w:rPr>
      </w:pPr>
      <w:r w:rsidRPr="007350C0">
        <w:rPr>
          <w:b w:val="0"/>
          <w:bCs w:val="0"/>
          <w:i w:val="0"/>
          <w:iCs/>
        </w:rPr>
        <w:t>Through qualitative data collecting analysis, the researcher will employ the interpretive research approach to examine community interest in the topic. Since it was anticipated that the case study technique of Peru Conservancy would offer exceptional in-depth examinations of CC management practices and the economic performance of wildlife conservation to any given country, a casual-comparative design was used for this study. It offers a thorough summary of the research design, covering the methodological approach, data collecting and analytic techniques, ethical concerns used in the study, and philosophical foundations. Because it gives locals a voice in narrating their own narrative within their setting, the participatory approach is more relevant than other social science research methodologies.</w:t>
      </w:r>
    </w:p>
    <w:p w:rsidR="00BC21F7" w:rsidRPr="007350C0" w:rsidRDefault="00BC21F7" w:rsidP="008641C2">
      <w:pPr>
        <w:spacing w:before="240" w:after="240" w:line="240" w:lineRule="auto"/>
        <w:ind w:left="605" w:right="605"/>
        <w:jc w:val="both"/>
        <w:rPr>
          <w:rFonts w:ascii="Times New Roman" w:hAnsi="Times New Roman" w:cs="Times New Roman"/>
          <w:sz w:val="24"/>
          <w:szCs w:val="24"/>
        </w:rPr>
      </w:pPr>
      <w:r w:rsidRPr="007350C0">
        <w:rPr>
          <w:rFonts w:ascii="Times New Roman" w:hAnsi="Times New Roman" w:cs="Times New Roman"/>
          <w:sz w:val="24"/>
          <w:szCs w:val="24"/>
        </w:rPr>
        <w:t>Two community-owned wildlife community-based conservancies (CBCs) in Northern and Southern Kenya will be the subject of the researcher's investigation</w:t>
      </w:r>
      <w:r w:rsidRPr="007350C0">
        <w:rPr>
          <w:rFonts w:ascii="Times New Roman" w:hAnsi="Times New Roman" w:cs="Times New Roman"/>
          <w:sz w:val="24"/>
          <w:szCs w:val="24"/>
        </w:rPr>
        <w:t xml:space="preserve"> as illustrated in figure 5 below</w:t>
      </w:r>
      <w:r w:rsidRPr="007350C0">
        <w:rPr>
          <w:rFonts w:ascii="Times New Roman" w:hAnsi="Times New Roman" w:cs="Times New Roman"/>
          <w:sz w:val="24"/>
          <w:szCs w:val="24"/>
        </w:rPr>
        <w:t>. Because systematic sample units are evenly dispersed throughout the population, systematic sampling should only be used in homogenous communities. The two cultures share the same ecosystem since they are pastoralist by nature and live close to animal conservancies.</w:t>
      </w:r>
    </w:p>
    <w:p w:rsidR="00BC21F7" w:rsidRPr="007350C0" w:rsidRDefault="00BC21F7" w:rsidP="008641C2">
      <w:pPr>
        <w:spacing w:before="240" w:after="240" w:line="240" w:lineRule="auto"/>
        <w:ind w:left="605" w:right="605"/>
        <w:jc w:val="both"/>
        <w:rPr>
          <w:rFonts w:ascii="Times New Roman" w:hAnsi="Times New Roman" w:cs="Times New Roman"/>
          <w:sz w:val="24"/>
          <w:szCs w:val="24"/>
        </w:rPr>
      </w:pPr>
      <w:r w:rsidRPr="007350C0">
        <w:rPr>
          <w:rFonts w:ascii="Times New Roman" w:hAnsi="Times New Roman" w:cs="Times New Roman"/>
          <w:sz w:val="24"/>
          <w:szCs w:val="24"/>
        </w:rPr>
        <w:t xml:space="preserve">This comprises the community-based </w:t>
      </w:r>
      <w:proofErr w:type="spellStart"/>
      <w:r w:rsidRPr="007350C0">
        <w:rPr>
          <w:rFonts w:ascii="Times New Roman" w:hAnsi="Times New Roman" w:cs="Times New Roman"/>
          <w:sz w:val="24"/>
          <w:szCs w:val="24"/>
        </w:rPr>
        <w:t>Mbirikani</w:t>
      </w:r>
      <w:proofErr w:type="spellEnd"/>
      <w:r w:rsidRPr="007350C0">
        <w:rPr>
          <w:rFonts w:ascii="Times New Roman" w:hAnsi="Times New Roman" w:cs="Times New Roman"/>
          <w:sz w:val="24"/>
          <w:szCs w:val="24"/>
        </w:rPr>
        <w:t xml:space="preserve"> and </w:t>
      </w:r>
      <w:proofErr w:type="spellStart"/>
      <w:r w:rsidRPr="007350C0">
        <w:rPr>
          <w:rFonts w:ascii="Times New Roman" w:hAnsi="Times New Roman" w:cs="Times New Roman"/>
          <w:sz w:val="24"/>
          <w:szCs w:val="24"/>
        </w:rPr>
        <w:t>Lekurruki</w:t>
      </w:r>
      <w:proofErr w:type="spellEnd"/>
      <w:r w:rsidRPr="007350C0">
        <w:rPr>
          <w:rFonts w:ascii="Times New Roman" w:hAnsi="Times New Roman" w:cs="Times New Roman"/>
          <w:sz w:val="24"/>
          <w:szCs w:val="24"/>
        </w:rPr>
        <w:t xml:space="preserve"> conservancies located in northern and southern Kenya's wilderness.</w:t>
      </w:r>
    </w:p>
    <w:p w:rsidR="00BC21F7" w:rsidRPr="007350C0" w:rsidRDefault="00BC21F7" w:rsidP="008641C2">
      <w:pPr>
        <w:pStyle w:val="NormalWeb"/>
        <w:keepNext/>
        <w:spacing w:after="240" w:afterAutospacing="0"/>
        <w:ind w:left="605" w:right="605"/>
        <w:jc w:val="both"/>
      </w:pPr>
      <w:r w:rsidRPr="007350C0">
        <w:rPr>
          <w:noProof/>
        </w:rPr>
        <w:drawing>
          <wp:inline distT="0" distB="0" distL="0" distR="0" wp14:anchorId="076CD931" wp14:editId="75D4D4F6">
            <wp:extent cx="4176238" cy="30686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91565" cy="3079927"/>
                    </a:xfrm>
                    <a:prstGeom prst="rect">
                      <a:avLst/>
                    </a:prstGeom>
                  </pic:spPr>
                </pic:pic>
              </a:graphicData>
            </a:graphic>
          </wp:inline>
        </w:drawing>
      </w:r>
    </w:p>
    <w:p w:rsidR="00BC21F7" w:rsidRPr="007350C0" w:rsidRDefault="00BC21F7" w:rsidP="008641C2">
      <w:pPr>
        <w:pStyle w:val="Caption"/>
        <w:spacing w:after="240"/>
        <w:ind w:left="605" w:right="605"/>
        <w:jc w:val="both"/>
        <w:rPr>
          <w:color w:val="auto"/>
          <w:sz w:val="24"/>
          <w:szCs w:val="24"/>
        </w:rPr>
      </w:pPr>
      <w:bookmarkStart w:id="4" w:name="_Toc231282044"/>
      <w:r w:rsidRPr="007350C0">
        <w:rPr>
          <w:color w:val="auto"/>
          <w:sz w:val="24"/>
          <w:szCs w:val="24"/>
        </w:rPr>
        <w:t xml:space="preserve">Figure </w:t>
      </w:r>
      <w:r w:rsidRPr="007350C0">
        <w:rPr>
          <w:color w:val="auto"/>
          <w:sz w:val="24"/>
          <w:szCs w:val="24"/>
        </w:rPr>
        <w:t>5</w:t>
      </w:r>
      <w:r w:rsidRPr="007350C0">
        <w:rPr>
          <w:color w:val="auto"/>
          <w:sz w:val="24"/>
          <w:szCs w:val="24"/>
        </w:rPr>
        <w:t>. Map of Kenya (Source: Kenya Wildlife Service 2023)</w:t>
      </w:r>
      <w:bookmarkEnd w:id="4"/>
    </w:p>
    <w:p w:rsidR="00BC21F7" w:rsidRPr="007350C0" w:rsidRDefault="00BC21F7" w:rsidP="008641C2">
      <w:pPr>
        <w:pStyle w:val="Heading4Char"/>
        <w:spacing w:after="240" w:line="240" w:lineRule="auto"/>
        <w:ind w:left="605" w:right="605"/>
        <w:jc w:val="both"/>
        <w:rPr>
          <w:rFonts w:ascii="Times New Roman" w:hAnsi="Times New Roman" w:cs="Times New Roman"/>
          <w:sz w:val="24"/>
          <w:szCs w:val="24"/>
        </w:rPr>
      </w:pPr>
    </w:p>
    <w:p w:rsidR="00FA2FFD" w:rsidRPr="007350C0" w:rsidRDefault="00FA2FFD" w:rsidP="008641C2">
      <w:pPr>
        <w:keepNext/>
        <w:spacing w:before="1" w:after="240" w:line="240" w:lineRule="auto"/>
        <w:ind w:left="605" w:right="605"/>
        <w:jc w:val="both"/>
        <w:rPr>
          <w:rFonts w:ascii="Times New Roman" w:hAnsi="Times New Roman" w:cs="Times New Roman"/>
          <w:noProof/>
          <w:sz w:val="24"/>
          <w:szCs w:val="24"/>
          <w:highlight w:val="yellow"/>
        </w:rPr>
      </w:pPr>
    </w:p>
    <w:p w:rsidR="00FA2FFD" w:rsidRPr="007350C0" w:rsidRDefault="00FA2FFD" w:rsidP="008641C2">
      <w:pPr>
        <w:keepNext/>
        <w:spacing w:before="1" w:after="240" w:line="240" w:lineRule="auto"/>
        <w:ind w:left="605" w:right="605"/>
        <w:jc w:val="both"/>
        <w:rPr>
          <w:rFonts w:ascii="Times New Roman" w:hAnsi="Times New Roman" w:cs="Times New Roman"/>
          <w:noProof/>
          <w:sz w:val="24"/>
          <w:szCs w:val="24"/>
        </w:rPr>
      </w:pPr>
      <w:r w:rsidRPr="007350C0">
        <w:rPr>
          <w:rFonts w:ascii="Times New Roman" w:hAnsi="Times New Roman" w:cs="Times New Roman"/>
          <w:noProof/>
          <w:sz w:val="24"/>
          <w:szCs w:val="24"/>
        </w:rPr>
        <w:t>In Northern Kenya we have Lekurruki conservancy a community owned protected area that is adjacent other conservancies that are networking with Northern Rangeland Trust.</w:t>
      </w:r>
    </w:p>
    <w:p w:rsidR="00FA2FFD" w:rsidRPr="007350C0" w:rsidRDefault="00FA2FFD" w:rsidP="008641C2">
      <w:pPr>
        <w:keepNext/>
        <w:spacing w:before="1" w:after="240" w:line="240" w:lineRule="auto"/>
        <w:ind w:left="605" w:right="605"/>
        <w:jc w:val="both"/>
        <w:rPr>
          <w:rFonts w:ascii="Times New Roman" w:hAnsi="Times New Roman" w:cs="Times New Roman"/>
          <w:sz w:val="24"/>
          <w:szCs w:val="24"/>
        </w:rPr>
      </w:pPr>
      <w:r w:rsidRPr="007350C0">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1805940</wp:posOffset>
                </wp:positionH>
                <wp:positionV relativeFrom="paragraph">
                  <wp:posOffset>2753106</wp:posOffset>
                </wp:positionV>
                <wp:extent cx="223647" cy="228600"/>
                <wp:effectExtent l="0" t="38100" r="62230" b="19050"/>
                <wp:wrapNone/>
                <wp:docPr id="1" name="Straight Arrow Connector 1"/>
                <wp:cNvGraphicFramePr/>
                <a:graphic xmlns:a="http://schemas.openxmlformats.org/drawingml/2006/main">
                  <a:graphicData uri="http://schemas.microsoft.com/office/word/2010/wordprocessingShape">
                    <wps:wsp>
                      <wps:cNvCnPr/>
                      <wps:spPr>
                        <a:xfrm flipV="1">
                          <a:off x="0" y="0"/>
                          <a:ext cx="223647" cy="228600"/>
                        </a:xfrm>
                        <a:prstGeom prst="straightConnector1">
                          <a:avLst/>
                        </a:prstGeom>
                        <a:ln w="127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8FF51AD" id="_x0000_t32" coordsize="21600,21600" o:spt="32" o:oned="t" path="m,l21600,21600e" filled="f">
                <v:path arrowok="t" fillok="f" o:connecttype="none"/>
                <o:lock v:ext="edit" shapetype="t"/>
              </v:shapetype>
              <v:shape id="Straight Arrow Connector 1" o:spid="_x0000_s1026" type="#_x0000_t32" style="position:absolute;margin-left:142.2pt;margin-top:216.8pt;width:17.6pt;height:18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" strokecolor="#ed7d31 [3205]" strokeweight="1pt">
                <v:stroke endarrow="block" joinstyle="miter"/>
              </v:shape>
            </w:pict>
          </mc:Fallback>
        </mc:AlternateContent>
      </w:r>
      <w:r w:rsidRPr="007350C0">
        <w:rPr>
          <w:rFonts w:ascii="Times New Roman" w:hAnsi="Times New Roman" w:cs="Times New Roman"/>
          <w:noProof/>
          <w:sz w:val="24"/>
          <w:szCs w:val="24"/>
          <w:highlight w:val="yellow"/>
        </w:rPr>
        <w:drawing>
          <wp:inline distT="0" distB="0" distL="0" distR="0" wp14:anchorId="1019D038" wp14:editId="49559D67">
            <wp:extent cx="5253228" cy="3712066"/>
            <wp:effectExtent l="0" t="0" r="508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56369" cy="3714286"/>
                    </a:xfrm>
                    <a:prstGeom prst="rect">
                      <a:avLst/>
                    </a:prstGeom>
                  </pic:spPr>
                </pic:pic>
              </a:graphicData>
            </a:graphic>
          </wp:inline>
        </w:drawing>
      </w:r>
    </w:p>
    <w:p w:rsidR="00FA2FFD" w:rsidRPr="007350C0" w:rsidRDefault="00FA2FFD" w:rsidP="008641C2">
      <w:pPr>
        <w:pStyle w:val="Caption"/>
        <w:spacing w:after="240"/>
        <w:ind w:left="605" w:right="605"/>
        <w:jc w:val="both"/>
        <w:rPr>
          <w:b w:val="0"/>
          <w:color w:val="auto"/>
          <w:sz w:val="24"/>
          <w:szCs w:val="24"/>
        </w:rPr>
      </w:pPr>
      <w:bookmarkStart w:id="5" w:name="_Toc231282054"/>
      <w:r w:rsidRPr="007350C0">
        <w:rPr>
          <w:b w:val="0"/>
          <w:color w:val="auto"/>
          <w:sz w:val="24"/>
          <w:szCs w:val="24"/>
        </w:rPr>
        <w:t>Figure</w:t>
      </w:r>
      <w:r w:rsidRPr="007350C0">
        <w:rPr>
          <w:b w:val="0"/>
          <w:color w:val="auto"/>
          <w:sz w:val="24"/>
          <w:szCs w:val="24"/>
        </w:rPr>
        <w:t xml:space="preserve"> 6</w:t>
      </w:r>
      <w:r w:rsidRPr="007350C0">
        <w:rPr>
          <w:b w:val="0"/>
          <w:color w:val="auto"/>
          <w:sz w:val="24"/>
          <w:szCs w:val="24"/>
        </w:rPr>
        <w:t xml:space="preserve">. </w:t>
      </w:r>
      <w:proofErr w:type="spellStart"/>
      <w:r w:rsidRPr="007350C0">
        <w:rPr>
          <w:b w:val="0"/>
          <w:color w:val="auto"/>
          <w:sz w:val="24"/>
          <w:szCs w:val="24"/>
        </w:rPr>
        <w:t>Laikipia</w:t>
      </w:r>
      <w:proofErr w:type="spellEnd"/>
      <w:r w:rsidRPr="007350C0">
        <w:rPr>
          <w:b w:val="0"/>
          <w:color w:val="auto"/>
          <w:sz w:val="24"/>
          <w:szCs w:val="24"/>
        </w:rPr>
        <w:t xml:space="preserve"> County And </w:t>
      </w:r>
      <w:proofErr w:type="spellStart"/>
      <w:r w:rsidRPr="007350C0">
        <w:rPr>
          <w:b w:val="0"/>
          <w:color w:val="auto"/>
          <w:sz w:val="24"/>
          <w:szCs w:val="24"/>
        </w:rPr>
        <w:t>Lekuruki</w:t>
      </w:r>
      <w:proofErr w:type="spellEnd"/>
      <w:r w:rsidRPr="007350C0">
        <w:rPr>
          <w:b w:val="0"/>
          <w:color w:val="auto"/>
          <w:sz w:val="24"/>
          <w:szCs w:val="24"/>
        </w:rPr>
        <w:t xml:space="preserve"> Conservancy </w:t>
      </w:r>
      <w:proofErr w:type="gramStart"/>
      <w:r w:rsidRPr="007350C0">
        <w:rPr>
          <w:b w:val="0"/>
          <w:color w:val="auto"/>
          <w:sz w:val="24"/>
          <w:szCs w:val="24"/>
        </w:rPr>
        <w:t xml:space="preserve">( </w:t>
      </w:r>
      <w:proofErr w:type="spellStart"/>
      <w:r w:rsidRPr="007350C0">
        <w:rPr>
          <w:b w:val="0"/>
          <w:color w:val="auto"/>
          <w:sz w:val="24"/>
          <w:szCs w:val="24"/>
        </w:rPr>
        <w:t>Source</w:t>
      </w:r>
      <w:proofErr w:type="gramEnd"/>
      <w:r w:rsidRPr="007350C0">
        <w:rPr>
          <w:b w:val="0"/>
          <w:color w:val="auto"/>
          <w:sz w:val="24"/>
          <w:szCs w:val="24"/>
        </w:rPr>
        <w:t>:KWCA</w:t>
      </w:r>
      <w:proofErr w:type="spellEnd"/>
      <w:r w:rsidRPr="007350C0">
        <w:rPr>
          <w:b w:val="0"/>
          <w:color w:val="auto"/>
          <w:sz w:val="24"/>
          <w:szCs w:val="24"/>
        </w:rPr>
        <w:t>)</w:t>
      </w:r>
      <w:bookmarkEnd w:id="5"/>
    </w:p>
    <w:p w:rsidR="004C0F6A" w:rsidRPr="007350C0" w:rsidRDefault="004C0F6A" w:rsidP="008641C2">
      <w:pPr>
        <w:spacing w:after="240" w:line="240" w:lineRule="auto"/>
        <w:ind w:left="605" w:right="605"/>
        <w:jc w:val="both"/>
        <w:rPr>
          <w:rFonts w:ascii="Times New Roman" w:hAnsi="Times New Roman" w:cs="Times New Roman"/>
          <w:sz w:val="24"/>
          <w:szCs w:val="24"/>
        </w:rPr>
      </w:pPr>
    </w:p>
    <w:p w:rsidR="004C0F6A" w:rsidRPr="007350C0" w:rsidRDefault="004C0F6A" w:rsidP="008641C2">
      <w:pPr>
        <w:keepNext/>
        <w:spacing w:after="240" w:line="240" w:lineRule="auto"/>
        <w:ind w:left="605" w:right="605"/>
        <w:jc w:val="both"/>
        <w:rPr>
          <w:rFonts w:ascii="Times New Roman" w:hAnsi="Times New Roman" w:cs="Times New Roman"/>
          <w:sz w:val="24"/>
          <w:szCs w:val="24"/>
        </w:rPr>
      </w:pPr>
      <w:r w:rsidRPr="007350C0">
        <w:rPr>
          <w:rFonts w:ascii="Times New Roman" w:hAnsi="Times New Roman" w:cs="Times New Roman"/>
          <w:noProof/>
          <w:sz w:val="24"/>
          <w:szCs w:val="24"/>
        </w:rPr>
        <w:lastRenderedPageBreak/>
        <mc:AlternateContent>
          <mc:Choice Requires="wps">
            <w:drawing>
              <wp:anchor distT="0" distB="0" distL="114300" distR="114300" simplePos="0" relativeHeight="251660288" behindDoc="0" locked="0" layoutInCell="1" allowOverlap="1">
                <wp:simplePos x="0" y="0"/>
                <wp:positionH relativeFrom="column">
                  <wp:posOffset>2377440</wp:posOffset>
                </wp:positionH>
                <wp:positionV relativeFrom="paragraph">
                  <wp:posOffset>1321308</wp:posOffset>
                </wp:positionV>
                <wp:extent cx="64008" cy="64008"/>
                <wp:effectExtent l="0" t="0" r="12700" b="12700"/>
                <wp:wrapNone/>
                <wp:docPr id="2" name="Oval 2"/>
                <wp:cNvGraphicFramePr/>
                <a:graphic xmlns:a="http://schemas.openxmlformats.org/drawingml/2006/main">
                  <a:graphicData uri="http://schemas.microsoft.com/office/word/2010/wordprocessingShape">
                    <wps:wsp>
                      <wps:cNvSpPr/>
                      <wps:spPr>
                        <a:xfrm>
                          <a:off x="0" y="0"/>
                          <a:ext cx="64008" cy="64008"/>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F845F22" id="Oval 2" o:spid="_x0000_s1026" style="position:absolute;margin-left:187.2pt;margin-top:104.05pt;width:5.05pt;height:5.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" fillcolor="yellow" strokecolor="#1f4d78 [1604]" strokeweight="1pt">
                <v:stroke joinstyle="miter"/>
              </v:oval>
            </w:pict>
          </mc:Fallback>
        </mc:AlternateContent>
      </w:r>
      <w:r w:rsidRPr="007350C0">
        <w:rPr>
          <w:rFonts w:ascii="Times New Roman" w:hAnsi="Times New Roman" w:cs="Times New Roman"/>
          <w:noProof/>
          <w:sz w:val="24"/>
          <w:szCs w:val="24"/>
        </w:rPr>
        <w:drawing>
          <wp:inline distT="0" distB="0" distL="0" distR="0" wp14:anchorId="1A4DC091" wp14:editId="33E12CCE">
            <wp:extent cx="4954905" cy="3551412"/>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59349" cy="3554597"/>
                    </a:xfrm>
                    <a:prstGeom prst="rect">
                      <a:avLst/>
                    </a:prstGeom>
                  </pic:spPr>
                </pic:pic>
              </a:graphicData>
            </a:graphic>
          </wp:inline>
        </w:drawing>
      </w:r>
    </w:p>
    <w:p w:rsidR="004C0F6A" w:rsidRPr="007350C0" w:rsidRDefault="004C0F6A" w:rsidP="008641C2">
      <w:pPr>
        <w:pStyle w:val="Caption"/>
        <w:spacing w:after="240"/>
        <w:ind w:left="605" w:right="605"/>
        <w:jc w:val="both"/>
        <w:rPr>
          <w:b w:val="0"/>
          <w:color w:val="auto"/>
          <w:sz w:val="24"/>
          <w:szCs w:val="24"/>
        </w:rPr>
      </w:pPr>
      <w:bookmarkStart w:id="6" w:name="_Toc231282057"/>
      <w:r w:rsidRPr="007350C0">
        <w:rPr>
          <w:b w:val="0"/>
          <w:color w:val="auto"/>
          <w:sz w:val="24"/>
          <w:szCs w:val="24"/>
        </w:rPr>
        <w:t xml:space="preserve">Figure </w:t>
      </w:r>
      <w:r w:rsidRPr="007350C0">
        <w:rPr>
          <w:b w:val="0"/>
          <w:color w:val="auto"/>
          <w:sz w:val="24"/>
          <w:szCs w:val="24"/>
        </w:rPr>
        <w:t>7</w:t>
      </w:r>
      <w:r w:rsidRPr="007350C0">
        <w:rPr>
          <w:b w:val="0"/>
          <w:color w:val="auto"/>
          <w:sz w:val="24"/>
          <w:szCs w:val="24"/>
        </w:rPr>
        <w:t xml:space="preserve"> Location of </w:t>
      </w:r>
      <w:proofErr w:type="spellStart"/>
      <w:r w:rsidRPr="007350C0">
        <w:rPr>
          <w:b w:val="0"/>
          <w:color w:val="auto"/>
          <w:sz w:val="24"/>
          <w:szCs w:val="24"/>
        </w:rPr>
        <w:t>Mbirikani</w:t>
      </w:r>
      <w:proofErr w:type="spellEnd"/>
      <w:r w:rsidRPr="007350C0">
        <w:rPr>
          <w:b w:val="0"/>
          <w:color w:val="auto"/>
          <w:sz w:val="24"/>
          <w:szCs w:val="24"/>
        </w:rPr>
        <w:t xml:space="preserve"> Group ranch (Source: Research gate)</w:t>
      </w:r>
      <w:bookmarkEnd w:id="6"/>
    </w:p>
    <w:p w:rsidR="004C0F6A" w:rsidRPr="007350C0" w:rsidRDefault="004C0F6A" w:rsidP="008641C2">
      <w:pPr>
        <w:spacing w:after="240" w:line="240" w:lineRule="auto"/>
        <w:ind w:left="605" w:right="605"/>
        <w:rPr>
          <w:rFonts w:ascii="Times New Roman" w:hAnsi="Times New Roman" w:cs="Times New Roman"/>
          <w:sz w:val="24"/>
          <w:szCs w:val="24"/>
        </w:rPr>
      </w:pPr>
      <w:proofErr w:type="spellStart"/>
      <w:r w:rsidRPr="007350C0">
        <w:rPr>
          <w:rFonts w:ascii="Times New Roman" w:hAnsi="Times New Roman" w:cs="Times New Roman"/>
          <w:sz w:val="24"/>
          <w:szCs w:val="24"/>
        </w:rPr>
        <w:t>Mbirikani</w:t>
      </w:r>
      <w:proofErr w:type="spellEnd"/>
      <w:r w:rsidRPr="007350C0">
        <w:rPr>
          <w:rFonts w:ascii="Times New Roman" w:hAnsi="Times New Roman" w:cs="Times New Roman"/>
          <w:sz w:val="24"/>
          <w:szCs w:val="24"/>
        </w:rPr>
        <w:t xml:space="preserve"> Group Ranch (MGR) lies on 130,000 ha of land in Southern part of </w:t>
      </w:r>
      <w:proofErr w:type="gramStart"/>
      <w:r w:rsidRPr="007350C0">
        <w:rPr>
          <w:rFonts w:ascii="Times New Roman" w:hAnsi="Times New Roman" w:cs="Times New Roman"/>
          <w:sz w:val="24"/>
          <w:szCs w:val="24"/>
        </w:rPr>
        <w:t>Kenya .</w:t>
      </w:r>
      <w:proofErr w:type="gramEnd"/>
      <w:r w:rsidRPr="007350C0">
        <w:rPr>
          <w:rFonts w:ascii="Times New Roman" w:hAnsi="Times New Roman" w:cs="Times New Roman"/>
          <w:sz w:val="24"/>
          <w:szCs w:val="24"/>
        </w:rPr>
        <w:t xml:space="preserve"> It is bordered on the eastern edge by the </w:t>
      </w:r>
      <w:proofErr w:type="spellStart"/>
      <w:r w:rsidRPr="007350C0">
        <w:rPr>
          <w:rFonts w:ascii="Times New Roman" w:hAnsi="Times New Roman" w:cs="Times New Roman"/>
          <w:sz w:val="24"/>
          <w:szCs w:val="24"/>
        </w:rPr>
        <w:t>Chyulu</w:t>
      </w:r>
      <w:proofErr w:type="spellEnd"/>
      <w:r w:rsidRPr="007350C0">
        <w:rPr>
          <w:rFonts w:ascii="Times New Roman" w:hAnsi="Times New Roman" w:cs="Times New Roman"/>
          <w:sz w:val="24"/>
          <w:szCs w:val="24"/>
        </w:rPr>
        <w:t xml:space="preserve"> Hills National Park, which connects it to </w:t>
      </w:r>
      <w:proofErr w:type="spellStart"/>
      <w:r w:rsidRPr="007350C0">
        <w:rPr>
          <w:rFonts w:ascii="Times New Roman" w:hAnsi="Times New Roman" w:cs="Times New Roman"/>
          <w:sz w:val="24"/>
          <w:szCs w:val="24"/>
        </w:rPr>
        <w:t>Tsavo</w:t>
      </w:r>
      <w:proofErr w:type="spellEnd"/>
      <w:r w:rsidRPr="007350C0">
        <w:rPr>
          <w:rFonts w:ascii="Times New Roman" w:hAnsi="Times New Roman" w:cs="Times New Roman"/>
          <w:sz w:val="24"/>
          <w:szCs w:val="24"/>
        </w:rPr>
        <w:t xml:space="preserve"> West National Park, and </w:t>
      </w:r>
      <w:proofErr w:type="spellStart"/>
      <w:r w:rsidRPr="007350C0">
        <w:rPr>
          <w:rFonts w:ascii="Times New Roman" w:hAnsi="Times New Roman" w:cs="Times New Roman"/>
          <w:sz w:val="24"/>
          <w:szCs w:val="24"/>
        </w:rPr>
        <w:t>Amboseli</w:t>
      </w:r>
      <w:proofErr w:type="spellEnd"/>
      <w:r w:rsidRPr="007350C0">
        <w:rPr>
          <w:rFonts w:ascii="Times New Roman" w:hAnsi="Times New Roman" w:cs="Times New Roman"/>
          <w:sz w:val="24"/>
          <w:szCs w:val="24"/>
        </w:rPr>
        <w:t xml:space="preserve"> National Park is close to the western boundary. The </w:t>
      </w:r>
      <w:proofErr w:type="spellStart"/>
      <w:r w:rsidRPr="007350C0">
        <w:rPr>
          <w:rFonts w:ascii="Times New Roman" w:hAnsi="Times New Roman" w:cs="Times New Roman"/>
          <w:sz w:val="24"/>
          <w:szCs w:val="24"/>
        </w:rPr>
        <w:t>Ilkisongo</w:t>
      </w:r>
      <w:proofErr w:type="spellEnd"/>
      <w:r w:rsidRPr="007350C0">
        <w:rPr>
          <w:rFonts w:ascii="Times New Roman" w:hAnsi="Times New Roman" w:cs="Times New Roman"/>
          <w:sz w:val="24"/>
          <w:szCs w:val="24"/>
        </w:rPr>
        <w:t xml:space="preserve"> </w:t>
      </w:r>
      <w:proofErr w:type="spellStart"/>
      <w:r w:rsidRPr="007350C0">
        <w:rPr>
          <w:rFonts w:ascii="Times New Roman" w:hAnsi="Times New Roman" w:cs="Times New Roman"/>
          <w:sz w:val="24"/>
          <w:szCs w:val="24"/>
        </w:rPr>
        <w:t>Maasai</w:t>
      </w:r>
      <w:proofErr w:type="spellEnd"/>
      <w:r w:rsidRPr="007350C0">
        <w:rPr>
          <w:rFonts w:ascii="Times New Roman" w:hAnsi="Times New Roman" w:cs="Times New Roman"/>
          <w:sz w:val="24"/>
          <w:szCs w:val="24"/>
        </w:rPr>
        <w:t xml:space="preserve"> community owns this land with a membership of 4650 members who are registered</w:t>
      </w:r>
      <w:sdt>
        <w:sdtPr>
          <w:rPr>
            <w:rFonts w:ascii="Times New Roman" w:hAnsi="Times New Roman" w:cs="Times New Roman"/>
            <w:b/>
            <w:i/>
            <w:sz w:val="24"/>
            <w:szCs w:val="24"/>
          </w:rPr>
          <w:id w:val="-793828808"/>
          <w:citation/>
        </w:sdtPr>
        <w:sdtContent>
          <w:r w:rsidRPr="007350C0">
            <w:rPr>
              <w:rFonts w:ascii="Times New Roman" w:hAnsi="Times New Roman" w:cs="Times New Roman"/>
              <w:b/>
              <w:i/>
              <w:sz w:val="24"/>
              <w:szCs w:val="24"/>
            </w:rPr>
            <w:fldChar w:fldCharType="begin"/>
          </w:r>
          <w:r w:rsidRPr="007350C0">
            <w:rPr>
              <w:rFonts w:ascii="Times New Roman" w:hAnsi="Times New Roman" w:cs="Times New Roman"/>
              <w:sz w:val="24"/>
              <w:szCs w:val="24"/>
            </w:rPr>
            <w:instrText xml:space="preserve">CITATION GRO08 \l 1033 </w:instrText>
          </w:r>
          <w:r w:rsidRPr="007350C0">
            <w:rPr>
              <w:rFonts w:ascii="Times New Roman" w:hAnsi="Times New Roman" w:cs="Times New Roman"/>
              <w:b/>
              <w:i/>
              <w:sz w:val="24"/>
              <w:szCs w:val="24"/>
            </w:rPr>
            <w:fldChar w:fldCharType="separate"/>
          </w:r>
          <w:r w:rsidRPr="007350C0">
            <w:rPr>
              <w:rFonts w:ascii="Times New Roman" w:hAnsi="Times New Roman" w:cs="Times New Roman"/>
              <w:noProof/>
              <w:sz w:val="24"/>
              <w:szCs w:val="24"/>
            </w:rPr>
            <w:t xml:space="preserve"> (Groom &amp; Harris, 2008)</w:t>
          </w:r>
          <w:r w:rsidRPr="007350C0">
            <w:rPr>
              <w:rFonts w:ascii="Times New Roman" w:hAnsi="Times New Roman" w:cs="Times New Roman"/>
              <w:b/>
              <w:i/>
              <w:sz w:val="24"/>
              <w:szCs w:val="24"/>
            </w:rPr>
            <w:fldChar w:fldCharType="end"/>
          </w:r>
        </w:sdtContent>
      </w:sdt>
      <w:r w:rsidRPr="007350C0">
        <w:rPr>
          <w:rFonts w:ascii="Times New Roman" w:hAnsi="Times New Roman" w:cs="Times New Roman"/>
          <w:sz w:val="24"/>
          <w:szCs w:val="24"/>
        </w:rPr>
        <w:t>.</w:t>
      </w:r>
    </w:p>
    <w:p w:rsidR="004C0F6A" w:rsidRPr="007350C0" w:rsidRDefault="004C0F6A" w:rsidP="008641C2">
      <w:pPr>
        <w:spacing w:before="240" w:after="240" w:line="240" w:lineRule="auto"/>
        <w:ind w:left="605" w:right="605"/>
        <w:jc w:val="both"/>
        <w:rPr>
          <w:rFonts w:ascii="Times New Roman" w:hAnsi="Times New Roman" w:cs="Times New Roman"/>
          <w:sz w:val="24"/>
          <w:szCs w:val="24"/>
        </w:rPr>
      </w:pPr>
      <w:bookmarkStart w:id="7" w:name="_Toc43616085"/>
      <w:r w:rsidRPr="007350C0">
        <w:rPr>
          <w:rFonts w:ascii="Times New Roman" w:hAnsi="Times New Roman" w:cs="Times New Roman"/>
          <w:sz w:val="24"/>
          <w:szCs w:val="24"/>
        </w:rPr>
        <w:t xml:space="preserve">Structured interviews </w:t>
      </w:r>
      <w:proofErr w:type="gramStart"/>
      <w:r w:rsidRPr="007350C0">
        <w:rPr>
          <w:rFonts w:ascii="Times New Roman" w:hAnsi="Times New Roman" w:cs="Times New Roman"/>
          <w:sz w:val="24"/>
          <w:szCs w:val="24"/>
        </w:rPr>
        <w:t>was</w:t>
      </w:r>
      <w:proofErr w:type="gramEnd"/>
      <w:r w:rsidRPr="007350C0">
        <w:rPr>
          <w:rFonts w:ascii="Times New Roman" w:hAnsi="Times New Roman" w:cs="Times New Roman"/>
          <w:sz w:val="24"/>
          <w:szCs w:val="24"/>
        </w:rPr>
        <w:t xml:space="preserve"> conducted in the community (</w:t>
      </w:r>
      <w:proofErr w:type="spellStart"/>
      <w:r w:rsidRPr="007350C0">
        <w:rPr>
          <w:rFonts w:ascii="Times New Roman" w:hAnsi="Times New Roman" w:cs="Times New Roman"/>
          <w:sz w:val="24"/>
          <w:szCs w:val="24"/>
        </w:rPr>
        <w:t>Maasai</w:t>
      </w:r>
      <w:proofErr w:type="spellEnd"/>
      <w:r w:rsidRPr="007350C0">
        <w:rPr>
          <w:rFonts w:ascii="Times New Roman" w:hAnsi="Times New Roman" w:cs="Times New Roman"/>
          <w:sz w:val="24"/>
          <w:szCs w:val="24"/>
        </w:rPr>
        <w:t>) to generate data on conservation education, economic growth, experience with wildlife, individual participation in conservation.</w:t>
      </w:r>
      <w:bookmarkEnd w:id="7"/>
      <w:r w:rsidRPr="007350C0">
        <w:rPr>
          <w:rFonts w:ascii="Times New Roman" w:hAnsi="Times New Roman" w:cs="Times New Roman"/>
          <w:sz w:val="24"/>
          <w:szCs w:val="24"/>
        </w:rPr>
        <w:t xml:space="preserve"> </w:t>
      </w:r>
      <w:bookmarkStart w:id="8" w:name="_Toc43616086"/>
      <w:r w:rsidRPr="007350C0">
        <w:rPr>
          <w:rFonts w:ascii="Times New Roman" w:hAnsi="Times New Roman" w:cs="Times New Roman"/>
          <w:sz w:val="24"/>
          <w:szCs w:val="24"/>
        </w:rPr>
        <w:t xml:space="preserve"> The population will range from leaders to the least in the community, based on age or education level to gain a holistic overview of conservation participation in CC.</w:t>
      </w:r>
      <w:bookmarkEnd w:id="8"/>
    </w:p>
    <w:p w:rsidR="004C0F6A" w:rsidRDefault="004C0F6A" w:rsidP="008641C2">
      <w:pPr>
        <w:spacing w:before="240" w:after="240" w:line="240" w:lineRule="auto"/>
        <w:ind w:left="605" w:right="605"/>
        <w:jc w:val="both"/>
        <w:rPr>
          <w:rFonts w:ascii="Times New Roman" w:hAnsi="Times New Roman" w:cs="Times New Roman"/>
          <w:sz w:val="24"/>
          <w:szCs w:val="24"/>
        </w:rPr>
      </w:pPr>
    </w:p>
    <w:p w:rsidR="0021560F" w:rsidRDefault="0021560F" w:rsidP="008641C2">
      <w:pPr>
        <w:spacing w:before="240" w:after="240" w:line="240" w:lineRule="auto"/>
        <w:ind w:left="605" w:right="605"/>
        <w:jc w:val="both"/>
        <w:rPr>
          <w:rFonts w:ascii="Times New Roman" w:hAnsi="Times New Roman" w:cs="Times New Roman"/>
          <w:sz w:val="24"/>
          <w:szCs w:val="24"/>
        </w:rPr>
      </w:pPr>
    </w:p>
    <w:p w:rsidR="0021560F" w:rsidRDefault="0021560F" w:rsidP="008641C2">
      <w:pPr>
        <w:spacing w:before="240" w:after="240" w:line="240" w:lineRule="auto"/>
        <w:ind w:left="605" w:right="605"/>
        <w:jc w:val="both"/>
        <w:rPr>
          <w:rFonts w:ascii="Times New Roman" w:hAnsi="Times New Roman" w:cs="Times New Roman"/>
          <w:sz w:val="24"/>
          <w:szCs w:val="24"/>
        </w:rPr>
      </w:pPr>
    </w:p>
    <w:p w:rsidR="0021560F" w:rsidRDefault="0021560F" w:rsidP="008641C2">
      <w:pPr>
        <w:spacing w:before="240" w:after="240" w:line="240" w:lineRule="auto"/>
        <w:ind w:left="605" w:right="605"/>
        <w:jc w:val="both"/>
        <w:rPr>
          <w:rFonts w:ascii="Times New Roman" w:hAnsi="Times New Roman" w:cs="Times New Roman"/>
          <w:sz w:val="24"/>
          <w:szCs w:val="24"/>
        </w:rPr>
      </w:pPr>
    </w:p>
    <w:p w:rsidR="0021560F" w:rsidRPr="007350C0" w:rsidRDefault="0021560F" w:rsidP="008641C2">
      <w:pPr>
        <w:spacing w:before="240" w:after="240" w:line="240" w:lineRule="auto"/>
        <w:ind w:left="605" w:right="605"/>
        <w:jc w:val="both"/>
        <w:rPr>
          <w:rFonts w:ascii="Times New Roman" w:hAnsi="Times New Roman" w:cs="Times New Roman"/>
          <w:sz w:val="24"/>
          <w:szCs w:val="24"/>
        </w:rPr>
      </w:pPr>
    </w:p>
    <w:p w:rsidR="004C0F6A" w:rsidRPr="007350C0" w:rsidRDefault="004C0F6A" w:rsidP="008641C2">
      <w:pPr>
        <w:pStyle w:val="Caption"/>
        <w:keepNext/>
        <w:spacing w:after="240"/>
        <w:ind w:left="605" w:right="605"/>
        <w:rPr>
          <w:b w:val="0"/>
          <w:color w:val="auto"/>
          <w:sz w:val="24"/>
          <w:szCs w:val="24"/>
        </w:rPr>
      </w:pPr>
      <w:bookmarkStart w:id="9" w:name="_Toc231281993"/>
      <w:r w:rsidRPr="007350C0">
        <w:rPr>
          <w:b w:val="0"/>
          <w:color w:val="auto"/>
          <w:sz w:val="24"/>
          <w:szCs w:val="24"/>
        </w:rPr>
        <w:lastRenderedPageBreak/>
        <w:t xml:space="preserve">Table </w:t>
      </w:r>
      <w:proofErr w:type="gramStart"/>
      <w:r w:rsidR="0021560F">
        <w:rPr>
          <w:b w:val="0"/>
          <w:color w:val="auto"/>
          <w:sz w:val="24"/>
          <w:szCs w:val="24"/>
        </w:rPr>
        <w:t>1</w:t>
      </w:r>
      <w:r w:rsidRPr="007350C0">
        <w:rPr>
          <w:b w:val="0"/>
          <w:color w:val="auto"/>
          <w:sz w:val="24"/>
          <w:szCs w:val="24"/>
        </w:rPr>
        <w:t>.Number</w:t>
      </w:r>
      <w:proofErr w:type="gramEnd"/>
      <w:r w:rsidRPr="007350C0">
        <w:rPr>
          <w:b w:val="0"/>
          <w:color w:val="auto"/>
          <w:sz w:val="24"/>
          <w:szCs w:val="24"/>
        </w:rPr>
        <w:t xml:space="preserve"> of participants interviewed (source: Author)</w:t>
      </w:r>
      <w:bookmarkEnd w:id="9"/>
    </w:p>
    <w:tbl>
      <w:tblPr>
        <w:tblStyle w:val="TableGrid"/>
        <w:tblW w:w="6501" w:type="dxa"/>
        <w:tblInd w:w="1445" w:type="dxa"/>
        <w:tblLook w:val="04A0" w:firstRow="1" w:lastRow="0" w:firstColumn="1" w:lastColumn="0" w:noHBand="0" w:noVBand="1"/>
      </w:tblPr>
      <w:tblGrid>
        <w:gridCol w:w="4195"/>
        <w:gridCol w:w="2306"/>
      </w:tblGrid>
      <w:tr w:rsidR="004C0F6A" w:rsidRPr="007350C0" w:rsidTr="007350C0">
        <w:trPr>
          <w:trHeight w:val="601"/>
        </w:trPr>
        <w:tc>
          <w:tcPr>
            <w:tcW w:w="0" w:type="auto"/>
          </w:tcPr>
          <w:p w:rsidR="004C0F6A" w:rsidRPr="007350C0" w:rsidRDefault="004C0F6A" w:rsidP="008641C2">
            <w:pPr>
              <w:spacing w:before="240" w:after="240"/>
              <w:ind w:left="605" w:right="605"/>
              <w:jc w:val="both"/>
              <w:rPr>
                <w:rFonts w:ascii="Times New Roman" w:hAnsi="Times New Roman" w:cs="Times New Roman"/>
                <w:sz w:val="24"/>
                <w:szCs w:val="24"/>
              </w:rPr>
            </w:pPr>
            <w:r w:rsidRPr="007350C0">
              <w:rPr>
                <w:rFonts w:ascii="Times New Roman" w:hAnsi="Times New Roman" w:cs="Times New Roman"/>
                <w:sz w:val="24"/>
                <w:szCs w:val="24"/>
              </w:rPr>
              <w:t>Participants</w:t>
            </w:r>
          </w:p>
        </w:tc>
        <w:tc>
          <w:tcPr>
            <w:tcW w:w="0" w:type="auto"/>
          </w:tcPr>
          <w:p w:rsidR="004C0F6A" w:rsidRPr="007350C0" w:rsidRDefault="004C0F6A" w:rsidP="008641C2">
            <w:pPr>
              <w:spacing w:before="240" w:after="240"/>
              <w:ind w:left="605" w:right="605"/>
              <w:jc w:val="both"/>
              <w:rPr>
                <w:rFonts w:ascii="Times New Roman" w:hAnsi="Times New Roman" w:cs="Times New Roman"/>
                <w:sz w:val="24"/>
                <w:szCs w:val="24"/>
              </w:rPr>
            </w:pPr>
            <w:r w:rsidRPr="007350C0">
              <w:rPr>
                <w:rFonts w:ascii="Times New Roman" w:hAnsi="Times New Roman" w:cs="Times New Roman"/>
                <w:sz w:val="24"/>
                <w:szCs w:val="24"/>
              </w:rPr>
              <w:t>Numbers</w:t>
            </w:r>
          </w:p>
        </w:tc>
      </w:tr>
      <w:tr w:rsidR="004C0F6A" w:rsidRPr="007350C0" w:rsidTr="007350C0">
        <w:trPr>
          <w:trHeight w:val="601"/>
        </w:trPr>
        <w:tc>
          <w:tcPr>
            <w:tcW w:w="0" w:type="auto"/>
          </w:tcPr>
          <w:p w:rsidR="004C0F6A" w:rsidRPr="007350C0" w:rsidRDefault="004C0F6A" w:rsidP="008641C2">
            <w:pPr>
              <w:spacing w:before="240" w:after="240"/>
              <w:ind w:left="605" w:right="605"/>
              <w:jc w:val="both"/>
              <w:rPr>
                <w:rFonts w:ascii="Times New Roman" w:hAnsi="Times New Roman" w:cs="Times New Roman"/>
                <w:sz w:val="24"/>
                <w:szCs w:val="24"/>
              </w:rPr>
            </w:pPr>
            <w:r w:rsidRPr="007350C0">
              <w:rPr>
                <w:rFonts w:ascii="Times New Roman" w:hAnsi="Times New Roman" w:cs="Times New Roman"/>
                <w:sz w:val="24"/>
                <w:szCs w:val="24"/>
              </w:rPr>
              <w:t>Community leaders from 2 case study</w:t>
            </w:r>
          </w:p>
        </w:tc>
        <w:tc>
          <w:tcPr>
            <w:tcW w:w="0" w:type="auto"/>
          </w:tcPr>
          <w:p w:rsidR="004C0F6A" w:rsidRPr="007350C0" w:rsidRDefault="004C0F6A" w:rsidP="008641C2">
            <w:pPr>
              <w:spacing w:before="240" w:after="240"/>
              <w:ind w:left="605" w:right="605"/>
              <w:jc w:val="both"/>
              <w:rPr>
                <w:rFonts w:ascii="Times New Roman" w:hAnsi="Times New Roman" w:cs="Times New Roman"/>
                <w:sz w:val="24"/>
                <w:szCs w:val="24"/>
              </w:rPr>
            </w:pPr>
            <w:r w:rsidRPr="007350C0">
              <w:rPr>
                <w:rFonts w:ascii="Times New Roman" w:hAnsi="Times New Roman" w:cs="Times New Roman"/>
                <w:sz w:val="24"/>
                <w:szCs w:val="24"/>
              </w:rPr>
              <w:t>4</w:t>
            </w:r>
          </w:p>
        </w:tc>
      </w:tr>
      <w:tr w:rsidR="004C0F6A" w:rsidRPr="007350C0" w:rsidTr="007350C0">
        <w:trPr>
          <w:trHeight w:val="592"/>
        </w:trPr>
        <w:tc>
          <w:tcPr>
            <w:tcW w:w="0" w:type="auto"/>
          </w:tcPr>
          <w:p w:rsidR="004C0F6A" w:rsidRPr="007350C0" w:rsidRDefault="004C0F6A" w:rsidP="008641C2">
            <w:pPr>
              <w:spacing w:before="240" w:after="240"/>
              <w:ind w:left="605" w:right="605"/>
              <w:jc w:val="both"/>
              <w:rPr>
                <w:rFonts w:ascii="Times New Roman" w:hAnsi="Times New Roman" w:cs="Times New Roman"/>
                <w:sz w:val="24"/>
                <w:szCs w:val="24"/>
              </w:rPr>
            </w:pPr>
            <w:r w:rsidRPr="007350C0">
              <w:rPr>
                <w:rFonts w:ascii="Times New Roman" w:hAnsi="Times New Roman" w:cs="Times New Roman"/>
                <w:sz w:val="24"/>
                <w:szCs w:val="24"/>
              </w:rPr>
              <w:t>Officials of the 2 case studies</w:t>
            </w:r>
          </w:p>
        </w:tc>
        <w:tc>
          <w:tcPr>
            <w:tcW w:w="0" w:type="auto"/>
          </w:tcPr>
          <w:p w:rsidR="004C0F6A" w:rsidRPr="007350C0" w:rsidRDefault="004C0F6A" w:rsidP="008641C2">
            <w:pPr>
              <w:spacing w:before="240" w:after="240"/>
              <w:ind w:left="605" w:right="605"/>
              <w:jc w:val="both"/>
              <w:rPr>
                <w:rFonts w:ascii="Times New Roman" w:hAnsi="Times New Roman" w:cs="Times New Roman"/>
                <w:sz w:val="24"/>
                <w:szCs w:val="24"/>
              </w:rPr>
            </w:pPr>
            <w:r w:rsidRPr="007350C0">
              <w:rPr>
                <w:rFonts w:ascii="Times New Roman" w:hAnsi="Times New Roman" w:cs="Times New Roman"/>
                <w:sz w:val="24"/>
                <w:szCs w:val="24"/>
              </w:rPr>
              <w:t>4</w:t>
            </w:r>
          </w:p>
        </w:tc>
      </w:tr>
      <w:tr w:rsidR="004C0F6A" w:rsidRPr="007350C0" w:rsidTr="007350C0">
        <w:trPr>
          <w:trHeight w:val="601"/>
        </w:trPr>
        <w:tc>
          <w:tcPr>
            <w:tcW w:w="0" w:type="auto"/>
          </w:tcPr>
          <w:p w:rsidR="004C0F6A" w:rsidRPr="007350C0" w:rsidRDefault="004C0F6A" w:rsidP="008641C2">
            <w:pPr>
              <w:spacing w:before="240" w:after="240"/>
              <w:ind w:left="605" w:right="605"/>
              <w:jc w:val="both"/>
              <w:rPr>
                <w:rFonts w:ascii="Times New Roman" w:hAnsi="Times New Roman" w:cs="Times New Roman"/>
                <w:sz w:val="24"/>
                <w:szCs w:val="24"/>
              </w:rPr>
            </w:pPr>
            <w:r w:rsidRPr="007350C0">
              <w:rPr>
                <w:rFonts w:ascii="Times New Roman" w:hAnsi="Times New Roman" w:cs="Times New Roman"/>
                <w:sz w:val="24"/>
                <w:szCs w:val="24"/>
              </w:rPr>
              <w:t>Official from Kenya Wildlife Society</w:t>
            </w:r>
          </w:p>
        </w:tc>
        <w:tc>
          <w:tcPr>
            <w:tcW w:w="0" w:type="auto"/>
          </w:tcPr>
          <w:p w:rsidR="004C0F6A" w:rsidRPr="007350C0" w:rsidRDefault="004C0F6A" w:rsidP="008641C2">
            <w:pPr>
              <w:spacing w:before="240" w:after="240"/>
              <w:ind w:left="605" w:right="605"/>
              <w:jc w:val="both"/>
              <w:rPr>
                <w:rFonts w:ascii="Times New Roman" w:hAnsi="Times New Roman" w:cs="Times New Roman"/>
                <w:sz w:val="24"/>
                <w:szCs w:val="24"/>
              </w:rPr>
            </w:pPr>
            <w:r w:rsidRPr="007350C0">
              <w:rPr>
                <w:rFonts w:ascii="Times New Roman" w:hAnsi="Times New Roman" w:cs="Times New Roman"/>
                <w:sz w:val="24"/>
                <w:szCs w:val="24"/>
              </w:rPr>
              <w:t>1</w:t>
            </w:r>
          </w:p>
        </w:tc>
      </w:tr>
      <w:tr w:rsidR="004C0F6A" w:rsidRPr="007350C0" w:rsidTr="007350C0">
        <w:trPr>
          <w:trHeight w:val="601"/>
        </w:trPr>
        <w:tc>
          <w:tcPr>
            <w:tcW w:w="0" w:type="auto"/>
          </w:tcPr>
          <w:p w:rsidR="004C0F6A" w:rsidRPr="007350C0" w:rsidRDefault="004C0F6A" w:rsidP="008641C2">
            <w:pPr>
              <w:spacing w:before="240" w:after="240"/>
              <w:ind w:left="605" w:right="605"/>
              <w:jc w:val="both"/>
              <w:rPr>
                <w:rFonts w:ascii="Times New Roman" w:hAnsi="Times New Roman" w:cs="Times New Roman"/>
                <w:sz w:val="24"/>
                <w:szCs w:val="24"/>
              </w:rPr>
            </w:pPr>
            <w:r w:rsidRPr="007350C0">
              <w:rPr>
                <w:rFonts w:ascii="Times New Roman" w:hAnsi="Times New Roman" w:cs="Times New Roman"/>
                <w:sz w:val="24"/>
                <w:szCs w:val="24"/>
              </w:rPr>
              <w:t>Official from Kenya Wildlife Conservancies Association</w:t>
            </w:r>
          </w:p>
        </w:tc>
        <w:tc>
          <w:tcPr>
            <w:tcW w:w="0" w:type="auto"/>
          </w:tcPr>
          <w:p w:rsidR="004C0F6A" w:rsidRPr="007350C0" w:rsidRDefault="004C0F6A" w:rsidP="008641C2">
            <w:pPr>
              <w:spacing w:before="240" w:after="240"/>
              <w:ind w:left="605" w:right="605"/>
              <w:jc w:val="both"/>
              <w:rPr>
                <w:rFonts w:ascii="Times New Roman" w:hAnsi="Times New Roman" w:cs="Times New Roman"/>
                <w:sz w:val="24"/>
                <w:szCs w:val="24"/>
              </w:rPr>
            </w:pPr>
            <w:r w:rsidRPr="007350C0">
              <w:rPr>
                <w:rFonts w:ascii="Times New Roman" w:hAnsi="Times New Roman" w:cs="Times New Roman"/>
                <w:sz w:val="24"/>
                <w:szCs w:val="24"/>
              </w:rPr>
              <w:t>1</w:t>
            </w:r>
          </w:p>
        </w:tc>
      </w:tr>
      <w:tr w:rsidR="004C0F6A" w:rsidRPr="007350C0" w:rsidTr="007350C0">
        <w:trPr>
          <w:trHeight w:val="601"/>
        </w:trPr>
        <w:tc>
          <w:tcPr>
            <w:tcW w:w="0" w:type="auto"/>
          </w:tcPr>
          <w:p w:rsidR="004C0F6A" w:rsidRPr="007350C0" w:rsidRDefault="004C0F6A" w:rsidP="008641C2">
            <w:pPr>
              <w:spacing w:before="240" w:after="240"/>
              <w:ind w:left="605" w:right="605"/>
              <w:jc w:val="both"/>
              <w:rPr>
                <w:rFonts w:ascii="Times New Roman" w:hAnsi="Times New Roman" w:cs="Times New Roman"/>
                <w:sz w:val="24"/>
                <w:szCs w:val="24"/>
              </w:rPr>
            </w:pPr>
            <w:r w:rsidRPr="007350C0">
              <w:rPr>
                <w:rFonts w:ascii="Times New Roman" w:hAnsi="Times New Roman" w:cs="Times New Roman"/>
                <w:sz w:val="24"/>
                <w:szCs w:val="24"/>
              </w:rPr>
              <w:t>Community members from 2 case studies</w:t>
            </w:r>
          </w:p>
        </w:tc>
        <w:tc>
          <w:tcPr>
            <w:tcW w:w="0" w:type="auto"/>
          </w:tcPr>
          <w:p w:rsidR="004C0F6A" w:rsidRPr="007350C0" w:rsidRDefault="004C0F6A" w:rsidP="008641C2">
            <w:pPr>
              <w:spacing w:before="240" w:after="240"/>
              <w:ind w:left="605" w:right="605"/>
              <w:jc w:val="both"/>
              <w:rPr>
                <w:rFonts w:ascii="Times New Roman" w:hAnsi="Times New Roman" w:cs="Times New Roman"/>
                <w:sz w:val="24"/>
                <w:szCs w:val="24"/>
              </w:rPr>
            </w:pPr>
            <w:r w:rsidRPr="007350C0">
              <w:rPr>
                <w:rFonts w:ascii="Times New Roman" w:hAnsi="Times New Roman" w:cs="Times New Roman"/>
                <w:sz w:val="24"/>
                <w:szCs w:val="24"/>
              </w:rPr>
              <w:t>20</w:t>
            </w:r>
          </w:p>
        </w:tc>
      </w:tr>
      <w:tr w:rsidR="004C0F6A" w:rsidRPr="007350C0" w:rsidTr="007350C0">
        <w:trPr>
          <w:trHeight w:val="249"/>
        </w:trPr>
        <w:tc>
          <w:tcPr>
            <w:tcW w:w="0" w:type="auto"/>
          </w:tcPr>
          <w:p w:rsidR="004C0F6A" w:rsidRPr="007350C0" w:rsidRDefault="004C0F6A" w:rsidP="008641C2">
            <w:pPr>
              <w:spacing w:before="240" w:after="240"/>
              <w:ind w:left="605" w:right="605"/>
              <w:jc w:val="both"/>
              <w:rPr>
                <w:rFonts w:ascii="Times New Roman" w:hAnsi="Times New Roman" w:cs="Times New Roman"/>
                <w:sz w:val="24"/>
                <w:szCs w:val="24"/>
              </w:rPr>
            </w:pPr>
            <w:r w:rsidRPr="007350C0">
              <w:rPr>
                <w:rFonts w:ascii="Times New Roman" w:hAnsi="Times New Roman" w:cs="Times New Roman"/>
                <w:sz w:val="24"/>
                <w:szCs w:val="24"/>
              </w:rPr>
              <w:t xml:space="preserve">Total population </w:t>
            </w:r>
          </w:p>
        </w:tc>
        <w:tc>
          <w:tcPr>
            <w:tcW w:w="0" w:type="auto"/>
          </w:tcPr>
          <w:p w:rsidR="004C0F6A" w:rsidRPr="007350C0" w:rsidRDefault="004C0F6A" w:rsidP="008641C2">
            <w:pPr>
              <w:spacing w:before="240" w:after="240"/>
              <w:ind w:left="605" w:right="605"/>
              <w:jc w:val="both"/>
              <w:rPr>
                <w:rFonts w:ascii="Times New Roman" w:hAnsi="Times New Roman" w:cs="Times New Roman"/>
                <w:sz w:val="24"/>
                <w:szCs w:val="24"/>
              </w:rPr>
            </w:pPr>
            <w:r w:rsidRPr="007350C0">
              <w:rPr>
                <w:rFonts w:ascii="Times New Roman" w:hAnsi="Times New Roman" w:cs="Times New Roman"/>
                <w:sz w:val="24"/>
                <w:szCs w:val="24"/>
              </w:rPr>
              <w:t>30</w:t>
            </w:r>
          </w:p>
        </w:tc>
      </w:tr>
    </w:tbl>
    <w:p w:rsidR="0021560F" w:rsidRDefault="0021560F" w:rsidP="008641C2">
      <w:pPr>
        <w:pStyle w:val="Heading2"/>
        <w:spacing w:after="240"/>
        <w:ind w:left="605" w:right="605"/>
        <w:rPr>
          <w:i w:val="0"/>
        </w:rPr>
      </w:pPr>
      <w:bookmarkStart w:id="10" w:name="_Toc534486300"/>
      <w:bookmarkStart w:id="11" w:name="_Toc97122737"/>
      <w:bookmarkStart w:id="12" w:name="_Toc226000517"/>
      <w:bookmarkStart w:id="13" w:name="_Toc231232264"/>
    </w:p>
    <w:p w:rsidR="004C0F6A" w:rsidRPr="0021560F" w:rsidRDefault="004C0F6A" w:rsidP="008641C2">
      <w:pPr>
        <w:pStyle w:val="Heading2"/>
        <w:spacing w:after="240"/>
        <w:ind w:left="605" w:right="605"/>
        <w:rPr>
          <w:i w:val="0"/>
        </w:rPr>
      </w:pPr>
      <w:r w:rsidRPr="0021560F">
        <w:rPr>
          <w:i w:val="0"/>
        </w:rPr>
        <w:t>Data Analysis</w:t>
      </w:r>
      <w:bookmarkEnd w:id="10"/>
      <w:bookmarkEnd w:id="11"/>
      <w:bookmarkEnd w:id="12"/>
      <w:bookmarkEnd w:id="13"/>
    </w:p>
    <w:p w:rsidR="004C0F6A" w:rsidRPr="007350C0" w:rsidRDefault="004C0F6A" w:rsidP="008641C2">
      <w:pPr>
        <w:spacing w:before="240" w:after="240" w:line="240" w:lineRule="auto"/>
        <w:ind w:left="605" w:right="605"/>
        <w:jc w:val="both"/>
        <w:rPr>
          <w:rFonts w:ascii="Times New Roman" w:hAnsi="Times New Roman" w:cs="Times New Roman"/>
          <w:sz w:val="24"/>
          <w:szCs w:val="24"/>
        </w:rPr>
      </w:pPr>
      <w:r w:rsidRPr="007350C0">
        <w:rPr>
          <w:rFonts w:ascii="Times New Roman" w:hAnsi="Times New Roman" w:cs="Times New Roman"/>
          <w:sz w:val="24"/>
          <w:szCs w:val="24"/>
        </w:rPr>
        <w:t>Data analysis consists of examining, categorizing, testing or otherwise combining qualitative evidence to address the initial propositions of my study. The observed data will be organized in different thematic areas depending on the outcome. Cross-Case synthesis will be performed to analyze the data since there are two case studies, which makes the technique relevant (Yin, 2003). Analysis will be conducted by creating word tables which display data from the case study according to some relevant data (Yin, 2003). Data will be analyzed based on the variables dependent on CBC management and various theoretical perspectives.</w:t>
      </w:r>
    </w:p>
    <w:p w:rsidR="004C0F6A" w:rsidRPr="0021560F" w:rsidRDefault="004C0F6A" w:rsidP="008641C2">
      <w:pPr>
        <w:spacing w:before="240" w:after="240" w:line="240" w:lineRule="auto"/>
        <w:ind w:left="605" w:right="605"/>
        <w:jc w:val="both"/>
        <w:rPr>
          <w:rFonts w:ascii="Times New Roman" w:hAnsi="Times New Roman" w:cs="Times New Roman"/>
          <w:b/>
          <w:sz w:val="24"/>
          <w:szCs w:val="24"/>
        </w:rPr>
      </w:pPr>
      <w:r w:rsidRPr="0021560F">
        <w:rPr>
          <w:rFonts w:ascii="Times New Roman" w:hAnsi="Times New Roman" w:cs="Times New Roman"/>
          <w:b/>
          <w:sz w:val="24"/>
          <w:szCs w:val="24"/>
        </w:rPr>
        <w:t>Findings</w:t>
      </w:r>
    </w:p>
    <w:p w:rsidR="007350C0" w:rsidRPr="007350C0" w:rsidRDefault="004C0F6A" w:rsidP="008641C2">
      <w:pPr>
        <w:pStyle w:val="NormalWeb"/>
        <w:spacing w:after="240" w:afterAutospacing="0"/>
        <w:ind w:left="605" w:right="605"/>
        <w:jc w:val="both"/>
      </w:pPr>
      <w:r w:rsidRPr="007350C0">
        <w:t>Two case study regions—one in Kenya's north and the other in its south—were chosen</w:t>
      </w:r>
      <w:r w:rsidR="00D23AE2" w:rsidRPr="007350C0">
        <w:t xml:space="preserve"> and </w:t>
      </w:r>
      <w:r w:rsidR="00D23AE2" w:rsidRPr="007350C0">
        <w:rPr>
          <w:shd w:val="clear" w:color="auto" w:fill="FFFFFF"/>
        </w:rPr>
        <w:t>a</w:t>
      </w:r>
      <w:r w:rsidR="00D23AE2" w:rsidRPr="007350C0">
        <w:rPr>
          <w:shd w:val="clear" w:color="auto" w:fill="FFFFFF"/>
        </w:rPr>
        <w:t>ll the respondents 100% are actively involved in wildlife conservation</w:t>
      </w:r>
      <w:r w:rsidR="00D23AE2" w:rsidRPr="007350C0">
        <w:rPr>
          <w:shd w:val="clear" w:color="auto" w:fill="FFFFFF"/>
        </w:rPr>
        <w:t xml:space="preserve">. </w:t>
      </w:r>
      <w:r w:rsidR="00D23AE2" w:rsidRPr="007350C0">
        <w:rPr>
          <w:shd w:val="clear" w:color="auto" w:fill="FFFFFF"/>
        </w:rPr>
        <w:t xml:space="preserve">The members of the community have an ethnic name for conservation </w:t>
      </w:r>
      <w:r w:rsidR="00D23AE2" w:rsidRPr="007350C0">
        <w:rPr>
          <w:i/>
          <w:shd w:val="clear" w:color="auto" w:fill="FFFFFF"/>
        </w:rPr>
        <w:t xml:space="preserve">Era </w:t>
      </w:r>
      <w:proofErr w:type="spellStart"/>
      <w:r w:rsidR="00D23AE2" w:rsidRPr="007350C0">
        <w:rPr>
          <w:i/>
          <w:shd w:val="clear" w:color="auto" w:fill="FFFFFF"/>
        </w:rPr>
        <w:t>Matare</w:t>
      </w:r>
      <w:proofErr w:type="spellEnd"/>
      <w:r w:rsidR="00D23AE2" w:rsidRPr="007350C0">
        <w:rPr>
          <w:i/>
          <w:shd w:val="clear" w:color="auto" w:fill="FFFFFF"/>
        </w:rPr>
        <w:t xml:space="preserve"> </w:t>
      </w:r>
      <w:proofErr w:type="spellStart"/>
      <w:r w:rsidR="00D23AE2" w:rsidRPr="007350C0">
        <w:rPr>
          <w:i/>
          <w:shd w:val="clear" w:color="auto" w:fill="FFFFFF"/>
        </w:rPr>
        <w:t>Ongwesi</w:t>
      </w:r>
      <w:proofErr w:type="spellEnd"/>
      <w:r w:rsidR="00D23AE2" w:rsidRPr="007350C0">
        <w:rPr>
          <w:shd w:val="clear" w:color="auto" w:fill="FFFFFF"/>
        </w:rPr>
        <w:t xml:space="preserve"> meaning taking care of.</w:t>
      </w:r>
      <w:r w:rsidR="00D23AE2" w:rsidRPr="007350C0">
        <w:rPr>
          <w:shd w:val="clear" w:color="auto" w:fill="FFFFFF"/>
        </w:rPr>
        <w:t xml:space="preserve"> </w:t>
      </w:r>
      <w:r w:rsidR="007350C0" w:rsidRPr="007350C0">
        <w:t xml:space="preserve">Descriptive statistical analysis at </w:t>
      </w:r>
      <w:proofErr w:type="spellStart"/>
      <w:r w:rsidR="007350C0" w:rsidRPr="007350C0">
        <w:t>Mbirikani</w:t>
      </w:r>
      <w:proofErr w:type="spellEnd"/>
      <w:r w:rsidR="007350C0" w:rsidRPr="007350C0">
        <w:t xml:space="preserve"> Group Ranch shows that 6 respondents (54.5%) were female, while 5 respondents (45.5%) were male, indicating a nearly equal gender distribution with a slight female majority. </w:t>
      </w:r>
      <w:r w:rsidR="007350C0" w:rsidRPr="007350C0">
        <w:lastRenderedPageBreak/>
        <w:t xml:space="preserve">At </w:t>
      </w:r>
      <w:proofErr w:type="spellStart"/>
      <w:r w:rsidR="007350C0" w:rsidRPr="007350C0">
        <w:t>Lekurruki</w:t>
      </w:r>
      <w:proofErr w:type="spellEnd"/>
      <w:r w:rsidR="007350C0" w:rsidRPr="007350C0">
        <w:t xml:space="preserve"> the respondents were </w:t>
      </w:r>
      <w:proofErr w:type="gramStart"/>
      <w:r w:rsidR="007350C0" w:rsidRPr="007350C0">
        <w:t>5  male</w:t>
      </w:r>
      <w:proofErr w:type="gramEnd"/>
      <w:r w:rsidR="007350C0" w:rsidRPr="007350C0">
        <w:t xml:space="preserve"> (45.5%) and 6 were female (54.5%), indicating relatively balanced gender representation.</w:t>
      </w:r>
    </w:p>
    <w:p w:rsidR="00D23AE2" w:rsidRPr="007350C0" w:rsidRDefault="00D23AE2" w:rsidP="008641C2">
      <w:pPr>
        <w:pStyle w:val="NormalWeb"/>
        <w:spacing w:after="240" w:afterAutospacing="0"/>
        <w:ind w:left="605" w:right="605"/>
      </w:pPr>
      <w:r w:rsidRPr="007350C0">
        <w:t>The findings indicate that 10 respondents (90%) participate in conservation programs, while 1 respondent (10%) do not. The mean participation score (coded as 1 = Yes, 0 = No) is 0.90, with a low variance, indicating high and consistent engagement levels across respondents.</w:t>
      </w:r>
    </w:p>
    <w:p w:rsidR="00D23AE2" w:rsidRPr="007350C0" w:rsidRDefault="00D23AE2" w:rsidP="008641C2">
      <w:pPr>
        <w:pStyle w:val="NormalWeb"/>
        <w:spacing w:after="240" w:afterAutospacing="0"/>
        <w:ind w:left="605" w:right="605"/>
      </w:pPr>
      <w:r w:rsidRPr="007350C0">
        <w:t>Women’s participation is comparatively constrained. Despite attending meetings, many women are categorized as passive participants. Cultural norms limiting public expression among women contribute to this disparity. However, 3 out of 6 female respondents (50%) demonstrated active participation, suggesting emerging behavioral shifts influenced by access to conservation benefits.</w:t>
      </w:r>
    </w:p>
    <w:p w:rsidR="00D23AE2" w:rsidRPr="007350C0" w:rsidRDefault="00D23AE2" w:rsidP="008641C2">
      <w:pPr>
        <w:pStyle w:val="NormalWeb"/>
        <w:spacing w:after="240" w:afterAutospacing="0"/>
        <w:ind w:left="605" w:right="605"/>
      </w:pPr>
      <w:r w:rsidRPr="007350C0">
        <w:t>Analysis of meeting attendance shows that 64% of respondents attend meetings regularly, while 36% attend often. The mean attendance level is therefore high (&gt;0.6), reflecting strong institutional interaction.</w:t>
      </w:r>
      <w:r w:rsidRPr="007350C0">
        <w:t xml:space="preserve"> </w:t>
      </w:r>
      <w:r w:rsidRPr="007350C0">
        <w:t>The study found that children under the age of 18 are excluded from conservation meetings, resulting in a participation rate of 0% for this group. Youth participation post-18 remains low, although not quantitatively measured</w:t>
      </w:r>
      <w:r w:rsidRPr="007350C0">
        <w:t>.</w:t>
      </w:r>
    </w:p>
    <w:p w:rsidR="00D23AE2" w:rsidRPr="007350C0" w:rsidRDefault="00D23AE2" w:rsidP="008641C2">
      <w:pPr>
        <w:pStyle w:val="NormalWeb"/>
        <w:spacing w:after="240" w:afterAutospacing="0"/>
        <w:ind w:left="605" w:right="605"/>
      </w:pPr>
      <w:r w:rsidRPr="007350C0">
        <w:t>Multiple response analysis indicates that participation is driven by tokenism, including awareness creation, community development, environmental protection, employment opportunities, and educational scholarships.</w:t>
      </w:r>
    </w:p>
    <w:p w:rsidR="00D23AE2" w:rsidRPr="007350C0" w:rsidRDefault="00D23AE2" w:rsidP="008641C2">
      <w:pPr>
        <w:pStyle w:val="NormalWeb"/>
        <w:spacing w:after="240" w:afterAutospacing="0"/>
        <w:ind w:left="605" w:right="605"/>
      </w:pPr>
      <w:r w:rsidRPr="007350C0">
        <w:t>Statistical and qualitative analysis identified several key indicators of successful participation: High participation rate (Mean = 0.90)</w:t>
      </w:r>
      <w:r w:rsidRPr="007350C0">
        <w:t xml:space="preserve"> with </w:t>
      </w:r>
      <w:r w:rsidRPr="007350C0">
        <w:t>Universal conservation involvement (100%)</w:t>
      </w:r>
      <w:r w:rsidRPr="007350C0">
        <w:t>.</w:t>
      </w:r>
    </w:p>
    <w:p w:rsidR="007350C0" w:rsidRPr="007350C0" w:rsidRDefault="00D23AE2" w:rsidP="008641C2">
      <w:pPr>
        <w:pStyle w:val="NormalWeb"/>
        <w:spacing w:after="240" w:afterAutospacing="0"/>
        <w:ind w:left="605" w:right="605"/>
      </w:pPr>
      <w:r w:rsidRPr="007350C0">
        <w:t>Members attended conservation program meetings with a h</w:t>
      </w:r>
      <w:r w:rsidRPr="007350C0">
        <w:t xml:space="preserve">igh </w:t>
      </w:r>
      <w:r w:rsidRPr="007350C0">
        <w:t xml:space="preserve">0f </w:t>
      </w:r>
      <w:r w:rsidRPr="007350C0">
        <w:t>(&gt;64%)</w:t>
      </w:r>
      <w:r w:rsidRPr="007350C0">
        <w:t xml:space="preserve"> </w:t>
      </w:r>
      <w:r w:rsidRPr="007350C0">
        <w:t xml:space="preserve">meeting attendance </w:t>
      </w:r>
      <w:r w:rsidRPr="007350C0">
        <w:t xml:space="preserve">influenced </w:t>
      </w:r>
      <w:proofErr w:type="gramStart"/>
      <w:r w:rsidRPr="007350C0">
        <w:t>by  av</w:t>
      </w:r>
      <w:r w:rsidRPr="007350C0">
        <w:t>ailability</w:t>
      </w:r>
      <w:proofErr w:type="gramEnd"/>
      <w:r w:rsidRPr="007350C0">
        <w:t xml:space="preserve"> of economic incentives</w:t>
      </w:r>
      <w:r w:rsidRPr="007350C0">
        <w:t xml:space="preserve">. </w:t>
      </w:r>
      <w:r w:rsidRPr="007350C0">
        <w:t>These indicators collectively demonstrate a strong participatory framework within the community.</w:t>
      </w:r>
      <w:r w:rsidR="007350C0" w:rsidRPr="007350C0">
        <w:t xml:space="preserve"> </w:t>
      </w:r>
      <w:r w:rsidR="007350C0" w:rsidRPr="007350C0">
        <w:t>Statistical evidence shows disparities based on gender and participation intensity, while qualitative findings highlight cultural and structural barriers. The study further establishes that conservation participation is strongly influenced by extrinsic benefits, emphasizing the need for inclusive and incentive-based approaches to enhance sustainability.</w:t>
      </w:r>
    </w:p>
    <w:p w:rsidR="00D23AE2" w:rsidRPr="007350C0" w:rsidRDefault="007350C0" w:rsidP="008641C2">
      <w:pPr>
        <w:pStyle w:val="NormalWeb"/>
        <w:spacing w:after="240" w:afterAutospacing="0"/>
        <w:ind w:left="605" w:right="605"/>
      </w:pPr>
      <w:r w:rsidRPr="007350C0">
        <w:t>Despite positive findings, several challenges were identified. Gender inequality remains statistically evident through differences in participation levels. Youth exclusion creates a structural gap in engagement. Additionally, the presence of 36% passive participants indicates reduced effectiveness of participatory processes. Low compensation further limits satisfaction and may negatively influence long-term participation.</w:t>
      </w:r>
    </w:p>
    <w:p w:rsidR="004C0F6A" w:rsidRPr="007350C0" w:rsidRDefault="004C0F6A" w:rsidP="008641C2">
      <w:pPr>
        <w:spacing w:before="240" w:after="240" w:line="240" w:lineRule="auto"/>
        <w:ind w:left="605" w:right="605"/>
        <w:jc w:val="both"/>
        <w:rPr>
          <w:rFonts w:ascii="Times New Roman" w:hAnsi="Times New Roman" w:cs="Times New Roman"/>
          <w:sz w:val="24"/>
          <w:szCs w:val="24"/>
        </w:rPr>
      </w:pPr>
    </w:p>
    <w:p w:rsidR="004C0F6A" w:rsidRPr="0021560F" w:rsidRDefault="004C0F6A" w:rsidP="008641C2">
      <w:pPr>
        <w:spacing w:before="240" w:after="240" w:line="240" w:lineRule="auto"/>
        <w:ind w:left="605" w:right="605"/>
        <w:jc w:val="both"/>
        <w:rPr>
          <w:rFonts w:ascii="Times New Roman" w:hAnsi="Times New Roman" w:cs="Times New Roman"/>
          <w:b/>
          <w:sz w:val="24"/>
          <w:szCs w:val="24"/>
        </w:rPr>
      </w:pPr>
      <w:proofErr w:type="spellStart"/>
      <w:r w:rsidRPr="0021560F">
        <w:rPr>
          <w:rFonts w:ascii="Times New Roman" w:hAnsi="Times New Roman" w:cs="Times New Roman"/>
          <w:b/>
          <w:sz w:val="24"/>
          <w:szCs w:val="24"/>
        </w:rPr>
        <w:lastRenderedPageBreak/>
        <w:t>Conclussion</w:t>
      </w:r>
      <w:proofErr w:type="spellEnd"/>
    </w:p>
    <w:p w:rsidR="004C0F6A" w:rsidRPr="007350C0" w:rsidRDefault="004C0F6A" w:rsidP="008641C2">
      <w:pPr>
        <w:spacing w:before="240" w:after="240" w:line="240" w:lineRule="auto"/>
        <w:ind w:left="605" w:right="605"/>
        <w:jc w:val="both"/>
        <w:rPr>
          <w:rFonts w:ascii="Times New Roman" w:hAnsi="Times New Roman" w:cs="Times New Roman"/>
          <w:sz w:val="24"/>
          <w:szCs w:val="24"/>
        </w:rPr>
      </w:pPr>
      <w:r w:rsidRPr="007350C0">
        <w:rPr>
          <w:rFonts w:ascii="Times New Roman" w:hAnsi="Times New Roman" w:cs="Times New Roman"/>
          <w:sz w:val="24"/>
          <w:szCs w:val="24"/>
        </w:rPr>
        <w:t>Participatory design has revealed gaps in the methods used to educate communities, emphasizing the need to engage them as key stakeholders in decision-making. Cultural barriers must be addressed to ensure the inclusion of all community members (AWF, 2019). The leadership in conservation management has sparked political and social discussions about its effectiveness. Community-based conservation initiatives should empower local stakeholders by communities receive tangible benefits.</w:t>
      </w:r>
    </w:p>
    <w:p w:rsidR="007350C0" w:rsidRPr="0021560F" w:rsidRDefault="007350C0" w:rsidP="008641C2">
      <w:pPr>
        <w:spacing w:before="240" w:after="240" w:line="240" w:lineRule="auto"/>
        <w:ind w:left="605" w:right="605"/>
        <w:jc w:val="both"/>
        <w:rPr>
          <w:rFonts w:ascii="Times New Roman" w:hAnsi="Times New Roman" w:cs="Times New Roman"/>
          <w:b/>
          <w:sz w:val="24"/>
          <w:szCs w:val="24"/>
        </w:rPr>
      </w:pPr>
      <w:r w:rsidRPr="0021560F">
        <w:rPr>
          <w:rFonts w:ascii="Times New Roman" w:hAnsi="Times New Roman" w:cs="Times New Roman"/>
          <w:b/>
          <w:sz w:val="24"/>
          <w:szCs w:val="24"/>
        </w:rPr>
        <w:t>References</w:t>
      </w:r>
    </w:p>
    <w:p w:rsidR="007350C0" w:rsidRPr="007350C0" w:rsidRDefault="007350C0" w:rsidP="003D4FB8">
      <w:pPr>
        <w:pStyle w:val="Bibliography"/>
        <w:numPr>
          <w:ilvl w:val="0"/>
          <w:numId w:val="2"/>
        </w:numPr>
        <w:spacing w:after="240"/>
        <w:ind w:right="605"/>
        <w:jc w:val="both"/>
        <w:rPr>
          <w:noProof/>
          <w:sz w:val="24"/>
          <w:szCs w:val="24"/>
        </w:rPr>
      </w:pPr>
      <w:r w:rsidRPr="007350C0">
        <w:rPr>
          <w:noProof/>
          <w:sz w:val="24"/>
          <w:szCs w:val="24"/>
        </w:rPr>
        <w:t xml:space="preserve">Adams, W. M. (2001, July). If community conservation is the answer in Africa, what is the question? </w:t>
      </w:r>
      <w:r w:rsidRPr="007350C0">
        <w:rPr>
          <w:i/>
          <w:iCs/>
          <w:noProof/>
          <w:sz w:val="24"/>
          <w:szCs w:val="24"/>
        </w:rPr>
        <w:t>Forum</w:t>
      </w:r>
      <w:r w:rsidRPr="007350C0">
        <w:rPr>
          <w:noProof/>
          <w:sz w:val="24"/>
          <w:szCs w:val="24"/>
        </w:rPr>
        <w:t>, p. 193.</w:t>
      </w:r>
    </w:p>
    <w:p w:rsidR="007350C0" w:rsidRPr="007350C0" w:rsidRDefault="007350C0" w:rsidP="003D4FB8">
      <w:pPr>
        <w:pStyle w:val="Bibliography"/>
        <w:numPr>
          <w:ilvl w:val="0"/>
          <w:numId w:val="2"/>
        </w:numPr>
        <w:spacing w:after="240"/>
        <w:ind w:right="605"/>
        <w:jc w:val="both"/>
        <w:rPr>
          <w:noProof/>
          <w:sz w:val="24"/>
          <w:szCs w:val="24"/>
        </w:rPr>
      </w:pPr>
      <w:r w:rsidRPr="007350C0">
        <w:rPr>
          <w:noProof/>
          <w:sz w:val="24"/>
          <w:szCs w:val="24"/>
        </w:rPr>
        <w:t xml:space="preserve">Agrawal, A., Brandhorst, S., Jain, M. L., Pradhan, N., &amp; Solomon, D. (2022). From environmental governance to governance for sustainability. </w:t>
      </w:r>
      <w:r w:rsidRPr="007350C0">
        <w:rPr>
          <w:i/>
          <w:iCs/>
          <w:noProof/>
          <w:sz w:val="24"/>
          <w:szCs w:val="24"/>
        </w:rPr>
        <w:t>One Earth</w:t>
      </w:r>
      <w:r w:rsidRPr="007350C0">
        <w:rPr>
          <w:noProof/>
          <w:sz w:val="24"/>
          <w:szCs w:val="24"/>
        </w:rPr>
        <w:t>, 615-621.</w:t>
      </w:r>
    </w:p>
    <w:p w:rsidR="007350C0" w:rsidRPr="007350C0" w:rsidRDefault="007350C0" w:rsidP="003D4FB8">
      <w:pPr>
        <w:pStyle w:val="Bibliography"/>
        <w:numPr>
          <w:ilvl w:val="0"/>
          <w:numId w:val="2"/>
        </w:numPr>
        <w:spacing w:after="240"/>
        <w:ind w:right="605"/>
        <w:jc w:val="both"/>
        <w:rPr>
          <w:noProof/>
          <w:sz w:val="24"/>
          <w:szCs w:val="24"/>
        </w:rPr>
      </w:pPr>
      <w:r w:rsidRPr="007350C0">
        <w:rPr>
          <w:noProof/>
          <w:sz w:val="24"/>
          <w:szCs w:val="24"/>
        </w:rPr>
        <w:t xml:space="preserve">Barrow, E., &amp; Murphree, M. (2001). </w:t>
      </w:r>
      <w:r w:rsidRPr="007350C0">
        <w:rPr>
          <w:i/>
          <w:iCs/>
          <w:noProof/>
          <w:sz w:val="24"/>
          <w:szCs w:val="24"/>
        </w:rPr>
        <w:t>Community conservation.</w:t>
      </w:r>
      <w:r w:rsidRPr="007350C0">
        <w:rPr>
          <w:noProof/>
          <w:sz w:val="24"/>
          <w:szCs w:val="24"/>
        </w:rPr>
        <w:t xml:space="preserve"> New Hampshire: Oxford.</w:t>
      </w:r>
    </w:p>
    <w:p w:rsidR="007350C0" w:rsidRPr="007350C0" w:rsidRDefault="007350C0" w:rsidP="003D4FB8">
      <w:pPr>
        <w:pStyle w:val="Bibliography"/>
        <w:numPr>
          <w:ilvl w:val="0"/>
          <w:numId w:val="2"/>
        </w:numPr>
        <w:spacing w:after="240"/>
        <w:ind w:right="605"/>
        <w:jc w:val="both"/>
        <w:rPr>
          <w:noProof/>
          <w:sz w:val="24"/>
          <w:szCs w:val="24"/>
        </w:rPr>
      </w:pPr>
      <w:r w:rsidRPr="007350C0">
        <w:rPr>
          <w:noProof/>
          <w:sz w:val="24"/>
          <w:szCs w:val="24"/>
        </w:rPr>
        <w:t xml:space="preserve">Berkes, F. (2023). Advanced Introduction to Resilience. In F. Berkes, </w:t>
      </w:r>
      <w:r w:rsidRPr="007350C0">
        <w:rPr>
          <w:i/>
          <w:iCs/>
          <w:noProof/>
          <w:sz w:val="24"/>
          <w:szCs w:val="24"/>
        </w:rPr>
        <w:t>Advanced Introduction to Resilience</w:t>
      </w:r>
      <w:r w:rsidRPr="007350C0">
        <w:rPr>
          <w:noProof/>
          <w:sz w:val="24"/>
          <w:szCs w:val="24"/>
        </w:rPr>
        <w:t xml:space="preserve"> (pp. 45-132). Manitoba,Canada: Edward Elgar Publishing.</w:t>
      </w:r>
    </w:p>
    <w:p w:rsidR="007350C0" w:rsidRPr="007350C0" w:rsidRDefault="007350C0" w:rsidP="003D4FB8">
      <w:pPr>
        <w:pStyle w:val="Bibliography"/>
        <w:numPr>
          <w:ilvl w:val="0"/>
          <w:numId w:val="2"/>
        </w:numPr>
        <w:spacing w:after="240"/>
        <w:ind w:right="605"/>
        <w:jc w:val="both"/>
        <w:rPr>
          <w:noProof/>
          <w:sz w:val="24"/>
          <w:szCs w:val="24"/>
        </w:rPr>
      </w:pPr>
      <w:r w:rsidRPr="007350C0">
        <w:rPr>
          <w:noProof/>
          <w:sz w:val="24"/>
          <w:szCs w:val="24"/>
        </w:rPr>
        <w:t xml:space="preserve">Cheeseman, K. (2024). Approaches to Community Conservation for Strengthening Nature Outcomes in East Africa . </w:t>
      </w:r>
      <w:r w:rsidRPr="007350C0">
        <w:rPr>
          <w:i/>
          <w:iCs/>
          <w:noProof/>
          <w:sz w:val="24"/>
          <w:szCs w:val="24"/>
        </w:rPr>
        <w:t>Knowledge for Development and Diplomacy (K4DD)</w:t>
      </w:r>
      <w:r w:rsidRPr="007350C0">
        <w:rPr>
          <w:noProof/>
          <w:sz w:val="24"/>
          <w:szCs w:val="24"/>
        </w:rPr>
        <w:t>, 3-17.</w:t>
      </w:r>
    </w:p>
    <w:p w:rsidR="007350C0" w:rsidRPr="007350C0" w:rsidRDefault="007350C0" w:rsidP="003D4FB8">
      <w:pPr>
        <w:pStyle w:val="Bibliography"/>
        <w:numPr>
          <w:ilvl w:val="0"/>
          <w:numId w:val="2"/>
        </w:numPr>
        <w:spacing w:after="240"/>
        <w:ind w:right="605"/>
        <w:jc w:val="both"/>
        <w:rPr>
          <w:noProof/>
          <w:sz w:val="24"/>
          <w:szCs w:val="24"/>
        </w:rPr>
      </w:pPr>
      <w:r w:rsidRPr="007350C0">
        <w:rPr>
          <w:noProof/>
          <w:sz w:val="24"/>
          <w:szCs w:val="24"/>
        </w:rPr>
        <w:t xml:space="preserve">D. Matarrita-Cascante, A. S.-H. (2019). A holistic framework for participatory conservation approaches. </w:t>
      </w:r>
      <w:r w:rsidRPr="007350C0">
        <w:rPr>
          <w:i/>
          <w:iCs/>
          <w:noProof/>
          <w:sz w:val="24"/>
          <w:szCs w:val="24"/>
        </w:rPr>
        <w:t>International journal of sustainable development and world ecology</w:t>
      </w:r>
      <w:r w:rsidRPr="007350C0">
        <w:rPr>
          <w:noProof/>
          <w:sz w:val="24"/>
          <w:szCs w:val="24"/>
        </w:rPr>
        <w:t>, 486-490.</w:t>
      </w:r>
    </w:p>
    <w:p w:rsidR="007350C0" w:rsidRPr="007350C0" w:rsidRDefault="007350C0" w:rsidP="003D4FB8">
      <w:pPr>
        <w:pStyle w:val="Bibliography"/>
        <w:numPr>
          <w:ilvl w:val="0"/>
          <w:numId w:val="2"/>
        </w:numPr>
        <w:spacing w:after="240"/>
        <w:ind w:right="605"/>
        <w:jc w:val="both"/>
        <w:rPr>
          <w:noProof/>
          <w:sz w:val="24"/>
          <w:szCs w:val="24"/>
        </w:rPr>
      </w:pPr>
      <w:r w:rsidRPr="007350C0">
        <w:rPr>
          <w:noProof/>
          <w:sz w:val="24"/>
          <w:szCs w:val="24"/>
        </w:rPr>
        <w:t xml:space="preserve">Emilio, R., . Gavin, M., &amp; Macedo-Bravo, M. O. (2010). Barriers and triggers to community participation across different stages of conservation management. </w:t>
      </w:r>
      <w:r w:rsidRPr="007350C0">
        <w:rPr>
          <w:i/>
          <w:iCs/>
          <w:noProof/>
          <w:sz w:val="24"/>
          <w:szCs w:val="24"/>
        </w:rPr>
        <w:t>Environmental conservation</w:t>
      </w:r>
      <w:r w:rsidRPr="007350C0">
        <w:rPr>
          <w:noProof/>
          <w:sz w:val="24"/>
          <w:szCs w:val="24"/>
        </w:rPr>
        <w:t>, 240.</w:t>
      </w:r>
    </w:p>
    <w:p w:rsidR="007350C0" w:rsidRPr="003D4FB8" w:rsidRDefault="007350C0" w:rsidP="003D4FB8">
      <w:pPr>
        <w:pStyle w:val="ListParagraph"/>
        <w:numPr>
          <w:ilvl w:val="0"/>
          <w:numId w:val="2"/>
        </w:numPr>
        <w:spacing w:before="240" w:after="240" w:line="240" w:lineRule="auto"/>
        <w:ind w:right="605"/>
        <w:jc w:val="both"/>
        <w:rPr>
          <w:rFonts w:ascii="Times New Roman" w:hAnsi="Times New Roman" w:cs="Times New Roman"/>
          <w:noProof/>
          <w:sz w:val="24"/>
          <w:szCs w:val="24"/>
        </w:rPr>
      </w:pPr>
      <w:r w:rsidRPr="003D4FB8">
        <w:rPr>
          <w:rFonts w:ascii="Times New Roman" w:hAnsi="Times New Roman" w:cs="Times New Roman"/>
          <w:noProof/>
          <w:sz w:val="24"/>
          <w:szCs w:val="24"/>
        </w:rPr>
        <w:t xml:space="preserve">Holifield, R., &amp; k., W. (2019). Recruiting, integrating, and sustaining stakeholder participation in environmental management: A case study from the Great Lakes Areas of Concern. </w:t>
      </w:r>
      <w:r w:rsidRPr="003D4FB8">
        <w:rPr>
          <w:rFonts w:ascii="Times New Roman" w:hAnsi="Times New Roman" w:cs="Times New Roman"/>
          <w:i/>
          <w:iCs/>
          <w:noProof/>
          <w:sz w:val="24"/>
          <w:szCs w:val="24"/>
        </w:rPr>
        <w:t>Journal of environmental management</w:t>
      </w:r>
      <w:r w:rsidRPr="003D4FB8">
        <w:rPr>
          <w:rFonts w:ascii="Times New Roman" w:hAnsi="Times New Roman" w:cs="Times New Roman"/>
          <w:noProof/>
          <w:sz w:val="24"/>
          <w:szCs w:val="24"/>
        </w:rPr>
        <w:t>, 422-433</w:t>
      </w:r>
    </w:p>
    <w:p w:rsidR="007350C0" w:rsidRPr="003D4FB8" w:rsidRDefault="007350C0" w:rsidP="003D4FB8">
      <w:pPr>
        <w:pStyle w:val="ListParagraph"/>
        <w:numPr>
          <w:ilvl w:val="0"/>
          <w:numId w:val="2"/>
        </w:numPr>
        <w:spacing w:before="240" w:after="240" w:line="240" w:lineRule="auto"/>
        <w:ind w:right="605"/>
        <w:jc w:val="both"/>
        <w:rPr>
          <w:rFonts w:ascii="Times New Roman" w:hAnsi="Times New Roman" w:cs="Times New Roman"/>
          <w:noProof/>
          <w:sz w:val="24"/>
          <w:szCs w:val="24"/>
        </w:rPr>
      </w:pPr>
      <w:r w:rsidRPr="003D4FB8">
        <w:rPr>
          <w:rFonts w:ascii="Times New Roman" w:hAnsi="Times New Roman" w:cs="Times New Roman"/>
          <w:noProof/>
          <w:sz w:val="24"/>
          <w:szCs w:val="24"/>
        </w:rPr>
        <w:t>K</w:t>
      </w:r>
      <w:r w:rsidRPr="003D4FB8">
        <w:rPr>
          <w:rFonts w:ascii="Times New Roman" w:hAnsi="Times New Roman" w:cs="Times New Roman"/>
          <w:noProof/>
          <w:sz w:val="24"/>
          <w:szCs w:val="24"/>
        </w:rPr>
        <w:t>oricha, H. G., &amp; Jemal Adem, M. (2024). Investigated the role of community</w:t>
      </w:r>
      <w:r w:rsidR="003D4FB8">
        <w:rPr>
          <w:rFonts w:ascii="Times New Roman" w:hAnsi="Times New Roman" w:cs="Times New Roman"/>
          <w:noProof/>
          <w:sz w:val="24"/>
          <w:szCs w:val="24"/>
        </w:rPr>
        <w:t>-</w:t>
      </w:r>
      <w:r w:rsidRPr="003D4FB8">
        <w:rPr>
          <w:rFonts w:ascii="Times New Roman" w:hAnsi="Times New Roman" w:cs="Times New Roman"/>
          <w:noProof/>
          <w:sz w:val="24"/>
          <w:szCs w:val="24"/>
        </w:rPr>
        <w:t xml:space="preserve">based approaches for biodiversity conservation and socio-economic development in Bale Mountains National Park, Southeast Ethiopia. </w:t>
      </w:r>
      <w:r w:rsidRPr="003D4FB8">
        <w:rPr>
          <w:rFonts w:ascii="Times New Roman" w:hAnsi="Times New Roman" w:cs="Times New Roman"/>
          <w:i/>
          <w:iCs/>
          <w:noProof/>
          <w:sz w:val="24"/>
          <w:szCs w:val="24"/>
        </w:rPr>
        <w:t>Scientific Reports</w:t>
      </w:r>
      <w:r w:rsidRPr="003D4FB8">
        <w:rPr>
          <w:rFonts w:ascii="Times New Roman" w:hAnsi="Times New Roman" w:cs="Times New Roman"/>
          <w:noProof/>
          <w:sz w:val="24"/>
          <w:szCs w:val="24"/>
        </w:rPr>
        <w:t>, 12241.</w:t>
      </w:r>
    </w:p>
    <w:p w:rsidR="007350C0" w:rsidRPr="007350C0" w:rsidRDefault="007350C0" w:rsidP="0021560F">
      <w:pPr>
        <w:spacing w:before="240" w:after="240" w:line="240" w:lineRule="auto"/>
        <w:ind w:left="605" w:right="605"/>
        <w:jc w:val="both"/>
        <w:rPr>
          <w:rFonts w:ascii="Times New Roman" w:hAnsi="Times New Roman" w:cs="Times New Roman"/>
          <w:sz w:val="24"/>
          <w:szCs w:val="24"/>
        </w:rPr>
      </w:pPr>
    </w:p>
    <w:sectPr w:rsidR="007350C0" w:rsidRPr="007350C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CharisSIL">
    <w:altName w:val="MS Gothic"/>
    <w:panose1 w:val="00000000000000000000"/>
    <w:charset w:val="80"/>
    <w:family w:val="swiss"/>
    <w:notTrueType/>
    <w:pitch w:val="default"/>
    <w:sig w:usb0="00000001" w:usb1="08070000" w:usb2="00000010" w:usb3="00000000" w:csb0="00020000" w:csb1="00000000"/>
  </w:font>
  <w:font w:name="CIDFont+F3">
    <w:altName w:val="Yu Gothic UI"/>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B1C6E"/>
    <w:multiLevelType w:val="hybridMultilevel"/>
    <w:tmpl w:val="BCEE6D54"/>
    <w:lvl w:ilvl="0" w:tplc="0409000F">
      <w:start w:val="1"/>
      <w:numFmt w:val="decimal"/>
      <w:lvlText w:val="%1."/>
      <w:lvlJc w:val="left"/>
      <w:pPr>
        <w:ind w:left="1325" w:hanging="360"/>
      </w:pPr>
    </w:lvl>
    <w:lvl w:ilvl="1" w:tplc="04090019" w:tentative="1">
      <w:start w:val="1"/>
      <w:numFmt w:val="lowerLetter"/>
      <w:lvlText w:val="%2."/>
      <w:lvlJc w:val="left"/>
      <w:pPr>
        <w:ind w:left="2045" w:hanging="360"/>
      </w:pPr>
    </w:lvl>
    <w:lvl w:ilvl="2" w:tplc="0409001B" w:tentative="1">
      <w:start w:val="1"/>
      <w:numFmt w:val="lowerRoman"/>
      <w:lvlText w:val="%3."/>
      <w:lvlJc w:val="right"/>
      <w:pPr>
        <w:ind w:left="2765" w:hanging="180"/>
      </w:pPr>
    </w:lvl>
    <w:lvl w:ilvl="3" w:tplc="0409000F" w:tentative="1">
      <w:start w:val="1"/>
      <w:numFmt w:val="decimal"/>
      <w:lvlText w:val="%4."/>
      <w:lvlJc w:val="left"/>
      <w:pPr>
        <w:ind w:left="3485" w:hanging="360"/>
      </w:pPr>
    </w:lvl>
    <w:lvl w:ilvl="4" w:tplc="04090019" w:tentative="1">
      <w:start w:val="1"/>
      <w:numFmt w:val="lowerLetter"/>
      <w:lvlText w:val="%5."/>
      <w:lvlJc w:val="left"/>
      <w:pPr>
        <w:ind w:left="4205" w:hanging="360"/>
      </w:pPr>
    </w:lvl>
    <w:lvl w:ilvl="5" w:tplc="0409001B" w:tentative="1">
      <w:start w:val="1"/>
      <w:numFmt w:val="lowerRoman"/>
      <w:lvlText w:val="%6."/>
      <w:lvlJc w:val="right"/>
      <w:pPr>
        <w:ind w:left="4925" w:hanging="180"/>
      </w:pPr>
    </w:lvl>
    <w:lvl w:ilvl="6" w:tplc="0409000F" w:tentative="1">
      <w:start w:val="1"/>
      <w:numFmt w:val="decimal"/>
      <w:lvlText w:val="%7."/>
      <w:lvlJc w:val="left"/>
      <w:pPr>
        <w:ind w:left="5645" w:hanging="360"/>
      </w:pPr>
    </w:lvl>
    <w:lvl w:ilvl="7" w:tplc="04090019" w:tentative="1">
      <w:start w:val="1"/>
      <w:numFmt w:val="lowerLetter"/>
      <w:lvlText w:val="%8."/>
      <w:lvlJc w:val="left"/>
      <w:pPr>
        <w:ind w:left="6365" w:hanging="360"/>
      </w:pPr>
    </w:lvl>
    <w:lvl w:ilvl="8" w:tplc="0409001B" w:tentative="1">
      <w:start w:val="1"/>
      <w:numFmt w:val="lowerRoman"/>
      <w:lvlText w:val="%9."/>
      <w:lvlJc w:val="right"/>
      <w:pPr>
        <w:ind w:left="7085" w:hanging="180"/>
      </w:pPr>
    </w:lvl>
  </w:abstractNum>
  <w:abstractNum w:abstractNumId="1" w15:restartNumberingAfterBreak="0">
    <w:nsid w:val="27AB0CB6"/>
    <w:multiLevelType w:val="multilevel"/>
    <w:tmpl w:val="99FCD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5CC2"/>
    <w:rsid w:val="00052528"/>
    <w:rsid w:val="0021560F"/>
    <w:rsid w:val="00334AD9"/>
    <w:rsid w:val="003D4FB8"/>
    <w:rsid w:val="004C0F6A"/>
    <w:rsid w:val="007350C0"/>
    <w:rsid w:val="008641C2"/>
    <w:rsid w:val="00A52A94"/>
    <w:rsid w:val="00BC21F7"/>
    <w:rsid w:val="00D23AE2"/>
    <w:rsid w:val="00E10087"/>
    <w:rsid w:val="00F95CC2"/>
    <w:rsid w:val="00FA10ED"/>
    <w:rsid w:val="00FA2F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00328F"/>
  <w15:chartTrackingRefBased/>
  <w15:docId w15:val="{A75E3C07-CB24-4626-B930-B910D9928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1"/>
    <w:qFormat/>
    <w:rsid w:val="00F95CC2"/>
    <w:pPr>
      <w:widowControl w:val="0"/>
      <w:autoSpaceDE w:val="0"/>
      <w:autoSpaceDN w:val="0"/>
      <w:spacing w:after="0" w:line="240" w:lineRule="auto"/>
      <w:ind w:left="219"/>
      <w:outlineLvl w:val="1"/>
    </w:pPr>
    <w:rPr>
      <w:rFonts w:ascii="Times New Roman" w:eastAsia="Times New Roman" w:hAnsi="Times New Roman" w:cs="Times New Roman"/>
      <w:b/>
      <w:bCs/>
      <w:i/>
      <w:sz w:val="24"/>
      <w:szCs w:val="24"/>
      <w:lang w:bidi="en-US"/>
    </w:rPr>
  </w:style>
  <w:style w:type="paragraph" w:styleId="Heading4">
    <w:name w:val="heading 4"/>
    <w:basedOn w:val="Normal"/>
    <w:next w:val="Normal"/>
    <w:link w:val="Heading4Char"/>
    <w:uiPriority w:val="9"/>
    <w:unhideWhenUsed/>
    <w:qFormat/>
    <w:rsid w:val="00F95CC2"/>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semiHidden/>
    <w:unhideWhenUsed/>
    <w:qFormat/>
    <w:rsid w:val="00BC21F7"/>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95CC2"/>
    <w:rPr>
      <w:color w:val="0563C1" w:themeColor="hyperlink"/>
      <w:u w:val="single"/>
    </w:rPr>
  </w:style>
  <w:style w:type="paragraph" w:styleId="NormalWeb">
    <w:name w:val="Normal (Web)"/>
    <w:basedOn w:val="Normal"/>
    <w:uiPriority w:val="99"/>
    <w:unhideWhenUsed/>
    <w:rsid w:val="00F95CC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95CC2"/>
    <w:rPr>
      <w:b/>
      <w:bCs/>
    </w:rPr>
  </w:style>
  <w:style w:type="character" w:customStyle="1" w:styleId="Heading2Char">
    <w:name w:val="Heading 2 Char"/>
    <w:basedOn w:val="DefaultParagraphFont"/>
    <w:link w:val="Heading2"/>
    <w:uiPriority w:val="1"/>
    <w:rsid w:val="00F95CC2"/>
    <w:rPr>
      <w:rFonts w:ascii="Times New Roman" w:eastAsia="Times New Roman" w:hAnsi="Times New Roman" w:cs="Times New Roman"/>
      <w:b/>
      <w:bCs/>
      <w:i/>
      <w:sz w:val="24"/>
      <w:szCs w:val="24"/>
      <w:lang w:bidi="en-US"/>
    </w:rPr>
  </w:style>
  <w:style w:type="character" w:customStyle="1" w:styleId="whitespace-normal">
    <w:name w:val="whitespace-normal"/>
    <w:basedOn w:val="DefaultParagraphFont"/>
    <w:rsid w:val="00F95CC2"/>
  </w:style>
  <w:style w:type="character" w:customStyle="1" w:styleId="Heading4Char">
    <w:name w:val="Heading 4 Char"/>
    <w:basedOn w:val="DefaultParagraphFont"/>
    <w:link w:val="Heading4"/>
    <w:uiPriority w:val="9"/>
    <w:rsid w:val="00F95CC2"/>
    <w:rPr>
      <w:rFonts w:asciiTheme="majorHAnsi" w:eastAsiaTheme="majorEastAsia" w:hAnsiTheme="majorHAnsi" w:cstheme="majorBidi"/>
      <w:i/>
      <w:iCs/>
      <w:color w:val="2E74B5" w:themeColor="accent1" w:themeShade="BF"/>
    </w:rPr>
  </w:style>
  <w:style w:type="paragraph" w:styleId="Caption">
    <w:name w:val="caption"/>
    <w:basedOn w:val="Normal"/>
    <w:next w:val="Normal"/>
    <w:uiPriority w:val="35"/>
    <w:unhideWhenUsed/>
    <w:qFormat/>
    <w:rsid w:val="00A52A94"/>
    <w:pPr>
      <w:widowControl w:val="0"/>
      <w:autoSpaceDE w:val="0"/>
      <w:autoSpaceDN w:val="0"/>
      <w:spacing w:after="200" w:line="240" w:lineRule="auto"/>
    </w:pPr>
    <w:rPr>
      <w:rFonts w:ascii="Times New Roman" w:eastAsia="Times New Roman" w:hAnsi="Times New Roman" w:cs="Times New Roman"/>
      <w:b/>
      <w:bCs/>
      <w:color w:val="5B9BD5" w:themeColor="accent1"/>
      <w:sz w:val="18"/>
      <w:szCs w:val="18"/>
      <w:lang w:bidi="en-US"/>
    </w:rPr>
  </w:style>
  <w:style w:type="paragraph" w:customStyle="1" w:styleId="isselectedend">
    <w:name w:val="isselectedend"/>
    <w:basedOn w:val="Normal"/>
    <w:rsid w:val="00A52A9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semiHidden/>
    <w:rsid w:val="00BC21F7"/>
    <w:rPr>
      <w:rFonts w:asciiTheme="majorHAnsi" w:eastAsiaTheme="majorEastAsia" w:hAnsiTheme="majorHAnsi" w:cstheme="majorBidi"/>
      <w:color w:val="1F4D78" w:themeColor="accent1" w:themeShade="7F"/>
    </w:rPr>
  </w:style>
  <w:style w:type="table" w:styleId="TableGrid">
    <w:name w:val="Table Grid"/>
    <w:basedOn w:val="TableNormal"/>
    <w:uiPriority w:val="59"/>
    <w:rsid w:val="004C0F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7350C0"/>
    <w:pPr>
      <w:widowControl w:val="0"/>
      <w:autoSpaceDE w:val="0"/>
      <w:autoSpaceDN w:val="0"/>
      <w:spacing w:after="0" w:line="240" w:lineRule="auto"/>
    </w:pPr>
    <w:rPr>
      <w:rFonts w:ascii="Times New Roman" w:eastAsia="Times New Roman" w:hAnsi="Times New Roman" w:cs="Times New Roman"/>
      <w:lang w:bidi="en-US"/>
    </w:rPr>
  </w:style>
  <w:style w:type="paragraph" w:styleId="ListParagraph">
    <w:name w:val="List Paragraph"/>
    <w:basedOn w:val="Normal"/>
    <w:uiPriority w:val="34"/>
    <w:qFormat/>
    <w:rsid w:val="003D4FB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2180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diagramDrawing" Target="diagrams/drawing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diagramColors" Target="diagrams/colors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8D8A8F7-C678-455D-9C1D-A05B5734B43E}" type="doc">
      <dgm:prSet loTypeId="urn:microsoft.com/office/officeart/2005/8/layout/arrow2" loCatId="process" qsTypeId="urn:microsoft.com/office/officeart/2005/8/quickstyle/simple1" qsCatId="simple" csTypeId="urn:microsoft.com/office/officeart/2005/8/colors/accent6_3" csCatId="accent6" phldr="1"/>
      <dgm:spPr/>
    </dgm:pt>
    <dgm:pt modelId="{4B4AE08E-44A4-4CE9-B2EE-74D244627DEF}">
      <dgm:prSet phldrT="[Text]" custT="1"/>
      <dgm:spPr/>
      <dgm:t>
        <a:bodyPr/>
        <a:lstStyle/>
        <a:p>
          <a:r>
            <a:rPr lang="en-US" sz="1200">
              <a:latin typeface="Times New Roman" panose="02020603050405020304" pitchFamily="18" charset="0"/>
              <a:cs typeface="Times New Roman" panose="02020603050405020304" pitchFamily="18" charset="0"/>
            </a:rPr>
            <a:t>Stewarship and reponsibility</a:t>
          </a:r>
        </a:p>
      </dgm:t>
    </dgm:pt>
    <dgm:pt modelId="{42D4813E-C6CA-4EC4-9180-0AD5BA8D79B8}" type="parTrans" cxnId="{5593392C-E4C1-4F62-A8F4-5A901AD0F922}">
      <dgm:prSet/>
      <dgm:spPr/>
      <dgm:t>
        <a:bodyPr/>
        <a:lstStyle/>
        <a:p>
          <a:endParaRPr lang="en-US"/>
        </a:p>
      </dgm:t>
    </dgm:pt>
    <dgm:pt modelId="{064F5D4B-1989-4F97-BCF8-B564229667E4}" type="sibTrans" cxnId="{5593392C-E4C1-4F62-A8F4-5A901AD0F922}">
      <dgm:prSet/>
      <dgm:spPr/>
      <dgm:t>
        <a:bodyPr/>
        <a:lstStyle/>
        <a:p>
          <a:endParaRPr lang="en-US"/>
        </a:p>
      </dgm:t>
    </dgm:pt>
    <dgm:pt modelId="{D1B55926-6264-4615-B31C-F001C24714E5}">
      <dgm:prSet phldrT="[Text]" custT="1"/>
      <dgm:spPr/>
      <dgm:t>
        <a:bodyPr/>
        <a:lstStyle/>
        <a:p>
          <a:r>
            <a:rPr lang="en-US" sz="1200">
              <a:latin typeface="Times New Roman" panose="02020603050405020304" pitchFamily="18" charset="0"/>
              <a:cs typeface="Times New Roman" panose="02020603050405020304" pitchFamily="18" charset="0"/>
            </a:rPr>
            <a:t>Community empowerment</a:t>
          </a:r>
        </a:p>
      </dgm:t>
    </dgm:pt>
    <dgm:pt modelId="{93D1EB8A-EE21-4E0A-89C5-8CE4C6EDE30A}" type="parTrans" cxnId="{1C9CBF15-BC17-49FC-80ED-6C8E6AEA6DBF}">
      <dgm:prSet/>
      <dgm:spPr/>
      <dgm:t>
        <a:bodyPr/>
        <a:lstStyle/>
        <a:p>
          <a:endParaRPr lang="en-US"/>
        </a:p>
      </dgm:t>
    </dgm:pt>
    <dgm:pt modelId="{7F6FCE2E-8509-4DD8-82E3-CB8F8C3D2816}" type="sibTrans" cxnId="{1C9CBF15-BC17-49FC-80ED-6C8E6AEA6DBF}">
      <dgm:prSet/>
      <dgm:spPr/>
      <dgm:t>
        <a:bodyPr/>
        <a:lstStyle/>
        <a:p>
          <a:endParaRPr lang="en-US"/>
        </a:p>
      </dgm:t>
    </dgm:pt>
    <dgm:pt modelId="{1CC89D24-023C-4E12-8F3C-8F0EAEEEDCA4}">
      <dgm:prSet phldrT="[Text]" custT="1"/>
      <dgm:spPr/>
      <dgm:t>
        <a:bodyPr/>
        <a:lstStyle/>
        <a:p>
          <a:r>
            <a:rPr lang="en-US" sz="1200">
              <a:latin typeface="Times New Roman" panose="02020603050405020304" pitchFamily="18" charset="0"/>
              <a:cs typeface="Times New Roman" panose="02020603050405020304" pitchFamily="18" charset="0"/>
            </a:rPr>
            <a:t>Conservation program success</a:t>
          </a:r>
        </a:p>
      </dgm:t>
    </dgm:pt>
    <dgm:pt modelId="{52CD950B-5C02-4F99-A6D3-6C078D860193}" type="parTrans" cxnId="{613052E4-E194-4E06-8B3C-8F083E251EAE}">
      <dgm:prSet/>
      <dgm:spPr/>
      <dgm:t>
        <a:bodyPr/>
        <a:lstStyle/>
        <a:p>
          <a:endParaRPr lang="en-US"/>
        </a:p>
      </dgm:t>
    </dgm:pt>
    <dgm:pt modelId="{F4305A2A-B2A5-4046-A935-A98B7950E15B}" type="sibTrans" cxnId="{613052E4-E194-4E06-8B3C-8F083E251EAE}">
      <dgm:prSet/>
      <dgm:spPr/>
      <dgm:t>
        <a:bodyPr/>
        <a:lstStyle/>
        <a:p>
          <a:endParaRPr lang="en-US"/>
        </a:p>
      </dgm:t>
    </dgm:pt>
    <dgm:pt modelId="{F58D1E51-6C04-4959-8CB5-DB355737E349}">
      <dgm:prSet custT="1"/>
      <dgm:spPr/>
      <dgm:t>
        <a:bodyPr/>
        <a:lstStyle/>
        <a:p>
          <a:r>
            <a:rPr lang="en-US" sz="1200">
              <a:latin typeface="Times New Roman" panose="02020603050405020304" pitchFamily="18" charset="0"/>
              <a:cs typeface="Times New Roman" panose="02020603050405020304" pitchFamily="18" charset="0"/>
            </a:rPr>
            <a:t>Reduced Human-wildlife conflict, conflict between competing stakeholders</a:t>
          </a:r>
        </a:p>
      </dgm:t>
    </dgm:pt>
    <dgm:pt modelId="{ED873782-895E-4BA4-B5EA-2805FD3B7C74}" type="parTrans" cxnId="{B314BCB5-6AE8-43EF-AB26-D2F457A12AA9}">
      <dgm:prSet/>
      <dgm:spPr/>
      <dgm:t>
        <a:bodyPr/>
        <a:lstStyle/>
        <a:p>
          <a:endParaRPr lang="en-US"/>
        </a:p>
      </dgm:t>
    </dgm:pt>
    <dgm:pt modelId="{4F2317FA-51E2-4015-9C02-28F6AD2FFDBE}" type="sibTrans" cxnId="{B314BCB5-6AE8-43EF-AB26-D2F457A12AA9}">
      <dgm:prSet/>
      <dgm:spPr/>
      <dgm:t>
        <a:bodyPr/>
        <a:lstStyle/>
        <a:p>
          <a:endParaRPr lang="en-US"/>
        </a:p>
      </dgm:t>
    </dgm:pt>
    <dgm:pt modelId="{9EA6BCB2-6C8B-4F23-BE4F-E8D95B38251B}">
      <dgm:prSet custT="1"/>
      <dgm:spPr/>
      <dgm:t>
        <a:bodyPr/>
        <a:lstStyle/>
        <a:p>
          <a:r>
            <a:rPr lang="en-US" sz="1200">
              <a:latin typeface="Times New Roman" panose="02020603050405020304" pitchFamily="18" charset="0"/>
              <a:cs typeface="Times New Roman" panose="02020603050405020304" pitchFamily="18" charset="0"/>
            </a:rPr>
            <a:t>Improved livelihood</a:t>
          </a:r>
        </a:p>
      </dgm:t>
    </dgm:pt>
    <dgm:pt modelId="{F29FC6C6-C29A-4731-81E3-9E1CA60EA05C}" type="parTrans" cxnId="{4A842269-DA5E-4E3D-B2BF-52FCB2668016}">
      <dgm:prSet/>
      <dgm:spPr/>
      <dgm:t>
        <a:bodyPr/>
        <a:lstStyle/>
        <a:p>
          <a:endParaRPr lang="en-US"/>
        </a:p>
      </dgm:t>
    </dgm:pt>
    <dgm:pt modelId="{E18719DF-2D57-4222-8686-58F405C3EAEF}" type="sibTrans" cxnId="{4A842269-DA5E-4E3D-B2BF-52FCB2668016}">
      <dgm:prSet/>
      <dgm:spPr/>
      <dgm:t>
        <a:bodyPr/>
        <a:lstStyle/>
        <a:p>
          <a:endParaRPr lang="en-US"/>
        </a:p>
      </dgm:t>
    </dgm:pt>
    <dgm:pt modelId="{E3F1CA55-2320-4656-90B8-5F9A4FBE43D3}">
      <dgm:prSet/>
      <dgm:spPr/>
      <dgm:t>
        <a:bodyPr/>
        <a:lstStyle/>
        <a:p>
          <a:endParaRPr lang="en-US"/>
        </a:p>
      </dgm:t>
    </dgm:pt>
    <dgm:pt modelId="{D42B1560-FFF8-4A60-8C05-128E45BFDF22}" type="parTrans" cxnId="{3AE3C072-BD22-4295-8117-D034F6C29587}">
      <dgm:prSet/>
      <dgm:spPr/>
      <dgm:t>
        <a:bodyPr/>
        <a:lstStyle/>
        <a:p>
          <a:endParaRPr lang="en-US"/>
        </a:p>
      </dgm:t>
    </dgm:pt>
    <dgm:pt modelId="{9E9FA79C-CA49-4A6F-A930-57F022DDF7C6}" type="sibTrans" cxnId="{3AE3C072-BD22-4295-8117-D034F6C29587}">
      <dgm:prSet/>
      <dgm:spPr/>
      <dgm:t>
        <a:bodyPr/>
        <a:lstStyle/>
        <a:p>
          <a:endParaRPr lang="en-US"/>
        </a:p>
      </dgm:t>
    </dgm:pt>
    <dgm:pt modelId="{55F51E35-C464-402C-8611-A52AE55A7F2B}">
      <dgm:prSet/>
      <dgm:spPr/>
      <dgm:t>
        <a:bodyPr/>
        <a:lstStyle/>
        <a:p>
          <a:endParaRPr lang="en-US"/>
        </a:p>
      </dgm:t>
    </dgm:pt>
    <dgm:pt modelId="{AD721AD9-CD6A-4C24-850E-1F2EE8646463}" type="parTrans" cxnId="{1477A097-25A5-40AA-963F-663DD61C2C2C}">
      <dgm:prSet/>
      <dgm:spPr/>
      <dgm:t>
        <a:bodyPr/>
        <a:lstStyle/>
        <a:p>
          <a:endParaRPr lang="en-US"/>
        </a:p>
      </dgm:t>
    </dgm:pt>
    <dgm:pt modelId="{5D189932-6A16-4526-8438-2B2ED7A7EFAA}" type="sibTrans" cxnId="{1477A097-25A5-40AA-963F-663DD61C2C2C}">
      <dgm:prSet/>
      <dgm:spPr/>
      <dgm:t>
        <a:bodyPr/>
        <a:lstStyle/>
        <a:p>
          <a:endParaRPr lang="en-US"/>
        </a:p>
      </dgm:t>
    </dgm:pt>
    <dgm:pt modelId="{2257C21A-2D23-4940-8C80-36ECEA3ABBF8}" type="pres">
      <dgm:prSet presAssocID="{F8D8A8F7-C678-455D-9C1D-A05B5734B43E}" presName="arrowDiagram" presStyleCnt="0">
        <dgm:presLayoutVars>
          <dgm:chMax val="5"/>
          <dgm:dir/>
          <dgm:resizeHandles val="exact"/>
        </dgm:presLayoutVars>
      </dgm:prSet>
      <dgm:spPr/>
    </dgm:pt>
    <dgm:pt modelId="{E81C0FD1-8E34-4446-9584-5DC207E42C9D}" type="pres">
      <dgm:prSet presAssocID="{F8D8A8F7-C678-455D-9C1D-A05B5734B43E}" presName="arrow" presStyleLbl="bgShp" presStyleIdx="0" presStyleCnt="1" custScaleX="110103"/>
      <dgm:spPr/>
    </dgm:pt>
    <dgm:pt modelId="{759DACBA-FB12-4575-BE58-55DB8562F51F}" type="pres">
      <dgm:prSet presAssocID="{F8D8A8F7-C678-455D-9C1D-A05B5734B43E}" presName="arrowDiagram5" presStyleCnt="0"/>
      <dgm:spPr/>
    </dgm:pt>
    <dgm:pt modelId="{5185AD1B-A6EF-453E-ADA2-AEA49C6E8CE3}" type="pres">
      <dgm:prSet presAssocID="{4B4AE08E-44A4-4CE9-B2EE-74D244627DEF}" presName="bullet5a" presStyleLbl="node1" presStyleIdx="0" presStyleCnt="5"/>
      <dgm:spPr/>
    </dgm:pt>
    <dgm:pt modelId="{3323A779-A918-4B3F-B3DA-747AA7C5873D}" type="pres">
      <dgm:prSet presAssocID="{4B4AE08E-44A4-4CE9-B2EE-74D244627DEF}" presName="textBox5a" presStyleLbl="revTx" presStyleIdx="0" presStyleCnt="5" custScaleX="152363">
        <dgm:presLayoutVars>
          <dgm:bulletEnabled val="1"/>
        </dgm:presLayoutVars>
      </dgm:prSet>
      <dgm:spPr/>
      <dgm:t>
        <a:bodyPr/>
        <a:lstStyle/>
        <a:p>
          <a:endParaRPr lang="en-US"/>
        </a:p>
      </dgm:t>
    </dgm:pt>
    <dgm:pt modelId="{85783885-1E3B-42BD-9D0C-307E59577B53}" type="pres">
      <dgm:prSet presAssocID="{D1B55926-6264-4615-B31C-F001C24714E5}" presName="bullet5b" presStyleLbl="node1" presStyleIdx="1" presStyleCnt="5"/>
      <dgm:spPr/>
    </dgm:pt>
    <dgm:pt modelId="{5B90C896-D037-4C2D-BAAB-0BBCD7570D25}" type="pres">
      <dgm:prSet presAssocID="{D1B55926-6264-4615-B31C-F001C24714E5}" presName="textBox5b" presStyleLbl="revTx" presStyleIdx="1" presStyleCnt="5" custScaleX="127783">
        <dgm:presLayoutVars>
          <dgm:bulletEnabled val="1"/>
        </dgm:presLayoutVars>
      </dgm:prSet>
      <dgm:spPr/>
      <dgm:t>
        <a:bodyPr/>
        <a:lstStyle/>
        <a:p>
          <a:endParaRPr lang="en-US"/>
        </a:p>
      </dgm:t>
    </dgm:pt>
    <dgm:pt modelId="{83C2EFCB-C430-44C8-ABBF-B3B55CFEF0BC}" type="pres">
      <dgm:prSet presAssocID="{1CC89D24-023C-4E12-8F3C-8F0EAEEEDCA4}" presName="bullet5c" presStyleLbl="node1" presStyleIdx="2" presStyleCnt="5"/>
      <dgm:spPr/>
    </dgm:pt>
    <dgm:pt modelId="{76C02E49-A3FC-46C0-80D6-0700943B8CA2}" type="pres">
      <dgm:prSet presAssocID="{1CC89D24-023C-4E12-8F3C-8F0EAEEEDCA4}" presName="textBox5c" presStyleLbl="revTx" presStyleIdx="2" presStyleCnt="5">
        <dgm:presLayoutVars>
          <dgm:bulletEnabled val="1"/>
        </dgm:presLayoutVars>
      </dgm:prSet>
      <dgm:spPr/>
      <dgm:t>
        <a:bodyPr/>
        <a:lstStyle/>
        <a:p>
          <a:endParaRPr lang="en-US"/>
        </a:p>
      </dgm:t>
    </dgm:pt>
    <dgm:pt modelId="{D69B117D-D1DC-485F-9375-C64F24DEA967}" type="pres">
      <dgm:prSet presAssocID="{F58D1E51-6C04-4959-8CB5-DB355737E349}" presName="bullet5d" presStyleLbl="node1" presStyleIdx="3" presStyleCnt="5"/>
      <dgm:spPr/>
    </dgm:pt>
    <dgm:pt modelId="{5BE5434E-9935-468B-B1FA-A05D4E97A66B}" type="pres">
      <dgm:prSet presAssocID="{F58D1E51-6C04-4959-8CB5-DB355737E349}" presName="textBox5d" presStyleLbl="revTx" presStyleIdx="3" presStyleCnt="5" custScaleX="133333">
        <dgm:presLayoutVars>
          <dgm:bulletEnabled val="1"/>
        </dgm:presLayoutVars>
      </dgm:prSet>
      <dgm:spPr/>
      <dgm:t>
        <a:bodyPr/>
        <a:lstStyle/>
        <a:p>
          <a:endParaRPr lang="en-US"/>
        </a:p>
      </dgm:t>
    </dgm:pt>
    <dgm:pt modelId="{F412E6A2-D936-44EB-8CB7-9A7CDC75313A}" type="pres">
      <dgm:prSet presAssocID="{9EA6BCB2-6C8B-4F23-BE4F-E8D95B38251B}" presName="bullet5e" presStyleLbl="node1" presStyleIdx="4" presStyleCnt="5"/>
      <dgm:spPr/>
    </dgm:pt>
    <dgm:pt modelId="{BCA1F1FE-0991-4089-8EEF-3B051EBC6651}" type="pres">
      <dgm:prSet presAssocID="{9EA6BCB2-6C8B-4F23-BE4F-E8D95B38251B}" presName="textBox5e" presStyleLbl="revTx" presStyleIdx="4" presStyleCnt="5">
        <dgm:presLayoutVars>
          <dgm:bulletEnabled val="1"/>
        </dgm:presLayoutVars>
      </dgm:prSet>
      <dgm:spPr/>
      <dgm:t>
        <a:bodyPr/>
        <a:lstStyle/>
        <a:p>
          <a:endParaRPr lang="en-US"/>
        </a:p>
      </dgm:t>
    </dgm:pt>
  </dgm:ptLst>
  <dgm:cxnLst>
    <dgm:cxn modelId="{E399F465-B0D7-4E6D-9A6A-18D580A959A4}" type="presOf" srcId="{D1B55926-6264-4615-B31C-F001C24714E5}" destId="{5B90C896-D037-4C2D-BAAB-0BBCD7570D25}" srcOrd="0" destOrd="0" presId="urn:microsoft.com/office/officeart/2005/8/layout/arrow2"/>
    <dgm:cxn modelId="{B314BCB5-6AE8-43EF-AB26-D2F457A12AA9}" srcId="{F8D8A8F7-C678-455D-9C1D-A05B5734B43E}" destId="{F58D1E51-6C04-4959-8CB5-DB355737E349}" srcOrd="3" destOrd="0" parTransId="{ED873782-895E-4BA4-B5EA-2805FD3B7C74}" sibTransId="{4F2317FA-51E2-4015-9C02-28F6AD2FFDBE}"/>
    <dgm:cxn modelId="{3AE3C072-BD22-4295-8117-D034F6C29587}" srcId="{F8D8A8F7-C678-455D-9C1D-A05B5734B43E}" destId="{E3F1CA55-2320-4656-90B8-5F9A4FBE43D3}" srcOrd="6" destOrd="0" parTransId="{D42B1560-FFF8-4A60-8C05-128E45BFDF22}" sibTransId="{9E9FA79C-CA49-4A6F-A930-57F022DDF7C6}"/>
    <dgm:cxn modelId="{A9770C5C-D187-45BA-9F87-76FBAF5377B0}" type="presOf" srcId="{1CC89D24-023C-4E12-8F3C-8F0EAEEEDCA4}" destId="{76C02E49-A3FC-46C0-80D6-0700943B8CA2}" srcOrd="0" destOrd="0" presId="urn:microsoft.com/office/officeart/2005/8/layout/arrow2"/>
    <dgm:cxn modelId="{518E12D3-315D-438A-9F62-6DF6DDEE9DB0}" type="presOf" srcId="{4B4AE08E-44A4-4CE9-B2EE-74D244627DEF}" destId="{3323A779-A918-4B3F-B3DA-747AA7C5873D}" srcOrd="0" destOrd="0" presId="urn:microsoft.com/office/officeart/2005/8/layout/arrow2"/>
    <dgm:cxn modelId="{5593392C-E4C1-4F62-A8F4-5A901AD0F922}" srcId="{F8D8A8F7-C678-455D-9C1D-A05B5734B43E}" destId="{4B4AE08E-44A4-4CE9-B2EE-74D244627DEF}" srcOrd="0" destOrd="0" parTransId="{42D4813E-C6CA-4EC4-9180-0AD5BA8D79B8}" sibTransId="{064F5D4B-1989-4F97-BCF8-B564229667E4}"/>
    <dgm:cxn modelId="{4A842269-DA5E-4E3D-B2BF-52FCB2668016}" srcId="{F8D8A8F7-C678-455D-9C1D-A05B5734B43E}" destId="{9EA6BCB2-6C8B-4F23-BE4F-E8D95B38251B}" srcOrd="4" destOrd="0" parTransId="{F29FC6C6-C29A-4731-81E3-9E1CA60EA05C}" sibTransId="{E18719DF-2D57-4222-8686-58F405C3EAEF}"/>
    <dgm:cxn modelId="{1477A097-25A5-40AA-963F-663DD61C2C2C}" srcId="{F8D8A8F7-C678-455D-9C1D-A05B5734B43E}" destId="{55F51E35-C464-402C-8611-A52AE55A7F2B}" srcOrd="5" destOrd="0" parTransId="{AD721AD9-CD6A-4C24-850E-1F2EE8646463}" sibTransId="{5D189932-6A16-4526-8438-2B2ED7A7EFAA}"/>
    <dgm:cxn modelId="{96E05113-88EA-4B3E-85ED-C58AF487D89B}" type="presOf" srcId="{9EA6BCB2-6C8B-4F23-BE4F-E8D95B38251B}" destId="{BCA1F1FE-0991-4089-8EEF-3B051EBC6651}" srcOrd="0" destOrd="0" presId="urn:microsoft.com/office/officeart/2005/8/layout/arrow2"/>
    <dgm:cxn modelId="{E0711B5A-4958-4F83-B8EF-9A20618B23DC}" type="presOf" srcId="{F8D8A8F7-C678-455D-9C1D-A05B5734B43E}" destId="{2257C21A-2D23-4940-8C80-36ECEA3ABBF8}" srcOrd="0" destOrd="0" presId="urn:microsoft.com/office/officeart/2005/8/layout/arrow2"/>
    <dgm:cxn modelId="{8ADD1DE5-30CB-4D88-BEC8-34950E85AB08}" type="presOf" srcId="{F58D1E51-6C04-4959-8CB5-DB355737E349}" destId="{5BE5434E-9935-468B-B1FA-A05D4E97A66B}" srcOrd="0" destOrd="0" presId="urn:microsoft.com/office/officeart/2005/8/layout/arrow2"/>
    <dgm:cxn modelId="{613052E4-E194-4E06-8B3C-8F083E251EAE}" srcId="{F8D8A8F7-C678-455D-9C1D-A05B5734B43E}" destId="{1CC89D24-023C-4E12-8F3C-8F0EAEEEDCA4}" srcOrd="2" destOrd="0" parTransId="{52CD950B-5C02-4F99-A6D3-6C078D860193}" sibTransId="{F4305A2A-B2A5-4046-A935-A98B7950E15B}"/>
    <dgm:cxn modelId="{1C9CBF15-BC17-49FC-80ED-6C8E6AEA6DBF}" srcId="{F8D8A8F7-C678-455D-9C1D-A05B5734B43E}" destId="{D1B55926-6264-4615-B31C-F001C24714E5}" srcOrd="1" destOrd="0" parTransId="{93D1EB8A-EE21-4E0A-89C5-8CE4C6EDE30A}" sibTransId="{7F6FCE2E-8509-4DD8-82E3-CB8F8C3D2816}"/>
    <dgm:cxn modelId="{1FD07210-E501-4DFE-B8A6-4F62AA047F71}" type="presParOf" srcId="{2257C21A-2D23-4940-8C80-36ECEA3ABBF8}" destId="{E81C0FD1-8E34-4446-9584-5DC207E42C9D}" srcOrd="0" destOrd="0" presId="urn:microsoft.com/office/officeart/2005/8/layout/arrow2"/>
    <dgm:cxn modelId="{0B9D4D52-A119-494F-86E2-0449000FD098}" type="presParOf" srcId="{2257C21A-2D23-4940-8C80-36ECEA3ABBF8}" destId="{759DACBA-FB12-4575-BE58-55DB8562F51F}" srcOrd="1" destOrd="0" presId="urn:microsoft.com/office/officeart/2005/8/layout/arrow2"/>
    <dgm:cxn modelId="{11FB2560-61BD-4672-918D-8F20CBCA6D08}" type="presParOf" srcId="{759DACBA-FB12-4575-BE58-55DB8562F51F}" destId="{5185AD1B-A6EF-453E-ADA2-AEA49C6E8CE3}" srcOrd="0" destOrd="0" presId="urn:microsoft.com/office/officeart/2005/8/layout/arrow2"/>
    <dgm:cxn modelId="{5DBF9503-0972-456A-8626-75FB1D196A86}" type="presParOf" srcId="{759DACBA-FB12-4575-BE58-55DB8562F51F}" destId="{3323A779-A918-4B3F-B3DA-747AA7C5873D}" srcOrd="1" destOrd="0" presId="urn:microsoft.com/office/officeart/2005/8/layout/arrow2"/>
    <dgm:cxn modelId="{76D38797-CA3B-417B-93BF-BBFEF9994F5E}" type="presParOf" srcId="{759DACBA-FB12-4575-BE58-55DB8562F51F}" destId="{85783885-1E3B-42BD-9D0C-307E59577B53}" srcOrd="2" destOrd="0" presId="urn:microsoft.com/office/officeart/2005/8/layout/arrow2"/>
    <dgm:cxn modelId="{899BE28D-0C73-4724-B96F-1C1CCABF0308}" type="presParOf" srcId="{759DACBA-FB12-4575-BE58-55DB8562F51F}" destId="{5B90C896-D037-4C2D-BAAB-0BBCD7570D25}" srcOrd="3" destOrd="0" presId="urn:microsoft.com/office/officeart/2005/8/layout/arrow2"/>
    <dgm:cxn modelId="{C6941355-F7D5-485D-A8C3-C46297D83FD2}" type="presParOf" srcId="{759DACBA-FB12-4575-BE58-55DB8562F51F}" destId="{83C2EFCB-C430-44C8-ABBF-B3B55CFEF0BC}" srcOrd="4" destOrd="0" presId="urn:microsoft.com/office/officeart/2005/8/layout/arrow2"/>
    <dgm:cxn modelId="{8FA68259-A11F-4881-98E9-20F3782596C2}" type="presParOf" srcId="{759DACBA-FB12-4575-BE58-55DB8562F51F}" destId="{76C02E49-A3FC-46C0-80D6-0700943B8CA2}" srcOrd="5" destOrd="0" presId="urn:microsoft.com/office/officeart/2005/8/layout/arrow2"/>
    <dgm:cxn modelId="{339C35E9-7418-4DA8-A214-6CACFB35C653}" type="presParOf" srcId="{759DACBA-FB12-4575-BE58-55DB8562F51F}" destId="{D69B117D-D1DC-485F-9375-C64F24DEA967}" srcOrd="6" destOrd="0" presId="urn:microsoft.com/office/officeart/2005/8/layout/arrow2"/>
    <dgm:cxn modelId="{767467B2-6E39-4779-9703-7BA095014A34}" type="presParOf" srcId="{759DACBA-FB12-4575-BE58-55DB8562F51F}" destId="{5BE5434E-9935-468B-B1FA-A05D4E97A66B}" srcOrd="7" destOrd="0" presId="urn:microsoft.com/office/officeart/2005/8/layout/arrow2"/>
    <dgm:cxn modelId="{24C70EF6-F83A-4B6A-8779-16C335465180}" type="presParOf" srcId="{759DACBA-FB12-4575-BE58-55DB8562F51F}" destId="{F412E6A2-D936-44EB-8CB7-9A7CDC75313A}" srcOrd="8" destOrd="0" presId="urn:microsoft.com/office/officeart/2005/8/layout/arrow2"/>
    <dgm:cxn modelId="{61111C58-6FC8-414A-B55D-C78B67323A28}" type="presParOf" srcId="{759DACBA-FB12-4575-BE58-55DB8562F51F}" destId="{BCA1F1FE-0991-4089-8EEF-3B051EBC6651}" srcOrd="9" destOrd="0" presId="urn:microsoft.com/office/officeart/2005/8/layout/arrow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1C0FD1-8E34-4446-9584-5DC207E42C9D}">
      <dsp:nvSpPr>
        <dsp:cNvPr id="0" name=""/>
        <dsp:cNvSpPr/>
      </dsp:nvSpPr>
      <dsp:spPr>
        <a:xfrm>
          <a:off x="243223" y="0"/>
          <a:ext cx="4604348" cy="2613660"/>
        </a:xfrm>
        <a:prstGeom prst="swooshArrow">
          <a:avLst>
            <a:gd name="adj1" fmla="val 25000"/>
            <a:gd name="adj2" fmla="val 25000"/>
          </a:avLst>
        </a:prstGeom>
        <a:solidFill>
          <a:schemeClr val="accent6">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185AD1B-A6EF-453E-ADA2-AEA49C6E8CE3}">
      <dsp:nvSpPr>
        <dsp:cNvPr id="0" name=""/>
        <dsp:cNvSpPr/>
      </dsp:nvSpPr>
      <dsp:spPr>
        <a:xfrm>
          <a:off x="866382" y="1943517"/>
          <a:ext cx="96182" cy="96182"/>
        </a:xfrm>
        <a:prstGeom prst="ellipse">
          <a:avLst/>
        </a:prstGeom>
        <a:solidFill>
          <a:schemeClr val="accent6">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323A779-A918-4B3F-B3DA-747AA7C5873D}">
      <dsp:nvSpPr>
        <dsp:cNvPr id="0" name=""/>
        <dsp:cNvSpPr/>
      </dsp:nvSpPr>
      <dsp:spPr>
        <a:xfrm>
          <a:off x="771045" y="1991608"/>
          <a:ext cx="834679" cy="6220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0965" tIns="0" rIns="0" bIns="0" numCol="1" spcCol="1270" anchor="t" anchorCtr="0">
          <a:noAutofit/>
        </a:bodyPr>
        <a:lstStyle/>
        <a:p>
          <a:pPr lvl="0" algn="l"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Stewarship and reponsibility</a:t>
          </a:r>
        </a:p>
      </dsp:txBody>
      <dsp:txXfrm>
        <a:off x="771045" y="1991608"/>
        <a:ext cx="834679" cy="622051"/>
      </dsp:txXfrm>
    </dsp:sp>
    <dsp:sp modelId="{85783885-1E3B-42BD-9D0C-307E59577B53}">
      <dsp:nvSpPr>
        <dsp:cNvPr id="0" name=""/>
        <dsp:cNvSpPr/>
      </dsp:nvSpPr>
      <dsp:spPr>
        <a:xfrm>
          <a:off x="1387023" y="1443263"/>
          <a:ext cx="150546" cy="150546"/>
        </a:xfrm>
        <a:prstGeom prst="ellipse">
          <a:avLst/>
        </a:prstGeom>
        <a:solidFill>
          <a:schemeClr val="accent6">
            <a:shade val="80000"/>
            <a:hueOff val="80320"/>
            <a:satOff val="-3227"/>
            <a:lumOff val="690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B90C896-D037-4C2D-BAAB-0BBCD7570D25}">
      <dsp:nvSpPr>
        <dsp:cNvPr id="0" name=""/>
        <dsp:cNvSpPr/>
      </dsp:nvSpPr>
      <dsp:spPr>
        <a:xfrm>
          <a:off x="1365863" y="1518536"/>
          <a:ext cx="887054" cy="109512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9772" tIns="0" rIns="0" bIns="0" numCol="1" spcCol="1270" anchor="t" anchorCtr="0">
          <a:noAutofit/>
        </a:bodyPr>
        <a:lstStyle/>
        <a:p>
          <a:pPr lvl="0" algn="l"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Community empowerment</a:t>
          </a:r>
        </a:p>
      </dsp:txBody>
      <dsp:txXfrm>
        <a:off x="1365863" y="1518536"/>
        <a:ext cx="887054" cy="1095123"/>
      </dsp:txXfrm>
    </dsp:sp>
    <dsp:sp modelId="{83C2EFCB-C430-44C8-ABBF-B3B55CFEF0BC}">
      <dsp:nvSpPr>
        <dsp:cNvPr id="0" name=""/>
        <dsp:cNvSpPr/>
      </dsp:nvSpPr>
      <dsp:spPr>
        <a:xfrm>
          <a:off x="2056120" y="1044418"/>
          <a:ext cx="200729" cy="200729"/>
        </a:xfrm>
        <a:prstGeom prst="ellipse">
          <a:avLst/>
        </a:prstGeom>
        <a:solidFill>
          <a:schemeClr val="accent6">
            <a:shade val="80000"/>
            <a:hueOff val="160640"/>
            <a:satOff val="-6455"/>
            <a:lumOff val="1381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6C02E49-A3FC-46C0-80D6-0700943B8CA2}">
      <dsp:nvSpPr>
        <dsp:cNvPr id="0" name=""/>
        <dsp:cNvSpPr/>
      </dsp:nvSpPr>
      <dsp:spPr>
        <a:xfrm>
          <a:off x="2156484" y="1144783"/>
          <a:ext cx="807098" cy="14688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6362" tIns="0" rIns="0" bIns="0" numCol="1" spcCol="1270" anchor="t" anchorCtr="0">
          <a:noAutofit/>
        </a:bodyPr>
        <a:lstStyle/>
        <a:p>
          <a:pPr lvl="0" algn="l"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Conservation program success</a:t>
          </a:r>
        </a:p>
      </dsp:txBody>
      <dsp:txXfrm>
        <a:off x="2156484" y="1144783"/>
        <a:ext cx="807098" cy="1468876"/>
      </dsp:txXfrm>
    </dsp:sp>
    <dsp:sp modelId="{D69B117D-D1DC-485F-9375-C64F24DEA967}">
      <dsp:nvSpPr>
        <dsp:cNvPr id="0" name=""/>
        <dsp:cNvSpPr/>
      </dsp:nvSpPr>
      <dsp:spPr>
        <a:xfrm>
          <a:off x="2833945" y="732870"/>
          <a:ext cx="259275" cy="259275"/>
        </a:xfrm>
        <a:prstGeom prst="ellipse">
          <a:avLst/>
        </a:prstGeom>
        <a:solidFill>
          <a:schemeClr val="accent6">
            <a:shade val="80000"/>
            <a:hueOff val="240960"/>
            <a:satOff val="-9682"/>
            <a:lumOff val="2072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BE5434E-9935-468B-B1FA-A05D4E97A66B}">
      <dsp:nvSpPr>
        <dsp:cNvPr id="0" name=""/>
        <dsp:cNvSpPr/>
      </dsp:nvSpPr>
      <dsp:spPr>
        <a:xfrm>
          <a:off x="2824189" y="862507"/>
          <a:ext cx="1115158" cy="17511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7384" tIns="0" rIns="0" bIns="0" numCol="1" spcCol="1270" anchor="t" anchorCtr="0">
          <a:noAutofit/>
        </a:bodyPr>
        <a:lstStyle/>
        <a:p>
          <a:pPr lvl="0" algn="l"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Reduced Human-wildlife conflict, conflict between competing stakeholders</a:t>
          </a:r>
        </a:p>
      </dsp:txBody>
      <dsp:txXfrm>
        <a:off x="2824189" y="862507"/>
        <a:ext cx="1115158" cy="1751152"/>
      </dsp:txXfrm>
    </dsp:sp>
    <dsp:sp modelId="{F412E6A2-D936-44EB-8CB7-9A7CDC75313A}">
      <dsp:nvSpPr>
        <dsp:cNvPr id="0" name=""/>
        <dsp:cNvSpPr/>
      </dsp:nvSpPr>
      <dsp:spPr>
        <a:xfrm>
          <a:off x="3634770" y="524822"/>
          <a:ext cx="330366" cy="330366"/>
        </a:xfrm>
        <a:prstGeom prst="ellipse">
          <a:avLst/>
        </a:prstGeom>
        <a:solidFill>
          <a:schemeClr val="accent6">
            <a:shade val="80000"/>
            <a:hueOff val="321280"/>
            <a:satOff val="-12909"/>
            <a:lumOff val="27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CA1F1FE-0991-4089-8EEF-3B051EBC6651}">
      <dsp:nvSpPr>
        <dsp:cNvPr id="0" name=""/>
        <dsp:cNvSpPr/>
      </dsp:nvSpPr>
      <dsp:spPr>
        <a:xfrm>
          <a:off x="3799954" y="690006"/>
          <a:ext cx="836371" cy="192365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5054" tIns="0" rIns="0" bIns="0" numCol="1" spcCol="1270" anchor="t" anchorCtr="0">
          <a:noAutofit/>
        </a:bodyPr>
        <a:lstStyle/>
        <a:p>
          <a:pPr lvl="0" algn="l"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Improved livelihood</a:t>
          </a:r>
        </a:p>
      </dsp:txBody>
      <dsp:txXfrm>
        <a:off x="3799954" y="690006"/>
        <a:ext cx="836371" cy="1923653"/>
      </dsp:txXfrm>
    </dsp:sp>
  </dsp:spTree>
</dsp:drawing>
</file>

<file path=word/diagrams/layout1.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Büs20</b:Tag>
    <b:SourceType>BookSection</b:SourceType>
    <b:Guid>{E9968C8F-3D19-4D93-8550-44CE51F79553}</b:Guid>
    <b:Author>
      <b:Author>
        <b:NameList>
          <b:Person>
            <b:Last>Büscher</b:Last>
            <b:First>B.</b:First>
          </b:Person>
          <b:Person>
            <b:Last>Fletcher</b:Last>
            <b:First>R.</b:First>
          </b:Person>
        </b:NameList>
      </b:Author>
      <b:BookAuthor>
        <b:NameList>
          <b:Person>
            <b:Last>Büscher</b:Last>
            <b:First>B.</b:First>
          </b:Person>
          <b:Person>
            <b:Last>Fletcher</b:Last>
            <b:First>R.</b:First>
          </b:Person>
        </b:NameList>
      </b:BookAuthor>
    </b:Author>
    <b:Title>The conservation revolution: radical ideas for saving nature beyond the anthropocene</b:Title>
    <b:BookTitle>The conservation revolution: radical ideas for saving nature beyond the anthropocene</b:BookTitle>
    <b:Year>2020</b:Year>
    <b:Pages>2-3</b:Pages>
    <b:City>London</b:City>
    <b:Publisher>Taylor and Francis</b:Publisher>
    <b:RefOrder>1</b:RefOrder>
  </b:Source>
  <b:Source>
    <b:Tag>Rai21</b:Tag>
    <b:SourceType>JournalArticle</b:SourceType>
    <b:Guid>{C84F2214-A644-4D93-A1D1-A717779592E5}</b:Guid>
    <b:Title>Beyond fortress conservation: The long-term integration of natural and social science research for an inclusive conservation practice in India</b:Title>
    <b:Year>2021</b:Year>
    <b:Pages>1-5</b:Pages>
    <b:Author>
      <b:Author>
        <b:NameList>
          <b:Person>
            <b:Last>Rai</b:Last>
            <b:First>N.</b:First>
            <b:Middle>D.</b:Middle>
          </b:Person>
          <b:Person>
            <b:Last>Devy</b:Last>
            <b:First>M.</b:First>
            <b:Middle>S.</b:Middle>
          </b:Person>
          <b:Person>
            <b:Last>Ganesh</b:Last>
            <b:First>T.</b:First>
          </b:Person>
          <b:Person>
            <b:Last>Ganesan</b:Last>
            <b:First>R.,</b:First>
            <b:Middle>Setty, S. R.</b:Middle>
          </b:Person>
          <b:Person>
            <b:Last>Hiremath</b:Last>
            <b:First>A.</b:First>
            <b:Middle>J.</b:Middle>
          </b:Person>
          <b:Person>
            <b:Last>Rajan</b:Last>
            <b:First>P.</b:First>
            <b:Middle>D.</b:Middle>
          </b:Person>
        </b:NameList>
      </b:Author>
    </b:Author>
    <b:JournalName>Biological Conservation</b:JournalName>
    <b:RefOrder>2</b:RefOrder>
  </b:Source>
  <b:Source>
    <b:Tag>Gal21</b:Tag>
    <b:SourceType>JournalArticle</b:SourceType>
    <b:Guid>{48228DB5-7E66-4614-A6B7-3007F017945A}</b:Guid>
    <b:Author>
      <b:Author>
        <b:NameList>
          <b:Person>
            <b:Last>Galvin</b:Last>
            <b:First>K.,</b:First>
            <b:Middle>Bruno, J. E., Reid, R. S.</b:Middle>
          </b:Person>
          <b:Person>
            <b:Last>Rowland</b:Last>
            <b:First>M.</b:First>
            <b:Middle>M.</b:Middle>
          </b:Person>
          <b:Person>
            <b:Last>Pickering</b:Last>
            <b:First>T.</b:First>
          </b:Person>
          <b:Person>
            <b:Last>Walker</b:Last>
            <b:First>S.</b:First>
            <b:Middle>E.</b:Middle>
          </b:Person>
          <b:Person>
            <b:Last>Jablonski</b:Last>
            <b:First>K.(</b:First>
          </b:Person>
        </b:NameList>
      </b:Author>
    </b:Author>
    <b:Title>Rangelands Pogram Assesment,  Northern rangelands trust.</b:Title>
    <b:JournalName>U.S Agency for International development</b:JournalName>
    <b:Year>2021</b:Year>
    <b:Pages>13-15</b:Pages>
    <b:RefOrder>3</b:RefOrder>
  </b:Source>
  <b:Source>
    <b:Tag>Boc16</b:Tag>
    <b:SourceType>JournalArticle</b:SourceType>
    <b:Guid>{E619EA94-917C-4E9E-AC00-3541CAE88338}</b:Guid>
    <b:Author>
      <b:Author>
        <b:NameList>
          <b:Person>
            <b:Last>Bockstael</b:Last>
            <b:First>E.</b:First>
          </b:Person>
          <b:Person>
            <b:Last>Bahia</b:Last>
            <b:First>N.</b:First>
            <b:Middle>C.</b:Middle>
          </b:Person>
          <b:Person>
            <b:Last>Seixas</b:Last>
            <b:First>C.</b:First>
            <b:Middle>S.</b:Middle>
          </b:Person>
          <b:Person>
            <b:Last>Berkes</b:Last>
            <b:First>F</b:First>
          </b:Person>
        </b:NameList>
      </b:Author>
    </b:Author>
    <b:Title>Participation in protected area management planning in coastal Brazil</b:Title>
    <b:JournalName>Environmental Science &amp; Policy</b:JournalName>
    <b:Year>2016</b:Year>
    <b:Pages>1-10</b:Pages>
    <b:RefOrder>5</b:RefOrder>
  </b:Source>
  <b:Source>
    <b:Tag>Che24</b:Tag>
    <b:SourceType>JournalArticle</b:SourceType>
    <b:Guid>{37C3F24A-1E89-45AD-AA5E-D86D5CB394EC}</b:Guid>
    <b:Author>
      <b:Author>
        <b:NameList>
          <b:Person>
            <b:Last>Cheeseman</b:Last>
            <b:First>K</b:First>
          </b:Person>
        </b:NameList>
      </b:Author>
    </b:Author>
    <b:Title>Approaches to Community Conservation for Strengthening Nature Outcomes in East Africa. K4DD Rapid Evidence Review 115</b:Title>
    <b:JournalName>Institute of Development Studies.</b:JournalName>
    <b:Year>2024</b:Year>
    <b:Pages>4-17</b:Pages>
    <b:RefOrder>13</b:RefOrder>
  </b:Source>
  <b:Source>
    <b:Tag>Erb18</b:Tag>
    <b:SourceType>JournalArticle</b:SourceType>
    <b:Guid>{2C427751-FC2B-4209-8788-1EF2B5DC98E1}</b:Guid>
    <b:Author>
      <b:Author>
        <b:NameList>
          <b:Person>
            <b:Last>Erbaugh</b:Last>
            <b:First>J.</b:First>
            <b:Middle>T., Oldekop, J. A.</b:Middle>
          </b:Person>
        </b:NameList>
      </b:Author>
    </b:Author>
    <b:Title> Forest landscape restoration for livelihoods and well-being</b:Title>
    <b:JournalName>Current Opinion in Environmental Sustainability</b:JournalName>
    <b:Year>2018</b:Year>
    <b:Pages>76-83</b:Pages>
    <b:RefOrder>15</b:RefOrder>
  </b:Source>
  <b:Source>
    <b:Tag>Man16</b:Tag>
    <b:SourceType>JournalArticle</b:SourceType>
    <b:Guid>{8BDE8942-A0D6-4588-B612-5E748ABA33A7}</b:Guid>
    <b:Author>
      <b:Author>
        <b:NameList>
          <b:Person>
            <b:Last>Manzini</b:Last>
            <b:First>E.</b:First>
          </b:Person>
        </b:NameList>
      </b:Author>
    </b:Author>
    <b:Title>Design culture and dialogic design.</b:Title>
    <b:JournalName>Design Issues</b:JournalName>
    <b:Year>2016</b:Year>
    <b:Pages>52-59</b:Pages>
    <b:RefOrder>17</b:RefOrder>
  </b:Source>
  <b:Source>
    <b:Tag>Daw24</b:Tag>
    <b:SourceType>JournalArticle</b:SourceType>
    <b:Guid>{CAB69FF1-FB94-44E0-B582-9CD2543678D2}</b:Guid>
    <b:Author>
      <b:Author>
        <b:NameList>
          <b:Person>
            <b:Last>Dawson</b:Last>
            <b:First>N.</b:First>
            <b:Middle>M.</b:Middle>
          </b:Person>
          <b:Person>
            <b:Last>Coolsaet</b:Last>
            <b:First>B.,</b:First>
            <b:Middle>Bhardwaj, A.</b:Middle>
          </b:Person>
          <b:Person>
            <b:Last>Booker</b:Last>
            <b:First>F.</b:First>
          </b:Person>
          <b:Person>
            <b:Last>Brown</b:Last>
            <b:First>D.</b:First>
          </b:Person>
          <b:Person>
            <b:Last>Lliso</b:Last>
            <b:First>B.</b:First>
          </b:Person>
          <b:Person>
            <b:Last>Worsdell</b:Last>
            <b:First>T.</b:First>
          </b:Person>
        </b:NameList>
      </b:Author>
    </b:Author>
    <b:Title>Is it just conservation? A typology of Indigenous peoples’ and local communities’ roles in conserving biodiversity.</b:Title>
    <b:JournalName>One earth</b:JournalName>
    <b:Year>2024</b:Year>
    <b:Pages>1007-1021</b:Pages>
    <b:RefOrder>18</b:RefOrder>
  </b:Source>
  <b:Source>
    <b:Tag>Ken26</b:Tag>
    <b:SourceType>Report</b:SourceType>
    <b:Guid>{01CC703C-EA2E-4960-9E80-FF569F8B4444}</b:Guid>
    <b:Title>Collaboration and Partnerships</b:Title>
    <b:Year>2026</b:Year>
    <b:Author>
      <b:Author>
        <b:NameList>
          <b:Person>
            <b:Last>KWS</b:Last>
          </b:Person>
        </b:NameList>
      </b:Author>
    </b:Author>
    <b:City>nairobi.</b:City>
    <b:RefOrder>19</b:RefOrder>
  </b:Source>
  <b:Source>
    <b:Tag>Bob19</b:Tag>
    <b:SourceType>JournalArticle</b:SourceType>
    <b:Guid>{86AFB793-5D46-49F9-9337-16CF9C205D43}</b:Guid>
    <b:Author>
      <b:Author>
        <b:NameList>
          <b:Person>
            <b:Last>Bobbio</b:Last>
            <b:First>L.</b:First>
          </b:Person>
        </b:NameList>
      </b:Author>
    </b:Author>
    <b:Title>Designing effective public participation</b:Title>
    <b:JournalName> Policy and Society</b:JournalName>
    <b:Year>2019</b:Year>
    <b:Pages>41-57.</b:Pages>
    <b:RefOrder>24</b:RefOrder>
  </b:Source>
  <b:Source>
    <b:Tag>Hur15</b:Tag>
    <b:SourceType>JournalArticle</b:SourceType>
    <b:Guid>{0DB6E475-2380-4933-822F-63113CBA9A33}</b:Guid>
    <b:Author>
      <b:Author>
        <b:NameList>
          <b:Person>
            <b:Last>Hurlbert</b:Last>
            <b:First>M.</b:First>
          </b:Person>
          <b:Person>
            <b:Last>Gupta</b:Last>
            <b:First>J.</b:First>
          </b:Person>
        </b:NameList>
      </b:Author>
    </b:Author>
    <b:Title>The split ladder of participation: A diagnostic, strategic, and evaluation tool to assess when participation is necessary</b:Title>
    <b:Year>2015</b:Year>
    <b:Publisher>Environmental Science &amp; Policy, </b:Publisher>
    <b:JournalName> Environmental Science &amp; Policy</b:JournalName>
    <b:Pages>100-113</b:Pages>
    <b:RefOrder>25</b:RefOrder>
  </b:Source>
  <b:Source>
    <b:Tag>Har25</b:Tag>
    <b:SourceType>JournalArticle</b:SourceType>
    <b:Guid>{9D956969-E98D-4C6F-9DAB-754C8FE123EF}</b:Guid>
    <b:Author>
      <b:Author>
        <b:NameList>
          <b:Person>
            <b:Last>Haris</b:Last>
            <b:First>A</b:First>
          </b:Person>
        </b:NameList>
      </b:Author>
    </b:Author>
    <b:Title>Enhancing community participation in regional development planning through a bottom-up approach</b:Title>
    <b:JournalName>Proceeding International Conference Of Innovation Science, Technology, Education, Children And Health</b:JournalName>
    <b:Year>2025</b:Year>
    <b:Pages>75-84</b:Pages>
    <b:Publisher>Program Studi DIII Rekam Medis dan Informasi Kesehatan</b:Publisher>
    <b:RefOrder>27</b:RefOrder>
  </b:Source>
  <b:Source>
    <b:Tag>Hol191</b:Tag>
    <b:SourceType>JournalArticle</b:SourceType>
    <b:Guid>{A1065736-3209-4845-9849-85AE79EC2099}</b:Guid>
    <b:Author>
      <b:Author>
        <b:NameList>
          <b:Person>
            <b:Last>Holifield</b:Last>
            <b:First>R</b:First>
          </b:Person>
          <b:Person>
            <b:Last>Williams</b:Last>
            <b:First>K.C.</b:First>
          </b:Person>
        </b:NameList>
      </b:Author>
    </b:Author>
    <b:Title>Recruiting, integrating, and sustaining stakeholder participation in environmental management: A case study from the Great Lakes Areas of Concern,</b:Title>
    <b:JournalName>Journal of environmental management</b:JournalName>
    <b:Year>2019</b:Year>
    <b:Pages>422-433</b:Pages>
    <b:RefOrder>16</b:RefOrder>
  </b:Source>
  <b:Source>
    <b:Tag>Wri16</b:Tag>
    <b:SourceType>JournalArticle</b:SourceType>
    <b:Guid>{0C879429-28BC-41AA-B8ED-A749C8B75596}</b:Guid>
    <b:Author>
      <b:Author>
        <b:NameList>
          <b:Person>
            <b:Last>Wright</b:Last>
            <b:First>J.</b:First>
            <b:Middle>H.</b:Middle>
          </b:Person>
          <b:Person>
            <b:Last>Hill</b:Last>
            <b:First>N.</b:First>
            <b:Middle>A., Roe, D.</b:Middle>
          </b:Person>
          <b:Person>
            <b:Last>Rowcliffe</b:Last>
            <b:First>J.</b:First>
            <b:Middle>M</b:Middle>
          </b:Person>
          <b:Person>
            <b:Last>Kümpel</b:Last>
            <b:First>N.</b:First>
            <b:Middle>F.</b:Middle>
          </b:Person>
          <b:Person>
            <b:Last>Day</b:Last>
            <b:First>M.</b:First>
          </b:Person>
          <b:Person>
            <b:Last>Milner‐Gulland</b:Last>
            <b:First>E.</b:First>
            <b:Middle>J.</b:Middle>
          </b:Person>
        </b:NameList>
      </b:Author>
    </b:Author>
    <b:Title> Reframing the concept of alternative livelihoods. </b:Title>
    <b:JournalName> Conservation Biology</b:JournalName>
    <b:Year>2016</b:Year>
    <b:Pages>7-13</b:Pages>
    <b:RefOrder>31</b:RefOrder>
  </b:Source>
  <b:Source>
    <b:Tag>Ben16</b:Tag>
    <b:SourceType>JournalArticle</b:SourceType>
    <b:Guid>{CB0C8BD2-A5CB-43A4-A30D-75D8D0550A5B}</b:Guid>
    <b:Author>
      <b:Author>
        <b:NameList>
          <b:Person>
            <b:Last>Bennett</b:Last>
            <b:First>N.</b:First>
            <b:Middle>J.</b:Middle>
          </b:Person>
        </b:NameList>
      </b:Author>
    </b:Author>
    <b:Title>Using perceptions as evidence to improve conservation and environmental management.</b:Title>
    <b:JournalName> Conservation biology</b:JournalName>
    <b:Year>2016</b:Year>
    <b:Pages>582-592.</b:Pages>
    <b:RefOrder>32</b:RefOrder>
  </b:Source>
  <b:Source>
    <b:Tag>Mwi20</b:Tag>
    <b:SourceType>Report</b:SourceType>
    <b:Guid>{160FAA41-9971-47A0-98A0-7708D1064375}</b:Guid>
    <b:Title>BOTTOM-UP DESIGN APPROACH:A COMMUNITY-LED INTERVENTION IN FIGHTINGLIFESTYLE DISEASES WITHIN URBAN INFORMALSETTLEMENTS IN NAIROBI, KENYA</b:Title>
    <b:Year>2020</b:Year>
    <b:Author>
      <b:Author>
        <b:NameList>
          <b:Person>
            <b:Last>Mwiti</b:Last>
            <b:First>B.,</b:First>
            <b:Middle>K.</b:Middle>
          </b:Person>
        </b:NameList>
      </b:Author>
    </b:Author>
    <b:Publisher>University of Nairobi</b:Publisher>
    <b:City>Nairobi</b:City>
    <b:RefOrder>34</b:RefOrder>
  </b:Source>
  <b:Source>
    <b:Tag>Sod111</b:Tag>
    <b:SourceType>JournalArticle</b:SourceType>
    <b:Guid>{14A2602F-5FE5-4289-96BC-C3FFC23496BB}</b:Guid>
    <b:Title>Bottom-up Conservation</b:Title>
    <b:Year>2011</b:Year>
    <b:Author>
      <b:Author>
        <b:NameList>
          <b:Person>
            <b:Last>Sodhi</b:Last>
            <b:First>N.S.</b:First>
          </b:Person>
          <b:Person>
            <b:Last>Butler</b:Last>
            <b:First>R.</b:First>
          </b:Person>
          <b:Person>
            <b:Last>Raven</b:Last>
            <b:First>P.</b:First>
            <b:Middle>H.</b:Middle>
          </b:Person>
        </b:NameList>
      </b:Author>
    </b:Author>
    <b:JournalName>BIOTROPICA</b:JournalName>
    <b:Pages>521</b:Pages>
    <b:RefOrder>35</b:RefOrder>
  </b:Source>
  <b:Source>
    <b:Tag>Ami15</b:Tag>
    <b:SourceType>JournalArticle</b:SourceType>
    <b:Guid>{5F6A8B3B-7431-4B51-8A15-7120EF112858}</b:Guid>
    <b:Author>
      <b:Author>
        <b:NameList>
          <b:Person>
            <b:Last>Amineh</b:Last>
            <b:First>R.</b:First>
          </b:Person>
          <b:Person>
            <b:Last>Asl</b:Last>
            <b:First>H.</b:First>
          </b:Person>
        </b:NameList>
      </b:Author>
    </b:Author>
    <b:Title>Review of Constructivism and Social Constructivism</b:Title>
    <b:JournalName>Journal of Social Sciences, Literature and Languages</b:JournalName>
    <b:Year>2015</b:Year>
    <b:Pages>13</b:Pages>
    <b:RefOrder>36</b:RefOrder>
  </b:Source>
  <b:Source>
    <b:Tag>GRO08</b:Tag>
    <b:SourceType>JournalArticle</b:SourceType>
    <b:Guid>{03607574-5C62-4980-B18E-7A45CF1C32EB}</b:Guid>
    <b:Author>
      <b:Author>
        <b:NameList>
          <b:Person>
            <b:Last>Groom</b:Last>
            <b:First>R.</b:First>
          </b:Person>
          <b:Person>
            <b:Last>Harris</b:Last>
            <b:First>S.</b:First>
          </b:Person>
        </b:NameList>
      </b:Author>
    </b:Author>
    <b:Title>Conservation on community lands: the importance of equitable revenue sharing</b:Title>
    <b:JournalName>Environmental Conservation</b:JournalName>
    <b:Year>2008</b:Year>
    <b:Pages>243</b:Pages>
    <b:RefOrder>37</b:RefOrder>
  </b:Source>
</b:Sources>
</file>

<file path=customXml/itemProps1.xml><?xml version="1.0" encoding="utf-8"?>
<ds:datastoreItem xmlns:ds="http://schemas.openxmlformats.org/officeDocument/2006/customXml" ds:itemID="{383FC2DF-BBEE-4CC3-854B-10532D211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21</Pages>
  <Words>6782</Words>
  <Characters>38663</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cp:revision>
  <dcterms:created xsi:type="dcterms:W3CDTF">2026-06-25T13:18:00Z</dcterms:created>
  <dcterms:modified xsi:type="dcterms:W3CDTF">2026-06-25T16:56:00Z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de10e0f1-417d-49c0-a0ae-1efc23493263</vt:lpwstr>
  </property>
</Properties>
</file>