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3CD3" w14:textId="59D0B6FB" w:rsidR="00344004" w:rsidRPr="008B1B25" w:rsidRDefault="00DB4EAF" w:rsidP="00344004">
      <w:pPr>
        <w:spacing w:line="240" w:lineRule="auto"/>
        <w:jc w:val="center"/>
        <w:outlineLvl w:val="0"/>
        <w:rPr>
          <w:rFonts w:cs="Times New Roman"/>
          <w:b/>
          <w:sz w:val="32"/>
          <w:szCs w:val="32"/>
        </w:rPr>
      </w:pPr>
      <w:r w:rsidRPr="008B1B25">
        <w:rPr>
          <w:rFonts w:cs="Times New Roman"/>
          <w:b/>
          <w:sz w:val="32"/>
          <w:szCs w:val="32"/>
        </w:rPr>
        <w:t>Measuring the Effectiveness of Year 5 English Textbook in Teaching Listening and Speaking Skills</w:t>
      </w:r>
    </w:p>
    <w:p w14:paraId="40660701" w14:textId="77777777" w:rsidR="00C13823" w:rsidRPr="008B1B25" w:rsidRDefault="00C13823" w:rsidP="003D133E">
      <w:pPr>
        <w:spacing w:line="240" w:lineRule="auto"/>
        <w:jc w:val="center"/>
        <w:outlineLvl w:val="0"/>
        <w:rPr>
          <w:rFonts w:cs="Times New Roman"/>
          <w:b/>
          <w:iCs/>
          <w:color w:val="000000"/>
          <w:szCs w:val="24"/>
        </w:rPr>
      </w:pPr>
    </w:p>
    <w:p w14:paraId="4DE35F2F" w14:textId="66BD3595" w:rsidR="00F04167" w:rsidRPr="008B1B25" w:rsidRDefault="00DB4EAF" w:rsidP="00F04167">
      <w:pPr>
        <w:spacing w:line="240" w:lineRule="auto"/>
        <w:jc w:val="center"/>
        <w:rPr>
          <w:rFonts w:cs="Times New Roman"/>
          <w:b/>
          <w:szCs w:val="24"/>
          <w:vertAlign w:val="superscript"/>
        </w:rPr>
      </w:pPr>
      <w:proofErr w:type="spellStart"/>
      <w:r w:rsidRPr="008B1B25">
        <w:rPr>
          <w:rFonts w:cs="Times New Roman"/>
          <w:b/>
          <w:szCs w:val="24"/>
        </w:rPr>
        <w:t/>
      </w:r>
      <w:proofErr w:type="spellEnd"/>
      <w:r w:rsidRPr="008B1B25">
        <w:rPr>
          <w:rFonts w:cs="Times New Roman"/>
          <w:b/>
          <w:szCs w:val="24"/>
        </w:rPr>
        <w:t xml:space="preserve"/>
      </w:r>
      <w:r w:rsidR="009E31DF" w:rsidRPr="008B1B25">
        <w:rPr>
          <w:rFonts w:cs="Times New Roman"/>
          <w:b/>
          <w:szCs w:val="24"/>
          <w:vertAlign w:val="superscript"/>
        </w:rPr>
        <w:t/>
      </w:r>
      <w:r w:rsidR="009E31DF" w:rsidRPr="008B1B25">
        <w:rPr>
          <w:rFonts w:cs="Times New Roman"/>
          <w:b/>
          <w:szCs w:val="24"/>
        </w:rPr>
        <w:t/>
      </w:r>
      <w:r w:rsidR="00B7426B">
        <w:rPr>
          <w:rFonts w:cs="Times New Roman"/>
          <w:b/>
          <w:szCs w:val="24"/>
        </w:rPr>
        <w:t xml:space="preserve"/>
      </w:r>
      <w:r w:rsidRPr="008B1B25">
        <w:rPr>
          <w:rFonts w:cs="Times New Roman"/>
          <w:b/>
          <w:szCs w:val="24"/>
        </w:rPr>
        <w:t/>
      </w:r>
      <w:r w:rsidR="00B7426B" w:rsidRPr="002B0F20">
        <w:rPr>
          <w:rFonts w:cs="Times New Roman"/>
          <w:b/>
          <w:szCs w:val="24"/>
          <w:vertAlign w:val="superscript"/>
        </w:rPr>
        <w:t/>
      </w:r>
      <w:r w:rsidRPr="008B1B25">
        <w:rPr>
          <w:rFonts w:cs="Times New Roman"/>
          <w:b/>
          <w:szCs w:val="24"/>
          <w:vertAlign w:val="superscript"/>
        </w:rPr>
        <w:t/>
      </w:r>
      <w:r w:rsidR="00131779" w:rsidRPr="00131779">
        <w:rPr>
          <w:rFonts w:cs="Times New Roman"/>
          <w:b/>
          <w:szCs w:val="24"/>
        </w:rPr>
        <w:t xml:space="preserve"/>
      </w:r>
      <w:proofErr w:type="spellStart"/>
      <w:r w:rsidR="00131779" w:rsidRPr="00131779">
        <w:rPr>
          <w:rFonts w:cs="Times New Roman"/>
          <w:b/>
          <w:szCs w:val="24"/>
        </w:rPr>
        <w:t/>
      </w:r>
      <w:proofErr w:type="spellEnd"/>
      <w:r w:rsidR="00131779" w:rsidRPr="00131779">
        <w:rPr>
          <w:rFonts w:cs="Times New Roman"/>
          <w:b/>
          <w:szCs w:val="24"/>
        </w:rPr>
        <w:t xml:space="preserve"/>
      </w:r>
      <w:r w:rsidR="00131779">
        <w:rPr>
          <w:rFonts w:cs="Times New Roman"/>
          <w:b/>
          <w:szCs w:val="24"/>
          <w:vertAlign w:val="superscript"/>
        </w:rPr>
        <w:t/>
      </w:r>
      <w:r w:rsidR="00131779">
        <w:rPr>
          <w:rFonts w:cs="Times New Roman"/>
          <w:b/>
          <w:szCs w:val="24"/>
        </w:rPr>
        <w:t xml:space="preserve"/>
      </w:r>
      <w:r w:rsidR="00131779" w:rsidRPr="0008447F">
        <w:rPr>
          <w:rFonts w:cs="Times New Roman"/>
          <w:b/>
        </w:rPr>
        <w:t/>
      </w:r>
      <w:r w:rsidR="00131779">
        <w:rPr>
          <w:rFonts w:cs="Times New Roman"/>
          <w:b/>
          <w:szCs w:val="24"/>
          <w:vertAlign w:val="superscript"/>
        </w:rPr>
        <w:t xml:space="preserve"/>
      </w:r>
    </w:p>
    <w:p w14:paraId="36A33997" w14:textId="77777777" w:rsidR="00681C58" w:rsidRPr="008B1B25" w:rsidRDefault="00681C58" w:rsidP="00681C58">
      <w:pPr>
        <w:spacing w:line="240" w:lineRule="auto"/>
        <w:jc w:val="center"/>
        <w:rPr>
          <w:rFonts w:cs="Times New Roman"/>
          <w:sz w:val="20"/>
          <w:szCs w:val="20"/>
        </w:rPr>
      </w:pPr>
    </w:p>
    <w:p w14:paraId="334AE256" w14:textId="49844707" w:rsidR="00344004" w:rsidRDefault="00120DF2" w:rsidP="00DB4EAF">
      <w:pPr>
        <w:spacing w:line="240" w:lineRule="auto"/>
        <w:jc w:val="center"/>
        <w:rPr>
          <w:rFonts w:cs="Times New Roman"/>
          <w:sz w:val="20"/>
          <w:szCs w:val="20"/>
        </w:rPr>
      </w:pPr>
      <w:r w:rsidRPr="008B1B25">
        <w:rPr>
          <w:rFonts w:cs="Times New Roman"/>
          <w:sz w:val="20"/>
          <w:szCs w:val="20"/>
          <w:vertAlign w:val="superscript"/>
        </w:rPr>
        <w:t/>
      </w:r>
      <w:r w:rsidRPr="008B1B25">
        <w:rPr>
          <w:rFonts w:cs="Times New Roman"/>
          <w:sz w:val="20"/>
          <w:szCs w:val="20"/>
        </w:rPr>
        <w:t xml:space="preserve"/>
      </w:r>
      <w:r w:rsidR="00681C58" w:rsidRPr="008B1B25">
        <w:rPr>
          <w:rFonts w:cs="Times New Roman"/>
          <w:sz w:val="20"/>
          <w:szCs w:val="20"/>
        </w:rPr>
        <w:t/>
      </w:r>
      <w:r w:rsidR="00344004" w:rsidRPr="008B1B25">
        <w:rPr>
          <w:rFonts w:cs="Times New Roman"/>
          <w:sz w:val="20"/>
          <w:szCs w:val="20"/>
        </w:rPr>
        <w:t xml:space="preserve"/>
      </w:r>
      <w:r w:rsidR="00DB4EAF" w:rsidRPr="008B1B25">
        <w:rPr>
          <w:rFonts w:cs="Times New Roman"/>
          <w:sz w:val="20"/>
          <w:szCs w:val="20"/>
        </w:rPr>
        <w:t xml:space="preserve"/>
      </w:r>
      <w:r w:rsidR="00B7426B">
        <w:rPr>
          <w:rFonts w:cs="Times New Roman"/>
          <w:sz w:val="20"/>
          <w:szCs w:val="20"/>
        </w:rPr>
        <w:t xml:space="preserve"/>
      </w:r>
      <w:r w:rsidR="00DB4EAF" w:rsidRPr="008B1B25">
        <w:rPr>
          <w:rFonts w:cs="Times New Roman"/>
          <w:sz w:val="20"/>
          <w:szCs w:val="20"/>
        </w:rPr>
        <w:t/>
      </w:r>
    </w:p>
    <w:p w14:paraId="1FDD67CA" w14:textId="4FE8AEED" w:rsidR="00B7426B" w:rsidRDefault="00B7426B" w:rsidP="00DB4EAF">
      <w:pPr>
        <w:spacing w:line="240" w:lineRule="auto"/>
        <w:jc w:val="center"/>
        <w:rPr>
          <w:rFonts w:cs="Times New Roman"/>
          <w:sz w:val="20"/>
          <w:szCs w:val="20"/>
        </w:rPr>
      </w:pPr>
      <w:r>
        <w:rPr>
          <w:rFonts w:cs="Times New Roman"/>
          <w:sz w:val="20"/>
          <w:szCs w:val="20"/>
          <w:vertAlign w:val="superscript"/>
        </w:rPr>
        <w:t/>
      </w:r>
      <w:r w:rsidRPr="008B1B25">
        <w:rPr>
          <w:rFonts w:cs="Times New Roman"/>
          <w:sz w:val="20"/>
          <w:szCs w:val="20"/>
        </w:rPr>
        <w:t xml:space="preserve"/>
      </w:r>
      <w:r>
        <w:rPr>
          <w:rFonts w:cs="Times New Roman"/>
          <w:sz w:val="20"/>
          <w:szCs w:val="20"/>
        </w:rPr>
        <w:t xml:space="preserve"/>
      </w:r>
      <w:r w:rsidRPr="008B1B25">
        <w:rPr>
          <w:rFonts w:cs="Times New Roman"/>
          <w:sz w:val="20"/>
          <w:szCs w:val="20"/>
        </w:rPr>
        <w:t xml:space="preserve"/>
      </w:r>
    </w:p>
    <w:p w14:paraId="003B9E7C" w14:textId="68350EC0" w:rsidR="00131779" w:rsidRDefault="00131779" w:rsidP="00DB4EAF">
      <w:pPr>
        <w:spacing w:line="240" w:lineRule="auto"/>
        <w:jc w:val="center"/>
        <w:rPr>
          <w:rFonts w:cs="Times New Roman"/>
          <w:sz w:val="20"/>
          <w:szCs w:val="20"/>
        </w:rPr>
      </w:pPr>
      <w:r>
        <w:rPr>
          <w:rFonts w:cs="Times New Roman"/>
          <w:sz w:val="20"/>
          <w:szCs w:val="20"/>
          <w:vertAlign w:val="superscript"/>
        </w:rPr>
        <w:t/>
      </w:r>
      <w:r w:rsidRPr="00131779">
        <w:rPr>
          <w:rFonts w:cs="Times New Roman"/>
          <w:sz w:val="20"/>
          <w:szCs w:val="20"/>
        </w:rPr>
        <w:t xml:space="preserve"/>
      </w:r>
      <w:proofErr w:type="spellStart"/>
      <w:r w:rsidRPr="00131779">
        <w:rPr>
          <w:rFonts w:cs="Times New Roman"/>
          <w:sz w:val="20"/>
          <w:szCs w:val="20"/>
        </w:rPr>
        <w:t/>
      </w:r>
      <w:proofErr w:type="spellEnd"/>
      <w:r w:rsidRPr="00131779">
        <w:rPr>
          <w:rFonts w:cs="Times New Roman"/>
          <w:sz w:val="20"/>
          <w:szCs w:val="20"/>
        </w:rPr>
        <w:t xml:space="preserve"/>
      </w:r>
      <w:proofErr w:type="spellStart"/>
      <w:r w:rsidRPr="00131779">
        <w:rPr>
          <w:rFonts w:cs="Times New Roman"/>
          <w:sz w:val="20"/>
          <w:szCs w:val="20"/>
        </w:rPr>
        <w:t/>
      </w:r>
      <w:proofErr w:type="spellEnd"/>
      <w:r w:rsidRPr="00131779">
        <w:rPr>
          <w:rFonts w:cs="Times New Roman"/>
          <w:sz w:val="20"/>
          <w:szCs w:val="20"/>
        </w:rPr>
        <w:t xml:space="preserve"/>
      </w:r>
      <w:r>
        <w:rPr>
          <w:rFonts w:cs="Times New Roman"/>
          <w:sz w:val="20"/>
          <w:szCs w:val="20"/>
        </w:rPr>
        <w:t/>
      </w:r>
    </w:p>
    <w:p w14:paraId="7A6AF395" w14:textId="01CA088B" w:rsidR="00131779" w:rsidRDefault="00131779" w:rsidP="00DB4EAF">
      <w:pPr>
        <w:spacing w:line="240" w:lineRule="auto"/>
        <w:jc w:val="center"/>
        <w:rPr>
          <w:rFonts w:cs="Times New Roman"/>
          <w:sz w:val="20"/>
          <w:szCs w:val="20"/>
        </w:rPr>
      </w:pPr>
      <w:r>
        <w:rPr>
          <w:rFonts w:cs="Times New Roman"/>
          <w:sz w:val="20"/>
          <w:szCs w:val="20"/>
          <w:vertAlign w:val="superscript"/>
        </w:rPr>
        <w:t/>
      </w:r>
      <w:r w:rsidRPr="00131779">
        <w:rPr>
          <w:rFonts w:cs="Times New Roman"/>
          <w:sz w:val="20"/>
          <w:szCs w:val="20"/>
        </w:rPr>
        <w:t xml:space="preserve"/>
      </w:r>
      <w:proofErr w:type="spellStart"/>
      <w:r w:rsidRPr="00131779">
        <w:rPr>
          <w:rFonts w:cs="Times New Roman"/>
          <w:sz w:val="20"/>
          <w:szCs w:val="20"/>
        </w:rPr>
        <w:t/>
      </w:r>
      <w:proofErr w:type="spellEnd"/>
      <w:r w:rsidRPr="00131779">
        <w:rPr>
          <w:rFonts w:cs="Times New Roman"/>
          <w:sz w:val="20"/>
          <w:szCs w:val="20"/>
        </w:rPr>
        <w:t xml:space="preserve"/>
      </w:r>
      <w:proofErr w:type="spellStart"/>
      <w:r w:rsidRPr="00131779">
        <w:rPr>
          <w:rFonts w:cs="Times New Roman"/>
          <w:sz w:val="20"/>
          <w:szCs w:val="20"/>
        </w:rPr>
        <w:t/>
      </w:r>
      <w:proofErr w:type="spellEnd"/>
      <w:r w:rsidRPr="00131779">
        <w:rPr>
          <w:rFonts w:cs="Times New Roman"/>
          <w:sz w:val="20"/>
          <w:szCs w:val="20"/>
        </w:rPr>
        <w:t xml:space="preserve"/>
      </w:r>
      <w:proofErr w:type="spellStart"/>
      <w:r w:rsidRPr="00131779">
        <w:rPr>
          <w:rFonts w:cs="Times New Roman"/>
          <w:sz w:val="20"/>
          <w:szCs w:val="20"/>
        </w:rPr>
        <w:t/>
      </w:r>
      <w:proofErr w:type="spellEnd"/>
      <w:r w:rsidRPr="00131779">
        <w:rPr>
          <w:rFonts w:cs="Times New Roman"/>
          <w:sz w:val="20"/>
          <w:szCs w:val="20"/>
        </w:rPr>
        <w:t/>
      </w:r>
    </w:p>
    <w:p w14:paraId="7D0EEEF9" w14:textId="77777777" w:rsidR="00681C58" w:rsidRPr="008B1B25" w:rsidRDefault="00681C58" w:rsidP="00681C58">
      <w:pPr>
        <w:spacing w:line="240" w:lineRule="auto"/>
        <w:jc w:val="center"/>
        <w:rPr>
          <w:rFonts w:cs="Times New Roman"/>
          <w:b/>
          <w:sz w:val="20"/>
          <w:szCs w:val="20"/>
        </w:rPr>
      </w:pPr>
    </w:p>
    <w:p w14:paraId="40F2B354" w14:textId="2BC72E0E" w:rsidR="00681C58" w:rsidRPr="008B1B25" w:rsidRDefault="00284C5A" w:rsidP="00681C58">
      <w:pPr>
        <w:spacing w:line="240" w:lineRule="auto"/>
        <w:jc w:val="center"/>
        <w:rPr>
          <w:rFonts w:cs="Times New Roman"/>
          <w:sz w:val="20"/>
          <w:szCs w:val="20"/>
        </w:rPr>
      </w:pPr>
      <w:r w:rsidRPr="008B1B25">
        <w:rPr>
          <w:rFonts w:cs="Times New Roman"/>
          <w:sz w:val="20"/>
          <w:szCs w:val="20"/>
        </w:rPr>
        <w:t/>
      </w:r>
      <w:r w:rsidR="00681C58" w:rsidRPr="008B1B25">
        <w:rPr>
          <w:rFonts w:cs="Times New Roman"/>
          <w:sz w:val="20"/>
          <w:szCs w:val="20"/>
        </w:rPr>
        <w:t xml:space="preserve"/>
      </w:r>
      <w:r w:rsidR="007060C2" w:rsidRPr="008B1B25">
        <w:rPr>
          <w:rFonts w:cs="Times New Roman"/>
          <w:sz w:val="20"/>
          <w:szCs w:val="20"/>
        </w:rPr>
        <w:t/>
      </w:r>
      <w:r w:rsidR="00344004" w:rsidRPr="008B1B25">
        <w:rPr>
          <w:rFonts w:cs="Times New Roman"/>
          <w:sz w:val="20"/>
          <w:szCs w:val="20"/>
        </w:rPr>
        <w:t xml:space="preserve"/>
      </w:r>
    </w:p>
    <w:p w14:paraId="36B82983" w14:textId="58BE2ACA" w:rsidR="003D133E" w:rsidRPr="008B1B25" w:rsidRDefault="004B1CED" w:rsidP="004B1CED">
      <w:pPr>
        <w:spacing w:line="240" w:lineRule="auto"/>
        <w:rPr>
          <w:rFonts w:cs="Times New Roman"/>
          <w:sz w:val="20"/>
          <w:szCs w:val="20"/>
        </w:rPr>
      </w:pPr>
      <w:r w:rsidRPr="008B1B25">
        <w:rPr>
          <w:rFonts w:cs="Times New Roman"/>
          <w:sz w:val="20"/>
          <w:szCs w:val="20"/>
        </w:rPr>
        <w:t/>
      </w:r>
      <w:r w:rsidR="003D133E" w:rsidRPr="008B1B25">
        <w:rPr>
          <w:rFonts w:cs="Times New Roman"/>
          <w:sz w:val="20"/>
          <w:szCs w:val="20"/>
        </w:rPr>
        <w:t/>
      </w:r>
    </w:p>
    <w:p w14:paraId="521D5D22" w14:textId="77777777" w:rsidR="003D133E" w:rsidRPr="008B1B25" w:rsidRDefault="003D133E" w:rsidP="003D133E">
      <w:pPr>
        <w:spacing w:line="240" w:lineRule="auto"/>
        <w:rPr>
          <w:rFonts w:cs="Times New Roman"/>
          <w:b/>
          <w:bCs/>
          <w:szCs w:val="27"/>
        </w:rPr>
      </w:pPr>
      <w:bookmarkStart w:id="0" w:name="_Toc404701706"/>
      <w:bookmarkStart w:id="1" w:name="_Toc407113533"/>
      <w:bookmarkStart w:id="2" w:name="_Toc410117304"/>
    </w:p>
    <w:p w14:paraId="50BF180B" w14:textId="2EAECD5D" w:rsidR="00721D2D" w:rsidRPr="008B1B25" w:rsidRDefault="003B5405" w:rsidP="00721D2D">
      <w:r w:rsidRPr="008B1B25">
        <w:rPr>
          <w:rFonts w:cs="Times New Roman"/>
          <w:b/>
          <w:bCs/>
          <w:szCs w:val="27"/>
        </w:rPr>
        <w:t/>
      </w:r>
      <w:r w:rsidR="003D133E" w:rsidRPr="008B1B25">
        <w:rPr>
          <w:rFonts w:cs="Times New Roman"/>
        </w:rPr>
        <w:t xml:space="preserve"/>
      </w:r>
      <w:r w:rsidR="00721D2D" w:rsidRPr="008B1B25">
        <w:t/>
      </w:r>
      <w:r w:rsidR="002B7354">
        <w:t/>
      </w:r>
      <w:r w:rsidR="00721D2D" w:rsidRPr="008B1B25">
        <w:t xml:space="preserve"/>
      </w:r>
      <w:r w:rsidR="00721D2D" w:rsidRPr="008B1B25">
        <w:rPr>
          <w:i/>
          <w:iCs/>
        </w:rPr>
        <w:t/>
      </w:r>
      <w:r w:rsidR="00721D2D" w:rsidRPr="008B1B25">
        <w:t/>
      </w:r>
      <w:r w:rsidR="00721D2D" w:rsidRPr="008B1B25">
        <w:noBreakHyphen/>
        <w:t/>
      </w:r>
      <w:r w:rsidR="006953B5">
        <w:t/>
      </w:r>
      <w:r w:rsidR="00721D2D" w:rsidRPr="008B1B25">
        <w:t xml:space="preserve"/>
      </w:r>
      <w:r w:rsidR="00E92986">
        <w:t/>
      </w:r>
      <w:r w:rsidR="00721D2D" w:rsidRPr="008B1B25">
        <w:t xml:space="preserve"/>
      </w:r>
      <w:r w:rsidR="00721D2D" w:rsidRPr="008B1B25">
        <w:noBreakHyphen/>
        <w:t/>
      </w:r>
      <w:r w:rsidR="00721D2D" w:rsidRPr="008B1B25">
        <w:noBreakHyphen/>
        <w:t/>
      </w:r>
      <w:r w:rsidR="00721D2D" w:rsidRPr="008B1B25">
        <w:noBreakHyphen/>
        <w:t xml:space="preserve"/>
      </w:r>
      <w:r w:rsidR="006D31DB">
        <w:t/>
      </w:r>
      <w:r w:rsidR="00721D2D" w:rsidRPr="008B1B25">
        <w:t/>
      </w:r>
      <w:r w:rsidR="00360247">
        <w:t xml:space="preserve"/>
      </w:r>
      <w:r w:rsidR="00721D2D" w:rsidRPr="008B1B25">
        <w:t xml:space="preserve"/>
      </w:r>
      <w:r w:rsidR="00925FEA">
        <w:t/>
      </w:r>
      <w:r w:rsidR="00721D2D" w:rsidRPr="008B1B25">
        <w:t xml:space="preserve"/>
      </w:r>
      <w:r w:rsidR="00721D2D" w:rsidRPr="008B1B25">
        <w:noBreakHyphen/>
        <w:t/>
      </w:r>
      <w:r w:rsidR="00721D2D" w:rsidRPr="008B1B25">
        <w:noBreakHyphen/>
        <w:t xml:space="preserve"/>
      </w:r>
      <w:r w:rsidR="00925FEA">
        <w:t/>
      </w:r>
      <w:r w:rsidR="00721D2D" w:rsidRPr="008B1B25">
        <w:t/>
      </w:r>
      <w:r w:rsidR="00B4514B">
        <w:t xml:space="preserve"/>
      </w:r>
      <w:r w:rsidR="00721D2D" w:rsidRPr="008B1B25">
        <w:t xml:space="preserve"/>
      </w:r>
      <w:r w:rsidR="00B4514B">
        <w:t xml:space="preserve"/>
      </w:r>
      <w:r w:rsidR="00721D2D" w:rsidRPr="008B1B25">
        <w:t xml:space="preserve"/>
      </w:r>
      <w:r w:rsidR="00471317">
        <w:t/>
      </w:r>
      <w:r w:rsidR="00721D2D" w:rsidRPr="008B1B25">
        <w:t xml:space="preserve"/>
      </w:r>
      <w:r w:rsidR="00721D2D" w:rsidRPr="008B1B25">
        <w:noBreakHyphen/>
        <w:t/>
      </w:r>
      <w:r w:rsidR="003530D8">
        <w:t xml:space="preserve"/>
      </w:r>
      <w:r w:rsidR="00721D2D" w:rsidRPr="008B1B25">
        <w:t xml:space="preserve"/>
      </w:r>
    </w:p>
    <w:p w14:paraId="7A6B0F14" w14:textId="4E0A3A88" w:rsidR="00FE69C3" w:rsidRPr="008B1B25" w:rsidRDefault="00FE69C3" w:rsidP="00D321C6">
      <w:pPr>
        <w:rPr>
          <w:rFonts w:cs="Times New Roman"/>
          <w:i/>
        </w:rPr>
      </w:pPr>
    </w:p>
    <w:p w14:paraId="5E4AF3CD" w14:textId="77777777" w:rsidR="007060C2" w:rsidRPr="008B1B25" w:rsidRDefault="003D133E" w:rsidP="007060C2">
      <w:pPr>
        <w:spacing w:line="240" w:lineRule="auto"/>
        <w:rPr>
          <w:rFonts w:cs="Times New Roman"/>
        </w:rPr>
      </w:pPr>
      <w:r w:rsidRPr="008B1B25">
        <w:rPr>
          <w:b/>
          <w:bCs/>
        </w:rPr>
        <w:t/>
      </w:r>
      <w:r w:rsidRPr="008B1B25">
        <w:t xml:space="preserve"/>
      </w:r>
      <w:r w:rsidR="007060C2" w:rsidRPr="008B1B25">
        <w:rPr>
          <w:rFonts w:cs="Times New Roman"/>
        </w:rPr>
        <w:t/>
      </w:r>
    </w:p>
    <w:p w14:paraId="6829332E" w14:textId="7C77E931" w:rsidR="00590BF8" w:rsidRPr="008B1B25" w:rsidRDefault="00590BF8" w:rsidP="00B14F65">
      <w:pPr>
        <w:spacing w:line="240" w:lineRule="auto"/>
      </w:pPr>
    </w:p>
    <w:p w14:paraId="6D374644" w14:textId="48FB15C2" w:rsidR="003D133E" w:rsidRPr="008B1B25" w:rsidRDefault="003D133E" w:rsidP="003D133E">
      <w:pPr>
        <w:rPr>
          <w:rFonts w:cs="Times New Roman"/>
        </w:rPr>
      </w:pPr>
      <w:r w:rsidRPr="008B1B25">
        <w:rPr>
          <w:rFonts w:eastAsia="Times New Roman" w:cs="Times New Roman"/>
          <w:b/>
          <w:bCs/>
          <w:i/>
          <w:iCs/>
        </w:rPr>
        <w:t/>
      </w:r>
      <w:r w:rsidR="00590BF8" w:rsidRPr="008B1B25">
        <w:rPr>
          <w:rFonts w:eastAsia="Times New Roman" w:cs="Times New Roman"/>
          <w:b/>
          <w:bCs/>
          <w:i/>
          <w:iCs/>
        </w:rPr>
        <w:t/>
      </w:r>
      <w:r w:rsidRPr="008B1B25">
        <w:rPr>
          <w:rFonts w:eastAsia="Times New Roman" w:cs="Times New Roman"/>
          <w:b/>
          <w:bCs/>
          <w:i/>
          <w:iCs/>
        </w:rPr>
        <w:t/>
      </w:r>
      <w:r w:rsidR="004B1CED" w:rsidRPr="008B1B25">
        <w:rPr>
          <w:rFonts w:eastAsia="Times New Roman" w:cs="Times New Roman"/>
          <w:b/>
          <w:bCs/>
          <w:i/>
          <w:iCs/>
        </w:rPr>
        <w:t/>
      </w:r>
      <w:r w:rsidRPr="008B1B25">
        <w:rPr>
          <w:rFonts w:eastAsia="Times New Roman" w:cs="Times New Roman"/>
          <w:b/>
          <w:bCs/>
          <w:i/>
          <w:iCs/>
        </w:rPr>
        <w:t/>
      </w:r>
    </w:p>
    <w:bookmarkEnd w:id="0"/>
    <w:bookmarkEnd w:id="1"/>
    <w:bookmarkEnd w:id="2"/>
    <w:p w14:paraId="479F0612" w14:textId="77777777" w:rsidR="0019330A" w:rsidRPr="008B1B25" w:rsidRDefault="0019330A" w:rsidP="0019330A">
      <w:pPr>
        <w:spacing w:line="240" w:lineRule="auto"/>
        <w:rPr>
          <w:rFonts w:cs="Times New Roman"/>
          <w:b/>
          <w:szCs w:val="24"/>
        </w:rPr>
      </w:pPr>
      <w:r w:rsidRPr="008B1B25">
        <w:rPr>
          <w:rFonts w:cs="Times New Roman"/>
          <w:b/>
          <w:szCs w:val="24"/>
        </w:rPr>
        <w:t>1. Introduction</w:t>
      </w:r>
    </w:p>
    <w:p w14:paraId="3AB8C46B" w14:textId="77777777" w:rsidR="0019330A" w:rsidRPr="008B1B25" w:rsidRDefault="0019330A" w:rsidP="0019330A">
      <w:pPr>
        <w:spacing w:line="240" w:lineRule="auto"/>
        <w:rPr>
          <w:rFonts w:cs="Times New Roman"/>
          <w:bCs/>
          <w:szCs w:val="24"/>
        </w:rPr>
      </w:pPr>
    </w:p>
    <w:p w14:paraId="32B63451" w14:textId="77777777" w:rsidR="00C64D92" w:rsidRPr="00C64D92" w:rsidRDefault="00C64D92" w:rsidP="00C64D92">
      <w:pPr>
        <w:spacing w:line="240" w:lineRule="auto"/>
        <w:rPr>
          <w:rFonts w:cs="Times New Roman"/>
          <w:szCs w:val="24"/>
        </w:rPr>
      </w:pPr>
      <w:r w:rsidRPr="00C64D92">
        <w:rPr>
          <w:rFonts w:cs="Times New Roman"/>
          <w:szCs w:val="24"/>
        </w:rPr>
        <w:t>Textbooks are very important in classrooms all over the world. Teachers and students make use of them as structured guides. Textbooks are both teaching aids and learning materials because they provide a collection of arranged lessons and curriculum. This is especially true and important in places where there are not many teaching tools available and rare to be found. Textbooks often form the main pillar of language input and practice, particularly for beginner teachers and students with limited exposure to English outside the classroom according to Richards (2021).</w:t>
      </w:r>
    </w:p>
    <w:p w14:paraId="45D6314B" w14:textId="77777777" w:rsidR="00C64D92" w:rsidRPr="00C64D92" w:rsidRDefault="00C64D92" w:rsidP="00C64D92">
      <w:pPr>
        <w:spacing w:line="240" w:lineRule="auto"/>
        <w:rPr>
          <w:rFonts w:cs="Times New Roman"/>
          <w:szCs w:val="24"/>
        </w:rPr>
      </w:pPr>
    </w:p>
    <w:p w14:paraId="452DF578" w14:textId="77777777" w:rsidR="00C64D92" w:rsidRPr="00C64D92" w:rsidRDefault="00C64D92" w:rsidP="00C64D92">
      <w:pPr>
        <w:spacing w:line="240" w:lineRule="auto"/>
        <w:rPr>
          <w:rFonts w:cs="Times New Roman"/>
          <w:szCs w:val="24"/>
        </w:rPr>
      </w:pPr>
      <w:r w:rsidRPr="00C64D92">
        <w:rPr>
          <w:rFonts w:cs="Times New Roman"/>
          <w:szCs w:val="24"/>
        </w:rPr>
        <w:t xml:space="preserve">The creation of textbook has changed throughout time along with national education priorities. During the British colonial era, imported textbooks were the most common in schools. They reflected the ideals and language objectives of the time (Gill,2005). The Razak Report (1956) </w:t>
      </w:r>
      <w:r w:rsidRPr="00C64D92">
        <w:rPr>
          <w:rFonts w:cs="Times New Roman"/>
          <w:szCs w:val="24"/>
        </w:rPr>
        <w:lastRenderedPageBreak/>
        <w:t>and the Education Ordinance (1957) both underlined the need of national unity after independence by using a uniform curriculum and textbooks made in Malaysia. The Textbook Bureau was set up in 1967 to make sure that teaching materials were applicable to Malaysian culture and teaching methods (Ministry of Education Malaysia, 2013).</w:t>
      </w:r>
    </w:p>
    <w:p w14:paraId="127AD6C9" w14:textId="77777777" w:rsidR="00C64D92" w:rsidRPr="00C64D92" w:rsidRDefault="00C64D92" w:rsidP="00C64D92">
      <w:pPr>
        <w:spacing w:line="240" w:lineRule="auto"/>
        <w:rPr>
          <w:rFonts w:cs="Times New Roman"/>
          <w:szCs w:val="24"/>
        </w:rPr>
      </w:pPr>
    </w:p>
    <w:p w14:paraId="6D89B038" w14:textId="3230075C" w:rsidR="00C64D92" w:rsidRDefault="00C64D92" w:rsidP="00C64D92">
      <w:pPr>
        <w:spacing w:line="240" w:lineRule="auto"/>
        <w:rPr>
          <w:rFonts w:cs="Times New Roman"/>
          <w:szCs w:val="24"/>
        </w:rPr>
      </w:pPr>
      <w:r w:rsidRPr="00C64D92">
        <w:rPr>
          <w:rFonts w:cs="Times New Roman"/>
          <w:szCs w:val="24"/>
        </w:rPr>
        <w:t>The Malaysian Education Blueprint 2013–2025 called for the use of the Common European Framework of Reference for Languages (CEFR) to help make English a global language. Textbooks like English Plus 1 Year 5 that are associated with the CEFR aim to assist students reach their real-life communication goals by mastering certain descriptors that are related to listening and speaking tasks (Council of Europe, 2001). On the other hand, there are also questions about whether these resources really help people communicate better,</w:t>
      </w:r>
      <w:r>
        <w:rPr>
          <w:rFonts w:cs="Times New Roman"/>
          <w:szCs w:val="24"/>
        </w:rPr>
        <w:t xml:space="preserve"> </w:t>
      </w:r>
      <w:r w:rsidRPr="00C64D92">
        <w:rPr>
          <w:rFonts w:cs="Times New Roman"/>
          <w:szCs w:val="24"/>
        </w:rPr>
        <w:t>especially in ESL schools where English is rarely spoken outside of school (Yunus et al., 2018).</w:t>
      </w:r>
    </w:p>
    <w:p w14:paraId="0CE0BE37" w14:textId="77777777" w:rsidR="00C64D92" w:rsidRDefault="00C64D92" w:rsidP="00C64D92">
      <w:pPr>
        <w:spacing w:line="240" w:lineRule="auto"/>
        <w:rPr>
          <w:rFonts w:cs="Times New Roman"/>
          <w:szCs w:val="24"/>
        </w:rPr>
      </w:pPr>
    </w:p>
    <w:p w14:paraId="5926CA92" w14:textId="0DCFF4C6" w:rsidR="00C64D92" w:rsidRDefault="00C64D92" w:rsidP="00C64D92">
      <w:pPr>
        <w:spacing w:line="240" w:lineRule="auto"/>
        <w:rPr>
          <w:rFonts w:cs="Times New Roman"/>
          <w:szCs w:val="24"/>
        </w:rPr>
      </w:pPr>
      <w:r w:rsidRPr="00C64D92">
        <w:rPr>
          <w:rFonts w:cs="Times New Roman"/>
          <w:szCs w:val="24"/>
        </w:rPr>
        <w:t>In Malaysia, especially in rural areas, many students in government primary schools don't know enough English to improve their speaking skills. Some urban schools also have this problem, although not as many as rural schools. Many students simply learn English from their textbooks. If textbook activities do not have enough diversity, authenticity, or clear scaffolding, students may have trouble improving their speaking skills or talents. Teachers may also have trouble teaching oral communication without enough help or examples that are applicable to their culture (Abdullah, 2017). It is very important to see how well English Plus 1 Year 5 helps students improve their speaking and listening skills.</w:t>
      </w:r>
    </w:p>
    <w:p w14:paraId="140FDB80" w14:textId="77777777" w:rsidR="00C64D92" w:rsidRDefault="00C64D92" w:rsidP="007D327A">
      <w:pPr>
        <w:spacing w:line="240" w:lineRule="auto"/>
        <w:rPr>
          <w:rFonts w:cs="Times New Roman"/>
          <w:szCs w:val="24"/>
        </w:rPr>
      </w:pPr>
    </w:p>
    <w:p w14:paraId="4E498B81" w14:textId="563A4257" w:rsidR="007D327A" w:rsidRPr="008B1B25" w:rsidRDefault="007D327A" w:rsidP="007D327A">
      <w:pPr>
        <w:spacing w:line="240" w:lineRule="auto"/>
        <w:rPr>
          <w:rFonts w:cs="Times New Roman"/>
          <w:szCs w:val="24"/>
        </w:rPr>
      </w:pPr>
      <w:r w:rsidRPr="008B1B25">
        <w:rPr>
          <w:rFonts w:cs="Times New Roman"/>
          <w:szCs w:val="24"/>
        </w:rPr>
        <w:t>Textbooks remain central to ESL classrooms, especially in settings where other resources are scarce. CEFR</w:t>
      </w:r>
      <w:r w:rsidRPr="008B1B25">
        <w:rPr>
          <w:rFonts w:cs="Times New Roman"/>
          <w:szCs w:val="24"/>
        </w:rPr>
        <w:noBreakHyphen/>
        <w:t xml:space="preserve">aligned materials </w:t>
      </w:r>
      <w:r w:rsidR="008E098D">
        <w:rPr>
          <w:rFonts w:cs="Times New Roman"/>
          <w:szCs w:val="24"/>
        </w:rPr>
        <w:t xml:space="preserve">were used </w:t>
      </w:r>
      <w:r w:rsidRPr="008B1B25">
        <w:rPr>
          <w:rFonts w:cs="Times New Roman"/>
          <w:szCs w:val="24"/>
        </w:rPr>
        <w:t xml:space="preserve">to strengthen communicative competence, with particular emphasis on listening and speaking. </w:t>
      </w:r>
      <w:r w:rsidR="00096F85">
        <w:rPr>
          <w:rFonts w:cs="Times New Roman"/>
          <w:szCs w:val="24"/>
        </w:rPr>
        <w:t>However</w:t>
      </w:r>
      <w:r w:rsidRPr="008B1B25">
        <w:rPr>
          <w:rFonts w:cs="Times New Roman"/>
          <w:szCs w:val="24"/>
        </w:rPr>
        <w:t xml:space="preserve">, questions remain about </w:t>
      </w:r>
      <w:r w:rsidR="00771440">
        <w:rPr>
          <w:rFonts w:cs="Times New Roman"/>
          <w:szCs w:val="24"/>
        </w:rPr>
        <w:t xml:space="preserve">the effectiveness </w:t>
      </w:r>
      <w:r w:rsidR="00BE0B30">
        <w:rPr>
          <w:rFonts w:cs="Times New Roman"/>
          <w:szCs w:val="24"/>
        </w:rPr>
        <w:t xml:space="preserve">of these </w:t>
      </w:r>
      <w:r w:rsidRPr="008B1B25">
        <w:rPr>
          <w:rFonts w:cs="Times New Roman"/>
          <w:szCs w:val="24"/>
        </w:rPr>
        <w:t xml:space="preserve">textbooks </w:t>
      </w:r>
      <w:r w:rsidR="00BE0B30">
        <w:rPr>
          <w:rFonts w:cs="Times New Roman"/>
          <w:szCs w:val="24"/>
        </w:rPr>
        <w:t xml:space="preserve">in </w:t>
      </w:r>
      <w:r w:rsidRPr="008B1B25">
        <w:rPr>
          <w:rFonts w:cs="Times New Roman"/>
          <w:szCs w:val="24"/>
        </w:rPr>
        <w:t>support</w:t>
      </w:r>
      <w:r w:rsidR="00BE0B30">
        <w:rPr>
          <w:rFonts w:cs="Times New Roman"/>
          <w:szCs w:val="24"/>
        </w:rPr>
        <w:t>ing</w:t>
      </w:r>
      <w:r w:rsidRPr="008B1B25">
        <w:rPr>
          <w:rFonts w:cs="Times New Roman"/>
          <w:szCs w:val="24"/>
        </w:rPr>
        <w:t xml:space="preserve"> oral skill development in practice. This study focuses on </w:t>
      </w:r>
      <w:r w:rsidRPr="008B1B25">
        <w:rPr>
          <w:rFonts w:cs="Times New Roman"/>
          <w:i/>
          <w:iCs/>
          <w:szCs w:val="24"/>
        </w:rPr>
        <w:t>English Plus 1 Year 5</w:t>
      </w:r>
      <w:r w:rsidRPr="008B1B25">
        <w:rPr>
          <w:rFonts w:cs="Times New Roman"/>
          <w:szCs w:val="24"/>
        </w:rPr>
        <w:t>, examining its role in fostering communication skills among learners.</w:t>
      </w:r>
    </w:p>
    <w:p w14:paraId="0B44A438" w14:textId="77777777" w:rsidR="00EA4697" w:rsidRPr="008B1B25" w:rsidRDefault="00EA4697" w:rsidP="00496DB9">
      <w:pPr>
        <w:spacing w:line="240" w:lineRule="auto"/>
        <w:rPr>
          <w:rFonts w:cs="Times New Roman"/>
          <w:szCs w:val="24"/>
        </w:rPr>
      </w:pPr>
    </w:p>
    <w:p w14:paraId="72F6A2F4" w14:textId="460809EC" w:rsidR="00EA4697" w:rsidRDefault="00EA4697" w:rsidP="00496DB9">
      <w:pPr>
        <w:spacing w:line="240" w:lineRule="auto"/>
        <w:rPr>
          <w:rFonts w:cs="Times New Roman"/>
          <w:b/>
          <w:bCs/>
          <w:szCs w:val="24"/>
        </w:rPr>
      </w:pPr>
      <w:r w:rsidRPr="008B1B25">
        <w:rPr>
          <w:rFonts w:cs="Times New Roman"/>
          <w:b/>
          <w:bCs/>
          <w:szCs w:val="24"/>
        </w:rPr>
        <w:t xml:space="preserve">1.2 </w:t>
      </w:r>
      <w:r w:rsidR="005B3905" w:rsidRPr="008B1B25">
        <w:rPr>
          <w:rFonts w:cs="Times New Roman"/>
          <w:b/>
          <w:bCs/>
          <w:szCs w:val="24"/>
        </w:rPr>
        <w:t>Statement of the Problem</w:t>
      </w:r>
    </w:p>
    <w:p w14:paraId="21E32635" w14:textId="77777777" w:rsidR="00427811" w:rsidRPr="008B1B25" w:rsidRDefault="00427811" w:rsidP="00496DB9">
      <w:pPr>
        <w:spacing w:line="240" w:lineRule="auto"/>
        <w:rPr>
          <w:rFonts w:cs="Times New Roman"/>
          <w:b/>
          <w:bCs/>
          <w:szCs w:val="24"/>
        </w:rPr>
      </w:pPr>
    </w:p>
    <w:p w14:paraId="60EAD7A8" w14:textId="77777777" w:rsidR="00427811" w:rsidRPr="00427811" w:rsidRDefault="00427811" w:rsidP="00427811">
      <w:pPr>
        <w:spacing w:line="240" w:lineRule="auto"/>
        <w:rPr>
          <w:rFonts w:cs="Times New Roman"/>
          <w:szCs w:val="24"/>
        </w:rPr>
      </w:pPr>
      <w:r w:rsidRPr="00427811">
        <w:rPr>
          <w:rFonts w:cs="Times New Roman"/>
          <w:szCs w:val="24"/>
        </w:rPr>
        <w:t xml:space="preserve">Malaysia has come a long way in making its English curriculum more in line with CEFR standards. However, how well these changes work in real life depends mainly on how the textbooks are designed and how they are used in the classroom. Listening and speaking are very important for being able to communicate, but they are also some of the hardest skills to teach in ESL environment. Successful instruction in developing listening and speaking skills requires a balance of fluency development, meaningful teaching and learning techniques and attention to the form of language; moving from traditionally used scripted dialogues to more realistic communication based on real-life situations (Newton and Nation, 2021). According to a more recent study by </w:t>
      </w:r>
      <w:proofErr w:type="spellStart"/>
      <w:r w:rsidRPr="00427811">
        <w:rPr>
          <w:rFonts w:cs="Times New Roman"/>
          <w:szCs w:val="24"/>
        </w:rPr>
        <w:t>Zulkiply</w:t>
      </w:r>
      <w:proofErr w:type="spellEnd"/>
      <w:r w:rsidRPr="00427811">
        <w:rPr>
          <w:rFonts w:cs="Times New Roman"/>
          <w:szCs w:val="24"/>
        </w:rPr>
        <w:t xml:space="preserve"> and Nasri (2024), while CEFR textbooks serves to improve language proficiency, teachers are faced with many challenges such as inflexible textbook structures and inadequate guidance and support for fostering organic listening and speaking tasks. Likewise, Kassim and Hashim (2023) emphasised that other than the positive attitudes towards the integration of CEFR, many teachers have difficulties adapting materials to meet students’ communicative needs which is caused by insufficient training and contextual relevance.</w:t>
      </w:r>
    </w:p>
    <w:p w14:paraId="2C604025" w14:textId="77777777" w:rsidR="00427811" w:rsidRDefault="00427811" w:rsidP="00427811">
      <w:pPr>
        <w:spacing w:line="240" w:lineRule="auto"/>
        <w:rPr>
          <w:rFonts w:cs="Times New Roman"/>
          <w:szCs w:val="24"/>
        </w:rPr>
      </w:pPr>
    </w:p>
    <w:p w14:paraId="781B2694" w14:textId="77777777" w:rsidR="00E65C4D" w:rsidRPr="00427811" w:rsidRDefault="00E65C4D" w:rsidP="00427811">
      <w:pPr>
        <w:spacing w:line="240" w:lineRule="auto"/>
        <w:rPr>
          <w:rFonts w:cs="Times New Roman"/>
          <w:szCs w:val="24"/>
        </w:rPr>
      </w:pPr>
    </w:p>
    <w:p w14:paraId="11A48FD5" w14:textId="02302E7E" w:rsidR="00427811" w:rsidRPr="00427811" w:rsidRDefault="00427811" w:rsidP="00427811">
      <w:pPr>
        <w:spacing w:line="240" w:lineRule="auto"/>
        <w:rPr>
          <w:rFonts w:cs="Times New Roman"/>
          <w:szCs w:val="24"/>
        </w:rPr>
      </w:pPr>
      <w:r w:rsidRPr="00427811">
        <w:rPr>
          <w:rFonts w:cs="Times New Roman"/>
          <w:szCs w:val="24"/>
        </w:rPr>
        <w:lastRenderedPageBreak/>
        <w:t>English Plus 1 Year 5 is an example of a CEFR-based textbook that has oral activities that are suited for A1–A2 level students. These activities should give students purposeful opportunities to practise and feedback that is appropriate for their age. Unfortunately, research has shown that there are gaps between policy and practice. For example, some textbooks do not include examples of diverse speech patterns, natural conversation styles, or ways for students to give and receive feedback (</w:t>
      </w:r>
      <w:proofErr w:type="spellStart"/>
      <w:r w:rsidRPr="00427811">
        <w:rPr>
          <w:rFonts w:cs="Times New Roman"/>
          <w:szCs w:val="24"/>
        </w:rPr>
        <w:t>Nimehchisalem</w:t>
      </w:r>
      <w:proofErr w:type="spellEnd"/>
      <w:r w:rsidRPr="00427811">
        <w:rPr>
          <w:rFonts w:cs="Times New Roman"/>
          <w:szCs w:val="24"/>
        </w:rPr>
        <w:t xml:space="preserve"> &amp; Mukundan, 2011; Rajendran et al., 2021). If students do not get enough help, they might not be able to move from simple responses to independent speech, which is a primary aim of communicative language teaching.</w:t>
      </w:r>
      <w:r>
        <w:rPr>
          <w:rFonts w:cs="Times New Roman"/>
          <w:szCs w:val="24"/>
        </w:rPr>
        <w:t xml:space="preserve"> </w:t>
      </w:r>
      <w:r w:rsidRPr="00427811">
        <w:rPr>
          <w:rFonts w:cs="Times New Roman"/>
          <w:szCs w:val="24"/>
        </w:rPr>
        <w:t xml:space="preserve">Teachers' comments are very important for establishing what is good and bad about a textbook. One of the biggest problems teachers have </w:t>
      </w:r>
      <w:proofErr w:type="gramStart"/>
      <w:r w:rsidRPr="00427811">
        <w:rPr>
          <w:rFonts w:cs="Times New Roman"/>
          <w:szCs w:val="24"/>
        </w:rPr>
        <w:t>is</w:t>
      </w:r>
      <w:proofErr w:type="gramEnd"/>
      <w:r w:rsidRPr="00427811">
        <w:rPr>
          <w:rFonts w:cs="Times New Roman"/>
          <w:szCs w:val="24"/>
        </w:rPr>
        <w:t xml:space="preserve"> making sure that the resources they use are appropriate for all of their students, especially when they are teaching in a mixed-ability classroom or have limited time (Mohd Asraf &amp; Abdullah, 2016). Adding on, there are not that many studies that have focused on teachers' opinions about using CEFR textbooks, which makes it tough to know how these materials function in real life.</w:t>
      </w:r>
    </w:p>
    <w:p w14:paraId="712EAAA7" w14:textId="77777777" w:rsidR="00427811" w:rsidRPr="00427811" w:rsidRDefault="00427811" w:rsidP="00427811">
      <w:pPr>
        <w:spacing w:line="240" w:lineRule="auto"/>
        <w:rPr>
          <w:rFonts w:cs="Times New Roman"/>
          <w:szCs w:val="24"/>
        </w:rPr>
      </w:pPr>
    </w:p>
    <w:p w14:paraId="051D8148" w14:textId="0B35EEB4" w:rsidR="00427811" w:rsidRPr="00427811" w:rsidRDefault="00427811" w:rsidP="00427811">
      <w:pPr>
        <w:spacing w:line="240" w:lineRule="auto"/>
        <w:rPr>
          <w:rFonts w:cs="Times New Roman"/>
          <w:szCs w:val="24"/>
        </w:rPr>
      </w:pPr>
      <w:r w:rsidRPr="00427811">
        <w:rPr>
          <w:rFonts w:cs="Times New Roman"/>
          <w:szCs w:val="24"/>
        </w:rPr>
        <w:t>Therefore, the aim of this study is to address the shortcomings by carefully looking at the listening and speaking parts of English Plus 1 Year 5 and using the ELT-TEC checklist to do so. This study will be based on Krashen's Input Hypothesis (1985) and Vygotsky's Scaffolding Theory (1978) during the duration of the study. This study will focus on the textbook exercises and how well they function in real life, according to the teachers.</w:t>
      </w:r>
      <w:r>
        <w:rPr>
          <w:rFonts w:cs="Times New Roman"/>
          <w:szCs w:val="24"/>
        </w:rPr>
        <w:t xml:space="preserve"> </w:t>
      </w:r>
      <w:r w:rsidRPr="00427811">
        <w:rPr>
          <w:rFonts w:cs="Times New Roman"/>
          <w:szCs w:val="24"/>
        </w:rPr>
        <w:t>Malaysia has long recognised that being able to speak English well is essential for academic success, economic progress, worldwide communication, and, in short, globalisation. Not only is it important to learn English for the reasons given above, but it also helps you learn</w:t>
      </w:r>
      <w:r>
        <w:rPr>
          <w:rFonts w:cs="Times New Roman"/>
          <w:szCs w:val="24"/>
        </w:rPr>
        <w:t xml:space="preserve"> </w:t>
      </w:r>
      <w:r w:rsidRPr="00427811">
        <w:rPr>
          <w:rFonts w:cs="Times New Roman"/>
          <w:szCs w:val="24"/>
        </w:rPr>
        <w:t>new things because English is the main language used in Information and Communications Technology (ICT). Students need to be able to read and write in the language so that they can find information online and in other electronic media. The Ministry of Education Malaysia (MOE) adopted the Common European Framework of Reference for Languages (CEFR) in 2018 to make sure that students learn how to listen, speak, read, and write. CEFR is used to help teach English in schools. This framework provides an organised way to study a language by setting levels of proficiency and learning outcomes that is accepted internationally.</w:t>
      </w:r>
    </w:p>
    <w:p w14:paraId="7946FA2B" w14:textId="77777777" w:rsidR="00427811" w:rsidRPr="00427811" w:rsidRDefault="00427811" w:rsidP="00427811">
      <w:pPr>
        <w:spacing w:line="240" w:lineRule="auto"/>
        <w:rPr>
          <w:rFonts w:cs="Times New Roman"/>
          <w:szCs w:val="24"/>
        </w:rPr>
      </w:pPr>
    </w:p>
    <w:p w14:paraId="58956C33" w14:textId="6B0F3B7C" w:rsidR="005444DA" w:rsidRDefault="002C3831" w:rsidP="0019330A">
      <w:pPr>
        <w:spacing w:line="240" w:lineRule="auto"/>
        <w:rPr>
          <w:rFonts w:cs="Times New Roman"/>
          <w:szCs w:val="24"/>
        </w:rPr>
      </w:pPr>
      <w:r w:rsidRPr="008B1B25">
        <w:rPr>
          <w:rFonts w:cs="Times New Roman"/>
          <w:szCs w:val="24"/>
        </w:rPr>
        <w:t>CEFR</w:t>
      </w:r>
      <w:r w:rsidRPr="008B1B25">
        <w:rPr>
          <w:rFonts w:cs="Times New Roman"/>
          <w:szCs w:val="24"/>
        </w:rPr>
        <w:noBreakHyphen/>
        <w:t>aligned curriculum</w:t>
      </w:r>
      <w:r w:rsidR="004E7FCB">
        <w:rPr>
          <w:rFonts w:cs="Times New Roman"/>
          <w:szCs w:val="24"/>
        </w:rPr>
        <w:t xml:space="preserve"> in Malaysia</w:t>
      </w:r>
      <w:r w:rsidRPr="008B1B25">
        <w:rPr>
          <w:rFonts w:cs="Times New Roman"/>
          <w:szCs w:val="24"/>
        </w:rPr>
        <w:t xml:space="preserve"> places strong emphasis on listening and speaking as the core of language learning. Although </w:t>
      </w:r>
      <w:r w:rsidRPr="008B1B25">
        <w:rPr>
          <w:rFonts w:cs="Times New Roman"/>
          <w:i/>
          <w:iCs/>
          <w:szCs w:val="24"/>
        </w:rPr>
        <w:t>English Plus 1 Year 5</w:t>
      </w:r>
      <w:r w:rsidRPr="008B1B25">
        <w:rPr>
          <w:rFonts w:cs="Times New Roman"/>
          <w:szCs w:val="24"/>
        </w:rPr>
        <w:t xml:space="preserve"> is </w:t>
      </w:r>
      <w:r w:rsidR="002A3D68">
        <w:rPr>
          <w:rFonts w:cs="Times New Roman"/>
          <w:szCs w:val="24"/>
        </w:rPr>
        <w:t>aimed</w:t>
      </w:r>
      <w:r w:rsidRPr="008B1B25">
        <w:rPr>
          <w:rFonts w:cs="Times New Roman"/>
          <w:szCs w:val="24"/>
        </w:rPr>
        <w:t xml:space="preserve"> </w:t>
      </w:r>
      <w:r w:rsidR="00992D7A">
        <w:rPr>
          <w:rFonts w:cs="Times New Roman"/>
          <w:szCs w:val="24"/>
        </w:rPr>
        <w:t>at</w:t>
      </w:r>
      <w:r w:rsidRPr="008B1B25">
        <w:rPr>
          <w:rFonts w:cs="Times New Roman"/>
          <w:szCs w:val="24"/>
        </w:rPr>
        <w:t xml:space="preserve"> A1–A2 learners, teachers often face </w:t>
      </w:r>
      <w:r w:rsidR="003E25DA">
        <w:rPr>
          <w:rFonts w:cs="Times New Roman"/>
          <w:szCs w:val="24"/>
        </w:rPr>
        <w:t>obstacles</w:t>
      </w:r>
      <w:r w:rsidRPr="008B1B25">
        <w:rPr>
          <w:rFonts w:cs="Times New Roman"/>
          <w:szCs w:val="24"/>
        </w:rPr>
        <w:t xml:space="preserve"> such as textbook structures</w:t>
      </w:r>
      <w:r w:rsidR="00150C8C">
        <w:rPr>
          <w:rFonts w:cs="Times New Roman"/>
          <w:szCs w:val="24"/>
        </w:rPr>
        <w:t xml:space="preserve"> which are not flexible</w:t>
      </w:r>
      <w:r w:rsidRPr="008B1B25">
        <w:rPr>
          <w:rFonts w:cs="Times New Roman"/>
          <w:szCs w:val="24"/>
        </w:rPr>
        <w:t>, l</w:t>
      </w:r>
      <w:r w:rsidR="00C30FCB">
        <w:rPr>
          <w:rFonts w:cs="Times New Roman"/>
          <w:szCs w:val="24"/>
        </w:rPr>
        <w:t>acking</w:t>
      </w:r>
      <w:r w:rsidRPr="008B1B25">
        <w:rPr>
          <w:rFonts w:cs="Times New Roman"/>
          <w:szCs w:val="24"/>
        </w:rPr>
        <w:t xml:space="preserve"> contextual relevance, and a lack of training</w:t>
      </w:r>
      <w:r w:rsidR="005A5B43">
        <w:rPr>
          <w:rFonts w:cs="Times New Roman"/>
          <w:szCs w:val="24"/>
        </w:rPr>
        <w:t xml:space="preserve"> for teachers</w:t>
      </w:r>
      <w:r w:rsidRPr="008B1B25">
        <w:rPr>
          <w:rFonts w:cs="Times New Roman"/>
          <w:szCs w:val="24"/>
        </w:rPr>
        <w:t>. Evaluating the textbook is therefore important to determine whether CEFR integration truly supports inclusive and effective language learning. In this study, the ELT</w:t>
      </w:r>
      <w:r w:rsidRPr="008B1B25">
        <w:rPr>
          <w:rFonts w:cs="Times New Roman"/>
          <w:szCs w:val="24"/>
        </w:rPr>
        <w:noBreakHyphen/>
        <w:t xml:space="preserve">TEC Checklist is used </w:t>
      </w:r>
      <w:r w:rsidR="00BB75FF">
        <w:rPr>
          <w:rFonts w:cs="Times New Roman"/>
          <w:szCs w:val="24"/>
        </w:rPr>
        <w:t>together with</w:t>
      </w:r>
      <w:r w:rsidRPr="008B1B25">
        <w:rPr>
          <w:rFonts w:cs="Times New Roman"/>
          <w:szCs w:val="24"/>
        </w:rPr>
        <w:t xml:space="preserve"> Krashen’s Input Hypothesis and Vygotsky’s Scaffolding Theory to examine how well the textbook achieves these aims</w:t>
      </w:r>
      <w:r w:rsidR="003D608B" w:rsidRPr="008B1B25">
        <w:rPr>
          <w:rFonts w:cs="Times New Roman"/>
          <w:szCs w:val="24"/>
        </w:rPr>
        <w:t>.</w:t>
      </w:r>
      <w:r w:rsidR="00A228E9">
        <w:rPr>
          <w:rFonts w:cs="Times New Roman"/>
          <w:szCs w:val="24"/>
        </w:rPr>
        <w:t xml:space="preserve"> </w:t>
      </w:r>
      <w:r w:rsidR="00A228E9" w:rsidRPr="00A228E9">
        <w:rPr>
          <w:rFonts w:cs="Times New Roman"/>
          <w:szCs w:val="24"/>
        </w:rPr>
        <w:t xml:space="preserve">There are multiple reasons why textbook evaluation is important. </w:t>
      </w:r>
    </w:p>
    <w:p w14:paraId="6D240EEE" w14:textId="77777777" w:rsidR="00A228E9" w:rsidRDefault="00A228E9" w:rsidP="0019330A">
      <w:pPr>
        <w:spacing w:line="240" w:lineRule="auto"/>
        <w:rPr>
          <w:rFonts w:cs="Times New Roman"/>
          <w:szCs w:val="24"/>
        </w:rPr>
      </w:pPr>
    </w:p>
    <w:p w14:paraId="7298FAD6" w14:textId="123627BC" w:rsidR="00A228E9" w:rsidRDefault="00A228E9" w:rsidP="0019330A">
      <w:pPr>
        <w:spacing w:line="240" w:lineRule="auto"/>
        <w:rPr>
          <w:rFonts w:eastAsia="Times New Roman" w:cs="Times New Roman"/>
          <w:szCs w:val="24"/>
        </w:rPr>
      </w:pPr>
      <w:r w:rsidRPr="00A228E9">
        <w:rPr>
          <w:rFonts w:eastAsia="Times New Roman" w:cs="Times New Roman"/>
          <w:szCs w:val="24"/>
        </w:rPr>
        <w:t>Evaluating a textbook helps determine if the content and activities are aligned with the national curriculum levels and learning objectives. For example, it is important that the textbook supports the development of specific language skills such as speaking and listening at the respective proficiency level in a CEFR-aligned curriculum.</w:t>
      </w:r>
      <w:r>
        <w:rPr>
          <w:rFonts w:eastAsia="Times New Roman" w:cs="Times New Roman"/>
          <w:szCs w:val="24"/>
        </w:rPr>
        <w:t xml:space="preserve"> </w:t>
      </w:r>
      <w:r w:rsidRPr="00A228E9">
        <w:rPr>
          <w:rFonts w:eastAsia="Times New Roman" w:cs="Times New Roman"/>
          <w:szCs w:val="24"/>
        </w:rPr>
        <w:t>A textbook that encourages active student participation is a good textbook. Hence, the evaluation helps in identifying if the textbook contains interactive parts such as group work, pair work, role plays and real-life activities. All these activities tend to promote using the language in a meaningful manner while maintaining the students’ interest levels in sustaining knowledge. Engagement is one of the most important tools in successfully acquiring a language.</w:t>
      </w:r>
      <w:r>
        <w:rPr>
          <w:rFonts w:eastAsia="Times New Roman" w:cs="Times New Roman"/>
          <w:szCs w:val="24"/>
        </w:rPr>
        <w:t xml:space="preserve"> </w:t>
      </w:r>
      <w:r w:rsidRPr="00A228E9">
        <w:rPr>
          <w:rFonts w:eastAsia="Times New Roman" w:cs="Times New Roman"/>
          <w:szCs w:val="24"/>
        </w:rPr>
        <w:t xml:space="preserve">Evaluating a </w:t>
      </w:r>
      <w:r w:rsidRPr="00A228E9">
        <w:rPr>
          <w:rFonts w:eastAsia="Times New Roman" w:cs="Times New Roman"/>
          <w:szCs w:val="24"/>
        </w:rPr>
        <w:t>textbook enable</w:t>
      </w:r>
      <w:r w:rsidRPr="00A228E9">
        <w:rPr>
          <w:rFonts w:eastAsia="Times New Roman" w:cs="Times New Roman"/>
          <w:szCs w:val="24"/>
        </w:rPr>
        <w:t xml:space="preserve"> </w:t>
      </w:r>
      <w:r w:rsidRPr="00A228E9">
        <w:rPr>
          <w:rFonts w:eastAsia="Times New Roman" w:cs="Times New Roman"/>
          <w:szCs w:val="24"/>
        </w:rPr>
        <w:lastRenderedPageBreak/>
        <w:t>investigating the accuracy, relevance and realism of the material. Real-world language use makes it more relatable and useful for students. This will only be possible if the content of the textbook is authentic.</w:t>
      </w:r>
    </w:p>
    <w:p w14:paraId="79A47A03" w14:textId="77777777" w:rsidR="00A228E9" w:rsidRDefault="00A228E9" w:rsidP="0019330A">
      <w:pPr>
        <w:spacing w:line="240" w:lineRule="auto"/>
        <w:rPr>
          <w:rFonts w:eastAsia="Times New Roman" w:cs="Times New Roman"/>
          <w:szCs w:val="24"/>
        </w:rPr>
      </w:pPr>
    </w:p>
    <w:p w14:paraId="62F24F32" w14:textId="3400069E" w:rsidR="00A228E9" w:rsidRDefault="00A228E9" w:rsidP="00A228E9">
      <w:pPr>
        <w:spacing w:line="240" w:lineRule="auto"/>
        <w:rPr>
          <w:rFonts w:eastAsia="Times New Roman" w:cs="Times New Roman"/>
          <w:szCs w:val="24"/>
        </w:rPr>
      </w:pPr>
      <w:r w:rsidRPr="00A228E9">
        <w:rPr>
          <w:rFonts w:eastAsia="Times New Roman" w:cs="Times New Roman"/>
          <w:szCs w:val="24"/>
        </w:rPr>
        <w:t>In a multiracial country like Malaysia, textbooks must be inclusive. The content has to be evaluated if it is culturally sensitive. It should showcase the different cultural communities</w:t>
      </w:r>
      <w:r>
        <w:rPr>
          <w:rFonts w:eastAsia="Times New Roman" w:cs="Times New Roman"/>
          <w:szCs w:val="24"/>
        </w:rPr>
        <w:t xml:space="preserve"> </w:t>
      </w:r>
      <w:r w:rsidRPr="00A228E9">
        <w:rPr>
          <w:rFonts w:eastAsia="Times New Roman" w:cs="Times New Roman"/>
          <w:szCs w:val="24"/>
        </w:rPr>
        <w:t>in our lives. This will also enable students from different backgrounds to access the language used.</w:t>
      </w:r>
      <w:r>
        <w:rPr>
          <w:rFonts w:eastAsia="Times New Roman" w:cs="Times New Roman"/>
          <w:szCs w:val="24"/>
        </w:rPr>
        <w:t xml:space="preserve"> </w:t>
      </w:r>
      <w:r w:rsidRPr="00A228E9">
        <w:rPr>
          <w:rFonts w:eastAsia="Times New Roman" w:cs="Times New Roman"/>
          <w:szCs w:val="24"/>
        </w:rPr>
        <w:t>Teachers and curriculum developers will be able to identify if the textbook supports effective teaching practices such as scaffolding, task-based learning, integration of listening and speaking skills, differentiated instruction and communicative language teaching by evaluating a textbook. This increases the use of the textbook in a more effective and strategic way during lessons.</w:t>
      </w:r>
      <w:r>
        <w:rPr>
          <w:rFonts w:eastAsia="Times New Roman" w:cs="Times New Roman"/>
          <w:szCs w:val="24"/>
        </w:rPr>
        <w:t xml:space="preserve"> </w:t>
      </w:r>
      <w:r w:rsidRPr="00A228E9">
        <w:rPr>
          <w:rFonts w:eastAsia="Times New Roman" w:cs="Times New Roman"/>
          <w:szCs w:val="24"/>
        </w:rPr>
        <w:t>We need to evaluate English Plus 1 Year 5 to ascertain that the textbook is able to efficiently cultivate CEFR-aligned teaching strategies so that students can get the most benefit out of the textbook. This study will examine if the English Plus 1 Year 5 manages to encourage students to achieve the CEFR standards of competence while making their learning experiences stimulating and culturally applicable.</w:t>
      </w:r>
    </w:p>
    <w:p w14:paraId="6B953247" w14:textId="77777777" w:rsidR="00A228E9" w:rsidRDefault="00A228E9" w:rsidP="0019330A">
      <w:pPr>
        <w:spacing w:line="240" w:lineRule="auto"/>
        <w:rPr>
          <w:rFonts w:eastAsia="Times New Roman" w:cs="Times New Roman"/>
          <w:szCs w:val="24"/>
        </w:rPr>
      </w:pPr>
    </w:p>
    <w:p w14:paraId="24F92F3F" w14:textId="4756B65A" w:rsidR="00810330" w:rsidRPr="008B1B25" w:rsidRDefault="00810330" w:rsidP="00727AF1">
      <w:pPr>
        <w:pStyle w:val="NoSpacing"/>
        <w:jc w:val="both"/>
        <w:rPr>
          <w:rFonts w:ascii="Times New Roman" w:eastAsia="Times New Roman" w:hAnsi="Times New Roman" w:cs="Times New Roman"/>
          <w:b/>
          <w:sz w:val="24"/>
          <w:szCs w:val="24"/>
        </w:rPr>
      </w:pPr>
      <w:r w:rsidRPr="008B1B25">
        <w:rPr>
          <w:rFonts w:ascii="Times New Roman" w:eastAsia="Times New Roman" w:hAnsi="Times New Roman" w:cs="Times New Roman"/>
          <w:b/>
          <w:sz w:val="24"/>
          <w:szCs w:val="24"/>
        </w:rPr>
        <w:t>1.3 Purpose of Study</w:t>
      </w:r>
    </w:p>
    <w:p w14:paraId="7B75EACC" w14:textId="77777777" w:rsidR="001C39F4" w:rsidRPr="008B1B25" w:rsidRDefault="001C39F4" w:rsidP="00727AF1">
      <w:pPr>
        <w:pStyle w:val="NoSpacing"/>
        <w:jc w:val="both"/>
        <w:rPr>
          <w:rFonts w:ascii="Times New Roman" w:eastAsia="Times New Roman" w:hAnsi="Times New Roman" w:cs="Times New Roman"/>
          <w:b/>
          <w:sz w:val="24"/>
          <w:szCs w:val="24"/>
        </w:rPr>
      </w:pPr>
    </w:p>
    <w:p w14:paraId="66DAED5A" w14:textId="1BDC78ED" w:rsidR="004A4D29" w:rsidRPr="008B1B25" w:rsidRDefault="004A4D29" w:rsidP="004A4D29">
      <w:pPr>
        <w:pStyle w:val="NoSpacing"/>
        <w:jc w:val="both"/>
        <w:rPr>
          <w:rFonts w:ascii="Times New Roman" w:eastAsia="Times New Roman" w:hAnsi="Times New Roman" w:cs="Times New Roman"/>
          <w:sz w:val="24"/>
          <w:szCs w:val="24"/>
        </w:rPr>
      </w:pPr>
      <w:r w:rsidRPr="008B1B25">
        <w:rPr>
          <w:rFonts w:ascii="Times New Roman" w:eastAsia="Times New Roman" w:hAnsi="Times New Roman" w:cs="Times New Roman"/>
          <w:sz w:val="24"/>
          <w:szCs w:val="24"/>
        </w:rPr>
        <w:t xml:space="preserve">This </w:t>
      </w:r>
      <w:r w:rsidR="00264477">
        <w:rPr>
          <w:rFonts w:ascii="Times New Roman" w:eastAsia="Times New Roman" w:hAnsi="Times New Roman" w:cs="Times New Roman"/>
          <w:sz w:val="24"/>
          <w:szCs w:val="24"/>
        </w:rPr>
        <w:t xml:space="preserve">study aims at evaluating </w:t>
      </w:r>
      <w:r w:rsidRPr="008B1B25">
        <w:rPr>
          <w:rFonts w:ascii="Times New Roman" w:eastAsia="Times New Roman" w:hAnsi="Times New Roman" w:cs="Times New Roman"/>
          <w:sz w:val="24"/>
          <w:szCs w:val="24"/>
        </w:rPr>
        <w:t>how well the textbook helps students improve their listening and speaking skills. This study will also look at whether the CEFR concepts are included in the textbook for interactive language learning. Finally, this study will show what works and what does not in how the listening and speaking tasks are set up in the textbook.</w:t>
      </w:r>
      <w:r w:rsidR="00264477">
        <w:rPr>
          <w:rFonts w:ascii="Times New Roman" w:eastAsia="Times New Roman" w:hAnsi="Times New Roman" w:cs="Times New Roman"/>
          <w:sz w:val="24"/>
          <w:szCs w:val="24"/>
        </w:rPr>
        <w:t xml:space="preserve"> Teachers and learners </w:t>
      </w:r>
      <w:r w:rsidR="00264477" w:rsidRPr="00264477">
        <w:rPr>
          <w:rFonts w:ascii="Times New Roman" w:eastAsia="Times New Roman" w:hAnsi="Times New Roman" w:cs="Times New Roman"/>
          <w:sz w:val="24"/>
          <w:szCs w:val="24"/>
        </w:rPr>
        <w:t>throughout the world are highlighting the importance of speaking. It is important to find out if the textbooks help students improve their speaking and listening skills. These are the most critical skills for being able to communicate well. Even while textbooks are used a lot, it is not true that any textbook on the market fits the purposes of teaching and the standards of the curriculum.</w:t>
      </w:r>
    </w:p>
    <w:p w14:paraId="04711881" w14:textId="7F93DEE5" w:rsidR="001C39F4" w:rsidRDefault="001C39F4" w:rsidP="00727AF1">
      <w:pPr>
        <w:pStyle w:val="NoSpacing"/>
        <w:jc w:val="both"/>
        <w:rPr>
          <w:rFonts w:ascii="Times New Roman" w:eastAsia="Times New Roman" w:hAnsi="Times New Roman" w:cs="Times New Roman"/>
          <w:bCs/>
          <w:sz w:val="24"/>
          <w:szCs w:val="24"/>
        </w:rPr>
      </w:pPr>
    </w:p>
    <w:p w14:paraId="2CD89577" w14:textId="77777777" w:rsidR="00F82240" w:rsidRPr="008B1B25" w:rsidRDefault="00F82240" w:rsidP="00F82240">
      <w:pPr>
        <w:pStyle w:val="NoSpacing"/>
        <w:spacing w:line="480" w:lineRule="auto"/>
        <w:jc w:val="both"/>
        <w:rPr>
          <w:rFonts w:ascii="Times New Roman" w:eastAsia="Times New Roman" w:hAnsi="Times New Roman" w:cs="Times New Roman"/>
          <w:b/>
          <w:bCs/>
          <w:sz w:val="24"/>
          <w:szCs w:val="24"/>
        </w:rPr>
      </w:pPr>
      <w:r w:rsidRPr="008B1B25">
        <w:rPr>
          <w:rFonts w:ascii="Times New Roman" w:eastAsia="Times New Roman" w:hAnsi="Times New Roman" w:cs="Times New Roman"/>
          <w:b/>
          <w:sz w:val="24"/>
          <w:szCs w:val="24"/>
        </w:rPr>
        <w:t>1.5</w:t>
      </w:r>
      <w:r w:rsidRPr="008B1B25">
        <w:rPr>
          <w:rFonts w:ascii="Times New Roman" w:eastAsia="Times New Roman" w:hAnsi="Times New Roman" w:cs="Times New Roman"/>
          <w:sz w:val="24"/>
          <w:szCs w:val="24"/>
        </w:rPr>
        <w:t xml:space="preserve"> </w:t>
      </w:r>
      <w:r w:rsidRPr="008B1B25">
        <w:rPr>
          <w:rFonts w:ascii="Times New Roman" w:eastAsia="Times New Roman" w:hAnsi="Times New Roman" w:cs="Times New Roman"/>
          <w:b/>
          <w:bCs/>
          <w:sz w:val="24"/>
          <w:szCs w:val="24"/>
        </w:rPr>
        <w:t>Objectives</w:t>
      </w:r>
    </w:p>
    <w:p w14:paraId="0BEAAF08" w14:textId="77777777" w:rsidR="00F82240" w:rsidRPr="008B1B25" w:rsidRDefault="00F82240" w:rsidP="00F82240">
      <w:pPr>
        <w:pStyle w:val="NoSpacing"/>
        <w:jc w:val="both"/>
        <w:rPr>
          <w:rFonts w:ascii="Times New Roman" w:eastAsia="Times New Roman" w:hAnsi="Times New Roman" w:cs="Times New Roman"/>
          <w:sz w:val="24"/>
          <w:szCs w:val="24"/>
        </w:rPr>
      </w:pPr>
      <w:r w:rsidRPr="008B1B25">
        <w:rPr>
          <w:rFonts w:ascii="Times New Roman" w:eastAsia="Times New Roman" w:hAnsi="Times New Roman" w:cs="Times New Roman"/>
          <w:sz w:val="24"/>
          <w:szCs w:val="24"/>
        </w:rPr>
        <w:t xml:space="preserve">This study aims to understand how the textbook guides Malaysian ESL students in developing their speaking skills while using the theories. These theories help to evaluate the effectiveness of the textbook in cultivating speaking skills. The aim finally is to maximise students’ speaking abilities by identifying parts that can be further improved in the textbook. The main objectives are: </w:t>
      </w:r>
    </w:p>
    <w:p w14:paraId="45496D3E" w14:textId="77777777" w:rsidR="00F82240" w:rsidRPr="008B1B25" w:rsidRDefault="00F82240" w:rsidP="00F82240">
      <w:pPr>
        <w:pStyle w:val="NoSpacing"/>
        <w:jc w:val="both"/>
        <w:rPr>
          <w:rFonts w:ascii="Times New Roman" w:eastAsia="Times New Roman" w:hAnsi="Times New Roman" w:cs="Times New Roman"/>
          <w:b/>
          <w:bCs/>
          <w:sz w:val="24"/>
          <w:szCs w:val="24"/>
        </w:rPr>
      </w:pPr>
    </w:p>
    <w:p w14:paraId="2CF0CB3A" w14:textId="6767E9CB" w:rsidR="00F82240" w:rsidRPr="008B1B25" w:rsidRDefault="00F82240" w:rsidP="00F82240">
      <w:pPr>
        <w:pStyle w:val="NoSpacing"/>
        <w:numPr>
          <w:ilvl w:val="0"/>
          <w:numId w:val="25"/>
        </w:numPr>
        <w:jc w:val="both"/>
        <w:rPr>
          <w:rFonts w:ascii="Times New Roman" w:eastAsia="Times New Roman" w:hAnsi="Times New Roman" w:cs="Times New Roman"/>
          <w:sz w:val="24"/>
          <w:szCs w:val="24"/>
        </w:rPr>
      </w:pPr>
      <w:r w:rsidRPr="008B1B25">
        <w:rPr>
          <w:rFonts w:ascii="Times New Roman" w:eastAsia="Times New Roman" w:hAnsi="Times New Roman" w:cs="Times New Roman"/>
          <w:sz w:val="24"/>
          <w:szCs w:val="24"/>
        </w:rPr>
        <w:t>To evaluate the effectiveness of the Year 5 English textbook in developing listening and speaking skills.</w:t>
      </w:r>
    </w:p>
    <w:p w14:paraId="2CB13289" w14:textId="77777777" w:rsidR="00F82240" w:rsidRPr="008B1B25" w:rsidRDefault="00F82240" w:rsidP="00F82240">
      <w:pPr>
        <w:pStyle w:val="NoSpacing"/>
        <w:jc w:val="both"/>
        <w:rPr>
          <w:rFonts w:ascii="Times New Roman" w:eastAsia="Times New Roman" w:hAnsi="Times New Roman" w:cs="Times New Roman"/>
          <w:sz w:val="24"/>
          <w:szCs w:val="24"/>
        </w:rPr>
      </w:pPr>
    </w:p>
    <w:p w14:paraId="24EC69AB" w14:textId="1880F2E8" w:rsidR="00F82240" w:rsidRPr="00B467D2" w:rsidRDefault="00F82240" w:rsidP="00F82240">
      <w:pPr>
        <w:pStyle w:val="NoSpacing"/>
        <w:numPr>
          <w:ilvl w:val="0"/>
          <w:numId w:val="25"/>
        </w:numPr>
        <w:jc w:val="both"/>
        <w:rPr>
          <w:rFonts w:ascii="Times New Roman" w:eastAsia="Times New Roman" w:hAnsi="Times New Roman" w:cs="Times New Roman"/>
          <w:sz w:val="24"/>
          <w:szCs w:val="24"/>
        </w:rPr>
      </w:pPr>
      <w:r w:rsidRPr="00B467D2">
        <w:rPr>
          <w:rFonts w:ascii="Times New Roman" w:eastAsia="Times New Roman" w:hAnsi="Times New Roman" w:cs="Times New Roman"/>
          <w:sz w:val="24"/>
          <w:szCs w:val="24"/>
        </w:rPr>
        <w:t>To examine whether the Common European Framework of Reference for Languages (CEFR) principles are integrated in the textbook for interactive language learning.</w:t>
      </w:r>
    </w:p>
    <w:p w14:paraId="1C9E8BEE" w14:textId="77777777" w:rsidR="00F82240" w:rsidRPr="008B1B25" w:rsidRDefault="00F82240" w:rsidP="00F82240">
      <w:pPr>
        <w:pStyle w:val="NoSpacing"/>
        <w:jc w:val="both"/>
        <w:rPr>
          <w:rFonts w:ascii="Times New Roman" w:eastAsia="Times New Roman" w:hAnsi="Times New Roman" w:cs="Times New Roman"/>
          <w:b/>
          <w:bCs/>
          <w:sz w:val="24"/>
          <w:szCs w:val="24"/>
        </w:rPr>
      </w:pPr>
    </w:p>
    <w:p w14:paraId="096AF5E4" w14:textId="25F35FD0" w:rsidR="00F82240" w:rsidRPr="008B1B25" w:rsidRDefault="00F82240" w:rsidP="00F82240">
      <w:pPr>
        <w:pStyle w:val="NoSpacing"/>
        <w:numPr>
          <w:ilvl w:val="0"/>
          <w:numId w:val="25"/>
        </w:numPr>
        <w:jc w:val="both"/>
        <w:rPr>
          <w:rFonts w:ascii="Times New Roman" w:eastAsia="Times New Roman" w:hAnsi="Times New Roman" w:cs="Times New Roman"/>
          <w:sz w:val="24"/>
          <w:szCs w:val="24"/>
        </w:rPr>
      </w:pPr>
      <w:r w:rsidRPr="008B1B25">
        <w:rPr>
          <w:rFonts w:ascii="Times New Roman" w:eastAsia="Times New Roman" w:hAnsi="Times New Roman" w:cs="Times New Roman"/>
          <w:sz w:val="24"/>
          <w:szCs w:val="24"/>
        </w:rPr>
        <w:t>To recognise strengths and weaknesses in how speaking and listening activities are structured.</w:t>
      </w:r>
    </w:p>
    <w:p w14:paraId="162F3A34" w14:textId="77777777" w:rsidR="00F82240" w:rsidRDefault="00F82240" w:rsidP="00727AF1">
      <w:pPr>
        <w:pStyle w:val="NoSpacing"/>
        <w:jc w:val="both"/>
        <w:rPr>
          <w:rFonts w:ascii="Times New Roman" w:eastAsia="Times New Roman" w:hAnsi="Times New Roman" w:cs="Times New Roman"/>
          <w:bCs/>
          <w:sz w:val="24"/>
          <w:szCs w:val="24"/>
        </w:rPr>
      </w:pPr>
    </w:p>
    <w:p w14:paraId="1ED6C1D2" w14:textId="77777777" w:rsidR="00B467D2" w:rsidRDefault="00B467D2" w:rsidP="00727AF1">
      <w:pPr>
        <w:pStyle w:val="NoSpacing"/>
        <w:jc w:val="both"/>
        <w:rPr>
          <w:rFonts w:ascii="Times New Roman" w:eastAsia="Times New Roman" w:hAnsi="Times New Roman" w:cs="Times New Roman"/>
          <w:bCs/>
          <w:sz w:val="24"/>
          <w:szCs w:val="24"/>
        </w:rPr>
      </w:pPr>
    </w:p>
    <w:p w14:paraId="4A451DCA" w14:textId="77777777" w:rsidR="00B467D2" w:rsidRDefault="00B467D2" w:rsidP="00727AF1">
      <w:pPr>
        <w:pStyle w:val="NoSpacing"/>
        <w:jc w:val="both"/>
        <w:rPr>
          <w:rFonts w:ascii="Times New Roman" w:eastAsia="Times New Roman" w:hAnsi="Times New Roman" w:cs="Times New Roman"/>
          <w:bCs/>
          <w:sz w:val="24"/>
          <w:szCs w:val="24"/>
        </w:rPr>
      </w:pPr>
    </w:p>
    <w:p w14:paraId="5A6DDFB9" w14:textId="77777777" w:rsidR="00B467D2" w:rsidRPr="008B1B25" w:rsidRDefault="00B467D2" w:rsidP="00727AF1">
      <w:pPr>
        <w:pStyle w:val="NoSpacing"/>
        <w:jc w:val="both"/>
        <w:rPr>
          <w:rFonts w:ascii="Times New Roman" w:eastAsia="Times New Roman" w:hAnsi="Times New Roman" w:cs="Times New Roman"/>
          <w:bCs/>
          <w:sz w:val="24"/>
          <w:szCs w:val="24"/>
        </w:rPr>
      </w:pPr>
    </w:p>
    <w:p w14:paraId="00AB3A5C" w14:textId="565F92D8" w:rsidR="00631135" w:rsidRPr="008B1B25" w:rsidRDefault="00631135" w:rsidP="00727AF1">
      <w:pPr>
        <w:pStyle w:val="NoSpacing"/>
        <w:jc w:val="both"/>
        <w:rPr>
          <w:rFonts w:ascii="Times New Roman" w:eastAsia="Times New Roman" w:hAnsi="Times New Roman" w:cs="Times New Roman"/>
          <w:bCs/>
          <w:sz w:val="24"/>
          <w:szCs w:val="24"/>
        </w:rPr>
      </w:pPr>
      <w:r w:rsidRPr="008B1B25">
        <w:rPr>
          <w:rFonts w:ascii="Times New Roman" w:eastAsia="Times New Roman" w:hAnsi="Times New Roman" w:cs="Times New Roman"/>
          <w:b/>
          <w:sz w:val="24"/>
          <w:szCs w:val="24"/>
        </w:rPr>
        <w:lastRenderedPageBreak/>
        <w:t>1.</w:t>
      </w:r>
      <w:r w:rsidR="00F82240">
        <w:rPr>
          <w:rFonts w:ascii="Times New Roman" w:eastAsia="Times New Roman" w:hAnsi="Times New Roman" w:cs="Times New Roman"/>
          <w:b/>
          <w:sz w:val="24"/>
          <w:szCs w:val="24"/>
        </w:rPr>
        <w:t>6</w:t>
      </w:r>
      <w:r w:rsidRPr="008B1B25">
        <w:rPr>
          <w:rFonts w:ascii="Times New Roman" w:eastAsia="Times New Roman" w:hAnsi="Times New Roman" w:cs="Times New Roman"/>
          <w:b/>
          <w:sz w:val="24"/>
          <w:szCs w:val="24"/>
        </w:rPr>
        <w:t xml:space="preserve"> Research questions</w:t>
      </w:r>
    </w:p>
    <w:p w14:paraId="38A716ED" w14:textId="77777777" w:rsidR="00631135" w:rsidRPr="008B1B25" w:rsidRDefault="00631135" w:rsidP="00727AF1">
      <w:pPr>
        <w:pStyle w:val="NoSpacing"/>
        <w:jc w:val="both"/>
        <w:rPr>
          <w:rFonts w:ascii="Times New Roman" w:eastAsia="Times New Roman" w:hAnsi="Times New Roman" w:cs="Times New Roman"/>
          <w:bCs/>
          <w:sz w:val="24"/>
          <w:szCs w:val="24"/>
        </w:rPr>
      </w:pPr>
    </w:p>
    <w:p w14:paraId="530072F5" w14:textId="52BFBCAA" w:rsidR="00631135" w:rsidRPr="008B1B25" w:rsidRDefault="00631135" w:rsidP="00631135">
      <w:pPr>
        <w:pStyle w:val="NoSpacing"/>
        <w:jc w:val="both"/>
        <w:rPr>
          <w:rFonts w:ascii="Times New Roman" w:eastAsia="Times New Roman" w:hAnsi="Times New Roman" w:cs="Times New Roman"/>
          <w:sz w:val="24"/>
          <w:szCs w:val="24"/>
        </w:rPr>
      </w:pPr>
      <w:r w:rsidRPr="008B1B25">
        <w:rPr>
          <w:rFonts w:ascii="Times New Roman" w:eastAsia="Times New Roman" w:hAnsi="Times New Roman" w:cs="Times New Roman"/>
          <w:sz w:val="24"/>
          <w:szCs w:val="24"/>
        </w:rPr>
        <w:t xml:space="preserve">The major book used in Year 5 government schools is </w:t>
      </w:r>
      <w:r w:rsidRPr="008B1B25">
        <w:rPr>
          <w:rFonts w:ascii="Times New Roman" w:eastAsia="Times New Roman" w:hAnsi="Times New Roman" w:cs="Times New Roman"/>
          <w:i/>
          <w:iCs/>
          <w:sz w:val="24"/>
          <w:szCs w:val="24"/>
        </w:rPr>
        <w:t>English Plus 1</w:t>
      </w:r>
      <w:r w:rsidR="004A09C4" w:rsidRPr="008B1B25">
        <w:rPr>
          <w:rFonts w:ascii="Times New Roman" w:eastAsia="Times New Roman" w:hAnsi="Times New Roman" w:cs="Times New Roman"/>
          <w:sz w:val="24"/>
          <w:szCs w:val="24"/>
        </w:rPr>
        <w:t xml:space="preserve"> which</w:t>
      </w:r>
      <w:r w:rsidRPr="008B1B25">
        <w:rPr>
          <w:rFonts w:ascii="Times New Roman" w:eastAsia="Times New Roman" w:hAnsi="Times New Roman" w:cs="Times New Roman"/>
          <w:sz w:val="24"/>
          <w:szCs w:val="24"/>
        </w:rPr>
        <w:t xml:space="preserve"> should help people improve their communication abilities, like their ability to listen and communicate. This study will look into how well the textbook helps students in CEFR-aligned Year 5 classrooms improve their speaking skills by looking at several specific areas. This study is based on the following research questions:</w:t>
      </w:r>
    </w:p>
    <w:p w14:paraId="6B96F6E3" w14:textId="77777777" w:rsidR="00631135" w:rsidRPr="008B1B25" w:rsidRDefault="00631135" w:rsidP="00631135">
      <w:pPr>
        <w:pStyle w:val="NoSpacing"/>
        <w:jc w:val="both"/>
        <w:rPr>
          <w:rFonts w:ascii="Times New Roman" w:eastAsia="Times New Roman" w:hAnsi="Times New Roman" w:cs="Times New Roman"/>
          <w:sz w:val="24"/>
          <w:szCs w:val="24"/>
        </w:rPr>
      </w:pPr>
    </w:p>
    <w:p w14:paraId="606B28B0" w14:textId="0455E09B" w:rsidR="00754047" w:rsidRPr="00264477" w:rsidRDefault="00532C01" w:rsidP="00F82240">
      <w:pPr>
        <w:pStyle w:val="NoSpacing"/>
        <w:numPr>
          <w:ilvl w:val="0"/>
          <w:numId w:val="24"/>
        </w:numPr>
        <w:jc w:val="both"/>
        <w:rPr>
          <w:rFonts w:ascii="Times New Roman" w:eastAsia="Times New Roman" w:hAnsi="Times New Roman" w:cs="Times New Roman"/>
          <w:sz w:val="24"/>
          <w:szCs w:val="24"/>
        </w:rPr>
      </w:pPr>
      <w:r w:rsidRPr="00264477">
        <w:rPr>
          <w:rFonts w:ascii="Times New Roman" w:eastAsia="Times New Roman" w:hAnsi="Times New Roman" w:cs="Times New Roman"/>
          <w:sz w:val="24"/>
          <w:szCs w:val="24"/>
        </w:rPr>
        <w:t>How effective is the Year 5 English textbook in developing students’ listening and speaking skills?</w:t>
      </w:r>
    </w:p>
    <w:p w14:paraId="20353C55" w14:textId="77777777" w:rsidR="00F038F3" w:rsidRPr="00264477" w:rsidRDefault="00F038F3" w:rsidP="00CA5D5D">
      <w:pPr>
        <w:pStyle w:val="NoSpacing"/>
        <w:jc w:val="both"/>
        <w:rPr>
          <w:rFonts w:ascii="Times New Roman" w:eastAsia="Times New Roman" w:hAnsi="Times New Roman" w:cs="Times New Roman"/>
          <w:sz w:val="24"/>
          <w:szCs w:val="24"/>
        </w:rPr>
      </w:pPr>
    </w:p>
    <w:p w14:paraId="4A570B3C" w14:textId="3B2CFE71" w:rsidR="00754047" w:rsidRPr="00264477" w:rsidRDefault="00754047" w:rsidP="00F82240">
      <w:pPr>
        <w:pStyle w:val="NoSpacing"/>
        <w:numPr>
          <w:ilvl w:val="0"/>
          <w:numId w:val="24"/>
        </w:numPr>
        <w:jc w:val="both"/>
        <w:rPr>
          <w:rFonts w:ascii="Times New Roman" w:eastAsia="Times New Roman" w:hAnsi="Times New Roman" w:cs="Times New Roman"/>
          <w:sz w:val="24"/>
          <w:szCs w:val="24"/>
        </w:rPr>
      </w:pPr>
      <w:r w:rsidRPr="00264477">
        <w:rPr>
          <w:rFonts w:ascii="Times New Roman" w:eastAsia="Times New Roman" w:hAnsi="Times New Roman" w:cs="Times New Roman"/>
          <w:sz w:val="24"/>
          <w:szCs w:val="24"/>
        </w:rPr>
        <w:t>What are the types of listening activities available and are they interactive enough for the engagement of students?</w:t>
      </w:r>
    </w:p>
    <w:p w14:paraId="4FBF19E9" w14:textId="77777777" w:rsidR="00210E66" w:rsidRPr="00264477" w:rsidRDefault="00210E66" w:rsidP="00210E66">
      <w:pPr>
        <w:pStyle w:val="NoSpacing"/>
        <w:jc w:val="both"/>
        <w:rPr>
          <w:rFonts w:ascii="Times New Roman" w:eastAsia="Times New Roman" w:hAnsi="Times New Roman" w:cs="Times New Roman"/>
          <w:sz w:val="24"/>
          <w:szCs w:val="24"/>
        </w:rPr>
      </w:pPr>
    </w:p>
    <w:p w14:paraId="6A07BCF4" w14:textId="0E7EEA0A" w:rsidR="00210E66" w:rsidRPr="00264477" w:rsidRDefault="00210E66" w:rsidP="00F82240">
      <w:pPr>
        <w:pStyle w:val="NoSpacing"/>
        <w:numPr>
          <w:ilvl w:val="0"/>
          <w:numId w:val="24"/>
        </w:numPr>
        <w:jc w:val="both"/>
        <w:rPr>
          <w:rFonts w:ascii="Times New Roman" w:eastAsia="Times New Roman" w:hAnsi="Times New Roman" w:cs="Times New Roman"/>
          <w:sz w:val="24"/>
          <w:szCs w:val="24"/>
        </w:rPr>
      </w:pPr>
      <w:r w:rsidRPr="00264477">
        <w:rPr>
          <w:rFonts w:ascii="Times New Roman" w:eastAsia="Times New Roman" w:hAnsi="Times New Roman" w:cs="Times New Roman"/>
          <w:sz w:val="24"/>
          <w:szCs w:val="24"/>
        </w:rPr>
        <w:t>Does the textbook create opportunities for purposeful oral communications, such as discussions, debates or role playing?</w:t>
      </w:r>
    </w:p>
    <w:p w14:paraId="5FC97144" w14:textId="77777777" w:rsidR="00466DC7" w:rsidRPr="00264477" w:rsidRDefault="00466DC7" w:rsidP="00466DC7">
      <w:pPr>
        <w:pStyle w:val="NoSpacing"/>
        <w:jc w:val="both"/>
        <w:rPr>
          <w:rFonts w:ascii="Times New Roman" w:eastAsia="Times New Roman" w:hAnsi="Times New Roman" w:cs="Times New Roman"/>
          <w:sz w:val="24"/>
          <w:szCs w:val="24"/>
        </w:rPr>
      </w:pPr>
    </w:p>
    <w:p w14:paraId="5423C3E2" w14:textId="384CA127" w:rsidR="00466DC7" w:rsidRPr="00264477" w:rsidRDefault="00466DC7" w:rsidP="00F82240">
      <w:pPr>
        <w:pStyle w:val="NoSpacing"/>
        <w:numPr>
          <w:ilvl w:val="0"/>
          <w:numId w:val="24"/>
        </w:numPr>
        <w:jc w:val="both"/>
        <w:rPr>
          <w:rFonts w:ascii="Times New Roman" w:eastAsia="Times New Roman" w:hAnsi="Times New Roman" w:cs="Times New Roman"/>
          <w:sz w:val="24"/>
          <w:szCs w:val="24"/>
        </w:rPr>
      </w:pPr>
      <w:r w:rsidRPr="00264477">
        <w:rPr>
          <w:rFonts w:ascii="Times New Roman" w:eastAsia="Times New Roman" w:hAnsi="Times New Roman" w:cs="Times New Roman"/>
          <w:sz w:val="24"/>
          <w:szCs w:val="24"/>
        </w:rPr>
        <w:t>How do the teachers perceive the effectiveness of the textbook for improving oral communication skills?</w:t>
      </w:r>
    </w:p>
    <w:p w14:paraId="7A387886" w14:textId="77777777" w:rsidR="00D7091D" w:rsidRPr="008B1B25" w:rsidRDefault="00D7091D" w:rsidP="00466DC7">
      <w:pPr>
        <w:pStyle w:val="NoSpacing"/>
        <w:jc w:val="both"/>
        <w:rPr>
          <w:rFonts w:ascii="Times New Roman" w:eastAsia="Times New Roman" w:hAnsi="Times New Roman" w:cs="Times New Roman"/>
          <w:b/>
          <w:sz w:val="24"/>
          <w:szCs w:val="24"/>
        </w:rPr>
      </w:pPr>
    </w:p>
    <w:p w14:paraId="2E699DE1" w14:textId="77777777" w:rsidR="006E341D" w:rsidRPr="008B1B25" w:rsidRDefault="006E341D" w:rsidP="006E341D">
      <w:pPr>
        <w:pStyle w:val="NoSpacing"/>
        <w:spacing w:line="480" w:lineRule="auto"/>
        <w:jc w:val="both"/>
        <w:rPr>
          <w:rFonts w:ascii="Times New Roman" w:eastAsia="Times New Roman" w:hAnsi="Times New Roman" w:cs="Times New Roman"/>
          <w:b/>
          <w:sz w:val="24"/>
          <w:szCs w:val="24"/>
        </w:rPr>
      </w:pPr>
      <w:r w:rsidRPr="008B1B25">
        <w:rPr>
          <w:rFonts w:ascii="Times New Roman" w:eastAsia="Times New Roman" w:hAnsi="Times New Roman" w:cs="Times New Roman"/>
          <w:b/>
          <w:sz w:val="24"/>
          <w:szCs w:val="24"/>
        </w:rPr>
        <w:t>1.6</w:t>
      </w:r>
      <w:r w:rsidRPr="008B1B25">
        <w:rPr>
          <w:rFonts w:ascii="Times New Roman" w:eastAsia="Times New Roman" w:hAnsi="Times New Roman" w:cs="Times New Roman"/>
          <w:sz w:val="24"/>
          <w:szCs w:val="24"/>
        </w:rPr>
        <w:t xml:space="preserve"> </w:t>
      </w:r>
      <w:r w:rsidRPr="008B1B25">
        <w:rPr>
          <w:rFonts w:ascii="Times New Roman" w:eastAsia="Times New Roman" w:hAnsi="Times New Roman" w:cs="Times New Roman"/>
          <w:b/>
          <w:bCs/>
          <w:sz w:val="24"/>
          <w:szCs w:val="24"/>
        </w:rPr>
        <w:t>Scope</w:t>
      </w:r>
      <w:r w:rsidRPr="008B1B25">
        <w:rPr>
          <w:rFonts w:ascii="Times New Roman" w:eastAsia="Times New Roman" w:hAnsi="Times New Roman" w:cs="Times New Roman"/>
          <w:b/>
          <w:sz w:val="24"/>
          <w:szCs w:val="24"/>
        </w:rPr>
        <w:t xml:space="preserve"> of the study</w:t>
      </w:r>
    </w:p>
    <w:p w14:paraId="5568E73A" w14:textId="46E5373B" w:rsidR="009101C5" w:rsidRPr="008B1B25" w:rsidRDefault="009101C5" w:rsidP="009101C5">
      <w:pPr>
        <w:pStyle w:val="NoSpacing"/>
        <w:jc w:val="both"/>
        <w:rPr>
          <w:rFonts w:ascii="Times New Roman" w:eastAsia="Times New Roman" w:hAnsi="Times New Roman" w:cs="Times New Roman"/>
          <w:sz w:val="24"/>
          <w:szCs w:val="24"/>
        </w:rPr>
      </w:pPr>
      <w:r w:rsidRPr="008B1B25">
        <w:rPr>
          <w:rFonts w:ascii="Times New Roman" w:eastAsia="Times New Roman" w:hAnsi="Times New Roman" w:cs="Times New Roman"/>
          <w:sz w:val="24"/>
          <w:szCs w:val="24"/>
        </w:rPr>
        <w:t xml:space="preserve">This study looks closely at the </w:t>
      </w:r>
      <w:r w:rsidRPr="008B1B25">
        <w:rPr>
          <w:rFonts w:ascii="Times New Roman" w:eastAsia="Times New Roman" w:hAnsi="Times New Roman" w:cs="Times New Roman"/>
          <w:i/>
          <w:iCs/>
          <w:sz w:val="24"/>
          <w:szCs w:val="24"/>
        </w:rPr>
        <w:t>English Plus 1 Year 5</w:t>
      </w:r>
      <w:r w:rsidRPr="008B1B25">
        <w:rPr>
          <w:rFonts w:ascii="Times New Roman" w:eastAsia="Times New Roman" w:hAnsi="Times New Roman" w:cs="Times New Roman"/>
          <w:sz w:val="24"/>
          <w:szCs w:val="24"/>
        </w:rPr>
        <w:t xml:space="preserve"> textbook used in Malaysian government schools, with a specific focus on how it supports listening and speaking. The evaluation was carried out within the CEFR framework and drew on teacher feedback, including insights from those with and without direct Year 5 teaching experience. Data were gathered using the ELT</w:t>
      </w:r>
      <w:r w:rsidRPr="008B1B25">
        <w:rPr>
          <w:rFonts w:ascii="Times New Roman" w:eastAsia="Times New Roman" w:hAnsi="Times New Roman" w:cs="Times New Roman"/>
          <w:sz w:val="24"/>
          <w:szCs w:val="24"/>
        </w:rPr>
        <w:noBreakHyphen/>
        <w:t>TEC checklist and pilot surveys, though the views of students, administrators, and publishers were not included. Overall, the findings point to both strengths and weaknesses in how the textbook helps learners build oral proficiency.</w:t>
      </w:r>
    </w:p>
    <w:p w14:paraId="484AE9AD" w14:textId="141ACCED" w:rsidR="002005F2" w:rsidRPr="008B1B25" w:rsidRDefault="002005F2" w:rsidP="00CF61DB">
      <w:pPr>
        <w:pStyle w:val="NoSpacing"/>
        <w:jc w:val="both"/>
        <w:rPr>
          <w:rFonts w:eastAsia="Times New Roman" w:cs="Times New Roman"/>
          <w:szCs w:val="24"/>
        </w:rPr>
      </w:pPr>
    </w:p>
    <w:p w14:paraId="17991036" w14:textId="43E077B9" w:rsidR="002005F2" w:rsidRPr="008B1B25" w:rsidRDefault="002005F2" w:rsidP="002005F2">
      <w:pPr>
        <w:pStyle w:val="NoSpacing"/>
        <w:spacing w:line="480" w:lineRule="auto"/>
        <w:jc w:val="both"/>
        <w:rPr>
          <w:rFonts w:ascii="Times New Roman" w:hAnsi="Times New Roman" w:cs="Times New Roman"/>
          <w:b/>
          <w:sz w:val="24"/>
          <w:szCs w:val="24"/>
        </w:rPr>
      </w:pPr>
      <w:r w:rsidRPr="008B1B25">
        <w:rPr>
          <w:rFonts w:ascii="Times New Roman" w:eastAsia="Times New Roman" w:hAnsi="Times New Roman" w:cs="Times New Roman"/>
          <w:b/>
          <w:bCs/>
          <w:sz w:val="24"/>
          <w:szCs w:val="24"/>
        </w:rPr>
        <w:t xml:space="preserve">1.7 </w:t>
      </w:r>
      <w:r w:rsidRPr="008B1B25">
        <w:rPr>
          <w:rFonts w:ascii="Times New Roman" w:hAnsi="Times New Roman" w:cs="Times New Roman"/>
          <w:b/>
          <w:bCs/>
          <w:sz w:val="24"/>
          <w:szCs w:val="24"/>
        </w:rPr>
        <w:t xml:space="preserve">Limitations </w:t>
      </w:r>
      <w:r w:rsidRPr="008B1B25">
        <w:rPr>
          <w:rFonts w:ascii="Times New Roman" w:hAnsi="Times New Roman" w:cs="Times New Roman"/>
          <w:b/>
          <w:sz w:val="24"/>
          <w:szCs w:val="24"/>
        </w:rPr>
        <w:t>of the Study</w:t>
      </w:r>
    </w:p>
    <w:p w14:paraId="1EBB98E0" w14:textId="034D7EA6" w:rsidR="00F3209F" w:rsidRPr="008B1B25" w:rsidRDefault="00F3209F" w:rsidP="00F3209F">
      <w:pPr>
        <w:pStyle w:val="NoSpacing"/>
        <w:jc w:val="both"/>
        <w:rPr>
          <w:rFonts w:ascii="Times New Roman" w:hAnsi="Times New Roman" w:cs="Times New Roman"/>
          <w:bCs/>
          <w:sz w:val="24"/>
          <w:szCs w:val="24"/>
        </w:rPr>
      </w:pPr>
      <w:r w:rsidRPr="008B1B25">
        <w:rPr>
          <w:rFonts w:ascii="Times New Roman" w:hAnsi="Times New Roman" w:cs="Times New Roman"/>
          <w:bCs/>
          <w:sz w:val="24"/>
          <w:szCs w:val="24"/>
        </w:rPr>
        <w:t xml:space="preserve">The sample was </w:t>
      </w:r>
      <w:r w:rsidR="009C5A64">
        <w:rPr>
          <w:rFonts w:ascii="Times New Roman" w:hAnsi="Times New Roman" w:cs="Times New Roman"/>
          <w:bCs/>
          <w:sz w:val="24"/>
          <w:szCs w:val="24"/>
        </w:rPr>
        <w:t>gathered</w:t>
      </w:r>
      <w:r w:rsidRPr="008B1B25">
        <w:rPr>
          <w:rFonts w:ascii="Times New Roman" w:hAnsi="Times New Roman" w:cs="Times New Roman"/>
          <w:bCs/>
          <w:sz w:val="24"/>
          <w:szCs w:val="24"/>
        </w:rPr>
        <w:t xml:space="preserve"> only from national and national</w:t>
      </w:r>
      <w:r w:rsidRPr="008B1B25">
        <w:rPr>
          <w:rFonts w:ascii="Times New Roman" w:hAnsi="Times New Roman" w:cs="Times New Roman"/>
          <w:bCs/>
          <w:sz w:val="24"/>
          <w:szCs w:val="24"/>
        </w:rPr>
        <w:noBreakHyphen/>
        <w:t xml:space="preserve">type schools, which means the findings may not fully represent the wider Malaysian context. Teacher feedback was collected through surveys and may reflect personal views or institutional expectations. In addition, the evaluation focused solely on </w:t>
      </w:r>
      <w:r w:rsidRPr="008B1B25">
        <w:rPr>
          <w:rFonts w:ascii="Times New Roman" w:hAnsi="Times New Roman" w:cs="Times New Roman"/>
          <w:bCs/>
          <w:i/>
          <w:iCs/>
          <w:sz w:val="24"/>
          <w:szCs w:val="24"/>
        </w:rPr>
        <w:t>English Plus 1 Year 5</w:t>
      </w:r>
      <w:r w:rsidRPr="008B1B25">
        <w:rPr>
          <w:rFonts w:ascii="Times New Roman" w:hAnsi="Times New Roman" w:cs="Times New Roman"/>
          <w:bCs/>
          <w:sz w:val="24"/>
          <w:szCs w:val="24"/>
        </w:rPr>
        <w:t>, so the results cannot be generalised to other CEFR</w:t>
      </w:r>
      <w:r w:rsidRPr="008B1B25">
        <w:rPr>
          <w:rFonts w:ascii="Times New Roman" w:hAnsi="Times New Roman" w:cs="Times New Roman"/>
          <w:bCs/>
          <w:sz w:val="24"/>
          <w:szCs w:val="24"/>
        </w:rPr>
        <w:noBreakHyphen/>
        <w:t xml:space="preserve">based materials. </w:t>
      </w:r>
      <w:r w:rsidR="00771756">
        <w:rPr>
          <w:rFonts w:ascii="Times New Roman" w:hAnsi="Times New Roman" w:cs="Times New Roman"/>
          <w:bCs/>
          <w:sz w:val="24"/>
          <w:szCs w:val="24"/>
        </w:rPr>
        <w:t>N</w:t>
      </w:r>
      <w:r w:rsidRPr="008B1B25">
        <w:rPr>
          <w:rFonts w:ascii="Times New Roman" w:hAnsi="Times New Roman" w:cs="Times New Roman"/>
          <w:bCs/>
          <w:sz w:val="24"/>
          <w:szCs w:val="24"/>
        </w:rPr>
        <w:t>o student performance data were included, meaning the conclusions rest on textbook design and teacher perceptions rather than direct evidence of learning outcomes.</w:t>
      </w:r>
    </w:p>
    <w:p w14:paraId="47DEE76F" w14:textId="77777777" w:rsidR="00B11F49" w:rsidRDefault="00B11F49" w:rsidP="00D66165">
      <w:pPr>
        <w:spacing w:line="240" w:lineRule="auto"/>
        <w:rPr>
          <w:rFonts w:cs="Times New Roman"/>
          <w:b/>
          <w:bCs/>
          <w:szCs w:val="24"/>
        </w:rPr>
      </w:pPr>
    </w:p>
    <w:p w14:paraId="5C6C0792" w14:textId="5D37FC82" w:rsidR="00C45D63" w:rsidRDefault="00C45D63" w:rsidP="00D66165">
      <w:pPr>
        <w:spacing w:line="240" w:lineRule="auto"/>
        <w:rPr>
          <w:rFonts w:cs="Times New Roman"/>
          <w:b/>
          <w:bCs/>
          <w:szCs w:val="24"/>
        </w:rPr>
      </w:pPr>
      <w:r w:rsidRPr="008B1B25">
        <w:rPr>
          <w:rFonts w:cs="Times New Roman"/>
          <w:b/>
          <w:bCs/>
          <w:szCs w:val="24"/>
        </w:rPr>
        <w:t>2.0 Literature Review</w:t>
      </w:r>
    </w:p>
    <w:p w14:paraId="0783EA6F" w14:textId="77777777" w:rsidR="00D66165" w:rsidRPr="008B1B25" w:rsidRDefault="00D66165" w:rsidP="00D66165">
      <w:pPr>
        <w:spacing w:line="240" w:lineRule="auto"/>
        <w:rPr>
          <w:rFonts w:cs="Times New Roman"/>
          <w:szCs w:val="24"/>
        </w:rPr>
      </w:pPr>
    </w:p>
    <w:p w14:paraId="522737E7" w14:textId="4A9229E9" w:rsidR="0074160B" w:rsidRPr="00117AF3" w:rsidRDefault="00A32579" w:rsidP="00117AF3">
      <w:pPr>
        <w:pStyle w:val="NoSpacing"/>
        <w:jc w:val="both"/>
        <w:rPr>
          <w:rFonts w:ascii="Times New Roman" w:hAnsi="Times New Roman" w:cs="Times New Roman"/>
          <w:sz w:val="24"/>
          <w:szCs w:val="24"/>
        </w:rPr>
      </w:pPr>
      <w:r w:rsidRPr="00117AF3">
        <w:rPr>
          <w:rFonts w:ascii="Times New Roman" w:eastAsia="Calibri" w:hAnsi="Times New Roman" w:cs="Times New Roman"/>
          <w:sz w:val="24"/>
          <w:szCs w:val="24"/>
        </w:rPr>
        <w:t xml:space="preserve">The </w:t>
      </w:r>
      <w:r w:rsidR="00526EE8" w:rsidRPr="00117AF3">
        <w:rPr>
          <w:rFonts w:ascii="Times New Roman" w:eastAsia="Calibri" w:hAnsi="Times New Roman" w:cs="Times New Roman"/>
          <w:sz w:val="24"/>
          <w:szCs w:val="24"/>
        </w:rPr>
        <w:t>basis</w:t>
      </w:r>
      <w:r w:rsidRPr="00117AF3">
        <w:rPr>
          <w:rFonts w:ascii="Times New Roman" w:eastAsia="Calibri" w:hAnsi="Times New Roman" w:cs="Times New Roman"/>
          <w:sz w:val="24"/>
          <w:szCs w:val="24"/>
        </w:rPr>
        <w:t xml:space="preserve"> </w:t>
      </w:r>
      <w:r w:rsidR="001227A2" w:rsidRPr="00117AF3">
        <w:rPr>
          <w:rFonts w:ascii="Times New Roman" w:eastAsia="Calibri" w:hAnsi="Times New Roman" w:cs="Times New Roman"/>
          <w:sz w:val="24"/>
          <w:szCs w:val="24"/>
        </w:rPr>
        <w:t>of English proficiency is o</w:t>
      </w:r>
      <w:r w:rsidR="00C26CCB" w:rsidRPr="00117AF3">
        <w:rPr>
          <w:rFonts w:ascii="Times New Roman" w:eastAsia="Calibri" w:hAnsi="Times New Roman" w:cs="Times New Roman"/>
          <w:sz w:val="24"/>
          <w:szCs w:val="24"/>
        </w:rPr>
        <w:t xml:space="preserve">ral communication, especially in ESL settings where learners need </w:t>
      </w:r>
      <w:r w:rsidR="0011692F" w:rsidRPr="00117AF3">
        <w:rPr>
          <w:rFonts w:ascii="Times New Roman" w:eastAsia="Calibri" w:hAnsi="Times New Roman" w:cs="Times New Roman"/>
          <w:sz w:val="24"/>
          <w:szCs w:val="24"/>
        </w:rPr>
        <w:t>methodical training</w:t>
      </w:r>
      <w:r w:rsidR="00C26CCB" w:rsidRPr="00117AF3">
        <w:rPr>
          <w:rFonts w:ascii="Times New Roman" w:eastAsia="Calibri" w:hAnsi="Times New Roman" w:cs="Times New Roman"/>
          <w:sz w:val="24"/>
          <w:szCs w:val="24"/>
        </w:rPr>
        <w:t xml:space="preserve"> with meaningful </w:t>
      </w:r>
      <w:r w:rsidR="008674E0" w:rsidRPr="00117AF3">
        <w:rPr>
          <w:rFonts w:ascii="Times New Roman" w:eastAsia="Calibri" w:hAnsi="Times New Roman" w:cs="Times New Roman"/>
          <w:sz w:val="24"/>
          <w:szCs w:val="24"/>
        </w:rPr>
        <w:t>coherent communication</w:t>
      </w:r>
      <w:r w:rsidR="00C26CCB" w:rsidRPr="00117AF3">
        <w:rPr>
          <w:rFonts w:ascii="Times New Roman" w:eastAsia="Calibri" w:hAnsi="Times New Roman" w:cs="Times New Roman"/>
          <w:sz w:val="24"/>
          <w:szCs w:val="24"/>
        </w:rPr>
        <w:t>. Textbooks</w:t>
      </w:r>
      <w:r w:rsidR="00C9125C" w:rsidRPr="00117AF3">
        <w:rPr>
          <w:rFonts w:ascii="Times New Roman" w:eastAsia="Calibri" w:hAnsi="Times New Roman" w:cs="Times New Roman"/>
          <w:sz w:val="24"/>
          <w:szCs w:val="24"/>
        </w:rPr>
        <w:t xml:space="preserve"> that are aligned </w:t>
      </w:r>
      <w:r w:rsidR="00552DA8" w:rsidRPr="00117AF3">
        <w:rPr>
          <w:rFonts w:ascii="Times New Roman" w:eastAsia="Calibri" w:hAnsi="Times New Roman" w:cs="Times New Roman"/>
          <w:sz w:val="24"/>
          <w:szCs w:val="24"/>
        </w:rPr>
        <w:t xml:space="preserve">with CEFR </w:t>
      </w:r>
      <w:r w:rsidR="00D40F65" w:rsidRPr="00117AF3">
        <w:rPr>
          <w:rFonts w:ascii="Times New Roman" w:eastAsia="Calibri" w:hAnsi="Times New Roman" w:cs="Times New Roman"/>
          <w:sz w:val="24"/>
          <w:szCs w:val="24"/>
        </w:rPr>
        <w:t>framework</w:t>
      </w:r>
      <w:r w:rsidR="00C26CCB" w:rsidRPr="00117AF3">
        <w:rPr>
          <w:rFonts w:ascii="Times New Roman" w:eastAsia="Calibri" w:hAnsi="Times New Roman" w:cs="Times New Roman"/>
          <w:sz w:val="24"/>
          <w:szCs w:val="24"/>
        </w:rPr>
        <w:t xml:space="preserve"> play a</w:t>
      </w:r>
      <w:r w:rsidR="00552DA8" w:rsidRPr="00117AF3">
        <w:rPr>
          <w:rFonts w:ascii="Times New Roman" w:eastAsia="Calibri" w:hAnsi="Times New Roman" w:cs="Times New Roman"/>
          <w:sz w:val="24"/>
          <w:szCs w:val="24"/>
        </w:rPr>
        <w:t>n important</w:t>
      </w:r>
      <w:r w:rsidR="00C26CCB" w:rsidRPr="00117AF3">
        <w:rPr>
          <w:rFonts w:ascii="Times New Roman" w:eastAsia="Calibri" w:hAnsi="Times New Roman" w:cs="Times New Roman"/>
          <w:sz w:val="24"/>
          <w:szCs w:val="24"/>
        </w:rPr>
        <w:t xml:space="preserve"> role in provid</w:t>
      </w:r>
      <w:r w:rsidR="00CC706B" w:rsidRPr="00117AF3">
        <w:rPr>
          <w:rFonts w:ascii="Times New Roman" w:eastAsia="Calibri" w:hAnsi="Times New Roman" w:cs="Times New Roman"/>
          <w:sz w:val="24"/>
          <w:szCs w:val="24"/>
        </w:rPr>
        <w:t>ing</w:t>
      </w:r>
      <w:r w:rsidR="00C26CCB" w:rsidRPr="00117AF3">
        <w:rPr>
          <w:rFonts w:ascii="Times New Roman" w:eastAsia="Calibri" w:hAnsi="Times New Roman" w:cs="Times New Roman"/>
          <w:sz w:val="24"/>
          <w:szCs w:val="24"/>
        </w:rPr>
        <w:t xml:space="preserve"> the support needed to build listening and speaking skills. This chapter looks at how </w:t>
      </w:r>
      <w:r w:rsidR="007C7E03" w:rsidRPr="00117AF3">
        <w:rPr>
          <w:rFonts w:ascii="Times New Roman" w:eastAsia="Calibri" w:hAnsi="Times New Roman" w:cs="Times New Roman"/>
          <w:sz w:val="24"/>
          <w:szCs w:val="24"/>
        </w:rPr>
        <w:t>the</w:t>
      </w:r>
      <w:r w:rsidR="00C26CCB" w:rsidRPr="00117AF3">
        <w:rPr>
          <w:rFonts w:ascii="Times New Roman" w:eastAsia="Calibri" w:hAnsi="Times New Roman" w:cs="Times New Roman"/>
          <w:sz w:val="24"/>
          <w:szCs w:val="24"/>
        </w:rPr>
        <w:t xml:space="preserve"> materials </w:t>
      </w:r>
      <w:r w:rsidR="00311775" w:rsidRPr="00117AF3">
        <w:rPr>
          <w:rFonts w:ascii="Times New Roman" w:eastAsia="Calibri" w:hAnsi="Times New Roman" w:cs="Times New Roman"/>
          <w:sz w:val="24"/>
          <w:szCs w:val="24"/>
        </w:rPr>
        <w:t>tackle</w:t>
      </w:r>
      <w:r w:rsidR="00C26CCB" w:rsidRPr="00117AF3">
        <w:rPr>
          <w:rFonts w:ascii="Times New Roman" w:eastAsia="Calibri" w:hAnsi="Times New Roman" w:cs="Times New Roman"/>
          <w:sz w:val="24"/>
          <w:szCs w:val="24"/>
        </w:rPr>
        <w:t xml:space="preserve"> these oral competencies and </w:t>
      </w:r>
      <w:r w:rsidR="00CA5A9A" w:rsidRPr="00117AF3">
        <w:rPr>
          <w:rFonts w:ascii="Times New Roman" w:eastAsia="Calibri" w:hAnsi="Times New Roman" w:cs="Times New Roman"/>
          <w:sz w:val="24"/>
          <w:szCs w:val="24"/>
        </w:rPr>
        <w:t>examine</w:t>
      </w:r>
      <w:r w:rsidR="00C26CCB" w:rsidRPr="00117AF3">
        <w:rPr>
          <w:rFonts w:ascii="Times New Roman" w:eastAsia="Calibri" w:hAnsi="Times New Roman" w:cs="Times New Roman"/>
          <w:sz w:val="24"/>
          <w:szCs w:val="24"/>
        </w:rPr>
        <w:t>s whether changes need</w:t>
      </w:r>
      <w:r w:rsidR="00FC471C" w:rsidRPr="00117AF3">
        <w:rPr>
          <w:rFonts w:ascii="Times New Roman" w:eastAsia="Calibri" w:hAnsi="Times New Roman" w:cs="Times New Roman"/>
          <w:sz w:val="24"/>
          <w:szCs w:val="24"/>
        </w:rPr>
        <w:t xml:space="preserve"> to be made</w:t>
      </w:r>
      <w:r w:rsidR="00C26CCB" w:rsidRPr="00117AF3">
        <w:rPr>
          <w:rFonts w:ascii="Times New Roman" w:eastAsia="Calibri" w:hAnsi="Times New Roman" w:cs="Times New Roman"/>
          <w:sz w:val="24"/>
          <w:szCs w:val="24"/>
        </w:rPr>
        <w:t xml:space="preserve"> to make them more effective. The review is guided by </w:t>
      </w:r>
      <w:r w:rsidR="007007F6" w:rsidRPr="00117AF3">
        <w:rPr>
          <w:rFonts w:ascii="Times New Roman" w:eastAsia="Calibri" w:hAnsi="Times New Roman" w:cs="Times New Roman"/>
          <w:sz w:val="24"/>
          <w:szCs w:val="24"/>
        </w:rPr>
        <w:t>Krashen’s Input Hypothesis</w:t>
      </w:r>
      <w:r w:rsidR="00D93495" w:rsidRPr="00117AF3">
        <w:rPr>
          <w:rFonts w:ascii="Times New Roman" w:eastAsia="Calibri" w:hAnsi="Times New Roman" w:cs="Times New Roman"/>
          <w:sz w:val="24"/>
          <w:szCs w:val="24"/>
        </w:rPr>
        <w:t xml:space="preserve"> and Vygotsky’s Scaffolding Theory</w:t>
      </w:r>
      <w:r w:rsidR="00876649" w:rsidRPr="00117AF3">
        <w:rPr>
          <w:rFonts w:ascii="Times New Roman" w:eastAsia="Calibri" w:hAnsi="Times New Roman" w:cs="Times New Roman"/>
          <w:sz w:val="24"/>
          <w:szCs w:val="24"/>
        </w:rPr>
        <w:t xml:space="preserve"> while e</w:t>
      </w:r>
      <w:r w:rsidR="00C26CCB" w:rsidRPr="00117AF3">
        <w:rPr>
          <w:rFonts w:ascii="Times New Roman" w:eastAsia="Calibri" w:hAnsi="Times New Roman" w:cs="Times New Roman"/>
          <w:sz w:val="24"/>
          <w:szCs w:val="24"/>
        </w:rPr>
        <w:t>valuated using the ELT</w:t>
      </w:r>
      <w:r w:rsidR="00C26CCB" w:rsidRPr="00117AF3">
        <w:rPr>
          <w:rFonts w:ascii="Times New Roman" w:eastAsia="Calibri" w:hAnsi="Times New Roman" w:cs="Times New Roman"/>
          <w:sz w:val="24"/>
          <w:szCs w:val="24"/>
        </w:rPr>
        <w:noBreakHyphen/>
        <w:t xml:space="preserve">TEC </w:t>
      </w:r>
      <w:r w:rsidR="001A1434" w:rsidRPr="00117AF3">
        <w:rPr>
          <w:rFonts w:ascii="Times New Roman" w:eastAsia="Calibri" w:hAnsi="Times New Roman" w:cs="Times New Roman"/>
          <w:sz w:val="24"/>
          <w:szCs w:val="24"/>
        </w:rPr>
        <w:t>Checklist</w:t>
      </w:r>
      <w:r w:rsidR="00C26CCB" w:rsidRPr="00117AF3">
        <w:rPr>
          <w:rFonts w:ascii="Times New Roman" w:eastAsia="Calibri" w:hAnsi="Times New Roman" w:cs="Times New Roman"/>
          <w:sz w:val="24"/>
          <w:szCs w:val="24"/>
        </w:rPr>
        <w:t>.</w:t>
      </w:r>
      <w:r w:rsidR="00117AF3" w:rsidRPr="00117AF3">
        <w:rPr>
          <w:rFonts w:ascii="Times New Roman" w:eastAsia="Calibri" w:hAnsi="Times New Roman" w:cs="Times New Roman"/>
          <w:sz w:val="24"/>
          <w:szCs w:val="24"/>
        </w:rPr>
        <w:t xml:space="preserve"> </w:t>
      </w:r>
      <w:r w:rsidR="00301BB7" w:rsidRPr="00117AF3">
        <w:rPr>
          <w:rFonts w:ascii="Times New Roman" w:hAnsi="Times New Roman" w:cs="Times New Roman"/>
          <w:sz w:val="24"/>
          <w:szCs w:val="24"/>
        </w:rPr>
        <w:t xml:space="preserve">Textbooks are essential to ESL learning, </w:t>
      </w:r>
      <w:r w:rsidR="00904B20" w:rsidRPr="00117AF3">
        <w:rPr>
          <w:rFonts w:ascii="Times New Roman" w:hAnsi="Times New Roman" w:cs="Times New Roman"/>
          <w:sz w:val="24"/>
          <w:szCs w:val="24"/>
        </w:rPr>
        <w:t xml:space="preserve">shaping </w:t>
      </w:r>
      <w:r w:rsidR="00904B20" w:rsidRPr="00117AF3">
        <w:rPr>
          <w:rFonts w:ascii="Times New Roman" w:hAnsi="Times New Roman" w:cs="Times New Roman"/>
          <w:sz w:val="24"/>
          <w:szCs w:val="24"/>
        </w:rPr>
        <w:lastRenderedPageBreak/>
        <w:t xml:space="preserve">students’ </w:t>
      </w:r>
      <w:r w:rsidR="00013289" w:rsidRPr="00117AF3">
        <w:rPr>
          <w:rFonts w:ascii="Times New Roman" w:hAnsi="Times New Roman" w:cs="Times New Roman"/>
          <w:sz w:val="24"/>
          <w:szCs w:val="24"/>
        </w:rPr>
        <w:t>oral proficiency inclusive of vocabulary, grammar, pronunciation and communication.</w:t>
      </w:r>
      <w:r w:rsidR="00FA32A5" w:rsidRPr="00117AF3">
        <w:rPr>
          <w:rFonts w:ascii="Times New Roman" w:hAnsi="Times New Roman" w:cs="Times New Roman"/>
          <w:sz w:val="24"/>
          <w:szCs w:val="24"/>
        </w:rPr>
        <w:t xml:space="preserve"> The adoption of CEFR framewor</w:t>
      </w:r>
      <w:r w:rsidR="005A2D9B" w:rsidRPr="00117AF3">
        <w:rPr>
          <w:rFonts w:ascii="Times New Roman" w:hAnsi="Times New Roman" w:cs="Times New Roman"/>
          <w:sz w:val="24"/>
          <w:szCs w:val="24"/>
        </w:rPr>
        <w:t>k has c</w:t>
      </w:r>
      <w:r w:rsidR="00EC1F2E" w:rsidRPr="00117AF3">
        <w:rPr>
          <w:rFonts w:ascii="Times New Roman" w:hAnsi="Times New Roman" w:cs="Times New Roman"/>
          <w:sz w:val="24"/>
          <w:szCs w:val="24"/>
        </w:rPr>
        <w:t xml:space="preserve">onverted </w:t>
      </w:r>
      <w:r w:rsidR="007B048C" w:rsidRPr="00117AF3">
        <w:rPr>
          <w:rFonts w:ascii="Times New Roman" w:hAnsi="Times New Roman" w:cs="Times New Roman"/>
          <w:sz w:val="24"/>
          <w:szCs w:val="24"/>
        </w:rPr>
        <w:t xml:space="preserve">English education by </w:t>
      </w:r>
      <w:r w:rsidR="00EA7682" w:rsidRPr="00117AF3">
        <w:rPr>
          <w:rFonts w:ascii="Times New Roman" w:hAnsi="Times New Roman" w:cs="Times New Roman"/>
          <w:sz w:val="24"/>
          <w:szCs w:val="24"/>
        </w:rPr>
        <w:t xml:space="preserve">providing a standardised </w:t>
      </w:r>
      <w:r w:rsidR="0069288E" w:rsidRPr="00117AF3">
        <w:rPr>
          <w:rFonts w:ascii="Times New Roman" w:hAnsi="Times New Roman" w:cs="Times New Roman"/>
          <w:sz w:val="24"/>
          <w:szCs w:val="24"/>
        </w:rPr>
        <w:t xml:space="preserve">framework to assess </w:t>
      </w:r>
      <w:r w:rsidR="008C2AD6" w:rsidRPr="00117AF3">
        <w:rPr>
          <w:rFonts w:ascii="Times New Roman" w:hAnsi="Times New Roman" w:cs="Times New Roman"/>
          <w:sz w:val="24"/>
          <w:szCs w:val="24"/>
        </w:rPr>
        <w:t>fluency, literacy, and communicative competency</w:t>
      </w:r>
      <w:r w:rsidR="007959C8" w:rsidRPr="00117AF3">
        <w:rPr>
          <w:rFonts w:ascii="Times New Roman" w:hAnsi="Times New Roman" w:cs="Times New Roman"/>
          <w:sz w:val="24"/>
          <w:szCs w:val="24"/>
        </w:rPr>
        <w:t xml:space="preserve"> across all levels.</w:t>
      </w:r>
      <w:r w:rsidR="0070391D" w:rsidRPr="00117AF3">
        <w:rPr>
          <w:rFonts w:ascii="Times New Roman" w:hAnsi="Times New Roman" w:cs="Times New Roman"/>
          <w:sz w:val="24"/>
          <w:szCs w:val="24"/>
        </w:rPr>
        <w:t xml:space="preserve"> This literature review investigates </w:t>
      </w:r>
      <w:r w:rsidR="0027570A" w:rsidRPr="00117AF3">
        <w:rPr>
          <w:rFonts w:ascii="Times New Roman" w:hAnsi="Times New Roman" w:cs="Times New Roman"/>
          <w:sz w:val="24"/>
          <w:szCs w:val="24"/>
        </w:rPr>
        <w:t xml:space="preserve">textbook evaluation, </w:t>
      </w:r>
      <w:r w:rsidR="004460AD" w:rsidRPr="00117AF3">
        <w:rPr>
          <w:rFonts w:ascii="Times New Roman" w:hAnsi="Times New Roman" w:cs="Times New Roman"/>
          <w:sz w:val="24"/>
          <w:szCs w:val="24"/>
        </w:rPr>
        <w:t>CEFR alignment, and theoretical framework</w:t>
      </w:r>
      <w:r w:rsidR="00B16587" w:rsidRPr="00117AF3">
        <w:rPr>
          <w:rFonts w:ascii="Times New Roman" w:hAnsi="Times New Roman" w:cs="Times New Roman"/>
          <w:sz w:val="24"/>
          <w:szCs w:val="24"/>
        </w:rPr>
        <w:t xml:space="preserve"> especially Krashen’s Input Hypothesis and Vygotsky’s </w:t>
      </w:r>
      <w:r w:rsidR="0060764F" w:rsidRPr="00117AF3">
        <w:rPr>
          <w:rFonts w:ascii="Times New Roman" w:hAnsi="Times New Roman" w:cs="Times New Roman"/>
          <w:sz w:val="24"/>
          <w:szCs w:val="24"/>
        </w:rPr>
        <w:t xml:space="preserve">Scaffolding Theory which </w:t>
      </w:r>
      <w:r w:rsidR="00E82D6E" w:rsidRPr="00117AF3">
        <w:rPr>
          <w:rFonts w:ascii="Times New Roman" w:hAnsi="Times New Roman" w:cs="Times New Roman"/>
          <w:sz w:val="24"/>
          <w:szCs w:val="24"/>
        </w:rPr>
        <w:t>focuses on listening and speaking skills.</w:t>
      </w:r>
    </w:p>
    <w:p w14:paraId="03958893" w14:textId="77777777" w:rsidR="00E82D6E" w:rsidRPr="00117AF3" w:rsidRDefault="00E82D6E" w:rsidP="00E82D6E">
      <w:pPr>
        <w:spacing w:line="240" w:lineRule="auto"/>
        <w:rPr>
          <w:rFonts w:cs="Times New Roman"/>
          <w:szCs w:val="24"/>
        </w:rPr>
      </w:pPr>
    </w:p>
    <w:p w14:paraId="74A594BA" w14:textId="530C93F4" w:rsidR="00C83DB5" w:rsidRPr="00C83DB5" w:rsidRDefault="00C83DB5" w:rsidP="00163467">
      <w:pPr>
        <w:spacing w:line="240" w:lineRule="auto"/>
        <w:rPr>
          <w:rFonts w:cs="Times New Roman"/>
          <w:szCs w:val="24"/>
          <w:lang w:val="en-US"/>
        </w:rPr>
      </w:pPr>
      <w:r w:rsidRPr="00117AF3">
        <w:rPr>
          <w:rFonts w:cs="Times New Roman"/>
          <w:szCs w:val="24"/>
          <w:lang w:val="en-US"/>
        </w:rPr>
        <w:t>Malaysia’s English curriculum has shifted from colonial-era imported textbooks to KBSR (1983) and KSSR (2011</w:t>
      </w:r>
      <w:r w:rsidRPr="00117AF3">
        <w:rPr>
          <w:rFonts w:cs="Times New Roman"/>
          <w:b/>
          <w:bCs/>
          <w:szCs w:val="24"/>
          <w:lang w:val="en-US"/>
        </w:rPr>
        <w:t>)</w:t>
      </w:r>
      <w:r w:rsidRPr="00117AF3">
        <w:rPr>
          <w:rFonts w:cs="Times New Roman"/>
          <w:szCs w:val="24"/>
          <w:lang w:val="en-US"/>
        </w:rPr>
        <w:t xml:space="preserve">, with CEFR benchmarks integrated in 2018 to align with international standards. CEFR-aligned textbooks like </w:t>
      </w:r>
      <w:r w:rsidRPr="00117AF3">
        <w:rPr>
          <w:rFonts w:cs="Times New Roman"/>
          <w:i/>
          <w:iCs/>
          <w:szCs w:val="24"/>
          <w:lang w:val="en-US"/>
        </w:rPr>
        <w:t>English Plus 1 Year 5</w:t>
      </w:r>
      <w:r w:rsidRPr="00117AF3">
        <w:rPr>
          <w:rFonts w:cs="Times New Roman"/>
          <w:szCs w:val="24"/>
          <w:lang w:val="en-US"/>
        </w:rPr>
        <w:t xml:space="preserve"> aim to build listening and speaking skills, but teachers often adapt materials to fit local contexts, revealing gaps between policy and practice.</w:t>
      </w:r>
      <w:r w:rsidR="00117AF3">
        <w:rPr>
          <w:rFonts w:cs="Times New Roman"/>
          <w:szCs w:val="24"/>
          <w:lang w:val="en-US"/>
        </w:rPr>
        <w:t xml:space="preserve"> </w:t>
      </w:r>
      <w:r w:rsidRPr="00C83DB5">
        <w:rPr>
          <w:rFonts w:cs="Times New Roman"/>
          <w:szCs w:val="24"/>
          <w:lang w:val="en-US"/>
        </w:rPr>
        <w:t xml:space="preserve">The </w:t>
      </w:r>
      <w:r w:rsidRPr="009A5A61">
        <w:rPr>
          <w:rFonts w:cs="Times New Roman"/>
          <w:szCs w:val="24"/>
          <w:lang w:val="en-US"/>
        </w:rPr>
        <w:t>ELT-TEC checklist</w:t>
      </w:r>
      <w:r w:rsidRPr="00C83DB5">
        <w:rPr>
          <w:rFonts w:cs="Times New Roman"/>
          <w:szCs w:val="24"/>
          <w:lang w:val="en-US"/>
        </w:rPr>
        <w:t xml:space="preserve"> (Mukundan &amp; Ahour, 2010) provides a structured way to evaluate textbooks across content, design, cultural relevance, and skill integration. </w:t>
      </w:r>
      <w:r w:rsidR="00985B64">
        <w:rPr>
          <w:rFonts w:cs="Times New Roman"/>
          <w:szCs w:val="24"/>
          <w:lang w:val="en-US"/>
        </w:rPr>
        <w:t xml:space="preserve">Depending too much </w:t>
      </w:r>
      <w:r w:rsidR="00E3626E">
        <w:rPr>
          <w:rFonts w:cs="Times New Roman"/>
          <w:szCs w:val="24"/>
          <w:lang w:val="en-US"/>
        </w:rPr>
        <w:t>on textbooks w</w:t>
      </w:r>
      <w:r w:rsidRPr="00C83DB5">
        <w:rPr>
          <w:rFonts w:cs="Times New Roman"/>
          <w:szCs w:val="24"/>
          <w:lang w:val="en-US"/>
        </w:rPr>
        <w:t>ithout critical evaluation can limit effectiveness</w:t>
      </w:r>
      <w:r w:rsidR="00E3626E">
        <w:rPr>
          <w:rFonts w:cs="Times New Roman"/>
          <w:szCs w:val="24"/>
          <w:lang w:val="en-US"/>
        </w:rPr>
        <w:t xml:space="preserve"> of textbooks</w:t>
      </w:r>
      <w:r w:rsidRPr="00C83DB5">
        <w:rPr>
          <w:rFonts w:cs="Times New Roman"/>
          <w:szCs w:val="24"/>
          <w:lang w:val="en-US"/>
        </w:rPr>
        <w:t xml:space="preserve">. This study combines ELT-TEC with language acquisition theories to review </w:t>
      </w:r>
      <w:r w:rsidRPr="00C83DB5">
        <w:rPr>
          <w:rFonts w:cs="Times New Roman"/>
          <w:i/>
          <w:iCs/>
          <w:szCs w:val="24"/>
          <w:lang w:val="en-US"/>
        </w:rPr>
        <w:t>English Plus 1 Year 5</w:t>
      </w:r>
      <w:r w:rsidRPr="00C83DB5">
        <w:rPr>
          <w:rFonts w:cs="Times New Roman"/>
          <w:szCs w:val="24"/>
          <w:lang w:val="en-US"/>
        </w:rPr>
        <w:t xml:space="preserve"> and its oral skill components.</w:t>
      </w:r>
    </w:p>
    <w:p w14:paraId="6CE259A1" w14:textId="77777777" w:rsidR="005C1268" w:rsidRDefault="005C1268" w:rsidP="007F40A2">
      <w:pPr>
        <w:spacing w:line="240" w:lineRule="auto"/>
        <w:rPr>
          <w:rFonts w:cs="Times New Roman"/>
          <w:b/>
          <w:bCs/>
          <w:szCs w:val="24"/>
        </w:rPr>
      </w:pPr>
    </w:p>
    <w:p w14:paraId="4F29C8D7" w14:textId="7C26CE00" w:rsidR="003D40E9" w:rsidRPr="00A54E8C" w:rsidRDefault="003D40E9" w:rsidP="007F40A2">
      <w:pPr>
        <w:spacing w:line="240" w:lineRule="auto"/>
        <w:rPr>
          <w:rFonts w:cs="Times New Roman"/>
          <w:szCs w:val="24"/>
        </w:rPr>
      </w:pPr>
      <w:r w:rsidRPr="00A54E8C">
        <w:rPr>
          <w:rFonts w:cs="Times New Roman"/>
          <w:b/>
          <w:bCs/>
          <w:szCs w:val="24"/>
        </w:rPr>
        <w:t>2.</w:t>
      </w:r>
      <w:r w:rsidR="00117AF3">
        <w:rPr>
          <w:rFonts w:cs="Times New Roman"/>
          <w:b/>
          <w:bCs/>
          <w:szCs w:val="24"/>
        </w:rPr>
        <w:t>1</w:t>
      </w:r>
      <w:r w:rsidRPr="00A54E8C">
        <w:rPr>
          <w:rFonts w:cs="Times New Roman"/>
          <w:b/>
          <w:bCs/>
          <w:szCs w:val="24"/>
        </w:rPr>
        <w:t xml:space="preserve"> The CEFR Framework and The Application in Malaysia</w:t>
      </w:r>
    </w:p>
    <w:p w14:paraId="6E6FB96F" w14:textId="77777777" w:rsidR="003D40E9" w:rsidRPr="008B1B25" w:rsidRDefault="003D40E9" w:rsidP="007F40A2">
      <w:pPr>
        <w:spacing w:line="240" w:lineRule="auto"/>
        <w:rPr>
          <w:rFonts w:cs="Times New Roman"/>
          <w:szCs w:val="24"/>
        </w:rPr>
      </w:pPr>
    </w:p>
    <w:p w14:paraId="39BB5458" w14:textId="31D79C59" w:rsidR="00253D7F" w:rsidRDefault="008076F7" w:rsidP="00253D7F">
      <w:pPr>
        <w:spacing w:line="240" w:lineRule="auto"/>
        <w:rPr>
          <w:rFonts w:cs="Times New Roman"/>
          <w:szCs w:val="24"/>
        </w:rPr>
      </w:pPr>
      <w:r w:rsidRPr="008B1B25">
        <w:rPr>
          <w:rFonts w:cs="Times New Roman"/>
          <w:szCs w:val="24"/>
        </w:rPr>
        <w:t>The CEFR</w:t>
      </w:r>
      <w:r w:rsidR="00240F49">
        <w:rPr>
          <w:rFonts w:cs="Times New Roman"/>
          <w:szCs w:val="24"/>
        </w:rPr>
        <w:t>,</w:t>
      </w:r>
      <w:r w:rsidRPr="008B1B25">
        <w:rPr>
          <w:rFonts w:cs="Times New Roman"/>
          <w:szCs w:val="24"/>
        </w:rPr>
        <w:t xml:space="preserve"> an internationally recognised scale for language proficiency, </w:t>
      </w:r>
      <w:r w:rsidR="00F55E15">
        <w:rPr>
          <w:rFonts w:cs="Times New Roman"/>
          <w:szCs w:val="24"/>
        </w:rPr>
        <w:t>emphasises</w:t>
      </w:r>
      <w:r w:rsidR="00D12F0F">
        <w:rPr>
          <w:rFonts w:cs="Times New Roman"/>
          <w:szCs w:val="24"/>
        </w:rPr>
        <w:t xml:space="preserve"> on </w:t>
      </w:r>
      <w:r w:rsidRPr="008B1B25">
        <w:rPr>
          <w:rFonts w:cs="Times New Roman"/>
          <w:szCs w:val="24"/>
        </w:rPr>
        <w:t xml:space="preserve">communicative competence across levels A1 to C2. Listening and speaking are </w:t>
      </w:r>
      <w:r w:rsidR="00CC2613">
        <w:rPr>
          <w:rFonts w:cs="Times New Roman"/>
          <w:szCs w:val="24"/>
        </w:rPr>
        <w:t>essential</w:t>
      </w:r>
      <w:r w:rsidRPr="008B1B25">
        <w:rPr>
          <w:rFonts w:cs="Times New Roman"/>
          <w:szCs w:val="24"/>
        </w:rPr>
        <w:t xml:space="preserve">: A1 learners are expected to manage simple </w:t>
      </w:r>
      <w:r w:rsidR="00417CBC" w:rsidRPr="008B1B25">
        <w:rPr>
          <w:rFonts w:cs="Times New Roman"/>
          <w:szCs w:val="24"/>
        </w:rPr>
        <w:t>conversations</w:t>
      </w:r>
      <w:r w:rsidRPr="008B1B25">
        <w:rPr>
          <w:rFonts w:cs="Times New Roman"/>
          <w:szCs w:val="24"/>
        </w:rPr>
        <w:t>, while A2 learners can describe preferences and experiences. CEFR</w:t>
      </w:r>
      <w:r w:rsidR="0057130B">
        <w:rPr>
          <w:rFonts w:cs="Times New Roman"/>
          <w:szCs w:val="24"/>
        </w:rPr>
        <w:t xml:space="preserve"> was adopted</w:t>
      </w:r>
      <w:r w:rsidRPr="008B1B25">
        <w:rPr>
          <w:rFonts w:cs="Times New Roman"/>
          <w:szCs w:val="24"/>
        </w:rPr>
        <w:t xml:space="preserve"> in 2018 to raise </w:t>
      </w:r>
      <w:r w:rsidR="005C57AA">
        <w:rPr>
          <w:rFonts w:cs="Times New Roman"/>
          <w:szCs w:val="24"/>
        </w:rPr>
        <w:t xml:space="preserve">the </w:t>
      </w:r>
      <w:r w:rsidRPr="008B1B25">
        <w:rPr>
          <w:rFonts w:cs="Times New Roman"/>
          <w:szCs w:val="24"/>
        </w:rPr>
        <w:t>standards</w:t>
      </w:r>
      <w:r w:rsidR="005C57AA">
        <w:rPr>
          <w:rFonts w:cs="Times New Roman"/>
          <w:szCs w:val="24"/>
        </w:rPr>
        <w:t xml:space="preserve"> </w:t>
      </w:r>
      <w:r w:rsidR="001B468B">
        <w:rPr>
          <w:rFonts w:cs="Times New Roman"/>
          <w:szCs w:val="24"/>
        </w:rPr>
        <w:t>of English</w:t>
      </w:r>
      <w:r w:rsidRPr="008B1B25">
        <w:rPr>
          <w:rFonts w:cs="Times New Roman"/>
          <w:szCs w:val="24"/>
        </w:rPr>
        <w:t xml:space="preserve">, introducing new </w:t>
      </w:r>
      <w:r w:rsidR="001B468B" w:rsidRPr="008B1B25">
        <w:rPr>
          <w:rFonts w:cs="Times New Roman"/>
          <w:szCs w:val="24"/>
        </w:rPr>
        <w:t>curriculums</w:t>
      </w:r>
      <w:r w:rsidRPr="008B1B25">
        <w:rPr>
          <w:rFonts w:cs="Times New Roman"/>
          <w:szCs w:val="24"/>
        </w:rPr>
        <w:t xml:space="preserve">, teacher training, and textbooks such as </w:t>
      </w:r>
      <w:r w:rsidRPr="008B1B25">
        <w:rPr>
          <w:rFonts w:cs="Times New Roman"/>
          <w:i/>
          <w:iCs/>
          <w:szCs w:val="24"/>
        </w:rPr>
        <w:t>English Plus 1</w:t>
      </w:r>
      <w:r w:rsidRPr="008B1B25">
        <w:rPr>
          <w:rFonts w:cs="Times New Roman"/>
          <w:szCs w:val="24"/>
        </w:rPr>
        <w:t xml:space="preserve">. While CEFR promotes </w:t>
      </w:r>
      <w:r w:rsidR="001B468B">
        <w:rPr>
          <w:rFonts w:cs="Times New Roman"/>
          <w:szCs w:val="24"/>
        </w:rPr>
        <w:t>real-life</w:t>
      </w:r>
      <w:r w:rsidRPr="008B1B25">
        <w:rPr>
          <w:rFonts w:cs="Times New Roman"/>
          <w:szCs w:val="24"/>
        </w:rPr>
        <w:t xml:space="preserve"> communication, applying “can</w:t>
      </w:r>
      <w:r w:rsidRPr="008B1B25">
        <w:rPr>
          <w:rFonts w:cs="Times New Roman"/>
          <w:szCs w:val="24"/>
        </w:rPr>
        <w:noBreakHyphen/>
        <w:t>do” descriptors in mixed</w:t>
      </w:r>
      <w:r w:rsidRPr="008B1B25">
        <w:rPr>
          <w:rFonts w:cs="Times New Roman"/>
          <w:szCs w:val="24"/>
        </w:rPr>
        <w:noBreakHyphen/>
        <w:t xml:space="preserve">ability classrooms remains challenging, and critics point to vague descriptors and limited cultural </w:t>
      </w:r>
      <w:r w:rsidR="007C135C">
        <w:rPr>
          <w:rFonts w:cs="Times New Roman"/>
          <w:szCs w:val="24"/>
        </w:rPr>
        <w:t>relevance</w:t>
      </w:r>
      <w:r w:rsidRPr="008B1B25">
        <w:rPr>
          <w:rFonts w:cs="Times New Roman"/>
          <w:szCs w:val="24"/>
        </w:rPr>
        <w:t xml:space="preserve"> in textbooks</w:t>
      </w:r>
      <w:r w:rsidR="00F87E16" w:rsidRPr="008B1B25">
        <w:rPr>
          <w:rFonts w:cs="Times New Roman"/>
          <w:szCs w:val="24"/>
        </w:rPr>
        <w:t>.</w:t>
      </w:r>
      <w:r w:rsidR="00117AF3">
        <w:rPr>
          <w:rFonts w:cs="Times New Roman"/>
          <w:szCs w:val="24"/>
        </w:rPr>
        <w:t xml:space="preserve"> </w:t>
      </w:r>
      <w:r w:rsidR="00BB21CD" w:rsidRPr="00BB21CD">
        <w:rPr>
          <w:rFonts w:cs="Times New Roman"/>
          <w:szCs w:val="24"/>
        </w:rPr>
        <w:t xml:space="preserve">Listening in ESL classrooms works best when students hear </w:t>
      </w:r>
      <w:r w:rsidR="00861F8D">
        <w:rPr>
          <w:rFonts w:cs="Times New Roman"/>
          <w:szCs w:val="24"/>
        </w:rPr>
        <w:t>real-life</w:t>
      </w:r>
      <w:r w:rsidR="00BB21CD" w:rsidRPr="00BB21CD">
        <w:rPr>
          <w:rFonts w:cs="Times New Roman"/>
          <w:szCs w:val="24"/>
        </w:rPr>
        <w:t xml:space="preserve"> </w:t>
      </w:r>
      <w:r w:rsidR="00861F8D">
        <w:rPr>
          <w:rFonts w:cs="Times New Roman"/>
          <w:szCs w:val="24"/>
        </w:rPr>
        <w:t>conversations</w:t>
      </w:r>
      <w:r w:rsidR="00BB21CD" w:rsidRPr="00BB21CD">
        <w:rPr>
          <w:rFonts w:cs="Times New Roman"/>
          <w:szCs w:val="24"/>
        </w:rPr>
        <w:t xml:space="preserve">, supported by structured tasks and real-life materials like conversations and podcasts. Challenges such as fast speech, unfamiliar accents, and limited vocabulary can be </w:t>
      </w:r>
      <w:r w:rsidR="00BE25EB" w:rsidRPr="00BB21CD">
        <w:rPr>
          <w:rFonts w:cs="Times New Roman"/>
          <w:szCs w:val="24"/>
        </w:rPr>
        <w:t>reduced</w:t>
      </w:r>
      <w:r w:rsidR="00BB21CD" w:rsidRPr="00BB21CD">
        <w:rPr>
          <w:rFonts w:cs="Times New Roman"/>
          <w:szCs w:val="24"/>
        </w:rPr>
        <w:t xml:space="preserve"> with clear input, visuals, and varied speech models. Speaking tasks should </w:t>
      </w:r>
      <w:r w:rsidR="002A64E7">
        <w:rPr>
          <w:rFonts w:cs="Times New Roman"/>
          <w:szCs w:val="24"/>
        </w:rPr>
        <w:t xml:space="preserve">help build confidence by </w:t>
      </w:r>
      <w:r w:rsidR="00BE25EB" w:rsidRPr="00BB21CD">
        <w:rPr>
          <w:rFonts w:cs="Times New Roman"/>
          <w:szCs w:val="24"/>
        </w:rPr>
        <w:t>encourag</w:t>
      </w:r>
      <w:r w:rsidR="002A64E7">
        <w:rPr>
          <w:rFonts w:cs="Times New Roman"/>
          <w:szCs w:val="24"/>
        </w:rPr>
        <w:t>ing</w:t>
      </w:r>
      <w:r w:rsidR="00BB21CD" w:rsidRPr="00BB21CD">
        <w:rPr>
          <w:rFonts w:cs="Times New Roman"/>
          <w:szCs w:val="24"/>
        </w:rPr>
        <w:t xml:space="preserve"> interaction, turn-taking, and self-expression, with pair and group work. CEFR descriptors at A1–A2 levels highlight the need for simple, interactive communication</w:t>
      </w:r>
      <w:r w:rsidR="00906BC3">
        <w:rPr>
          <w:rFonts w:cs="Times New Roman"/>
          <w:szCs w:val="24"/>
        </w:rPr>
        <w:t>. This</w:t>
      </w:r>
      <w:r w:rsidR="00BB21CD" w:rsidRPr="00BB21CD">
        <w:rPr>
          <w:rFonts w:cs="Times New Roman"/>
          <w:szCs w:val="24"/>
        </w:rPr>
        <w:t xml:space="preserve"> show</w:t>
      </w:r>
      <w:r w:rsidR="00906BC3">
        <w:rPr>
          <w:rFonts w:cs="Times New Roman"/>
          <w:szCs w:val="24"/>
        </w:rPr>
        <w:t>s</w:t>
      </w:r>
      <w:r w:rsidR="00BB21CD" w:rsidRPr="00BB21CD">
        <w:rPr>
          <w:rFonts w:cs="Times New Roman"/>
          <w:szCs w:val="24"/>
        </w:rPr>
        <w:t xml:space="preserve"> that students benefit more from meaningful speaking tasks than from scripted drills</w:t>
      </w:r>
      <w:r w:rsidR="00FD4FB3">
        <w:rPr>
          <w:rFonts w:cs="Times New Roman"/>
          <w:szCs w:val="24"/>
        </w:rPr>
        <w:t xml:space="preserve"> or repetition</w:t>
      </w:r>
      <w:r w:rsidR="00BB21CD" w:rsidRPr="00BB21CD">
        <w:rPr>
          <w:rFonts w:cs="Times New Roman"/>
          <w:szCs w:val="24"/>
        </w:rPr>
        <w:t>.</w:t>
      </w:r>
    </w:p>
    <w:p w14:paraId="08551661" w14:textId="77777777" w:rsidR="00117AF3" w:rsidRDefault="00117AF3" w:rsidP="00253D7F">
      <w:pPr>
        <w:spacing w:line="240" w:lineRule="auto"/>
        <w:rPr>
          <w:rFonts w:cs="Times New Roman"/>
          <w:szCs w:val="24"/>
        </w:rPr>
      </w:pPr>
    </w:p>
    <w:p w14:paraId="7B92DF0B" w14:textId="25A0FA69" w:rsidR="00253D7F" w:rsidRPr="008B1B25" w:rsidRDefault="00253D7F" w:rsidP="00253D7F">
      <w:pPr>
        <w:rPr>
          <w:rFonts w:cs="Times New Roman"/>
          <w:szCs w:val="24"/>
        </w:rPr>
      </w:pPr>
      <w:r w:rsidRPr="008B1B25">
        <w:rPr>
          <w:rFonts w:cs="Times New Roman"/>
          <w:b/>
          <w:bCs/>
          <w:szCs w:val="24"/>
        </w:rPr>
        <w:t>2.</w:t>
      </w:r>
      <w:r w:rsidR="00117AF3">
        <w:rPr>
          <w:rFonts w:cs="Times New Roman"/>
          <w:b/>
          <w:bCs/>
          <w:szCs w:val="24"/>
        </w:rPr>
        <w:t>2</w:t>
      </w:r>
      <w:r w:rsidRPr="008B1B25">
        <w:rPr>
          <w:rFonts w:cs="Times New Roman"/>
          <w:b/>
          <w:bCs/>
          <w:szCs w:val="24"/>
        </w:rPr>
        <w:t xml:space="preserve"> ELT-TEC Textbook Evaluation Checklist</w:t>
      </w:r>
    </w:p>
    <w:p w14:paraId="32835642" w14:textId="5C2F6268" w:rsidR="003425E0" w:rsidRDefault="003425E0" w:rsidP="003425E0">
      <w:pPr>
        <w:spacing w:line="240" w:lineRule="auto"/>
        <w:rPr>
          <w:rFonts w:cs="Times New Roman"/>
          <w:szCs w:val="24"/>
        </w:rPr>
      </w:pPr>
      <w:r w:rsidRPr="008B1B25">
        <w:rPr>
          <w:rFonts w:cs="Times New Roman"/>
          <w:szCs w:val="24"/>
        </w:rPr>
        <w:t>The ELT</w:t>
      </w:r>
      <w:r w:rsidRPr="008B1B25">
        <w:rPr>
          <w:rFonts w:cs="Times New Roman"/>
          <w:szCs w:val="24"/>
        </w:rPr>
        <w:noBreakHyphen/>
        <w:t xml:space="preserve">TEC Checklist provides a structured framework for evaluating </w:t>
      </w:r>
      <w:r w:rsidR="0083385D">
        <w:rPr>
          <w:rFonts w:cs="Times New Roman"/>
          <w:szCs w:val="24"/>
        </w:rPr>
        <w:t xml:space="preserve">the quality of </w:t>
      </w:r>
      <w:r w:rsidRPr="008B1B25">
        <w:rPr>
          <w:rFonts w:cs="Times New Roman"/>
          <w:szCs w:val="24"/>
        </w:rPr>
        <w:t xml:space="preserve">textbook, focusing on language content, activities, organisation, cultural relevance, and </w:t>
      </w:r>
      <w:r w:rsidR="007F564B">
        <w:rPr>
          <w:rFonts w:cs="Times New Roman"/>
          <w:szCs w:val="24"/>
        </w:rPr>
        <w:t>the integration</w:t>
      </w:r>
      <w:r w:rsidR="007F14D9">
        <w:rPr>
          <w:rFonts w:cs="Times New Roman"/>
          <w:szCs w:val="24"/>
        </w:rPr>
        <w:t xml:space="preserve"> of </w:t>
      </w:r>
      <w:r w:rsidRPr="008B1B25">
        <w:rPr>
          <w:rFonts w:cs="Times New Roman"/>
          <w:szCs w:val="24"/>
        </w:rPr>
        <w:t>oral skill</w:t>
      </w:r>
      <w:r w:rsidR="007F14D9">
        <w:rPr>
          <w:rFonts w:cs="Times New Roman"/>
          <w:szCs w:val="24"/>
        </w:rPr>
        <w:t>s</w:t>
      </w:r>
      <w:r w:rsidRPr="008B1B25">
        <w:rPr>
          <w:rFonts w:cs="Times New Roman"/>
          <w:szCs w:val="24"/>
        </w:rPr>
        <w:t xml:space="preserve">. </w:t>
      </w:r>
      <w:r w:rsidR="007F14D9">
        <w:rPr>
          <w:rFonts w:cs="Times New Roman"/>
          <w:szCs w:val="24"/>
        </w:rPr>
        <w:t>T</w:t>
      </w:r>
      <w:r w:rsidRPr="008B1B25">
        <w:rPr>
          <w:rFonts w:cs="Times New Roman"/>
          <w:szCs w:val="24"/>
        </w:rPr>
        <w:t>eachers</w:t>
      </w:r>
      <w:r w:rsidR="007F14D9">
        <w:rPr>
          <w:rFonts w:cs="Times New Roman"/>
          <w:szCs w:val="24"/>
        </w:rPr>
        <w:t xml:space="preserve"> in Malaysia</w:t>
      </w:r>
      <w:r w:rsidRPr="008B1B25">
        <w:rPr>
          <w:rFonts w:cs="Times New Roman"/>
          <w:szCs w:val="24"/>
        </w:rPr>
        <w:t xml:space="preserve"> rely heavily on textbooks, </w:t>
      </w:r>
      <w:r w:rsidR="0046566B">
        <w:rPr>
          <w:rFonts w:cs="Times New Roman"/>
          <w:szCs w:val="24"/>
        </w:rPr>
        <w:t xml:space="preserve">as </w:t>
      </w:r>
      <w:r w:rsidRPr="008B1B25">
        <w:rPr>
          <w:rFonts w:cs="Times New Roman"/>
          <w:szCs w:val="24"/>
        </w:rPr>
        <w:t>this tool is particularly valuable. Studies using ELT</w:t>
      </w:r>
      <w:r w:rsidRPr="008B1B25">
        <w:rPr>
          <w:rFonts w:cs="Times New Roman"/>
          <w:szCs w:val="24"/>
        </w:rPr>
        <w:noBreakHyphen/>
        <w:t xml:space="preserve">TEC reveal that many textbooks lack depth in speaking design and authenticity in communication. For example, </w:t>
      </w:r>
      <w:r w:rsidRPr="008B1B25">
        <w:rPr>
          <w:rFonts w:cs="Times New Roman"/>
          <w:i/>
          <w:iCs/>
          <w:szCs w:val="24"/>
        </w:rPr>
        <w:t>Pulse 2</w:t>
      </w:r>
      <w:r w:rsidRPr="008B1B25">
        <w:rPr>
          <w:rFonts w:cs="Times New Roman"/>
          <w:szCs w:val="24"/>
        </w:rPr>
        <w:t>, a foreign textbook introduced under CEFR, was found to remain conventional and limited in fostering real</w:t>
      </w:r>
      <w:r w:rsidRPr="008B1B25">
        <w:rPr>
          <w:rFonts w:cs="Times New Roman"/>
          <w:szCs w:val="24"/>
        </w:rPr>
        <w:noBreakHyphen/>
        <w:t>world communication, despite being considered practical by teachers.</w:t>
      </w:r>
    </w:p>
    <w:p w14:paraId="7896E65D" w14:textId="77777777" w:rsidR="006202F2" w:rsidRDefault="006202F2" w:rsidP="003425E0">
      <w:pPr>
        <w:spacing w:line="240" w:lineRule="auto"/>
        <w:rPr>
          <w:rFonts w:cs="Times New Roman"/>
          <w:szCs w:val="24"/>
        </w:rPr>
      </w:pPr>
    </w:p>
    <w:p w14:paraId="67997179" w14:textId="6F7A61B0" w:rsidR="00A23EC8" w:rsidRPr="008B1B25" w:rsidRDefault="00A23EC8" w:rsidP="00117AF3">
      <w:pPr>
        <w:jc w:val="center"/>
        <w:rPr>
          <w:rFonts w:cs="Times New Roman"/>
          <w:i/>
          <w:iCs/>
          <w:szCs w:val="24"/>
        </w:rPr>
      </w:pPr>
      <w:r w:rsidRPr="008B1B25">
        <w:rPr>
          <w:rFonts w:cs="Times New Roman"/>
          <w:i/>
          <w:iCs/>
          <w:szCs w:val="24"/>
        </w:rPr>
        <w:t>Table</w:t>
      </w:r>
      <w:r w:rsidR="00117AF3">
        <w:rPr>
          <w:rFonts w:cs="Times New Roman"/>
          <w:i/>
          <w:iCs/>
          <w:szCs w:val="24"/>
        </w:rPr>
        <w:t xml:space="preserve"> 1: </w:t>
      </w:r>
      <w:r w:rsidRPr="008B1B25">
        <w:rPr>
          <w:rFonts w:cs="Times New Roman"/>
          <w:i/>
          <w:iCs/>
          <w:szCs w:val="24"/>
        </w:rPr>
        <w:t xml:space="preserve"> Evaluation Dimensions for ESL Textbook Listening and Speaking Components</w:t>
      </w:r>
    </w:p>
    <w:tbl>
      <w:tblPr>
        <w:tblStyle w:val="TableGrid"/>
        <w:tblW w:w="0" w:type="auto"/>
        <w:tblLook w:val="04A0" w:firstRow="1" w:lastRow="0" w:firstColumn="1" w:lastColumn="0" w:noHBand="0" w:noVBand="1"/>
      </w:tblPr>
      <w:tblGrid>
        <w:gridCol w:w="3389"/>
        <w:gridCol w:w="5627"/>
      </w:tblGrid>
      <w:tr w:rsidR="00A23EC8" w:rsidRPr="008B1B25" w14:paraId="150B6035" w14:textId="77777777" w:rsidTr="00F41C89">
        <w:tc>
          <w:tcPr>
            <w:tcW w:w="3505" w:type="dxa"/>
          </w:tcPr>
          <w:p w14:paraId="117B938B" w14:textId="77777777" w:rsidR="00A23EC8" w:rsidRPr="008B1B25" w:rsidRDefault="00A23EC8" w:rsidP="00A23EC8">
            <w:pPr>
              <w:spacing w:line="240" w:lineRule="auto"/>
              <w:jc w:val="center"/>
              <w:rPr>
                <w:rFonts w:cs="Times New Roman"/>
                <w:b/>
                <w:bCs/>
                <w:szCs w:val="24"/>
              </w:rPr>
            </w:pPr>
            <w:r w:rsidRPr="008B1B25">
              <w:rPr>
                <w:rFonts w:cs="Times New Roman"/>
                <w:b/>
                <w:bCs/>
                <w:szCs w:val="24"/>
              </w:rPr>
              <w:t>Dimension</w:t>
            </w:r>
          </w:p>
        </w:tc>
        <w:tc>
          <w:tcPr>
            <w:tcW w:w="5845" w:type="dxa"/>
          </w:tcPr>
          <w:p w14:paraId="4CD7FCD5" w14:textId="77777777" w:rsidR="00A23EC8" w:rsidRPr="008B1B25" w:rsidRDefault="00A23EC8" w:rsidP="00A23EC8">
            <w:pPr>
              <w:spacing w:line="240" w:lineRule="auto"/>
              <w:jc w:val="center"/>
              <w:rPr>
                <w:rFonts w:cs="Times New Roman"/>
                <w:b/>
                <w:bCs/>
                <w:szCs w:val="24"/>
              </w:rPr>
            </w:pPr>
            <w:r w:rsidRPr="008B1B25">
              <w:rPr>
                <w:rFonts w:cs="Times New Roman"/>
                <w:b/>
                <w:bCs/>
                <w:szCs w:val="24"/>
              </w:rPr>
              <w:t>Purpose of the Dimensions</w:t>
            </w:r>
          </w:p>
        </w:tc>
      </w:tr>
      <w:tr w:rsidR="00A23EC8" w:rsidRPr="008B1B25" w14:paraId="3BA03A53" w14:textId="77777777" w:rsidTr="00F41C89">
        <w:tc>
          <w:tcPr>
            <w:tcW w:w="3505" w:type="dxa"/>
          </w:tcPr>
          <w:p w14:paraId="70768926" w14:textId="77777777" w:rsidR="00A23EC8" w:rsidRPr="008B1B25" w:rsidRDefault="00A23EC8" w:rsidP="00A23EC8">
            <w:pPr>
              <w:spacing w:line="240" w:lineRule="auto"/>
              <w:jc w:val="center"/>
              <w:rPr>
                <w:rFonts w:cs="Times New Roman"/>
                <w:b/>
                <w:bCs/>
                <w:szCs w:val="24"/>
              </w:rPr>
            </w:pPr>
            <w:r w:rsidRPr="008B1B25">
              <w:rPr>
                <w:rFonts w:cs="Times New Roman"/>
                <w:b/>
                <w:bCs/>
                <w:szCs w:val="24"/>
              </w:rPr>
              <w:t>Language Content</w:t>
            </w:r>
          </w:p>
        </w:tc>
        <w:tc>
          <w:tcPr>
            <w:tcW w:w="5845" w:type="dxa"/>
          </w:tcPr>
          <w:p w14:paraId="0E7863FB" w14:textId="77777777" w:rsidR="00A23EC8" w:rsidRPr="008B1B25" w:rsidRDefault="00A23EC8" w:rsidP="00A23EC8">
            <w:pPr>
              <w:spacing w:line="240" w:lineRule="auto"/>
              <w:rPr>
                <w:rFonts w:cs="Times New Roman"/>
                <w:szCs w:val="24"/>
              </w:rPr>
            </w:pPr>
            <w:r w:rsidRPr="008B1B25">
              <w:rPr>
                <w:rFonts w:cs="Times New Roman"/>
                <w:szCs w:val="24"/>
              </w:rPr>
              <w:t>Accuracy, level-appropriateness, progression and grammar/vocabulary integration.</w:t>
            </w:r>
          </w:p>
        </w:tc>
      </w:tr>
      <w:tr w:rsidR="00A23EC8" w:rsidRPr="008B1B25" w14:paraId="6985E5CE" w14:textId="77777777" w:rsidTr="00F41C89">
        <w:tc>
          <w:tcPr>
            <w:tcW w:w="3505" w:type="dxa"/>
          </w:tcPr>
          <w:p w14:paraId="0CEA4717" w14:textId="77777777" w:rsidR="00A23EC8" w:rsidRPr="008B1B25" w:rsidRDefault="00A23EC8" w:rsidP="00A23EC8">
            <w:pPr>
              <w:spacing w:line="240" w:lineRule="auto"/>
              <w:jc w:val="center"/>
              <w:rPr>
                <w:rFonts w:cs="Times New Roman"/>
                <w:b/>
                <w:bCs/>
                <w:szCs w:val="24"/>
              </w:rPr>
            </w:pPr>
            <w:r w:rsidRPr="008B1B25">
              <w:rPr>
                <w:rFonts w:cs="Times New Roman"/>
                <w:b/>
                <w:bCs/>
                <w:szCs w:val="24"/>
              </w:rPr>
              <w:lastRenderedPageBreak/>
              <w:t xml:space="preserve">Exercises and Activities </w:t>
            </w:r>
          </w:p>
        </w:tc>
        <w:tc>
          <w:tcPr>
            <w:tcW w:w="5845" w:type="dxa"/>
          </w:tcPr>
          <w:p w14:paraId="12B5F508" w14:textId="77777777" w:rsidR="00A23EC8" w:rsidRPr="008B1B25" w:rsidRDefault="00A23EC8" w:rsidP="00A23EC8">
            <w:pPr>
              <w:spacing w:line="240" w:lineRule="auto"/>
              <w:rPr>
                <w:rFonts w:cs="Times New Roman"/>
                <w:szCs w:val="24"/>
              </w:rPr>
            </w:pPr>
            <w:r w:rsidRPr="008B1B25">
              <w:rPr>
                <w:rFonts w:cs="Times New Roman"/>
                <w:szCs w:val="24"/>
              </w:rPr>
              <w:t>Variety, authenticity, skill integration, engagement of students</w:t>
            </w:r>
          </w:p>
        </w:tc>
      </w:tr>
      <w:tr w:rsidR="00A23EC8" w:rsidRPr="008B1B25" w14:paraId="0B12BC42" w14:textId="77777777" w:rsidTr="00F41C89">
        <w:tc>
          <w:tcPr>
            <w:tcW w:w="3505" w:type="dxa"/>
          </w:tcPr>
          <w:p w14:paraId="50CE0EFD" w14:textId="77777777" w:rsidR="00A23EC8" w:rsidRPr="008B1B25" w:rsidRDefault="00A23EC8" w:rsidP="00A23EC8">
            <w:pPr>
              <w:spacing w:line="240" w:lineRule="auto"/>
              <w:jc w:val="center"/>
              <w:rPr>
                <w:rFonts w:cs="Times New Roman"/>
                <w:b/>
                <w:bCs/>
                <w:szCs w:val="24"/>
              </w:rPr>
            </w:pPr>
            <w:r w:rsidRPr="008B1B25">
              <w:rPr>
                <w:rFonts w:cs="Times New Roman"/>
                <w:b/>
                <w:bCs/>
                <w:szCs w:val="24"/>
              </w:rPr>
              <w:t>Design and Organisation</w:t>
            </w:r>
          </w:p>
        </w:tc>
        <w:tc>
          <w:tcPr>
            <w:tcW w:w="5845" w:type="dxa"/>
          </w:tcPr>
          <w:p w14:paraId="0C21E31E" w14:textId="77777777" w:rsidR="00A23EC8" w:rsidRPr="008B1B25" w:rsidRDefault="00A23EC8" w:rsidP="00A23EC8">
            <w:pPr>
              <w:spacing w:line="240" w:lineRule="auto"/>
              <w:rPr>
                <w:rFonts w:cs="Times New Roman"/>
                <w:szCs w:val="24"/>
              </w:rPr>
            </w:pPr>
            <w:r w:rsidRPr="008B1B25">
              <w:rPr>
                <w:rFonts w:cs="Times New Roman"/>
                <w:szCs w:val="24"/>
              </w:rPr>
              <w:t xml:space="preserve">Layout, clarity of instructions, logical sequencing </w:t>
            </w:r>
          </w:p>
        </w:tc>
      </w:tr>
      <w:tr w:rsidR="00A23EC8" w:rsidRPr="008B1B25" w14:paraId="7B1C7D92" w14:textId="77777777" w:rsidTr="00F41C89">
        <w:tc>
          <w:tcPr>
            <w:tcW w:w="3505" w:type="dxa"/>
          </w:tcPr>
          <w:p w14:paraId="68CCF8F4" w14:textId="77777777" w:rsidR="00A23EC8" w:rsidRPr="008B1B25" w:rsidRDefault="00A23EC8" w:rsidP="00A23EC8">
            <w:pPr>
              <w:spacing w:line="240" w:lineRule="auto"/>
              <w:jc w:val="center"/>
              <w:rPr>
                <w:rFonts w:cs="Times New Roman"/>
                <w:b/>
                <w:bCs/>
                <w:szCs w:val="24"/>
              </w:rPr>
            </w:pPr>
            <w:r w:rsidRPr="008B1B25">
              <w:rPr>
                <w:rFonts w:cs="Times New Roman"/>
                <w:b/>
                <w:bCs/>
                <w:szCs w:val="24"/>
              </w:rPr>
              <w:t>Cultural Relevance</w:t>
            </w:r>
          </w:p>
        </w:tc>
        <w:tc>
          <w:tcPr>
            <w:tcW w:w="5845" w:type="dxa"/>
          </w:tcPr>
          <w:p w14:paraId="1A77A5B3" w14:textId="77777777" w:rsidR="00A23EC8" w:rsidRPr="008B1B25" w:rsidRDefault="00A23EC8" w:rsidP="00A23EC8">
            <w:pPr>
              <w:spacing w:line="240" w:lineRule="auto"/>
              <w:rPr>
                <w:rFonts w:cs="Times New Roman"/>
                <w:szCs w:val="24"/>
              </w:rPr>
            </w:pPr>
            <w:r w:rsidRPr="008B1B25">
              <w:rPr>
                <w:rFonts w:cs="Times New Roman"/>
                <w:szCs w:val="24"/>
              </w:rPr>
              <w:t>Diversity, sensitivity and inclusion of local/global contexts</w:t>
            </w:r>
          </w:p>
        </w:tc>
      </w:tr>
      <w:tr w:rsidR="00A23EC8" w:rsidRPr="008B1B25" w14:paraId="1193996B" w14:textId="77777777" w:rsidTr="00F41C89">
        <w:tc>
          <w:tcPr>
            <w:tcW w:w="3505" w:type="dxa"/>
          </w:tcPr>
          <w:p w14:paraId="0F0A3710" w14:textId="77777777" w:rsidR="00A23EC8" w:rsidRPr="008B1B25" w:rsidRDefault="00A23EC8" w:rsidP="00A23EC8">
            <w:pPr>
              <w:spacing w:line="240" w:lineRule="auto"/>
              <w:jc w:val="center"/>
              <w:rPr>
                <w:rFonts w:cs="Times New Roman"/>
                <w:b/>
                <w:bCs/>
                <w:szCs w:val="24"/>
              </w:rPr>
            </w:pPr>
            <w:r w:rsidRPr="008B1B25">
              <w:rPr>
                <w:rFonts w:cs="Times New Roman"/>
                <w:b/>
                <w:bCs/>
                <w:szCs w:val="24"/>
              </w:rPr>
              <w:t>Listening and Speaking Integration</w:t>
            </w:r>
          </w:p>
        </w:tc>
        <w:tc>
          <w:tcPr>
            <w:tcW w:w="5845" w:type="dxa"/>
          </w:tcPr>
          <w:p w14:paraId="15EF1F61" w14:textId="77777777" w:rsidR="00A23EC8" w:rsidRPr="008B1B25" w:rsidRDefault="00A23EC8" w:rsidP="00A23EC8">
            <w:pPr>
              <w:spacing w:line="240" w:lineRule="auto"/>
              <w:rPr>
                <w:rFonts w:cs="Times New Roman"/>
                <w:szCs w:val="24"/>
              </w:rPr>
            </w:pPr>
            <w:r w:rsidRPr="008B1B25">
              <w:rPr>
                <w:rFonts w:cs="Times New Roman"/>
                <w:szCs w:val="24"/>
              </w:rPr>
              <w:t>Whether oral skills are meaningfully integrated and scaffolded</w:t>
            </w:r>
          </w:p>
        </w:tc>
      </w:tr>
    </w:tbl>
    <w:p w14:paraId="2F7827CD" w14:textId="6F8219C0" w:rsidR="00A23EC8" w:rsidRPr="008B1B25" w:rsidRDefault="00A23EC8" w:rsidP="00A23EC8">
      <w:pPr>
        <w:spacing w:line="240" w:lineRule="auto"/>
        <w:rPr>
          <w:rFonts w:cs="Times New Roman"/>
          <w:szCs w:val="24"/>
        </w:rPr>
      </w:pPr>
    </w:p>
    <w:p w14:paraId="6CE21C38" w14:textId="0EA00F89" w:rsidR="00875253" w:rsidRDefault="00875253" w:rsidP="00875253">
      <w:pPr>
        <w:spacing w:line="240" w:lineRule="auto"/>
        <w:rPr>
          <w:rFonts w:cs="Times New Roman"/>
          <w:szCs w:val="24"/>
        </w:rPr>
      </w:pPr>
      <w:r w:rsidRPr="008B1B25">
        <w:rPr>
          <w:rFonts w:cs="Times New Roman"/>
          <w:szCs w:val="24"/>
        </w:rPr>
        <w:t>Most Malaysian ESL textbook evaluations focus on general skill integration rather than listening and speaking. Oral activities often lack scaffolding for real</w:t>
      </w:r>
      <w:r w:rsidRPr="008B1B25">
        <w:rPr>
          <w:rFonts w:cs="Times New Roman"/>
          <w:szCs w:val="24"/>
        </w:rPr>
        <w:noBreakHyphen/>
        <w:t xml:space="preserve">world communication, and many studies </w:t>
      </w:r>
      <w:r w:rsidR="00893BD9">
        <w:rPr>
          <w:rFonts w:cs="Times New Roman"/>
          <w:szCs w:val="24"/>
        </w:rPr>
        <w:t>depend</w:t>
      </w:r>
      <w:r w:rsidRPr="008B1B25">
        <w:rPr>
          <w:rFonts w:cs="Times New Roman"/>
          <w:szCs w:val="24"/>
        </w:rPr>
        <w:t xml:space="preserve"> on checklists without theoretical grounding in acquisition models. Teacher perspectives are also </w:t>
      </w:r>
      <w:r w:rsidR="00C3498E">
        <w:rPr>
          <w:rFonts w:cs="Times New Roman"/>
          <w:szCs w:val="24"/>
        </w:rPr>
        <w:t xml:space="preserve">not </w:t>
      </w:r>
      <w:r w:rsidRPr="008B1B25">
        <w:rPr>
          <w:rFonts w:cs="Times New Roman"/>
          <w:szCs w:val="24"/>
        </w:rPr>
        <w:t>explored</w:t>
      </w:r>
      <w:r w:rsidR="00C3498E">
        <w:rPr>
          <w:rFonts w:cs="Times New Roman"/>
          <w:szCs w:val="24"/>
        </w:rPr>
        <w:t xml:space="preserve"> enough</w:t>
      </w:r>
      <w:r w:rsidRPr="008B1B25">
        <w:rPr>
          <w:rFonts w:cs="Times New Roman"/>
          <w:szCs w:val="24"/>
        </w:rPr>
        <w:t xml:space="preserve">, despite their role in adapting or omitting tasks in practice. This study addresses these gaps by evaluating </w:t>
      </w:r>
      <w:r w:rsidRPr="008B1B25">
        <w:rPr>
          <w:rFonts w:cs="Times New Roman"/>
          <w:i/>
          <w:iCs/>
          <w:szCs w:val="24"/>
        </w:rPr>
        <w:t>English Plus 1 Year 5</w:t>
      </w:r>
      <w:r w:rsidRPr="008B1B25">
        <w:rPr>
          <w:rFonts w:cs="Times New Roman"/>
          <w:szCs w:val="24"/>
        </w:rPr>
        <w:t xml:space="preserve"> through ELT</w:t>
      </w:r>
      <w:r w:rsidRPr="008B1B25">
        <w:rPr>
          <w:rFonts w:cs="Times New Roman"/>
          <w:szCs w:val="24"/>
        </w:rPr>
        <w:noBreakHyphen/>
        <w:t>TEC, language acquisition theories, and teacher feedback to assess oral skill development.</w:t>
      </w:r>
    </w:p>
    <w:p w14:paraId="6D3689D5" w14:textId="77777777" w:rsidR="00F07BB8" w:rsidRDefault="00F07BB8" w:rsidP="00875253">
      <w:pPr>
        <w:spacing w:line="240" w:lineRule="auto"/>
        <w:rPr>
          <w:rFonts w:cs="Times New Roman"/>
          <w:szCs w:val="24"/>
        </w:rPr>
      </w:pPr>
    </w:p>
    <w:p w14:paraId="66F89E99" w14:textId="77777777" w:rsidR="00C5655B" w:rsidRPr="008B1B25" w:rsidRDefault="00C5655B" w:rsidP="00C5655B">
      <w:pPr>
        <w:rPr>
          <w:rFonts w:cs="Times New Roman"/>
          <w:szCs w:val="24"/>
        </w:rPr>
      </w:pPr>
      <w:r w:rsidRPr="008B1B25">
        <w:rPr>
          <w:rFonts w:cs="Times New Roman"/>
          <w:b/>
          <w:bCs/>
          <w:szCs w:val="24"/>
        </w:rPr>
        <w:t>3.0 Methodology</w:t>
      </w:r>
    </w:p>
    <w:p w14:paraId="78B62E41" w14:textId="5C323D97" w:rsidR="000A77AA" w:rsidRDefault="00D20DD7" w:rsidP="00117AF3">
      <w:pPr>
        <w:spacing w:line="240" w:lineRule="auto"/>
      </w:pPr>
      <w:r w:rsidRPr="008B1B25">
        <w:rPr>
          <w:rFonts w:cs="Times New Roman"/>
          <w:szCs w:val="24"/>
        </w:rPr>
        <w:t>This study e</w:t>
      </w:r>
      <w:r w:rsidR="00681382">
        <w:rPr>
          <w:rFonts w:cs="Times New Roman"/>
          <w:szCs w:val="24"/>
        </w:rPr>
        <w:t>xamines</w:t>
      </w:r>
      <w:r w:rsidRPr="008B1B25">
        <w:rPr>
          <w:rFonts w:cs="Times New Roman"/>
          <w:szCs w:val="24"/>
        </w:rPr>
        <w:t xml:space="preserve"> </w:t>
      </w:r>
      <w:r w:rsidRPr="008B1B25">
        <w:rPr>
          <w:rFonts w:cs="Times New Roman"/>
          <w:i/>
          <w:iCs/>
          <w:szCs w:val="24"/>
        </w:rPr>
        <w:t>English Plus 1 Year 5</w:t>
      </w:r>
      <w:r w:rsidRPr="008B1B25">
        <w:rPr>
          <w:rFonts w:cs="Times New Roman"/>
          <w:szCs w:val="24"/>
        </w:rPr>
        <w:t xml:space="preserve">, </w:t>
      </w:r>
      <w:r w:rsidR="008B721F">
        <w:rPr>
          <w:rFonts w:cs="Times New Roman"/>
          <w:szCs w:val="24"/>
        </w:rPr>
        <w:t>emphasising</w:t>
      </w:r>
      <w:r w:rsidRPr="008B1B25">
        <w:rPr>
          <w:rFonts w:cs="Times New Roman"/>
          <w:szCs w:val="24"/>
        </w:rPr>
        <w:t xml:space="preserve"> on listening and speaking activities in Malaysian ESL classrooms. A mixed</w:t>
      </w:r>
      <w:r w:rsidRPr="008B1B25">
        <w:rPr>
          <w:rFonts w:cs="Times New Roman"/>
          <w:szCs w:val="24"/>
        </w:rPr>
        <w:noBreakHyphen/>
        <w:t>methods approach was adopted to provide</w:t>
      </w:r>
      <w:r w:rsidR="008B721F">
        <w:rPr>
          <w:rFonts w:cs="Times New Roman"/>
          <w:szCs w:val="24"/>
        </w:rPr>
        <w:t xml:space="preserve"> </w:t>
      </w:r>
      <w:r w:rsidRPr="008B1B25">
        <w:rPr>
          <w:rFonts w:cs="Times New Roman"/>
          <w:szCs w:val="24"/>
        </w:rPr>
        <w:t>depth, combining quantitative and qualitative data for a more comprehensive view.</w:t>
      </w:r>
      <w:r w:rsidR="00117AF3">
        <w:rPr>
          <w:rFonts w:cs="Times New Roman"/>
          <w:szCs w:val="24"/>
        </w:rPr>
        <w:t xml:space="preserve"> </w:t>
      </w:r>
      <w:r w:rsidR="00681D40" w:rsidRPr="008B1B25">
        <w:t>A convergent parallel mixed</w:t>
      </w:r>
      <w:r w:rsidR="00681D40" w:rsidRPr="008B1B25">
        <w:noBreakHyphen/>
        <w:t xml:space="preserve">methods design was </w:t>
      </w:r>
      <w:r w:rsidR="00613944">
        <w:t>used</w:t>
      </w:r>
      <w:r w:rsidR="00681D40" w:rsidRPr="008B1B25">
        <w:t xml:space="preserve">, allowing quantitative and qualitative data to be collected simultaneously and then integrated. Teacher </w:t>
      </w:r>
      <w:r w:rsidR="00E2002E">
        <w:t>outlook</w:t>
      </w:r>
      <w:r w:rsidR="00681D40" w:rsidRPr="008B1B25">
        <w:t xml:space="preserve"> w</w:t>
      </w:r>
      <w:r w:rsidR="00685981">
        <w:t>as</w:t>
      </w:r>
      <w:r w:rsidR="00681D40" w:rsidRPr="008B1B25">
        <w:t xml:space="preserve"> </w:t>
      </w:r>
      <w:r w:rsidR="00100897">
        <w:t>collected</w:t>
      </w:r>
      <w:r w:rsidR="00681D40" w:rsidRPr="008B1B25">
        <w:t xml:space="preserve"> through surveys containing Likert</w:t>
      </w:r>
      <w:r w:rsidR="00681D40" w:rsidRPr="008B1B25">
        <w:noBreakHyphen/>
        <w:t>scale and open</w:t>
      </w:r>
      <w:r w:rsidR="00681D40" w:rsidRPr="008B1B25">
        <w:noBreakHyphen/>
        <w:t>ended items</w:t>
      </w:r>
      <w:r w:rsidR="00685981">
        <w:t>.</w:t>
      </w:r>
      <w:r w:rsidR="00681D40" w:rsidRPr="008B1B25">
        <w:t xml:space="preserve"> </w:t>
      </w:r>
      <w:r w:rsidR="00685981">
        <w:t>T</w:t>
      </w:r>
      <w:r w:rsidR="00681D40" w:rsidRPr="008B1B25">
        <w:t>extbook analysis was conducted using the ELT</w:t>
      </w:r>
      <w:r w:rsidR="00681D40" w:rsidRPr="008B1B25">
        <w:noBreakHyphen/>
        <w:t>TEC Checklist. Krashen’s Input Hypothesis and Vygotsky’s Scaffolding Theory guided the evaluation, ensuring attention to both input quality and scaffolding in oral skill development</w:t>
      </w:r>
      <w:r w:rsidR="00107D96" w:rsidRPr="008B1B25">
        <w:t>.</w:t>
      </w:r>
      <w:r w:rsidR="00117AF3">
        <w:t xml:space="preserve"> </w:t>
      </w:r>
      <w:r w:rsidR="00107D96" w:rsidRPr="008B1B25">
        <w:t>The study involved 30 primary school English teachers from government schools across Malaysia. Participants were selected through snowball sampling, beginning with professional networks and expanding through referrals. The group included teachers aged 25–60, with varied teaching experience ranging from one year to over three decades. Most participants had attended CEFR</w:t>
      </w:r>
      <w:r w:rsidR="00107D96" w:rsidRPr="008B1B25">
        <w:noBreakHyphen/>
        <w:t>related training, ensuring familiarity with the framework. A pilot test with four teachers was conducted to refine the survey instrument before full distribution.</w:t>
      </w:r>
    </w:p>
    <w:p w14:paraId="5AABB94F" w14:textId="08FD9C2B" w:rsidR="00B77647" w:rsidRPr="008B1B25" w:rsidRDefault="00BC4A0D" w:rsidP="00117AF3">
      <w:pPr>
        <w:pStyle w:val="NormalWeb"/>
        <w:jc w:val="center"/>
        <w:rPr>
          <w:lang w:val="en-GB"/>
        </w:rPr>
      </w:pPr>
      <w:r w:rsidRPr="008B1B25">
        <w:rPr>
          <w:i/>
          <w:iCs/>
          <w:lang w:val="en-GB"/>
        </w:rPr>
        <w:t xml:space="preserve">Table </w:t>
      </w:r>
      <w:r w:rsidR="00117AF3">
        <w:rPr>
          <w:i/>
          <w:iCs/>
          <w:lang w:val="en-GB"/>
        </w:rPr>
        <w:t>2</w:t>
      </w:r>
      <w:r w:rsidRPr="008B1B25">
        <w:rPr>
          <w:i/>
          <w:iCs/>
          <w:lang w:val="en-GB"/>
        </w:rPr>
        <w:t xml:space="preserve"> Participant</w:t>
      </w:r>
      <w:r w:rsidR="00117AF3">
        <w:rPr>
          <w:i/>
          <w:iCs/>
          <w:lang w:val="en-GB"/>
        </w:rPr>
        <w:t>s’</w:t>
      </w:r>
      <w:r w:rsidRPr="008B1B25">
        <w:rPr>
          <w:i/>
          <w:iCs/>
          <w:lang w:val="en-GB"/>
        </w:rPr>
        <w:t xml:space="preserve"> Profile</w:t>
      </w:r>
    </w:p>
    <w:tbl>
      <w:tblPr>
        <w:tblStyle w:val="TableGrid"/>
        <w:tblW w:w="9034" w:type="dxa"/>
        <w:tblLook w:val="04A0" w:firstRow="1" w:lastRow="0" w:firstColumn="1" w:lastColumn="0" w:noHBand="0" w:noVBand="1"/>
      </w:tblPr>
      <w:tblGrid>
        <w:gridCol w:w="1732"/>
        <w:gridCol w:w="2174"/>
        <w:gridCol w:w="5128"/>
      </w:tblGrid>
      <w:tr w:rsidR="00BC4A0D" w:rsidRPr="008B1B25" w14:paraId="49EC4D01" w14:textId="77777777" w:rsidTr="00933D08">
        <w:trPr>
          <w:trHeight w:val="279"/>
        </w:trPr>
        <w:tc>
          <w:tcPr>
            <w:tcW w:w="1732" w:type="dxa"/>
          </w:tcPr>
          <w:p w14:paraId="03631FFD" w14:textId="77777777" w:rsidR="00BC4A0D" w:rsidRPr="008B1B25" w:rsidRDefault="00BC4A0D" w:rsidP="00BC4A0D">
            <w:pPr>
              <w:pStyle w:val="NoSpacing"/>
              <w:jc w:val="center"/>
              <w:rPr>
                <w:rFonts w:ascii="Times New Roman" w:hAnsi="Times New Roman" w:cs="Times New Roman"/>
                <w:b/>
                <w:bCs/>
                <w:sz w:val="24"/>
                <w:szCs w:val="24"/>
              </w:rPr>
            </w:pPr>
            <w:r w:rsidRPr="008B1B25">
              <w:rPr>
                <w:rFonts w:ascii="Times New Roman" w:hAnsi="Times New Roman" w:cs="Times New Roman"/>
                <w:b/>
                <w:bCs/>
                <w:sz w:val="24"/>
                <w:szCs w:val="24"/>
              </w:rPr>
              <w:t>Attributes</w:t>
            </w:r>
          </w:p>
        </w:tc>
        <w:tc>
          <w:tcPr>
            <w:tcW w:w="2174" w:type="dxa"/>
          </w:tcPr>
          <w:p w14:paraId="0CCED05B" w14:textId="77777777" w:rsidR="00BC4A0D" w:rsidRPr="008B1B25" w:rsidRDefault="00BC4A0D" w:rsidP="00BC4A0D">
            <w:pPr>
              <w:pStyle w:val="NoSpacing"/>
              <w:jc w:val="center"/>
              <w:rPr>
                <w:rFonts w:ascii="Times New Roman" w:hAnsi="Times New Roman" w:cs="Times New Roman"/>
                <w:b/>
                <w:bCs/>
                <w:sz w:val="24"/>
                <w:szCs w:val="24"/>
              </w:rPr>
            </w:pPr>
            <w:r w:rsidRPr="008B1B25">
              <w:rPr>
                <w:rFonts w:ascii="Times New Roman" w:hAnsi="Times New Roman" w:cs="Times New Roman"/>
                <w:b/>
                <w:bCs/>
                <w:sz w:val="24"/>
                <w:szCs w:val="24"/>
              </w:rPr>
              <w:t>Distribution</w:t>
            </w:r>
          </w:p>
        </w:tc>
        <w:tc>
          <w:tcPr>
            <w:tcW w:w="5128" w:type="dxa"/>
          </w:tcPr>
          <w:p w14:paraId="751BE34F" w14:textId="77777777" w:rsidR="00BC4A0D" w:rsidRPr="008B1B25" w:rsidRDefault="00BC4A0D" w:rsidP="00BC4A0D">
            <w:pPr>
              <w:pStyle w:val="NoSpacing"/>
              <w:jc w:val="center"/>
              <w:rPr>
                <w:rFonts w:ascii="Times New Roman" w:hAnsi="Times New Roman" w:cs="Times New Roman"/>
                <w:b/>
                <w:bCs/>
                <w:sz w:val="24"/>
                <w:szCs w:val="24"/>
              </w:rPr>
            </w:pPr>
            <w:r w:rsidRPr="008B1B25">
              <w:rPr>
                <w:rFonts w:ascii="Times New Roman" w:hAnsi="Times New Roman" w:cs="Times New Roman"/>
                <w:b/>
                <w:bCs/>
                <w:sz w:val="24"/>
                <w:szCs w:val="24"/>
              </w:rPr>
              <w:t>Charts</w:t>
            </w:r>
          </w:p>
        </w:tc>
      </w:tr>
      <w:tr w:rsidR="00BC4A0D" w:rsidRPr="008B1B25" w14:paraId="19BA1111" w14:textId="77777777" w:rsidTr="00933D08">
        <w:trPr>
          <w:trHeight w:val="2216"/>
        </w:trPr>
        <w:tc>
          <w:tcPr>
            <w:tcW w:w="1732" w:type="dxa"/>
          </w:tcPr>
          <w:p w14:paraId="0952EA38"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Gender</w:t>
            </w:r>
          </w:p>
        </w:tc>
        <w:tc>
          <w:tcPr>
            <w:tcW w:w="2174" w:type="dxa"/>
          </w:tcPr>
          <w:p w14:paraId="4CF02B6D"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Mostly female (80%)</w:t>
            </w:r>
          </w:p>
        </w:tc>
        <w:tc>
          <w:tcPr>
            <w:tcW w:w="5128" w:type="dxa"/>
          </w:tcPr>
          <w:p w14:paraId="34BEE092"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noProof/>
                <w:sz w:val="24"/>
                <w:szCs w:val="24"/>
              </w:rPr>
              <w:drawing>
                <wp:anchor distT="0" distB="0" distL="114300" distR="114300" simplePos="0" relativeHeight="251659264" behindDoc="0" locked="0" layoutInCell="1" allowOverlap="1" wp14:anchorId="7F44CD71" wp14:editId="0D8A6B8E">
                  <wp:simplePos x="0" y="0"/>
                  <wp:positionH relativeFrom="column">
                    <wp:posOffset>5080</wp:posOffset>
                  </wp:positionH>
                  <wp:positionV relativeFrom="paragraph">
                    <wp:posOffset>120015</wp:posOffset>
                  </wp:positionV>
                  <wp:extent cx="2552700" cy="1321435"/>
                  <wp:effectExtent l="0" t="0" r="0" b="0"/>
                  <wp:wrapThrough wrapText="bothSides">
                    <wp:wrapPolygon edited="0">
                      <wp:start x="0" y="0"/>
                      <wp:lineTo x="0" y="21174"/>
                      <wp:lineTo x="21439" y="21174"/>
                      <wp:lineTo x="21439" y="0"/>
                      <wp:lineTo x="0" y="0"/>
                    </wp:wrapPolygon>
                  </wp:wrapThrough>
                  <wp:docPr id="1513596133" name="Picture 1" descr="Forms response chart. Question title: Section A: Background Information&#10;&#10;&#10;1. Gender. Number of responses: 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Section A: Background Information&#10;&#10;&#10;1. Gender. Number of responses: 30 respons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8" t="6582" r="27201" b="7196"/>
                          <a:stretch>
                            <a:fillRect/>
                          </a:stretch>
                        </pic:blipFill>
                        <pic:spPr bwMode="auto">
                          <a:xfrm>
                            <a:off x="0" y="0"/>
                            <a:ext cx="2552700" cy="1321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C4A0D" w:rsidRPr="008B1B25" w14:paraId="7846BB24" w14:textId="77777777" w:rsidTr="00933D08">
        <w:trPr>
          <w:trHeight w:val="2166"/>
        </w:trPr>
        <w:tc>
          <w:tcPr>
            <w:tcW w:w="1732" w:type="dxa"/>
          </w:tcPr>
          <w:p w14:paraId="122D6C5B"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lastRenderedPageBreak/>
              <w:t>Age Range</w:t>
            </w:r>
          </w:p>
        </w:tc>
        <w:tc>
          <w:tcPr>
            <w:tcW w:w="2174" w:type="dxa"/>
          </w:tcPr>
          <w:p w14:paraId="73A294DB" w14:textId="77777777" w:rsidR="00BC4A0D" w:rsidRPr="008B1B25" w:rsidRDefault="00BC4A0D" w:rsidP="00BC4A0D">
            <w:pPr>
              <w:pStyle w:val="NoSpacing"/>
              <w:rPr>
                <w:rFonts w:ascii="Times New Roman" w:hAnsi="Times New Roman" w:cs="Times New Roman"/>
                <w:sz w:val="24"/>
                <w:szCs w:val="24"/>
              </w:rPr>
            </w:pPr>
            <w:r w:rsidRPr="008B1B25">
              <w:rPr>
                <w:rFonts w:ascii="Times New Roman" w:hAnsi="Times New Roman" w:cs="Times New Roman"/>
                <w:sz w:val="24"/>
                <w:szCs w:val="24"/>
              </w:rPr>
              <w:t>25–60 years (majority between 31–45)</w:t>
            </w:r>
          </w:p>
        </w:tc>
        <w:tc>
          <w:tcPr>
            <w:tcW w:w="5128" w:type="dxa"/>
          </w:tcPr>
          <w:p w14:paraId="3F357F6F"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noProof/>
                <w:sz w:val="24"/>
                <w:szCs w:val="24"/>
              </w:rPr>
              <w:drawing>
                <wp:anchor distT="0" distB="0" distL="114300" distR="114300" simplePos="0" relativeHeight="251661312" behindDoc="0" locked="0" layoutInCell="1" allowOverlap="1" wp14:anchorId="124CD1AC" wp14:editId="49EA13F9">
                  <wp:simplePos x="0" y="0"/>
                  <wp:positionH relativeFrom="column">
                    <wp:posOffset>5080</wp:posOffset>
                  </wp:positionH>
                  <wp:positionV relativeFrom="paragraph">
                    <wp:posOffset>80010</wp:posOffset>
                  </wp:positionV>
                  <wp:extent cx="2641736" cy="1314450"/>
                  <wp:effectExtent l="0" t="0" r="6350" b="0"/>
                  <wp:wrapThrough wrapText="bothSides">
                    <wp:wrapPolygon edited="0">
                      <wp:start x="0" y="0"/>
                      <wp:lineTo x="0" y="21287"/>
                      <wp:lineTo x="21496" y="21287"/>
                      <wp:lineTo x="21496" y="0"/>
                      <wp:lineTo x="0" y="0"/>
                    </wp:wrapPolygon>
                  </wp:wrapThrough>
                  <wp:docPr id="648379086" name="Picture 2" descr="Forms response chart. Question title: 2. Age. Number of responses: 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2. Age. Number of responses: 30 respons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24" t="7999" r="26419" b="8202"/>
                          <a:stretch>
                            <a:fillRect/>
                          </a:stretch>
                        </pic:blipFill>
                        <pic:spPr bwMode="auto">
                          <a:xfrm>
                            <a:off x="0" y="0"/>
                            <a:ext cx="2641736" cy="1314450"/>
                          </a:xfrm>
                          <a:prstGeom prst="rect">
                            <a:avLst/>
                          </a:prstGeom>
                          <a:noFill/>
                          <a:ln>
                            <a:noFill/>
                          </a:ln>
                          <a:extLst>
                            <a:ext uri="{53640926-AAD7-44D8-BBD7-CCE9431645EC}">
                              <a14:shadowObscured xmlns:a14="http://schemas.microsoft.com/office/drawing/2010/main"/>
                            </a:ext>
                          </a:extLst>
                        </pic:spPr>
                      </pic:pic>
                    </a:graphicData>
                  </a:graphic>
                </wp:anchor>
              </w:drawing>
            </w:r>
          </w:p>
          <w:p w14:paraId="02669221" w14:textId="77777777" w:rsidR="00BC4A0D" w:rsidRPr="008B1B25" w:rsidRDefault="00BC4A0D" w:rsidP="00BC4A0D">
            <w:pPr>
              <w:spacing w:line="240" w:lineRule="auto"/>
            </w:pPr>
          </w:p>
          <w:p w14:paraId="3400B66F" w14:textId="77777777" w:rsidR="00BC4A0D" w:rsidRPr="008B1B25" w:rsidRDefault="00BC4A0D" w:rsidP="00BC4A0D">
            <w:pPr>
              <w:spacing w:line="240" w:lineRule="auto"/>
            </w:pPr>
          </w:p>
          <w:p w14:paraId="1A638DE1" w14:textId="77777777" w:rsidR="00BC4A0D" w:rsidRPr="008B1B25" w:rsidRDefault="00BC4A0D" w:rsidP="00BC4A0D">
            <w:pPr>
              <w:spacing w:line="240" w:lineRule="auto"/>
            </w:pPr>
          </w:p>
        </w:tc>
      </w:tr>
      <w:tr w:rsidR="00BC4A0D" w:rsidRPr="008B1B25" w14:paraId="27A55164" w14:textId="77777777" w:rsidTr="00933D08">
        <w:trPr>
          <w:trHeight w:val="2176"/>
        </w:trPr>
        <w:tc>
          <w:tcPr>
            <w:tcW w:w="1732" w:type="dxa"/>
          </w:tcPr>
          <w:p w14:paraId="4C863C14"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Ethnicity</w:t>
            </w:r>
          </w:p>
        </w:tc>
        <w:tc>
          <w:tcPr>
            <w:tcW w:w="2174" w:type="dxa"/>
          </w:tcPr>
          <w:p w14:paraId="54BBA999"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Malay, Indian, Chinese, Others</w:t>
            </w:r>
          </w:p>
        </w:tc>
        <w:tc>
          <w:tcPr>
            <w:tcW w:w="5128" w:type="dxa"/>
          </w:tcPr>
          <w:p w14:paraId="3E6646B9"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noProof/>
                <w:sz w:val="24"/>
                <w:szCs w:val="24"/>
              </w:rPr>
              <w:drawing>
                <wp:anchor distT="0" distB="0" distL="114300" distR="114300" simplePos="0" relativeHeight="251662336" behindDoc="0" locked="0" layoutInCell="1" allowOverlap="1" wp14:anchorId="344B3FAF" wp14:editId="45D6E734">
                  <wp:simplePos x="0" y="0"/>
                  <wp:positionH relativeFrom="column">
                    <wp:posOffset>-4445</wp:posOffset>
                  </wp:positionH>
                  <wp:positionV relativeFrom="paragraph">
                    <wp:posOffset>69850</wp:posOffset>
                  </wp:positionV>
                  <wp:extent cx="2571750" cy="1328098"/>
                  <wp:effectExtent l="0" t="0" r="0" b="5715"/>
                  <wp:wrapThrough wrapText="bothSides">
                    <wp:wrapPolygon edited="0">
                      <wp:start x="0" y="0"/>
                      <wp:lineTo x="0" y="21383"/>
                      <wp:lineTo x="21440" y="21383"/>
                      <wp:lineTo x="21440" y="0"/>
                      <wp:lineTo x="0" y="0"/>
                    </wp:wrapPolygon>
                  </wp:wrapThrough>
                  <wp:docPr id="1937802609" name="Picture 3" descr="Forms response chart. Question title: 3. Race / Ethnicity. Number of responses: 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3. Race / Ethnicity. Number of responses: 30 response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898" t="6890" r="27739" b="7973"/>
                          <a:stretch>
                            <a:fillRect/>
                          </a:stretch>
                        </pic:blipFill>
                        <pic:spPr bwMode="auto">
                          <a:xfrm>
                            <a:off x="0" y="0"/>
                            <a:ext cx="2571750" cy="1328098"/>
                          </a:xfrm>
                          <a:prstGeom prst="rect">
                            <a:avLst/>
                          </a:prstGeom>
                          <a:noFill/>
                          <a:ln>
                            <a:noFill/>
                          </a:ln>
                          <a:extLst>
                            <a:ext uri="{53640926-AAD7-44D8-BBD7-CCE9431645EC}">
                              <a14:shadowObscured xmlns:a14="http://schemas.microsoft.com/office/drawing/2010/main"/>
                            </a:ext>
                          </a:extLst>
                        </pic:spPr>
                      </pic:pic>
                    </a:graphicData>
                  </a:graphic>
                </wp:anchor>
              </w:drawing>
            </w:r>
          </w:p>
          <w:p w14:paraId="74B3EF83" w14:textId="77777777" w:rsidR="00BC4A0D" w:rsidRPr="008B1B25" w:rsidRDefault="00BC4A0D" w:rsidP="00BC4A0D">
            <w:pPr>
              <w:spacing w:line="240" w:lineRule="auto"/>
            </w:pPr>
          </w:p>
          <w:p w14:paraId="35F8594B" w14:textId="77777777" w:rsidR="00BC4A0D" w:rsidRPr="008B1B25" w:rsidRDefault="00BC4A0D" w:rsidP="00BC4A0D">
            <w:pPr>
              <w:spacing w:line="240" w:lineRule="auto"/>
            </w:pPr>
          </w:p>
          <w:p w14:paraId="138670E2" w14:textId="77777777" w:rsidR="00BC4A0D" w:rsidRPr="008B1B25" w:rsidRDefault="00BC4A0D" w:rsidP="00BC4A0D">
            <w:pPr>
              <w:spacing w:line="240" w:lineRule="auto"/>
            </w:pPr>
          </w:p>
        </w:tc>
      </w:tr>
      <w:tr w:rsidR="00BC4A0D" w:rsidRPr="008B1B25" w14:paraId="4EB2E762" w14:textId="77777777" w:rsidTr="00933D08">
        <w:trPr>
          <w:trHeight w:val="2276"/>
        </w:trPr>
        <w:tc>
          <w:tcPr>
            <w:tcW w:w="1732" w:type="dxa"/>
          </w:tcPr>
          <w:p w14:paraId="0C302127"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Highest Qualification</w:t>
            </w:r>
          </w:p>
        </w:tc>
        <w:tc>
          <w:tcPr>
            <w:tcW w:w="2174" w:type="dxa"/>
          </w:tcPr>
          <w:p w14:paraId="2D749502"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Mainly Bachelor’s Degrees; several Master’s holders</w:t>
            </w:r>
          </w:p>
        </w:tc>
        <w:tc>
          <w:tcPr>
            <w:tcW w:w="5128" w:type="dxa"/>
          </w:tcPr>
          <w:p w14:paraId="6C853E46"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noProof/>
                <w:sz w:val="24"/>
                <w:szCs w:val="24"/>
              </w:rPr>
              <w:drawing>
                <wp:anchor distT="0" distB="0" distL="114300" distR="114300" simplePos="0" relativeHeight="251660288" behindDoc="0" locked="0" layoutInCell="1" allowOverlap="1" wp14:anchorId="60708C6E" wp14:editId="58C8504B">
                  <wp:simplePos x="0" y="0"/>
                  <wp:positionH relativeFrom="column">
                    <wp:posOffset>5080</wp:posOffset>
                  </wp:positionH>
                  <wp:positionV relativeFrom="paragraph">
                    <wp:posOffset>152400</wp:posOffset>
                  </wp:positionV>
                  <wp:extent cx="2600960" cy="1304925"/>
                  <wp:effectExtent l="0" t="0" r="8890" b="9525"/>
                  <wp:wrapThrough wrapText="bothSides">
                    <wp:wrapPolygon edited="0">
                      <wp:start x="0" y="0"/>
                      <wp:lineTo x="0" y="21442"/>
                      <wp:lineTo x="21516" y="21442"/>
                      <wp:lineTo x="21516" y="0"/>
                      <wp:lineTo x="0" y="0"/>
                    </wp:wrapPolygon>
                  </wp:wrapThrough>
                  <wp:docPr id="1818137963" name="Picture 4" descr="Forms response chart. Question title: 4. Level of education. Number of responses: 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4. Level of education. Number of responses: 30 respons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071" t="7820" r="27393" b="9281"/>
                          <a:stretch>
                            <a:fillRect/>
                          </a:stretch>
                        </pic:blipFill>
                        <pic:spPr bwMode="auto">
                          <a:xfrm>
                            <a:off x="0" y="0"/>
                            <a:ext cx="2600960" cy="1304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C4A0D" w:rsidRPr="008B1B25" w14:paraId="1FEBEA41" w14:textId="77777777" w:rsidTr="00933D08">
        <w:trPr>
          <w:trHeight w:val="2755"/>
        </w:trPr>
        <w:tc>
          <w:tcPr>
            <w:tcW w:w="1732" w:type="dxa"/>
          </w:tcPr>
          <w:p w14:paraId="4063806E"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Teaching Experience</w:t>
            </w:r>
          </w:p>
        </w:tc>
        <w:tc>
          <w:tcPr>
            <w:tcW w:w="2174" w:type="dxa"/>
          </w:tcPr>
          <w:p w14:paraId="4442D008"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1 to 30+ years (most between 10–15 years)</w:t>
            </w:r>
          </w:p>
        </w:tc>
        <w:tc>
          <w:tcPr>
            <w:tcW w:w="5128" w:type="dxa"/>
          </w:tcPr>
          <w:p w14:paraId="5233951A"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noProof/>
                <w:sz w:val="24"/>
                <w:szCs w:val="24"/>
              </w:rPr>
              <w:drawing>
                <wp:anchor distT="0" distB="0" distL="114300" distR="114300" simplePos="0" relativeHeight="251663360" behindDoc="0" locked="0" layoutInCell="1" allowOverlap="1" wp14:anchorId="17BD4283" wp14:editId="52AD5954">
                  <wp:simplePos x="0" y="0"/>
                  <wp:positionH relativeFrom="column">
                    <wp:posOffset>-17780</wp:posOffset>
                  </wp:positionH>
                  <wp:positionV relativeFrom="paragraph">
                    <wp:posOffset>133350</wp:posOffset>
                  </wp:positionV>
                  <wp:extent cx="2961695" cy="1333500"/>
                  <wp:effectExtent l="0" t="0" r="0" b="0"/>
                  <wp:wrapThrough wrapText="bothSides">
                    <wp:wrapPolygon edited="0">
                      <wp:start x="0" y="0"/>
                      <wp:lineTo x="0" y="21291"/>
                      <wp:lineTo x="21396" y="21291"/>
                      <wp:lineTo x="21396" y="0"/>
                      <wp:lineTo x="0" y="0"/>
                    </wp:wrapPolygon>
                  </wp:wrapThrough>
                  <wp:docPr id="505902573" name="Picture 5" descr="Forms response chart. Question title: 6. How many years have you been teaching English to students?  . Number of responses: 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6. How many years have you been teaching English to students?  . Number of responses: 30 responses."/>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265" t="6845" r="19553" b="10557"/>
                          <a:stretch>
                            <a:fillRect/>
                          </a:stretch>
                        </pic:blipFill>
                        <pic:spPr bwMode="auto">
                          <a:xfrm>
                            <a:off x="0" y="0"/>
                            <a:ext cx="2961695" cy="1333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C4A0D" w:rsidRPr="008B1B25" w14:paraId="0E53AD60" w14:textId="77777777" w:rsidTr="00933D08">
        <w:trPr>
          <w:trHeight w:val="2476"/>
        </w:trPr>
        <w:tc>
          <w:tcPr>
            <w:tcW w:w="1732" w:type="dxa"/>
          </w:tcPr>
          <w:p w14:paraId="388670FE"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CEFR Training Received</w:t>
            </w:r>
          </w:p>
        </w:tc>
        <w:tc>
          <w:tcPr>
            <w:tcW w:w="2174" w:type="dxa"/>
          </w:tcPr>
          <w:p w14:paraId="18A98EA7" w14:textId="77777777" w:rsidR="00BC4A0D" w:rsidRPr="008B1B25" w:rsidRDefault="00BC4A0D" w:rsidP="00BC4A0D">
            <w:pPr>
              <w:pStyle w:val="NoSpacing"/>
              <w:rPr>
                <w:rFonts w:ascii="Times New Roman" w:hAnsi="Times New Roman" w:cs="Times New Roman"/>
                <w:sz w:val="24"/>
                <w:szCs w:val="24"/>
              </w:rPr>
            </w:pPr>
            <w:r w:rsidRPr="008B1B25">
              <w:rPr>
                <w:rFonts w:ascii="Times New Roman" w:hAnsi="Times New Roman" w:cs="Times New Roman"/>
                <w:sz w:val="24"/>
                <w:szCs w:val="24"/>
              </w:rPr>
              <w:t>83.3% confirmed attending CEFR-related workshops</w:t>
            </w:r>
          </w:p>
        </w:tc>
        <w:tc>
          <w:tcPr>
            <w:tcW w:w="5128" w:type="dxa"/>
          </w:tcPr>
          <w:p w14:paraId="3BD24FFF"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noProof/>
                <w:sz w:val="24"/>
                <w:szCs w:val="24"/>
              </w:rPr>
              <w:drawing>
                <wp:anchor distT="0" distB="0" distL="114300" distR="114300" simplePos="0" relativeHeight="251664384" behindDoc="0" locked="0" layoutInCell="1" allowOverlap="1" wp14:anchorId="5F48DF21" wp14:editId="09A4D93F">
                  <wp:simplePos x="0" y="0"/>
                  <wp:positionH relativeFrom="column">
                    <wp:posOffset>-10795</wp:posOffset>
                  </wp:positionH>
                  <wp:positionV relativeFrom="paragraph">
                    <wp:posOffset>133985</wp:posOffset>
                  </wp:positionV>
                  <wp:extent cx="3112575" cy="1266825"/>
                  <wp:effectExtent l="0" t="0" r="0" b="0"/>
                  <wp:wrapThrough wrapText="bothSides">
                    <wp:wrapPolygon edited="0">
                      <wp:start x="0" y="0"/>
                      <wp:lineTo x="0" y="21113"/>
                      <wp:lineTo x="21419" y="21113"/>
                      <wp:lineTo x="21419" y="0"/>
                      <wp:lineTo x="0" y="0"/>
                    </wp:wrapPolygon>
                  </wp:wrapThrough>
                  <wp:docPr id="752082160" name="Picture 6" descr="Forms response chart. Question title: 8. After the Government adopted the CEFR syllabus from the previous KSSR syllabus, there are changes in the criteria that we need to take into consideration. Have you received CEFR-related training? . Number of responses: 3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8. After the Government adopted the CEFR syllabus from the previous KSSR syllabus, there are changes in the criteria that we need to take into consideration. Have you received CEFR-related training? . Number of responses: 30 response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11" t="7351" r="3546" b="8854"/>
                          <a:stretch>
                            <a:fillRect/>
                          </a:stretch>
                        </pic:blipFill>
                        <pic:spPr bwMode="auto">
                          <a:xfrm>
                            <a:off x="0" y="0"/>
                            <a:ext cx="3112575"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C4A0D" w:rsidRPr="008B1B25" w14:paraId="1724F12B" w14:textId="77777777" w:rsidTr="00933D08">
        <w:trPr>
          <w:gridAfter w:val="1"/>
          <w:wAfter w:w="5128" w:type="dxa"/>
          <w:trHeight w:val="1108"/>
        </w:trPr>
        <w:tc>
          <w:tcPr>
            <w:tcW w:w="1732" w:type="dxa"/>
          </w:tcPr>
          <w:p w14:paraId="3B2EF725"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School Types</w:t>
            </w:r>
          </w:p>
        </w:tc>
        <w:tc>
          <w:tcPr>
            <w:tcW w:w="2174" w:type="dxa"/>
          </w:tcPr>
          <w:p w14:paraId="13CC13EC" w14:textId="77777777" w:rsidR="00BC4A0D" w:rsidRPr="008B1B25" w:rsidRDefault="00BC4A0D" w:rsidP="00BC4A0D">
            <w:pPr>
              <w:pStyle w:val="NoSpacing"/>
              <w:jc w:val="both"/>
              <w:rPr>
                <w:rFonts w:ascii="Times New Roman" w:hAnsi="Times New Roman" w:cs="Times New Roman"/>
                <w:sz w:val="24"/>
                <w:szCs w:val="24"/>
              </w:rPr>
            </w:pPr>
            <w:r w:rsidRPr="008B1B25">
              <w:rPr>
                <w:rFonts w:ascii="Times New Roman" w:hAnsi="Times New Roman" w:cs="Times New Roman"/>
                <w:sz w:val="24"/>
                <w:szCs w:val="24"/>
              </w:rPr>
              <w:t>Random National and National-Type Schools across Malaysia</w:t>
            </w:r>
          </w:p>
        </w:tc>
      </w:tr>
    </w:tbl>
    <w:p w14:paraId="0E704065" w14:textId="77777777" w:rsidR="00BC4A0D" w:rsidRPr="008B1B25" w:rsidRDefault="00BC4A0D" w:rsidP="00D53FC5">
      <w:pPr>
        <w:pStyle w:val="NormalWeb"/>
        <w:rPr>
          <w:lang w:val="en-GB"/>
        </w:rPr>
      </w:pPr>
    </w:p>
    <w:p w14:paraId="286D5F23" w14:textId="49387D0D" w:rsidR="0004567D" w:rsidRPr="008B1B25" w:rsidRDefault="006674F0" w:rsidP="006B42E6">
      <w:pPr>
        <w:pStyle w:val="ListParagraph"/>
        <w:numPr>
          <w:ilvl w:val="1"/>
          <w:numId w:val="10"/>
        </w:numPr>
        <w:spacing w:after="160" w:line="240" w:lineRule="auto"/>
        <w:rPr>
          <w:rFonts w:cs="Times New Roman"/>
        </w:rPr>
      </w:pPr>
      <w:r w:rsidRPr="008B1B25">
        <w:rPr>
          <w:rFonts w:cs="Times New Roman"/>
          <w:b/>
          <w:bCs/>
        </w:rPr>
        <w:lastRenderedPageBreak/>
        <w:t xml:space="preserve">Data Collection </w:t>
      </w:r>
      <w:r w:rsidR="00117AF3">
        <w:rPr>
          <w:rFonts w:cs="Times New Roman"/>
          <w:b/>
          <w:bCs/>
        </w:rPr>
        <w:t xml:space="preserve">and Analysis </w:t>
      </w:r>
      <w:r w:rsidRPr="008B1B25">
        <w:rPr>
          <w:rFonts w:cs="Times New Roman"/>
          <w:b/>
          <w:bCs/>
        </w:rPr>
        <w:t>Methods</w:t>
      </w:r>
    </w:p>
    <w:p w14:paraId="11D96272" w14:textId="2A86F050" w:rsidR="004218F8" w:rsidRPr="008B1B25" w:rsidRDefault="00213DBA" w:rsidP="00B93EBA">
      <w:pPr>
        <w:spacing w:after="160" w:line="240" w:lineRule="auto"/>
      </w:pPr>
      <w:r w:rsidRPr="008B1B25">
        <w:t>T</w:t>
      </w:r>
      <w:r w:rsidR="00392E74">
        <w:t xml:space="preserve">extbook and </w:t>
      </w:r>
      <w:r w:rsidR="0037779C">
        <w:t>teacher surveys were the t</w:t>
      </w:r>
      <w:r w:rsidRPr="008B1B25">
        <w:t xml:space="preserve">wo sources of data </w:t>
      </w:r>
      <w:r w:rsidR="0037779C">
        <w:t xml:space="preserve">that </w:t>
      </w:r>
      <w:r w:rsidRPr="008B1B25">
        <w:t>were used</w:t>
      </w:r>
      <w:r w:rsidR="0037779C">
        <w:t>.</w:t>
      </w:r>
      <w:r w:rsidRPr="008B1B25">
        <w:t xml:space="preserve"> The </w:t>
      </w:r>
      <w:r w:rsidR="00225E0A">
        <w:t xml:space="preserve">ELT-TEC Checklist </w:t>
      </w:r>
      <w:r w:rsidR="001C63CD">
        <w:t xml:space="preserve">was used to assess the </w:t>
      </w:r>
      <w:r w:rsidRPr="008B1B25">
        <w:t>authenticity, complexity, progression, interaction, and CEFR alignment</w:t>
      </w:r>
      <w:r w:rsidR="00FA1484">
        <w:t xml:space="preserve"> of the textbook</w:t>
      </w:r>
      <w:r w:rsidRPr="008B1B25">
        <w:t>. The</w:t>
      </w:r>
      <w:r w:rsidR="00EB2262">
        <w:t>re were 43</w:t>
      </w:r>
      <w:r w:rsidR="00A1212B">
        <w:t xml:space="preserve"> </w:t>
      </w:r>
      <w:r w:rsidR="00EB2262">
        <w:t>items in the</w:t>
      </w:r>
      <w:r w:rsidRPr="008B1B25">
        <w:t xml:space="preserve"> survey including demographic questions, 23 Likert</w:t>
      </w:r>
      <w:r w:rsidRPr="008B1B25">
        <w:noBreakHyphen/>
        <w:t>scale items, and five open</w:t>
      </w:r>
      <w:r w:rsidRPr="008B1B25">
        <w:noBreakHyphen/>
        <w:t xml:space="preserve">ended questions on effectiveness, challenges, and cultural relevance. </w:t>
      </w:r>
      <w:r w:rsidR="00FE590C">
        <w:t>The survey was d</w:t>
      </w:r>
      <w:r w:rsidRPr="008B1B25">
        <w:t>istributed via Google Forms</w:t>
      </w:r>
      <w:r w:rsidR="00025FB0">
        <w:t xml:space="preserve"> while ensuring</w:t>
      </w:r>
      <w:r w:rsidRPr="008B1B25">
        <w:t xml:space="preserve"> accessibility, confidentiality, and voluntary participatio</w:t>
      </w:r>
      <w:r w:rsidR="003202AB" w:rsidRPr="008B1B25">
        <w:t>n.</w:t>
      </w:r>
      <w:r w:rsidR="00117AF3">
        <w:t xml:space="preserve"> </w:t>
      </w:r>
      <w:r w:rsidR="00961CE1" w:rsidRPr="008B1B25">
        <w:t>Quantitative data were analysed using SPSS 31 to generate descriptive statistics, reliability measures, and chi</w:t>
      </w:r>
      <w:r w:rsidR="00961CE1" w:rsidRPr="008B1B25">
        <w:noBreakHyphen/>
        <w:t>square tests. Qualitative responses were examined with NVivo 15 to identify themes related to cultural relevance, task originality, and oral skill integration. This dual analysis allowed for triangulation, strengthening the validity of findings.</w:t>
      </w:r>
      <w:r w:rsidR="00117AF3">
        <w:t xml:space="preserve"> </w:t>
      </w:r>
      <w:r w:rsidR="0090530F">
        <w:t xml:space="preserve">SPSS </w:t>
      </w:r>
      <w:r w:rsidR="001B0815">
        <w:t>31 was used t</w:t>
      </w:r>
      <w:r w:rsidR="005E2ED6" w:rsidRPr="008B1B25">
        <w:t>o analyse the survey data</w:t>
      </w:r>
      <w:r w:rsidR="00ED152B">
        <w:t xml:space="preserve"> as it is well suited for handling </w:t>
      </w:r>
      <w:r w:rsidR="000428F7">
        <w:t xml:space="preserve">quantitative data </w:t>
      </w:r>
      <w:r w:rsidR="00752DE5">
        <w:t>such as the Likert-scale responses</w:t>
      </w:r>
      <w:r w:rsidR="005E2ED6" w:rsidRPr="008B1B25">
        <w:t>. All teacher survey results were coded numerically and processed to identify averages, variation, and overall trends in agreement or disagreement about the textbook’s effectiveness, CEFR alignment, student engagement, and oral task design.</w:t>
      </w:r>
      <w:r w:rsidR="004218F8" w:rsidRPr="008B1B25">
        <w:rPr>
          <w:rFonts w:eastAsia="Times New Roman" w:cs="Times New Roman"/>
          <w:szCs w:val="24"/>
        </w:rPr>
        <w:t xml:space="preserve"> </w:t>
      </w:r>
      <w:r w:rsidR="004218F8" w:rsidRPr="008B1B25">
        <w:t>Key procedures included:</w:t>
      </w:r>
    </w:p>
    <w:p w14:paraId="5BA26C68" w14:textId="77777777" w:rsidR="004218F8" w:rsidRPr="00933D08" w:rsidRDefault="004218F8" w:rsidP="00117AF3">
      <w:pPr>
        <w:numPr>
          <w:ilvl w:val="0"/>
          <w:numId w:val="26"/>
        </w:numPr>
        <w:spacing w:after="160" w:line="240" w:lineRule="auto"/>
      </w:pPr>
      <w:r w:rsidRPr="00933D08">
        <w:t>Descriptive statistics to summarise teachers’ opinions (mean, median, standard deviation).</w:t>
      </w:r>
    </w:p>
    <w:p w14:paraId="0125A614" w14:textId="77777777" w:rsidR="004218F8" w:rsidRPr="00933D08" w:rsidRDefault="004218F8" w:rsidP="00117AF3">
      <w:pPr>
        <w:numPr>
          <w:ilvl w:val="0"/>
          <w:numId w:val="26"/>
        </w:numPr>
        <w:spacing w:after="160" w:line="240" w:lineRule="auto"/>
      </w:pPr>
      <w:r w:rsidRPr="00933D08">
        <w:t>Reliability testing (Cronbach’s Alpha) to check consistency across items (α ≥ 0.7 indicates acceptable reliability).</w:t>
      </w:r>
    </w:p>
    <w:p w14:paraId="1C610E02" w14:textId="77777777" w:rsidR="004218F8" w:rsidRPr="00933D08" w:rsidRDefault="004218F8" w:rsidP="00117AF3">
      <w:pPr>
        <w:numPr>
          <w:ilvl w:val="0"/>
          <w:numId w:val="26"/>
        </w:numPr>
        <w:spacing w:after="160" w:line="240" w:lineRule="auto"/>
      </w:pPr>
      <w:r w:rsidRPr="00933D08">
        <w:t>Correlation and cross</w:t>
      </w:r>
      <w:r w:rsidRPr="00933D08">
        <w:noBreakHyphen/>
        <w:t>tabulations to explore relationships and compare responses across teacher groups.</w:t>
      </w:r>
    </w:p>
    <w:p w14:paraId="526313CE" w14:textId="77777777" w:rsidR="004218F8" w:rsidRPr="00933D08" w:rsidRDefault="004218F8" w:rsidP="00117AF3">
      <w:pPr>
        <w:numPr>
          <w:ilvl w:val="0"/>
          <w:numId w:val="26"/>
        </w:numPr>
        <w:spacing w:after="160" w:line="240" w:lineRule="auto"/>
      </w:pPr>
      <w:r w:rsidRPr="00933D08">
        <w:t>Chi</w:t>
      </w:r>
      <w:r w:rsidRPr="00933D08">
        <w:noBreakHyphen/>
        <w:t>square tests (optional) to determine whether differences between groups were statistically significant (p &lt; .05).</w:t>
      </w:r>
    </w:p>
    <w:p w14:paraId="4AEF780C" w14:textId="77777777" w:rsidR="00117AF3" w:rsidRDefault="004218F8" w:rsidP="004218F8">
      <w:pPr>
        <w:spacing w:after="160" w:line="240" w:lineRule="auto"/>
      </w:pPr>
      <w:r w:rsidRPr="008B1B25">
        <w:t>SPSS transformed raw survey numbers into clear findings about how teachers perceive the</w:t>
      </w:r>
      <w:r w:rsidR="004F7651">
        <w:t xml:space="preserve"> </w:t>
      </w:r>
      <w:r w:rsidRPr="008B1B25">
        <w:t>strengths and weaknesses</w:t>
      </w:r>
      <w:r w:rsidR="004F7651">
        <w:t xml:space="preserve"> of the textbook</w:t>
      </w:r>
      <w:r w:rsidRPr="008B1B25">
        <w:t>.</w:t>
      </w:r>
      <w:r w:rsidR="00117AF3">
        <w:t xml:space="preserve"> </w:t>
      </w:r>
      <w:r w:rsidRPr="008B1B25">
        <w:t>For qualitative data, open</w:t>
      </w:r>
      <w:r w:rsidRPr="008B1B25">
        <w:noBreakHyphen/>
        <w:t xml:space="preserve">ended responses were analysed using NVivo 15. This software allowed systematic coding and theme identification. Responses were imported, coded into </w:t>
      </w:r>
      <w:r w:rsidR="00972F0E">
        <w:t xml:space="preserve">multiple </w:t>
      </w:r>
      <w:r w:rsidRPr="008B1B25">
        <w:t>categories</w:t>
      </w:r>
      <w:r w:rsidR="00972F0E">
        <w:t xml:space="preserve"> such as</w:t>
      </w:r>
      <w:r w:rsidRPr="008B1B25">
        <w:t xml:space="preserve"> cultural sensitivity, textbook difficulty, </w:t>
      </w:r>
      <w:r w:rsidR="00545857">
        <w:t xml:space="preserve">and </w:t>
      </w:r>
      <w:r w:rsidRPr="008B1B25">
        <w:t>mixed</w:t>
      </w:r>
      <w:r w:rsidRPr="008B1B25">
        <w:noBreakHyphen/>
        <w:t xml:space="preserve">ability challenges. </w:t>
      </w:r>
    </w:p>
    <w:p w14:paraId="7ABD5F4F" w14:textId="5FDD33DB" w:rsidR="004218F8" w:rsidRPr="008B1B25" w:rsidRDefault="00D51621" w:rsidP="00B467D2">
      <w:pPr>
        <w:spacing w:after="160" w:line="240" w:lineRule="auto"/>
      </w:pPr>
      <w:r>
        <w:t xml:space="preserve">Data </w:t>
      </w:r>
      <w:r w:rsidR="00C829A5">
        <w:t xml:space="preserve">analysed using NVivo 15 were </w:t>
      </w:r>
      <w:r w:rsidR="004D3CC0">
        <w:t>divided into</w:t>
      </w:r>
      <w:r w:rsidR="004218F8" w:rsidRPr="008B1B25">
        <w:t>:</w:t>
      </w:r>
    </w:p>
    <w:p w14:paraId="4DFE5268" w14:textId="77777777" w:rsidR="004218F8" w:rsidRPr="00933D08" w:rsidRDefault="004218F8" w:rsidP="00B467D2">
      <w:pPr>
        <w:numPr>
          <w:ilvl w:val="0"/>
          <w:numId w:val="16"/>
        </w:numPr>
        <w:spacing w:after="160" w:line="240" w:lineRule="auto"/>
      </w:pPr>
      <w:r w:rsidRPr="00933D08">
        <w:t>Thematic coding and structuring to organise ideas.</w:t>
      </w:r>
    </w:p>
    <w:p w14:paraId="30AC5199" w14:textId="77777777" w:rsidR="004218F8" w:rsidRPr="00933D08" w:rsidRDefault="004218F8" w:rsidP="00B467D2">
      <w:pPr>
        <w:numPr>
          <w:ilvl w:val="0"/>
          <w:numId w:val="16"/>
        </w:numPr>
        <w:spacing w:after="160" w:line="240" w:lineRule="auto"/>
      </w:pPr>
      <w:r w:rsidRPr="00933D08">
        <w:t>Sentiment analysis to classify comments as positive, negative, or neutral.</w:t>
      </w:r>
    </w:p>
    <w:p w14:paraId="5DC3310C" w14:textId="77777777" w:rsidR="004218F8" w:rsidRPr="00933D08" w:rsidRDefault="004218F8" w:rsidP="00B467D2">
      <w:pPr>
        <w:numPr>
          <w:ilvl w:val="0"/>
          <w:numId w:val="16"/>
        </w:numPr>
        <w:spacing w:after="160" w:line="240" w:lineRule="auto"/>
      </w:pPr>
      <w:r w:rsidRPr="00933D08">
        <w:t>Word frequency and cluster analysis to highlight dominant terms and associations (e.g., “fluency” linked with “confidence”).</w:t>
      </w:r>
    </w:p>
    <w:p w14:paraId="243D8ABA" w14:textId="77777777" w:rsidR="004218F8" w:rsidRPr="00933D08" w:rsidRDefault="004218F8" w:rsidP="00B467D2">
      <w:pPr>
        <w:numPr>
          <w:ilvl w:val="0"/>
          <w:numId w:val="16"/>
        </w:numPr>
        <w:spacing w:after="160" w:line="240" w:lineRule="auto"/>
      </w:pPr>
      <w:r w:rsidRPr="00933D08">
        <w:t>Cross</w:t>
      </w:r>
      <w:r w:rsidRPr="00933D08">
        <w:noBreakHyphen/>
        <w:t>case comparisons to contrast teacher concerns across different profiles.</w:t>
      </w:r>
    </w:p>
    <w:p w14:paraId="6207579B" w14:textId="2CCCDB73" w:rsidR="00065AAB" w:rsidRPr="00933D08" w:rsidRDefault="004218F8" w:rsidP="00B467D2">
      <w:pPr>
        <w:numPr>
          <w:ilvl w:val="0"/>
          <w:numId w:val="16"/>
        </w:numPr>
        <w:spacing w:after="160" w:line="240" w:lineRule="auto"/>
      </w:pPr>
      <w:r w:rsidRPr="00933D08">
        <w:t>Visual mapping and memo writing to connect themes and document reflections.</w:t>
      </w:r>
    </w:p>
    <w:p w14:paraId="68E128E0" w14:textId="3A17328E" w:rsidR="00F11DB5" w:rsidRPr="00477316" w:rsidRDefault="00A37167" w:rsidP="00477316">
      <w:pPr>
        <w:pStyle w:val="NormalWeb"/>
        <w:jc w:val="both"/>
        <w:rPr>
          <w:rFonts w:eastAsia="Calibri" w:cs="Arial"/>
          <w:szCs w:val="22"/>
          <w:lang w:val="en-GB" w:eastAsia="en-US"/>
        </w:rPr>
      </w:pPr>
      <w:r w:rsidRPr="008B1B25">
        <w:rPr>
          <w:rFonts w:eastAsia="Calibri" w:cs="Arial"/>
          <w:szCs w:val="22"/>
          <w:lang w:val="en-GB" w:eastAsia="en-US"/>
        </w:rPr>
        <w:t xml:space="preserve">Ethical approval was obtained prior to data collection. Participants were </w:t>
      </w:r>
      <w:r w:rsidR="0054243C">
        <w:rPr>
          <w:rFonts w:eastAsia="Calibri" w:cs="Arial"/>
          <w:szCs w:val="22"/>
          <w:lang w:val="en-GB" w:eastAsia="en-US"/>
        </w:rPr>
        <w:t>informed</w:t>
      </w:r>
      <w:r w:rsidRPr="008B1B25">
        <w:rPr>
          <w:rFonts w:eastAsia="Calibri" w:cs="Arial"/>
          <w:szCs w:val="22"/>
          <w:lang w:val="en-GB" w:eastAsia="en-US"/>
        </w:rPr>
        <w:t xml:space="preserve"> on the study’s purpose, assured of confidentiality, and reminded of their right to withdraw at any time. Consent was implied through </w:t>
      </w:r>
      <w:r w:rsidR="00203373">
        <w:rPr>
          <w:rFonts w:eastAsia="Calibri" w:cs="Arial"/>
          <w:szCs w:val="22"/>
          <w:lang w:val="en-GB" w:eastAsia="en-US"/>
        </w:rPr>
        <w:t xml:space="preserve">the completion of the </w:t>
      </w:r>
      <w:r w:rsidRPr="008B1B25">
        <w:rPr>
          <w:rFonts w:eastAsia="Calibri" w:cs="Arial"/>
          <w:szCs w:val="22"/>
          <w:lang w:val="en-GB" w:eastAsia="en-US"/>
        </w:rPr>
        <w:t xml:space="preserve">survey. </w:t>
      </w:r>
      <w:r w:rsidR="00541E56">
        <w:rPr>
          <w:rFonts w:eastAsia="Calibri" w:cs="Arial"/>
          <w:szCs w:val="22"/>
          <w:lang w:val="en-GB" w:eastAsia="en-US"/>
        </w:rPr>
        <w:t>A</w:t>
      </w:r>
      <w:r w:rsidRPr="008B1B25">
        <w:rPr>
          <w:rFonts w:eastAsia="Calibri" w:cs="Arial"/>
          <w:szCs w:val="22"/>
          <w:lang w:val="en-GB" w:eastAsia="en-US"/>
        </w:rPr>
        <w:t>ll data were stored securely. The study followed ethical standards set by the Malaysian Ministry of Education and international guidelines such as the Declaration of Helsinki (2013) and BERA’s Educational Research Ethics (2018)</w:t>
      </w:r>
      <w:r w:rsidR="00B91CDC" w:rsidRPr="008B1B25">
        <w:rPr>
          <w:rFonts w:eastAsia="Calibri" w:cs="Arial"/>
          <w:szCs w:val="22"/>
          <w:lang w:val="en-GB" w:eastAsia="en-US"/>
        </w:rPr>
        <w:t>.</w:t>
      </w:r>
      <w:r w:rsidR="00477316">
        <w:rPr>
          <w:rFonts w:eastAsia="Calibri" w:cs="Arial"/>
          <w:szCs w:val="22"/>
          <w:lang w:val="en-GB" w:eastAsia="en-US"/>
        </w:rPr>
        <w:t xml:space="preserve"> </w:t>
      </w:r>
      <w:r w:rsidR="00F11DB5" w:rsidRPr="008B1B25">
        <w:t xml:space="preserve">The study faced several constraints. The sample size of 30 teachers limited </w:t>
      </w:r>
      <w:r w:rsidR="00F11DB5" w:rsidRPr="008B1B25">
        <w:lastRenderedPageBreak/>
        <w:t>generalisability, and the 12</w:t>
      </w:r>
      <w:r w:rsidR="00F11DB5" w:rsidRPr="008B1B25">
        <w:noBreakHyphen/>
        <w:t xml:space="preserve">week timeframe restricted outreach and data analysis. </w:t>
      </w:r>
      <w:r w:rsidR="00F270D1">
        <w:t>Due to the lengthy approval process</w:t>
      </w:r>
      <w:r w:rsidR="00F43CF5">
        <w:t>es and principals’ reluctance to permit external research</w:t>
      </w:r>
      <w:r w:rsidR="00DA562F">
        <w:t>, the a</w:t>
      </w:r>
      <w:r w:rsidR="00F11DB5" w:rsidRPr="008B1B25">
        <w:t>ccess to government schools was hindered. Snowball sampling was adopted as a practical and ethical alternative, minimising disruption to schools while ensuring relevant participation.</w:t>
      </w:r>
      <w:r w:rsidR="00117AF3">
        <w:t xml:space="preserve"> </w:t>
      </w:r>
    </w:p>
    <w:p w14:paraId="3807845B" w14:textId="51467293" w:rsidR="004239BB" w:rsidRPr="008B1B25" w:rsidRDefault="004239BB" w:rsidP="002351BC">
      <w:pPr>
        <w:spacing w:line="240" w:lineRule="auto"/>
        <w:rPr>
          <w:rFonts w:cs="Times New Roman"/>
          <w:b/>
          <w:bCs/>
          <w:szCs w:val="24"/>
        </w:rPr>
      </w:pPr>
      <w:r w:rsidRPr="008B1B25">
        <w:rPr>
          <w:rFonts w:cs="Times New Roman"/>
          <w:b/>
          <w:bCs/>
          <w:szCs w:val="24"/>
        </w:rPr>
        <w:t>4.0 Results</w:t>
      </w:r>
      <w:r w:rsidR="009F2E75">
        <w:rPr>
          <w:rFonts w:cs="Times New Roman"/>
          <w:b/>
          <w:bCs/>
          <w:szCs w:val="24"/>
        </w:rPr>
        <w:t xml:space="preserve"> and Discussion</w:t>
      </w:r>
    </w:p>
    <w:p w14:paraId="0A27EB04" w14:textId="6D7A4CE6" w:rsidR="00F9413E" w:rsidRPr="00F9413E" w:rsidRDefault="00F9413E" w:rsidP="00F9413E">
      <w:pPr>
        <w:spacing w:line="240" w:lineRule="auto"/>
        <w:rPr>
          <w:rFonts w:eastAsia="Times New Roman" w:cs="Times New Roman"/>
          <w:szCs w:val="24"/>
          <w:lang w:eastAsia="en-MY"/>
        </w:rPr>
      </w:pPr>
      <w:r w:rsidRPr="00F9413E">
        <w:rPr>
          <w:rFonts w:eastAsia="Times New Roman" w:cs="Times New Roman"/>
          <w:szCs w:val="24"/>
          <w:lang w:eastAsia="en-MY"/>
        </w:rPr>
        <w:t>Th</w:t>
      </w:r>
      <w:r>
        <w:rPr>
          <w:rFonts w:eastAsia="Times New Roman" w:cs="Times New Roman"/>
          <w:szCs w:val="24"/>
          <w:lang w:eastAsia="en-MY"/>
        </w:rPr>
        <w:t>e results</w:t>
      </w:r>
      <w:r w:rsidRPr="00F9413E">
        <w:rPr>
          <w:rFonts w:eastAsia="Times New Roman" w:cs="Times New Roman"/>
          <w:szCs w:val="24"/>
          <w:lang w:eastAsia="en-MY"/>
        </w:rPr>
        <w:t xml:space="preserve"> outline an extensive analysis of the data collected from both quantitative and qualitative findings. The quantitative findings are survey-based and cover the Likert-scale responses. The qualitative findings are based on the open-ended responses. The study aims to investigate how textbook scaffolding helps in listening comprehension amongst students and fluency in English as interpreted by teachers via the mixed-methods approach. This chapter also reveals the statistical results from SPSS as well as the thematic analysis using NVivo 15 to answer the research questions holistically.</w:t>
      </w:r>
      <w:r>
        <w:rPr>
          <w:rFonts w:eastAsia="Times New Roman" w:cs="Times New Roman"/>
          <w:szCs w:val="24"/>
          <w:lang w:eastAsia="en-MY"/>
        </w:rPr>
        <w:t xml:space="preserve"> </w:t>
      </w:r>
      <w:r w:rsidRPr="00F9413E">
        <w:rPr>
          <w:rFonts w:eastAsia="Times New Roman" w:cs="Times New Roman"/>
          <w:szCs w:val="24"/>
          <w:lang w:eastAsia="en-MY"/>
        </w:rPr>
        <w:t>The analysis is organized into three main sections:</w:t>
      </w:r>
    </w:p>
    <w:p w14:paraId="386FB778" w14:textId="77777777" w:rsidR="00F9413E" w:rsidRPr="00F9413E" w:rsidRDefault="00F9413E" w:rsidP="00F9413E">
      <w:pPr>
        <w:spacing w:line="240" w:lineRule="auto"/>
        <w:rPr>
          <w:rFonts w:eastAsia="Times New Roman" w:cs="Times New Roman"/>
          <w:szCs w:val="24"/>
          <w:lang w:eastAsia="en-MY"/>
        </w:rPr>
      </w:pPr>
    </w:p>
    <w:p w14:paraId="5A5EF3E7" w14:textId="4190D741" w:rsidR="00F9413E" w:rsidRPr="00F9413E" w:rsidRDefault="00F9413E" w:rsidP="00B467D2">
      <w:pPr>
        <w:pStyle w:val="ListParagraph"/>
        <w:numPr>
          <w:ilvl w:val="0"/>
          <w:numId w:val="27"/>
        </w:numPr>
        <w:spacing w:line="240" w:lineRule="auto"/>
        <w:rPr>
          <w:rFonts w:eastAsia="Times New Roman" w:cs="Times New Roman"/>
          <w:szCs w:val="24"/>
          <w:lang w:eastAsia="en-MY"/>
        </w:rPr>
      </w:pPr>
      <w:r w:rsidRPr="00F9413E">
        <w:rPr>
          <w:rFonts w:eastAsia="Times New Roman" w:cs="Times New Roman"/>
          <w:szCs w:val="24"/>
          <w:lang w:eastAsia="en-MY"/>
        </w:rPr>
        <w:t>Quantitative findings derived from structured survey responses.</w:t>
      </w:r>
    </w:p>
    <w:p w14:paraId="632DFCD3" w14:textId="137CD7A6" w:rsidR="00F9413E" w:rsidRPr="00F9413E" w:rsidRDefault="00F9413E" w:rsidP="00B467D2">
      <w:pPr>
        <w:pStyle w:val="ListParagraph"/>
        <w:numPr>
          <w:ilvl w:val="0"/>
          <w:numId w:val="27"/>
        </w:numPr>
        <w:spacing w:line="240" w:lineRule="auto"/>
        <w:rPr>
          <w:rFonts w:eastAsia="Times New Roman" w:cs="Times New Roman"/>
          <w:szCs w:val="24"/>
          <w:lang w:eastAsia="en-MY"/>
        </w:rPr>
      </w:pPr>
      <w:r w:rsidRPr="00F9413E">
        <w:rPr>
          <w:rFonts w:eastAsia="Times New Roman" w:cs="Times New Roman"/>
          <w:szCs w:val="24"/>
          <w:lang w:eastAsia="en-MY"/>
        </w:rPr>
        <w:t>Qualitative insights obtained through thematic analysis.</w:t>
      </w:r>
    </w:p>
    <w:p w14:paraId="6F8DCA46" w14:textId="76BC8AF3" w:rsidR="00F9413E" w:rsidRPr="00F9413E" w:rsidRDefault="00F9413E" w:rsidP="00B467D2">
      <w:pPr>
        <w:pStyle w:val="ListParagraph"/>
        <w:numPr>
          <w:ilvl w:val="0"/>
          <w:numId w:val="27"/>
        </w:numPr>
        <w:spacing w:line="240" w:lineRule="auto"/>
        <w:rPr>
          <w:rFonts w:eastAsia="Times New Roman" w:cs="Times New Roman"/>
          <w:szCs w:val="24"/>
          <w:lang w:eastAsia="en-MY"/>
        </w:rPr>
      </w:pPr>
      <w:r w:rsidRPr="00F9413E">
        <w:rPr>
          <w:rFonts w:eastAsia="Times New Roman" w:cs="Times New Roman"/>
          <w:szCs w:val="24"/>
          <w:lang w:eastAsia="en-MY"/>
        </w:rPr>
        <w:t>Integration of both data types to identify convergences and divergences.</w:t>
      </w:r>
    </w:p>
    <w:p w14:paraId="4069FE7E" w14:textId="77777777" w:rsidR="00F9413E" w:rsidRPr="00F9413E" w:rsidRDefault="00F9413E" w:rsidP="00B467D2">
      <w:pPr>
        <w:spacing w:line="240" w:lineRule="auto"/>
        <w:rPr>
          <w:rFonts w:eastAsia="Times New Roman" w:cs="Times New Roman"/>
          <w:szCs w:val="24"/>
          <w:lang w:eastAsia="en-MY"/>
        </w:rPr>
      </w:pPr>
    </w:p>
    <w:p w14:paraId="45A5337C" w14:textId="500DD0DF" w:rsidR="00F9413E" w:rsidRDefault="00F9413E" w:rsidP="00B467D2">
      <w:pPr>
        <w:spacing w:line="240" w:lineRule="auto"/>
        <w:rPr>
          <w:rFonts w:eastAsia="Times New Roman" w:cs="Times New Roman"/>
          <w:szCs w:val="24"/>
          <w:lang w:eastAsia="en-MY"/>
        </w:rPr>
      </w:pPr>
      <w:r w:rsidRPr="00F9413E">
        <w:rPr>
          <w:rFonts w:eastAsia="Times New Roman" w:cs="Times New Roman"/>
          <w:szCs w:val="24"/>
          <w:lang w:eastAsia="en-MY"/>
        </w:rPr>
        <w:t xml:space="preserve">This </w:t>
      </w:r>
      <w:r>
        <w:rPr>
          <w:rFonts w:eastAsia="Times New Roman" w:cs="Times New Roman"/>
          <w:szCs w:val="24"/>
          <w:lang w:eastAsia="en-MY"/>
        </w:rPr>
        <w:t>section</w:t>
      </w:r>
      <w:r w:rsidRPr="00F9413E">
        <w:rPr>
          <w:rFonts w:eastAsia="Times New Roman" w:cs="Times New Roman"/>
          <w:szCs w:val="24"/>
          <w:lang w:eastAsia="en-MY"/>
        </w:rPr>
        <w:t xml:space="preserve"> presents and interprets the findings from both the content analysis of the English Plus 1 Year 5 textbook and the survey responses from 30 English teachers across government primary schools in Selangor. It integrates quantitative and qualitative results to provide a comprehensive understanding of how effectively the textbook supports listening and speaking development in CEFR-aligned ESL classrooms. The results are organised according to the four research questions and supported by direct evidence from the textbook and participant feedback.</w:t>
      </w:r>
      <w:r w:rsidRPr="00F9413E">
        <w:t xml:space="preserve"> </w:t>
      </w:r>
      <w:r w:rsidRPr="00F9413E">
        <w:rPr>
          <w:rFonts w:eastAsia="Times New Roman" w:cs="Times New Roman"/>
          <w:szCs w:val="24"/>
          <w:lang w:eastAsia="en-MY"/>
        </w:rPr>
        <w:t>The data was collected from a survey which was taken by 30 English language teachers working at multiple primary government schools. There were different categories of participants such as years of experience, exposure to CEFR-aligned materials and teaching aids as well as demographic influence. Demographic details helped in placing the survey responses in particular categories.</w:t>
      </w:r>
    </w:p>
    <w:p w14:paraId="470D3174" w14:textId="77777777" w:rsidR="00F9413E" w:rsidRPr="008B1B25" w:rsidRDefault="00F9413E" w:rsidP="00F9413E">
      <w:pPr>
        <w:spacing w:line="240" w:lineRule="auto"/>
        <w:rPr>
          <w:rFonts w:cs="Times New Roman"/>
          <w:b/>
          <w:szCs w:val="24"/>
        </w:rPr>
      </w:pPr>
    </w:p>
    <w:p w14:paraId="113FDA83" w14:textId="4E511375" w:rsidR="00A75398" w:rsidRPr="008B1B25" w:rsidRDefault="00214444" w:rsidP="00214444">
      <w:pPr>
        <w:spacing w:line="240" w:lineRule="auto"/>
        <w:rPr>
          <w:rFonts w:cs="Times New Roman"/>
          <w:bCs/>
          <w:szCs w:val="24"/>
        </w:rPr>
      </w:pPr>
      <w:r w:rsidRPr="008B1B25">
        <w:rPr>
          <w:rFonts w:cs="Times New Roman"/>
          <w:b/>
          <w:szCs w:val="24"/>
        </w:rPr>
        <w:t>4.</w:t>
      </w:r>
      <w:r w:rsidR="00F9413E">
        <w:rPr>
          <w:rFonts w:cs="Times New Roman"/>
          <w:b/>
          <w:szCs w:val="24"/>
        </w:rPr>
        <w:t>1</w:t>
      </w:r>
      <w:r w:rsidRPr="008B1B25">
        <w:rPr>
          <w:rFonts w:cs="Times New Roman"/>
          <w:b/>
          <w:szCs w:val="24"/>
        </w:rPr>
        <w:t xml:space="preserve"> </w:t>
      </w:r>
      <w:r w:rsidR="007159A5" w:rsidRPr="008B1B25">
        <w:rPr>
          <w:rFonts w:cs="Times New Roman"/>
          <w:b/>
          <w:szCs w:val="24"/>
        </w:rPr>
        <w:t>Quantitative Findings</w:t>
      </w:r>
    </w:p>
    <w:p w14:paraId="5DE3E6F8" w14:textId="3DB75F04" w:rsidR="00933D08" w:rsidRPr="00933D08" w:rsidRDefault="00933D08" w:rsidP="00933D08">
      <w:pPr>
        <w:spacing w:line="240" w:lineRule="auto"/>
        <w:rPr>
          <w:rFonts w:cs="Times New Roman"/>
          <w:bCs/>
          <w:szCs w:val="24"/>
        </w:rPr>
      </w:pPr>
      <w:r w:rsidRPr="00933D08">
        <w:rPr>
          <w:rFonts w:cs="Times New Roman"/>
          <w:bCs/>
          <w:szCs w:val="24"/>
        </w:rPr>
        <w:t>Descriptive analysis helps describe, show and summarise data in a constructive way. Rearranging, ordering and influencing data to provide insightful information about the provided data is formed when the conversion of raw data is done. This conversion is done to understand or interpret it easily. Therefore, it is one of the most important steps for conducting statistical data analysis. It provides the summary regarding the distribution of data that has been collected, helps identify typos and outliers while enabling identification of similarities among variables. This assists in conducting a deeper statistical analysis.</w:t>
      </w:r>
      <w:r>
        <w:rPr>
          <w:rFonts w:cs="Times New Roman"/>
          <w:bCs/>
          <w:szCs w:val="24"/>
        </w:rPr>
        <w:t xml:space="preserve"> </w:t>
      </w:r>
      <w:r w:rsidRPr="00933D08">
        <w:rPr>
          <w:rFonts w:cs="Times New Roman"/>
          <w:bCs/>
          <w:szCs w:val="24"/>
        </w:rPr>
        <w:t>Descriptive methods often include creating a table of means and median, standard deviation or variance which happens to be methods of dispersion and cross-tabulations (crosstabs). Crosstabs can be used to carry out many differing or contrasting hypotheses which often emphasise differences among subgroups.</w:t>
      </w:r>
    </w:p>
    <w:p w14:paraId="0B2098C1" w14:textId="77777777" w:rsidR="00933D08" w:rsidRPr="00933D08" w:rsidRDefault="00933D08" w:rsidP="00933D08">
      <w:pPr>
        <w:spacing w:line="240" w:lineRule="auto"/>
        <w:rPr>
          <w:rFonts w:cs="Times New Roman"/>
          <w:bCs/>
          <w:szCs w:val="24"/>
        </w:rPr>
      </w:pPr>
    </w:p>
    <w:p w14:paraId="46539E08" w14:textId="0038F267" w:rsidR="00933D08" w:rsidRDefault="00933D08" w:rsidP="00933D08">
      <w:pPr>
        <w:spacing w:line="240" w:lineRule="auto"/>
        <w:rPr>
          <w:rFonts w:cs="Times New Roman"/>
          <w:bCs/>
          <w:szCs w:val="24"/>
        </w:rPr>
      </w:pPr>
      <w:r w:rsidRPr="00933D08">
        <w:rPr>
          <w:rFonts w:cs="Times New Roman"/>
          <w:bCs/>
          <w:szCs w:val="24"/>
        </w:rPr>
        <w:t xml:space="preserve">Descriptive statistics were computed to summarize teachers’ perceptions of the textbook’s effectiveness in supporting listening and speaking skills. The mean scores and standard deviations for each item are presented in Tables </w:t>
      </w:r>
      <w:r w:rsidR="009F2E75">
        <w:rPr>
          <w:rFonts w:cs="Times New Roman"/>
          <w:bCs/>
          <w:szCs w:val="24"/>
        </w:rPr>
        <w:t>3</w:t>
      </w:r>
      <w:r w:rsidRPr="00933D08">
        <w:rPr>
          <w:rFonts w:cs="Times New Roman"/>
          <w:bCs/>
          <w:szCs w:val="24"/>
        </w:rPr>
        <w:t xml:space="preserve"> and 4</w:t>
      </w:r>
      <w:r w:rsidR="009F2E75">
        <w:rPr>
          <w:rFonts w:cs="Times New Roman"/>
          <w:bCs/>
          <w:szCs w:val="24"/>
        </w:rPr>
        <w:t>.</w:t>
      </w:r>
    </w:p>
    <w:p w14:paraId="0B03A6F0" w14:textId="77777777" w:rsidR="001F02D3" w:rsidRDefault="001F02D3" w:rsidP="00933D08">
      <w:pPr>
        <w:spacing w:line="240" w:lineRule="auto"/>
        <w:rPr>
          <w:rFonts w:cs="Times New Roman"/>
          <w:bCs/>
          <w:szCs w:val="24"/>
        </w:rPr>
      </w:pPr>
    </w:p>
    <w:p w14:paraId="6B2F7992" w14:textId="77777777" w:rsidR="00E65C4D" w:rsidRDefault="00E65C4D" w:rsidP="00933D08">
      <w:pPr>
        <w:spacing w:line="240" w:lineRule="auto"/>
        <w:rPr>
          <w:rFonts w:cs="Times New Roman"/>
          <w:bCs/>
          <w:szCs w:val="24"/>
        </w:rPr>
      </w:pPr>
    </w:p>
    <w:p w14:paraId="1DDFF000" w14:textId="77777777" w:rsidR="00E65C4D" w:rsidRDefault="00E65C4D" w:rsidP="00933D08">
      <w:pPr>
        <w:spacing w:line="240" w:lineRule="auto"/>
        <w:rPr>
          <w:rFonts w:cs="Times New Roman"/>
          <w:bCs/>
          <w:szCs w:val="24"/>
        </w:rPr>
      </w:pPr>
    </w:p>
    <w:p w14:paraId="2B90A2A3" w14:textId="77777777" w:rsidR="00E65C4D" w:rsidRDefault="00E65C4D" w:rsidP="00933D08">
      <w:pPr>
        <w:spacing w:line="240" w:lineRule="auto"/>
        <w:rPr>
          <w:rFonts w:cs="Times New Roman"/>
          <w:bCs/>
          <w:szCs w:val="24"/>
        </w:rPr>
      </w:pPr>
    </w:p>
    <w:p w14:paraId="6126638C" w14:textId="77777777" w:rsidR="001F02D3" w:rsidRDefault="001F02D3" w:rsidP="001F02D3">
      <w:pPr>
        <w:ind w:left="851"/>
        <w:rPr>
          <w:i/>
        </w:rPr>
      </w:pPr>
      <w:r>
        <w:rPr>
          <w:i/>
        </w:rPr>
        <w:lastRenderedPageBreak/>
        <w:t>Table</w:t>
      </w:r>
      <w:r>
        <w:rPr>
          <w:i/>
          <w:spacing w:val="-1"/>
        </w:rPr>
        <w:t xml:space="preserve"> </w:t>
      </w:r>
      <w:r>
        <w:rPr>
          <w:i/>
        </w:rPr>
        <w:t>3 Descriptive</w:t>
      </w:r>
      <w:r>
        <w:rPr>
          <w:i/>
          <w:spacing w:val="-2"/>
        </w:rPr>
        <w:t xml:space="preserve"> </w:t>
      </w:r>
      <w:r>
        <w:rPr>
          <w:i/>
        </w:rPr>
        <w:t>Statistics</w:t>
      </w:r>
      <w:r>
        <w:rPr>
          <w:i/>
          <w:spacing w:val="-2"/>
        </w:rPr>
        <w:t xml:space="preserve"> </w:t>
      </w:r>
      <w:r>
        <w:rPr>
          <w:i/>
        </w:rPr>
        <w:t>for Key</w:t>
      </w:r>
      <w:r>
        <w:rPr>
          <w:i/>
          <w:spacing w:val="-2"/>
        </w:rPr>
        <w:t xml:space="preserve"> </w:t>
      </w:r>
      <w:r>
        <w:rPr>
          <w:i/>
        </w:rPr>
        <w:t>Survey</w:t>
      </w:r>
      <w:r>
        <w:rPr>
          <w:i/>
          <w:spacing w:val="-2"/>
        </w:rPr>
        <w:t xml:space="preserve"> </w:t>
      </w:r>
      <w:r>
        <w:rPr>
          <w:i/>
        </w:rPr>
        <w:t>Items</w:t>
      </w:r>
      <w:r>
        <w:rPr>
          <w:i/>
          <w:spacing w:val="-1"/>
        </w:rPr>
        <w:t xml:space="preserve"> </w:t>
      </w:r>
      <w:r>
        <w:rPr>
          <w:i/>
        </w:rPr>
        <w:t>on</w:t>
      </w:r>
      <w:r>
        <w:rPr>
          <w:i/>
          <w:spacing w:val="-1"/>
        </w:rPr>
        <w:t xml:space="preserve"> </w:t>
      </w:r>
      <w:r>
        <w:rPr>
          <w:i/>
        </w:rPr>
        <w:t xml:space="preserve">Listening </w:t>
      </w:r>
      <w:r>
        <w:rPr>
          <w:i/>
          <w:spacing w:val="-2"/>
        </w:rPr>
        <w:t>Skills</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854"/>
        <w:gridCol w:w="1462"/>
        <w:gridCol w:w="1500"/>
        <w:gridCol w:w="1047"/>
        <w:gridCol w:w="1342"/>
      </w:tblGrid>
      <w:tr w:rsidR="001F02D3" w14:paraId="649CF382" w14:textId="77777777" w:rsidTr="00A613B6">
        <w:trPr>
          <w:trHeight w:val="551"/>
        </w:trPr>
        <w:tc>
          <w:tcPr>
            <w:tcW w:w="2434" w:type="dxa"/>
          </w:tcPr>
          <w:p w14:paraId="41A61825" w14:textId="77777777" w:rsidR="001F02D3" w:rsidRDefault="001F02D3" w:rsidP="00A613B6">
            <w:pPr>
              <w:pStyle w:val="TableParagraph"/>
              <w:spacing w:line="240" w:lineRule="auto"/>
            </w:pPr>
          </w:p>
        </w:tc>
        <w:tc>
          <w:tcPr>
            <w:tcW w:w="854" w:type="dxa"/>
          </w:tcPr>
          <w:p w14:paraId="1BF91F02" w14:textId="77777777" w:rsidR="001F02D3" w:rsidRDefault="001F02D3" w:rsidP="00A613B6">
            <w:pPr>
              <w:pStyle w:val="TableParagraph"/>
              <w:ind w:right="186"/>
              <w:jc w:val="right"/>
              <w:rPr>
                <w:sz w:val="24"/>
              </w:rPr>
            </w:pPr>
            <w:r>
              <w:rPr>
                <w:spacing w:val="-10"/>
                <w:sz w:val="24"/>
              </w:rPr>
              <w:t>N</w:t>
            </w:r>
          </w:p>
        </w:tc>
        <w:tc>
          <w:tcPr>
            <w:tcW w:w="1462" w:type="dxa"/>
          </w:tcPr>
          <w:p w14:paraId="3F2741DB" w14:textId="77777777" w:rsidR="001F02D3" w:rsidRDefault="001F02D3" w:rsidP="00A613B6">
            <w:pPr>
              <w:pStyle w:val="TableParagraph"/>
              <w:ind w:left="292"/>
              <w:jc w:val="center"/>
              <w:rPr>
                <w:sz w:val="24"/>
              </w:rPr>
            </w:pPr>
            <w:r>
              <w:rPr>
                <w:spacing w:val="-2"/>
                <w:sz w:val="24"/>
              </w:rPr>
              <w:t>Minimum</w:t>
            </w:r>
          </w:p>
        </w:tc>
        <w:tc>
          <w:tcPr>
            <w:tcW w:w="1500" w:type="dxa"/>
          </w:tcPr>
          <w:p w14:paraId="601635E4" w14:textId="77777777" w:rsidR="001F02D3" w:rsidRDefault="001F02D3" w:rsidP="00A613B6">
            <w:pPr>
              <w:pStyle w:val="TableParagraph"/>
              <w:ind w:left="293"/>
              <w:jc w:val="center"/>
              <w:rPr>
                <w:sz w:val="24"/>
              </w:rPr>
            </w:pPr>
            <w:r>
              <w:rPr>
                <w:spacing w:val="-2"/>
                <w:sz w:val="24"/>
              </w:rPr>
              <w:t>Maximum</w:t>
            </w:r>
          </w:p>
        </w:tc>
        <w:tc>
          <w:tcPr>
            <w:tcW w:w="1047" w:type="dxa"/>
          </w:tcPr>
          <w:p w14:paraId="4F1E42AB" w14:textId="77777777" w:rsidR="001F02D3" w:rsidRDefault="001F02D3" w:rsidP="00A613B6">
            <w:pPr>
              <w:pStyle w:val="TableParagraph"/>
              <w:ind w:left="291"/>
              <w:jc w:val="center"/>
              <w:rPr>
                <w:sz w:val="24"/>
              </w:rPr>
            </w:pPr>
            <w:r>
              <w:rPr>
                <w:spacing w:val="-4"/>
                <w:sz w:val="24"/>
              </w:rPr>
              <w:t>Mean</w:t>
            </w:r>
          </w:p>
        </w:tc>
        <w:tc>
          <w:tcPr>
            <w:tcW w:w="1342" w:type="dxa"/>
          </w:tcPr>
          <w:p w14:paraId="56F087F7" w14:textId="77777777" w:rsidR="001F02D3" w:rsidRDefault="001F02D3" w:rsidP="00A613B6">
            <w:pPr>
              <w:pStyle w:val="TableParagraph"/>
              <w:spacing w:line="276" w:lineRule="exact"/>
              <w:ind w:left="197" w:right="186" w:firstLine="424"/>
              <w:rPr>
                <w:sz w:val="24"/>
              </w:rPr>
            </w:pPr>
            <w:r>
              <w:rPr>
                <w:spacing w:val="-4"/>
                <w:sz w:val="24"/>
              </w:rPr>
              <w:t xml:space="preserve">Std. </w:t>
            </w:r>
            <w:r>
              <w:rPr>
                <w:spacing w:val="-2"/>
                <w:sz w:val="24"/>
              </w:rPr>
              <w:t>Deviation</w:t>
            </w:r>
          </w:p>
        </w:tc>
      </w:tr>
      <w:tr w:rsidR="001F02D3" w14:paraId="0A7215BB" w14:textId="77777777" w:rsidTr="00A613B6">
        <w:trPr>
          <w:trHeight w:val="827"/>
        </w:trPr>
        <w:tc>
          <w:tcPr>
            <w:tcW w:w="2434" w:type="dxa"/>
          </w:tcPr>
          <w:p w14:paraId="7436A7D4" w14:textId="77777777" w:rsidR="001F02D3" w:rsidRDefault="001F02D3" w:rsidP="00A613B6">
            <w:pPr>
              <w:pStyle w:val="TableParagraph"/>
              <w:tabs>
                <w:tab w:val="left" w:pos="1856"/>
              </w:tabs>
              <w:spacing w:line="276" w:lineRule="exact"/>
              <w:ind w:left="107" w:right="99" w:firstLine="283"/>
              <w:rPr>
                <w:sz w:val="24"/>
              </w:rPr>
            </w:pPr>
            <w:r>
              <w:rPr>
                <w:spacing w:val="-2"/>
                <w:sz w:val="24"/>
              </w:rPr>
              <w:t>Speaking</w:t>
            </w:r>
            <w:r>
              <w:rPr>
                <w:sz w:val="24"/>
              </w:rPr>
              <w:tab/>
            </w:r>
            <w:r>
              <w:rPr>
                <w:spacing w:val="-4"/>
                <w:sz w:val="24"/>
              </w:rPr>
              <w:t xml:space="preserve">Task </w:t>
            </w:r>
            <w:r>
              <w:rPr>
                <w:spacing w:val="-2"/>
                <w:sz w:val="24"/>
              </w:rPr>
              <w:t>Improves Communication</w:t>
            </w:r>
          </w:p>
        </w:tc>
        <w:tc>
          <w:tcPr>
            <w:tcW w:w="854" w:type="dxa"/>
          </w:tcPr>
          <w:p w14:paraId="6FD1558A" w14:textId="77777777" w:rsidR="001F02D3" w:rsidRDefault="001F02D3" w:rsidP="00A613B6">
            <w:pPr>
              <w:pStyle w:val="TableParagraph"/>
              <w:ind w:right="153"/>
              <w:jc w:val="right"/>
              <w:rPr>
                <w:sz w:val="24"/>
              </w:rPr>
            </w:pPr>
            <w:r>
              <w:rPr>
                <w:spacing w:val="-5"/>
                <w:sz w:val="24"/>
              </w:rPr>
              <w:t>30</w:t>
            </w:r>
          </w:p>
        </w:tc>
        <w:tc>
          <w:tcPr>
            <w:tcW w:w="1462" w:type="dxa"/>
          </w:tcPr>
          <w:p w14:paraId="4CCB9421" w14:textId="77777777" w:rsidR="001F02D3" w:rsidRDefault="001F02D3" w:rsidP="00A613B6">
            <w:pPr>
              <w:pStyle w:val="TableParagraph"/>
              <w:ind w:left="292" w:right="1"/>
              <w:jc w:val="center"/>
              <w:rPr>
                <w:sz w:val="24"/>
              </w:rPr>
            </w:pPr>
            <w:r>
              <w:rPr>
                <w:spacing w:val="-10"/>
                <w:sz w:val="24"/>
              </w:rPr>
              <w:t>3</w:t>
            </w:r>
          </w:p>
        </w:tc>
        <w:tc>
          <w:tcPr>
            <w:tcW w:w="1500" w:type="dxa"/>
          </w:tcPr>
          <w:p w14:paraId="38FE9FB6" w14:textId="77777777" w:rsidR="001F02D3" w:rsidRDefault="001F02D3" w:rsidP="00A613B6">
            <w:pPr>
              <w:pStyle w:val="TableParagraph"/>
              <w:ind w:left="293" w:right="2"/>
              <w:jc w:val="center"/>
              <w:rPr>
                <w:sz w:val="24"/>
              </w:rPr>
            </w:pPr>
            <w:r>
              <w:rPr>
                <w:spacing w:val="-10"/>
                <w:sz w:val="24"/>
              </w:rPr>
              <w:t>5</w:t>
            </w:r>
          </w:p>
        </w:tc>
        <w:tc>
          <w:tcPr>
            <w:tcW w:w="1047" w:type="dxa"/>
          </w:tcPr>
          <w:p w14:paraId="1B41EE46" w14:textId="77777777" w:rsidR="001F02D3" w:rsidRDefault="001F02D3" w:rsidP="00A613B6">
            <w:pPr>
              <w:pStyle w:val="TableParagraph"/>
              <w:ind w:left="291"/>
              <w:jc w:val="center"/>
              <w:rPr>
                <w:sz w:val="24"/>
              </w:rPr>
            </w:pPr>
            <w:r>
              <w:rPr>
                <w:spacing w:val="-4"/>
                <w:sz w:val="24"/>
              </w:rPr>
              <w:t>4.10</w:t>
            </w:r>
          </w:p>
        </w:tc>
        <w:tc>
          <w:tcPr>
            <w:tcW w:w="1342" w:type="dxa"/>
          </w:tcPr>
          <w:p w14:paraId="4B5EAF26" w14:textId="77777777" w:rsidR="001F02D3" w:rsidRDefault="001F02D3" w:rsidP="00A613B6">
            <w:pPr>
              <w:pStyle w:val="TableParagraph"/>
              <w:ind w:left="293"/>
              <w:jc w:val="center"/>
              <w:rPr>
                <w:sz w:val="24"/>
              </w:rPr>
            </w:pPr>
            <w:r>
              <w:rPr>
                <w:spacing w:val="-4"/>
                <w:sz w:val="24"/>
              </w:rPr>
              <w:t>.662</w:t>
            </w:r>
          </w:p>
        </w:tc>
      </w:tr>
      <w:tr w:rsidR="001F02D3" w14:paraId="47F83A17" w14:textId="77777777" w:rsidTr="00A613B6">
        <w:trPr>
          <w:trHeight w:val="550"/>
        </w:trPr>
        <w:tc>
          <w:tcPr>
            <w:tcW w:w="2434" w:type="dxa"/>
          </w:tcPr>
          <w:p w14:paraId="55B86101" w14:textId="77777777" w:rsidR="001F02D3" w:rsidRDefault="001F02D3" w:rsidP="00A613B6">
            <w:pPr>
              <w:pStyle w:val="TableParagraph"/>
              <w:spacing w:line="276" w:lineRule="exact"/>
              <w:ind w:left="107" w:firstLine="283"/>
              <w:rPr>
                <w:sz w:val="24"/>
              </w:rPr>
            </w:pPr>
            <w:r>
              <w:rPr>
                <w:sz w:val="24"/>
              </w:rPr>
              <w:t xml:space="preserve">Sufficient Speaking </w:t>
            </w:r>
            <w:r>
              <w:rPr>
                <w:spacing w:val="-2"/>
                <w:sz w:val="24"/>
              </w:rPr>
              <w:t>Activities</w:t>
            </w:r>
          </w:p>
        </w:tc>
        <w:tc>
          <w:tcPr>
            <w:tcW w:w="854" w:type="dxa"/>
          </w:tcPr>
          <w:p w14:paraId="1D6E3470" w14:textId="77777777" w:rsidR="001F02D3" w:rsidRDefault="001F02D3" w:rsidP="00A613B6">
            <w:pPr>
              <w:pStyle w:val="TableParagraph"/>
              <w:spacing w:line="274" w:lineRule="exact"/>
              <w:ind w:right="153"/>
              <w:jc w:val="right"/>
              <w:rPr>
                <w:sz w:val="24"/>
              </w:rPr>
            </w:pPr>
            <w:r>
              <w:rPr>
                <w:spacing w:val="-5"/>
                <w:sz w:val="24"/>
              </w:rPr>
              <w:t>30</w:t>
            </w:r>
          </w:p>
        </w:tc>
        <w:tc>
          <w:tcPr>
            <w:tcW w:w="1462" w:type="dxa"/>
          </w:tcPr>
          <w:p w14:paraId="27DE74B2" w14:textId="77777777" w:rsidR="001F02D3" w:rsidRDefault="001F02D3" w:rsidP="00A613B6">
            <w:pPr>
              <w:pStyle w:val="TableParagraph"/>
              <w:spacing w:line="274" w:lineRule="exact"/>
              <w:ind w:left="292" w:right="1"/>
              <w:jc w:val="center"/>
              <w:rPr>
                <w:sz w:val="24"/>
              </w:rPr>
            </w:pPr>
            <w:r>
              <w:rPr>
                <w:spacing w:val="-10"/>
                <w:sz w:val="24"/>
              </w:rPr>
              <w:t>1</w:t>
            </w:r>
          </w:p>
        </w:tc>
        <w:tc>
          <w:tcPr>
            <w:tcW w:w="1500" w:type="dxa"/>
          </w:tcPr>
          <w:p w14:paraId="1C2F997F" w14:textId="77777777" w:rsidR="001F02D3" w:rsidRDefault="001F02D3" w:rsidP="00A613B6">
            <w:pPr>
              <w:pStyle w:val="TableParagraph"/>
              <w:spacing w:line="274" w:lineRule="exact"/>
              <w:ind w:left="293" w:right="2"/>
              <w:jc w:val="center"/>
              <w:rPr>
                <w:sz w:val="24"/>
              </w:rPr>
            </w:pPr>
            <w:r>
              <w:rPr>
                <w:spacing w:val="-10"/>
                <w:sz w:val="24"/>
              </w:rPr>
              <w:t>5</w:t>
            </w:r>
          </w:p>
        </w:tc>
        <w:tc>
          <w:tcPr>
            <w:tcW w:w="1047" w:type="dxa"/>
          </w:tcPr>
          <w:p w14:paraId="692065E4" w14:textId="77777777" w:rsidR="001F02D3" w:rsidRDefault="001F02D3" w:rsidP="00A613B6">
            <w:pPr>
              <w:pStyle w:val="TableParagraph"/>
              <w:spacing w:line="274" w:lineRule="exact"/>
              <w:ind w:left="291"/>
              <w:jc w:val="center"/>
              <w:rPr>
                <w:sz w:val="24"/>
              </w:rPr>
            </w:pPr>
            <w:r>
              <w:rPr>
                <w:spacing w:val="-4"/>
                <w:sz w:val="24"/>
              </w:rPr>
              <w:t>3.33</w:t>
            </w:r>
          </w:p>
        </w:tc>
        <w:tc>
          <w:tcPr>
            <w:tcW w:w="1342" w:type="dxa"/>
          </w:tcPr>
          <w:p w14:paraId="1AF1C3FB" w14:textId="77777777" w:rsidR="001F02D3" w:rsidRDefault="001F02D3" w:rsidP="00A613B6">
            <w:pPr>
              <w:pStyle w:val="TableParagraph"/>
              <w:spacing w:line="274" w:lineRule="exact"/>
              <w:ind w:left="293"/>
              <w:jc w:val="center"/>
              <w:rPr>
                <w:sz w:val="24"/>
              </w:rPr>
            </w:pPr>
            <w:r>
              <w:rPr>
                <w:spacing w:val="-2"/>
                <w:sz w:val="24"/>
              </w:rPr>
              <w:t>1.028</w:t>
            </w:r>
          </w:p>
        </w:tc>
      </w:tr>
      <w:tr w:rsidR="001F02D3" w14:paraId="5C18C05A" w14:textId="77777777" w:rsidTr="00A613B6">
        <w:trPr>
          <w:trHeight w:val="550"/>
        </w:trPr>
        <w:tc>
          <w:tcPr>
            <w:tcW w:w="2434" w:type="dxa"/>
          </w:tcPr>
          <w:p w14:paraId="18D97041" w14:textId="77777777" w:rsidR="001F02D3" w:rsidRDefault="001F02D3" w:rsidP="00A613B6">
            <w:pPr>
              <w:pStyle w:val="TableParagraph"/>
              <w:tabs>
                <w:tab w:val="left" w:pos="1856"/>
              </w:tabs>
              <w:spacing w:line="276" w:lineRule="exact"/>
              <w:ind w:left="107" w:right="99" w:firstLine="283"/>
              <w:rPr>
                <w:sz w:val="24"/>
              </w:rPr>
            </w:pPr>
            <w:r>
              <w:rPr>
                <w:spacing w:val="-2"/>
                <w:sz w:val="24"/>
              </w:rPr>
              <w:t>Speaking</w:t>
            </w:r>
            <w:r>
              <w:rPr>
                <w:sz w:val="24"/>
              </w:rPr>
              <w:tab/>
            </w:r>
            <w:r>
              <w:rPr>
                <w:spacing w:val="-4"/>
                <w:sz w:val="24"/>
              </w:rPr>
              <w:t xml:space="preserve">Task </w:t>
            </w:r>
            <w:r>
              <w:rPr>
                <w:sz w:val="24"/>
              </w:rPr>
              <w:t>Alignment</w:t>
            </w:r>
            <w:r>
              <w:rPr>
                <w:spacing w:val="-3"/>
                <w:sz w:val="24"/>
              </w:rPr>
              <w:t xml:space="preserve"> </w:t>
            </w:r>
            <w:r>
              <w:rPr>
                <w:sz w:val="24"/>
              </w:rPr>
              <w:t xml:space="preserve">with </w:t>
            </w:r>
            <w:r>
              <w:rPr>
                <w:spacing w:val="-4"/>
                <w:sz w:val="24"/>
              </w:rPr>
              <w:t>CEFR</w:t>
            </w:r>
          </w:p>
        </w:tc>
        <w:tc>
          <w:tcPr>
            <w:tcW w:w="854" w:type="dxa"/>
          </w:tcPr>
          <w:p w14:paraId="68B436AB" w14:textId="77777777" w:rsidR="001F02D3" w:rsidRDefault="001F02D3" w:rsidP="00A613B6">
            <w:pPr>
              <w:pStyle w:val="TableParagraph"/>
              <w:spacing w:line="274" w:lineRule="exact"/>
              <w:ind w:right="153"/>
              <w:jc w:val="right"/>
              <w:rPr>
                <w:sz w:val="24"/>
              </w:rPr>
            </w:pPr>
            <w:r>
              <w:rPr>
                <w:spacing w:val="-5"/>
                <w:sz w:val="24"/>
              </w:rPr>
              <w:t>30</w:t>
            </w:r>
          </w:p>
        </w:tc>
        <w:tc>
          <w:tcPr>
            <w:tcW w:w="1462" w:type="dxa"/>
          </w:tcPr>
          <w:p w14:paraId="64A21BC8" w14:textId="77777777" w:rsidR="001F02D3" w:rsidRDefault="001F02D3" w:rsidP="00A613B6">
            <w:pPr>
              <w:pStyle w:val="TableParagraph"/>
              <w:spacing w:line="274" w:lineRule="exact"/>
              <w:ind w:left="292" w:right="1"/>
              <w:jc w:val="center"/>
              <w:rPr>
                <w:sz w:val="24"/>
              </w:rPr>
            </w:pPr>
            <w:r>
              <w:rPr>
                <w:spacing w:val="-10"/>
                <w:sz w:val="24"/>
              </w:rPr>
              <w:t>2</w:t>
            </w:r>
          </w:p>
        </w:tc>
        <w:tc>
          <w:tcPr>
            <w:tcW w:w="1500" w:type="dxa"/>
          </w:tcPr>
          <w:p w14:paraId="3A10A372" w14:textId="77777777" w:rsidR="001F02D3" w:rsidRDefault="001F02D3" w:rsidP="00A613B6">
            <w:pPr>
              <w:pStyle w:val="TableParagraph"/>
              <w:spacing w:line="274" w:lineRule="exact"/>
              <w:ind w:left="293" w:right="2"/>
              <w:jc w:val="center"/>
              <w:rPr>
                <w:sz w:val="24"/>
              </w:rPr>
            </w:pPr>
            <w:r>
              <w:rPr>
                <w:spacing w:val="-10"/>
                <w:sz w:val="24"/>
              </w:rPr>
              <w:t>5</w:t>
            </w:r>
          </w:p>
        </w:tc>
        <w:tc>
          <w:tcPr>
            <w:tcW w:w="1047" w:type="dxa"/>
          </w:tcPr>
          <w:p w14:paraId="2B5B1373" w14:textId="77777777" w:rsidR="001F02D3" w:rsidRDefault="001F02D3" w:rsidP="00A613B6">
            <w:pPr>
              <w:pStyle w:val="TableParagraph"/>
              <w:spacing w:line="274" w:lineRule="exact"/>
              <w:ind w:left="291"/>
              <w:jc w:val="center"/>
              <w:rPr>
                <w:sz w:val="24"/>
              </w:rPr>
            </w:pPr>
            <w:r>
              <w:rPr>
                <w:spacing w:val="-4"/>
                <w:sz w:val="24"/>
              </w:rPr>
              <w:t>3.63</w:t>
            </w:r>
          </w:p>
        </w:tc>
        <w:tc>
          <w:tcPr>
            <w:tcW w:w="1342" w:type="dxa"/>
          </w:tcPr>
          <w:p w14:paraId="6005DDBF" w14:textId="77777777" w:rsidR="001F02D3" w:rsidRDefault="001F02D3" w:rsidP="00A613B6">
            <w:pPr>
              <w:pStyle w:val="TableParagraph"/>
              <w:spacing w:line="274" w:lineRule="exact"/>
              <w:ind w:left="293"/>
              <w:jc w:val="center"/>
              <w:rPr>
                <w:sz w:val="24"/>
              </w:rPr>
            </w:pPr>
            <w:r>
              <w:rPr>
                <w:spacing w:val="-4"/>
                <w:sz w:val="24"/>
              </w:rPr>
              <w:t>.890</w:t>
            </w:r>
          </w:p>
        </w:tc>
      </w:tr>
      <w:tr w:rsidR="001F02D3" w14:paraId="5D77541F" w14:textId="77777777" w:rsidTr="00A613B6">
        <w:trPr>
          <w:trHeight w:val="825"/>
        </w:trPr>
        <w:tc>
          <w:tcPr>
            <w:tcW w:w="2434" w:type="dxa"/>
          </w:tcPr>
          <w:p w14:paraId="3C981FFA" w14:textId="77777777" w:rsidR="001F02D3" w:rsidRDefault="001F02D3" w:rsidP="00A613B6">
            <w:pPr>
              <w:pStyle w:val="TableParagraph"/>
              <w:tabs>
                <w:tab w:val="left" w:pos="1964"/>
              </w:tabs>
              <w:spacing w:line="240" w:lineRule="auto"/>
              <w:ind w:left="391"/>
              <w:rPr>
                <w:sz w:val="24"/>
              </w:rPr>
            </w:pPr>
            <w:r>
              <w:rPr>
                <w:spacing w:val="-2"/>
                <w:sz w:val="24"/>
              </w:rPr>
              <w:t>Activities</w:t>
            </w:r>
            <w:r>
              <w:rPr>
                <w:sz w:val="24"/>
              </w:rPr>
              <w:tab/>
            </w:r>
            <w:r>
              <w:rPr>
                <w:spacing w:val="-4"/>
                <w:sz w:val="24"/>
              </w:rPr>
              <w:t>that</w:t>
            </w:r>
          </w:p>
          <w:p w14:paraId="330F8726" w14:textId="77777777" w:rsidR="001F02D3" w:rsidRDefault="001F02D3" w:rsidP="00A613B6">
            <w:pPr>
              <w:pStyle w:val="TableParagraph"/>
              <w:spacing w:line="274" w:lineRule="exact"/>
              <w:ind w:left="107" w:right="152"/>
              <w:rPr>
                <w:sz w:val="24"/>
              </w:rPr>
            </w:pPr>
            <w:r>
              <w:rPr>
                <w:spacing w:val="-2"/>
                <w:sz w:val="24"/>
              </w:rPr>
              <w:t>Initiate Communication</w:t>
            </w:r>
          </w:p>
        </w:tc>
        <w:tc>
          <w:tcPr>
            <w:tcW w:w="854" w:type="dxa"/>
          </w:tcPr>
          <w:p w14:paraId="75C081A9" w14:textId="77777777" w:rsidR="001F02D3" w:rsidRDefault="001F02D3" w:rsidP="00A613B6">
            <w:pPr>
              <w:pStyle w:val="TableParagraph"/>
              <w:spacing w:line="240" w:lineRule="auto"/>
              <w:ind w:right="153"/>
              <w:jc w:val="right"/>
              <w:rPr>
                <w:sz w:val="24"/>
              </w:rPr>
            </w:pPr>
            <w:r>
              <w:rPr>
                <w:spacing w:val="-5"/>
                <w:sz w:val="24"/>
              </w:rPr>
              <w:t>30</w:t>
            </w:r>
          </w:p>
        </w:tc>
        <w:tc>
          <w:tcPr>
            <w:tcW w:w="1462" w:type="dxa"/>
          </w:tcPr>
          <w:p w14:paraId="753B2DD2" w14:textId="77777777" w:rsidR="001F02D3" w:rsidRDefault="001F02D3" w:rsidP="00A613B6">
            <w:pPr>
              <w:pStyle w:val="TableParagraph"/>
              <w:spacing w:line="240" w:lineRule="auto"/>
              <w:ind w:left="292" w:right="1"/>
              <w:jc w:val="center"/>
              <w:rPr>
                <w:sz w:val="24"/>
              </w:rPr>
            </w:pPr>
            <w:r>
              <w:rPr>
                <w:spacing w:val="-10"/>
                <w:sz w:val="24"/>
              </w:rPr>
              <w:t>2</w:t>
            </w:r>
          </w:p>
        </w:tc>
        <w:tc>
          <w:tcPr>
            <w:tcW w:w="1500" w:type="dxa"/>
          </w:tcPr>
          <w:p w14:paraId="7A59D430" w14:textId="77777777" w:rsidR="001F02D3" w:rsidRDefault="001F02D3" w:rsidP="00A613B6">
            <w:pPr>
              <w:pStyle w:val="TableParagraph"/>
              <w:spacing w:line="240" w:lineRule="auto"/>
              <w:ind w:left="293" w:right="2"/>
              <w:jc w:val="center"/>
              <w:rPr>
                <w:sz w:val="24"/>
              </w:rPr>
            </w:pPr>
            <w:r>
              <w:rPr>
                <w:spacing w:val="-10"/>
                <w:sz w:val="24"/>
              </w:rPr>
              <w:t>5</w:t>
            </w:r>
          </w:p>
        </w:tc>
        <w:tc>
          <w:tcPr>
            <w:tcW w:w="1047" w:type="dxa"/>
          </w:tcPr>
          <w:p w14:paraId="632E1BDD" w14:textId="77777777" w:rsidR="001F02D3" w:rsidRDefault="001F02D3" w:rsidP="00A613B6">
            <w:pPr>
              <w:pStyle w:val="TableParagraph"/>
              <w:spacing w:line="240" w:lineRule="auto"/>
              <w:ind w:left="291"/>
              <w:jc w:val="center"/>
              <w:rPr>
                <w:sz w:val="24"/>
              </w:rPr>
            </w:pPr>
            <w:r>
              <w:rPr>
                <w:spacing w:val="-4"/>
                <w:sz w:val="24"/>
              </w:rPr>
              <w:t>3.70</w:t>
            </w:r>
          </w:p>
        </w:tc>
        <w:tc>
          <w:tcPr>
            <w:tcW w:w="1342" w:type="dxa"/>
          </w:tcPr>
          <w:p w14:paraId="7AEFD2CF" w14:textId="77777777" w:rsidR="001F02D3" w:rsidRDefault="001F02D3" w:rsidP="00A613B6">
            <w:pPr>
              <w:pStyle w:val="TableParagraph"/>
              <w:spacing w:line="240" w:lineRule="auto"/>
              <w:ind w:left="293"/>
              <w:jc w:val="center"/>
              <w:rPr>
                <w:sz w:val="24"/>
              </w:rPr>
            </w:pPr>
            <w:r>
              <w:rPr>
                <w:spacing w:val="-4"/>
                <w:sz w:val="24"/>
              </w:rPr>
              <w:t>.952</w:t>
            </w:r>
          </w:p>
        </w:tc>
      </w:tr>
      <w:tr w:rsidR="001F02D3" w14:paraId="77BF8851" w14:textId="77777777" w:rsidTr="00A613B6">
        <w:trPr>
          <w:trHeight w:val="830"/>
        </w:trPr>
        <w:tc>
          <w:tcPr>
            <w:tcW w:w="2434" w:type="dxa"/>
          </w:tcPr>
          <w:p w14:paraId="45E30C18" w14:textId="77777777" w:rsidR="001F02D3" w:rsidRDefault="001F02D3" w:rsidP="00A613B6">
            <w:pPr>
              <w:pStyle w:val="TableParagraph"/>
              <w:spacing w:line="270" w:lineRule="atLeast"/>
              <w:ind w:left="107" w:right="97" w:firstLine="283"/>
              <w:jc w:val="both"/>
              <w:rPr>
                <w:sz w:val="24"/>
              </w:rPr>
            </w:pPr>
            <w:r>
              <w:rPr>
                <w:sz w:val="24"/>
              </w:rPr>
              <w:t>Balanced Activities for Pair, Individual, and Group Work</w:t>
            </w:r>
          </w:p>
        </w:tc>
        <w:tc>
          <w:tcPr>
            <w:tcW w:w="854" w:type="dxa"/>
          </w:tcPr>
          <w:p w14:paraId="3253BE99" w14:textId="77777777" w:rsidR="001F02D3" w:rsidRDefault="001F02D3" w:rsidP="00A613B6">
            <w:pPr>
              <w:pStyle w:val="TableParagraph"/>
              <w:spacing w:before="1" w:line="240" w:lineRule="auto"/>
              <w:ind w:right="153"/>
              <w:jc w:val="right"/>
              <w:rPr>
                <w:sz w:val="24"/>
              </w:rPr>
            </w:pPr>
            <w:r>
              <w:rPr>
                <w:spacing w:val="-5"/>
                <w:sz w:val="24"/>
              </w:rPr>
              <w:t>30</w:t>
            </w:r>
          </w:p>
        </w:tc>
        <w:tc>
          <w:tcPr>
            <w:tcW w:w="1462" w:type="dxa"/>
          </w:tcPr>
          <w:p w14:paraId="51C3D12B" w14:textId="77777777" w:rsidR="001F02D3" w:rsidRDefault="001F02D3" w:rsidP="00A613B6">
            <w:pPr>
              <w:pStyle w:val="TableParagraph"/>
              <w:spacing w:before="1" w:line="240" w:lineRule="auto"/>
              <w:ind w:left="292" w:right="1"/>
              <w:jc w:val="center"/>
              <w:rPr>
                <w:sz w:val="24"/>
              </w:rPr>
            </w:pPr>
            <w:r>
              <w:rPr>
                <w:spacing w:val="-10"/>
                <w:sz w:val="24"/>
              </w:rPr>
              <w:t>2</w:t>
            </w:r>
          </w:p>
        </w:tc>
        <w:tc>
          <w:tcPr>
            <w:tcW w:w="1500" w:type="dxa"/>
          </w:tcPr>
          <w:p w14:paraId="603C3370" w14:textId="77777777" w:rsidR="001F02D3" w:rsidRDefault="001F02D3" w:rsidP="00A613B6">
            <w:pPr>
              <w:pStyle w:val="TableParagraph"/>
              <w:spacing w:before="1" w:line="240" w:lineRule="auto"/>
              <w:ind w:left="293" w:right="2"/>
              <w:jc w:val="center"/>
              <w:rPr>
                <w:sz w:val="24"/>
              </w:rPr>
            </w:pPr>
            <w:r>
              <w:rPr>
                <w:spacing w:val="-10"/>
                <w:sz w:val="24"/>
              </w:rPr>
              <w:t>5</w:t>
            </w:r>
          </w:p>
        </w:tc>
        <w:tc>
          <w:tcPr>
            <w:tcW w:w="1047" w:type="dxa"/>
          </w:tcPr>
          <w:p w14:paraId="008E4135" w14:textId="77777777" w:rsidR="001F02D3" w:rsidRDefault="001F02D3" w:rsidP="00A613B6">
            <w:pPr>
              <w:pStyle w:val="TableParagraph"/>
              <w:spacing w:before="1" w:line="240" w:lineRule="auto"/>
              <w:ind w:left="291"/>
              <w:jc w:val="center"/>
              <w:rPr>
                <w:sz w:val="24"/>
              </w:rPr>
            </w:pPr>
            <w:r>
              <w:rPr>
                <w:spacing w:val="-4"/>
                <w:sz w:val="24"/>
              </w:rPr>
              <w:t>3.63</w:t>
            </w:r>
          </w:p>
        </w:tc>
        <w:tc>
          <w:tcPr>
            <w:tcW w:w="1342" w:type="dxa"/>
          </w:tcPr>
          <w:p w14:paraId="6C6848D8" w14:textId="77777777" w:rsidR="001F02D3" w:rsidRDefault="001F02D3" w:rsidP="00A613B6">
            <w:pPr>
              <w:pStyle w:val="TableParagraph"/>
              <w:spacing w:before="1" w:line="240" w:lineRule="auto"/>
              <w:ind w:left="293"/>
              <w:jc w:val="center"/>
              <w:rPr>
                <w:sz w:val="24"/>
              </w:rPr>
            </w:pPr>
            <w:r>
              <w:rPr>
                <w:spacing w:val="-4"/>
                <w:sz w:val="24"/>
              </w:rPr>
              <w:t>.999</w:t>
            </w:r>
          </w:p>
        </w:tc>
      </w:tr>
      <w:tr w:rsidR="001F02D3" w14:paraId="58CB2E8F" w14:textId="77777777" w:rsidTr="00A613B6">
        <w:trPr>
          <w:trHeight w:val="275"/>
        </w:trPr>
        <w:tc>
          <w:tcPr>
            <w:tcW w:w="2434" w:type="dxa"/>
          </w:tcPr>
          <w:p w14:paraId="09DD8EEE" w14:textId="77777777" w:rsidR="001F02D3" w:rsidRDefault="001F02D3" w:rsidP="00A613B6">
            <w:pPr>
              <w:pStyle w:val="TableParagraph"/>
              <w:spacing w:line="256" w:lineRule="exact"/>
              <w:ind w:left="391"/>
              <w:rPr>
                <w:sz w:val="24"/>
              </w:rPr>
            </w:pPr>
            <w:r>
              <w:rPr>
                <w:sz w:val="24"/>
              </w:rPr>
              <w:t>Valid</w:t>
            </w:r>
            <w:r>
              <w:rPr>
                <w:spacing w:val="-1"/>
                <w:sz w:val="24"/>
              </w:rPr>
              <w:t xml:space="preserve"> </w:t>
            </w:r>
            <w:r>
              <w:rPr>
                <w:sz w:val="24"/>
              </w:rPr>
              <w:t>N</w:t>
            </w:r>
            <w:r>
              <w:rPr>
                <w:spacing w:val="-2"/>
                <w:sz w:val="24"/>
              </w:rPr>
              <w:t xml:space="preserve"> (listwise)</w:t>
            </w:r>
          </w:p>
        </w:tc>
        <w:tc>
          <w:tcPr>
            <w:tcW w:w="854" w:type="dxa"/>
          </w:tcPr>
          <w:p w14:paraId="13C0EB8C" w14:textId="77777777" w:rsidR="001F02D3" w:rsidRDefault="001F02D3" w:rsidP="00A613B6">
            <w:pPr>
              <w:pStyle w:val="TableParagraph"/>
              <w:spacing w:line="256" w:lineRule="exact"/>
              <w:ind w:right="153"/>
              <w:jc w:val="right"/>
              <w:rPr>
                <w:sz w:val="24"/>
              </w:rPr>
            </w:pPr>
            <w:r>
              <w:rPr>
                <w:spacing w:val="-5"/>
                <w:sz w:val="24"/>
              </w:rPr>
              <w:t>30</w:t>
            </w:r>
          </w:p>
        </w:tc>
        <w:tc>
          <w:tcPr>
            <w:tcW w:w="1462" w:type="dxa"/>
          </w:tcPr>
          <w:p w14:paraId="6B191E57" w14:textId="77777777" w:rsidR="001F02D3" w:rsidRDefault="001F02D3" w:rsidP="00A613B6">
            <w:pPr>
              <w:pStyle w:val="TableParagraph"/>
              <w:spacing w:line="240" w:lineRule="auto"/>
              <w:rPr>
                <w:sz w:val="20"/>
              </w:rPr>
            </w:pPr>
          </w:p>
        </w:tc>
        <w:tc>
          <w:tcPr>
            <w:tcW w:w="1500" w:type="dxa"/>
          </w:tcPr>
          <w:p w14:paraId="3DADF08F" w14:textId="77777777" w:rsidR="001F02D3" w:rsidRDefault="001F02D3" w:rsidP="00A613B6">
            <w:pPr>
              <w:pStyle w:val="TableParagraph"/>
              <w:spacing w:line="240" w:lineRule="auto"/>
              <w:rPr>
                <w:sz w:val="20"/>
              </w:rPr>
            </w:pPr>
          </w:p>
        </w:tc>
        <w:tc>
          <w:tcPr>
            <w:tcW w:w="1047" w:type="dxa"/>
          </w:tcPr>
          <w:p w14:paraId="54F268A7" w14:textId="77777777" w:rsidR="001F02D3" w:rsidRDefault="001F02D3" w:rsidP="00A613B6">
            <w:pPr>
              <w:pStyle w:val="TableParagraph"/>
              <w:spacing w:line="240" w:lineRule="auto"/>
              <w:rPr>
                <w:sz w:val="20"/>
              </w:rPr>
            </w:pPr>
          </w:p>
        </w:tc>
        <w:tc>
          <w:tcPr>
            <w:tcW w:w="1342" w:type="dxa"/>
          </w:tcPr>
          <w:p w14:paraId="72A5AC2D" w14:textId="77777777" w:rsidR="001F02D3" w:rsidRDefault="001F02D3" w:rsidP="00A613B6">
            <w:pPr>
              <w:pStyle w:val="TableParagraph"/>
              <w:spacing w:line="240" w:lineRule="auto"/>
              <w:rPr>
                <w:sz w:val="20"/>
              </w:rPr>
            </w:pPr>
          </w:p>
        </w:tc>
      </w:tr>
    </w:tbl>
    <w:p w14:paraId="69D9BCA1" w14:textId="77777777" w:rsidR="001F02D3" w:rsidRDefault="001F02D3" w:rsidP="00933D08">
      <w:pPr>
        <w:spacing w:line="240" w:lineRule="auto"/>
        <w:rPr>
          <w:rFonts w:cs="Times New Roman"/>
          <w:bCs/>
          <w:szCs w:val="24"/>
        </w:rPr>
      </w:pPr>
    </w:p>
    <w:p w14:paraId="75763B53" w14:textId="0A777D43" w:rsidR="001F02D3" w:rsidRDefault="001F02D3" w:rsidP="001F02D3">
      <w:pPr>
        <w:spacing w:line="240" w:lineRule="auto"/>
        <w:rPr>
          <w:rFonts w:cs="Times New Roman"/>
          <w:bCs/>
          <w:szCs w:val="24"/>
        </w:rPr>
      </w:pPr>
      <w:r w:rsidRPr="001F02D3">
        <w:rPr>
          <w:rFonts w:cs="Times New Roman"/>
          <w:bCs/>
          <w:szCs w:val="24"/>
        </w:rPr>
        <w:t>Table 3 presents descriptive statistics for five variables related to listening skill development in English Plus 1. The highest-rated item was Listening Skill Development (M = 4.10, SD = 0.662), indicating strong teacher agreement on the textbook’s effectiveness in enhancing general listening comprehension. In contrast, Listening Skill for Low-Proficiency Students received the lowest mean score (M = 3.33, SD = 1.028), suggesting more varied perceptions and highlighting potential challenges in addressing diverse learner needs. Items such as Audio Material Sufficiency (M = 3.70, SD = 0.952) and Defined Goals in Listening Tasks (M = 3.63, SD = 0.999) were moderately rated, reflecting a perceived need for clearer instructional objectives and more substantial audio</w:t>
      </w:r>
      <w:r w:rsidR="00E65C4D">
        <w:rPr>
          <w:rFonts w:cs="Times New Roman"/>
          <w:bCs/>
          <w:szCs w:val="24"/>
        </w:rPr>
        <w:t xml:space="preserve"> </w:t>
      </w:r>
      <w:r w:rsidRPr="001F02D3">
        <w:rPr>
          <w:rFonts w:cs="Times New Roman"/>
          <w:bCs/>
          <w:szCs w:val="24"/>
        </w:rPr>
        <w:t>support. Overall, the data suggest that while the textbook is generally effective in supporting listening skills, improvements in scaffolding and inclusivity may enhance its impact.</w:t>
      </w:r>
    </w:p>
    <w:p w14:paraId="6B33633B" w14:textId="77777777" w:rsidR="001F02D3" w:rsidRDefault="001F02D3" w:rsidP="001F02D3">
      <w:pPr>
        <w:spacing w:line="240" w:lineRule="auto"/>
        <w:rPr>
          <w:rFonts w:cs="Times New Roman"/>
          <w:bCs/>
          <w:szCs w:val="24"/>
        </w:rPr>
      </w:pPr>
    </w:p>
    <w:p w14:paraId="2765A0DD" w14:textId="67D9AFB6" w:rsidR="001F02D3" w:rsidRDefault="001F02D3" w:rsidP="001F02D3">
      <w:pPr>
        <w:spacing w:line="240" w:lineRule="auto"/>
        <w:rPr>
          <w:rFonts w:cs="Times New Roman"/>
          <w:bCs/>
          <w:szCs w:val="24"/>
        </w:rPr>
      </w:pPr>
      <w:r>
        <w:rPr>
          <w:noProof/>
          <w:sz w:val="20"/>
        </w:rPr>
        <w:lastRenderedPageBreak/>
        <w:drawing>
          <wp:anchor distT="0" distB="0" distL="0" distR="0" simplePos="0" relativeHeight="251666432" behindDoc="1" locked="0" layoutInCell="1" allowOverlap="1" wp14:anchorId="2536C5C4" wp14:editId="414DB237">
            <wp:simplePos x="0" y="0"/>
            <wp:positionH relativeFrom="page">
              <wp:posOffset>914400</wp:posOffset>
            </wp:positionH>
            <wp:positionV relativeFrom="paragraph">
              <wp:posOffset>170815</wp:posOffset>
            </wp:positionV>
            <wp:extent cx="5813377" cy="313591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5813377" cy="3135915"/>
                    </a:xfrm>
                    <a:prstGeom prst="rect">
                      <a:avLst/>
                    </a:prstGeom>
                  </pic:spPr>
                </pic:pic>
              </a:graphicData>
            </a:graphic>
          </wp:anchor>
        </w:drawing>
      </w:r>
    </w:p>
    <w:p w14:paraId="5FED8E5A" w14:textId="77777777" w:rsidR="001F02D3" w:rsidRDefault="001F02D3" w:rsidP="001F02D3">
      <w:pPr>
        <w:spacing w:before="153"/>
        <w:ind w:left="851"/>
        <w:jc w:val="center"/>
        <w:rPr>
          <w:i/>
        </w:rPr>
      </w:pPr>
      <w:r>
        <w:rPr>
          <w:i/>
        </w:rPr>
        <w:t>Figure</w:t>
      </w:r>
      <w:r>
        <w:rPr>
          <w:i/>
          <w:spacing w:val="-1"/>
        </w:rPr>
        <w:t xml:space="preserve"> </w:t>
      </w:r>
      <w:r>
        <w:rPr>
          <w:i/>
        </w:rPr>
        <w:t>1 Mean Ratings</w:t>
      </w:r>
      <w:r>
        <w:rPr>
          <w:i/>
          <w:spacing w:val="-1"/>
        </w:rPr>
        <w:t xml:space="preserve"> </w:t>
      </w:r>
      <w:r>
        <w:rPr>
          <w:i/>
        </w:rPr>
        <w:t xml:space="preserve">of Listening Skill </w:t>
      </w:r>
      <w:r>
        <w:rPr>
          <w:i/>
          <w:spacing w:val="-4"/>
        </w:rPr>
        <w:t>Items</w:t>
      </w:r>
    </w:p>
    <w:p w14:paraId="033A0B5D" w14:textId="77777777" w:rsidR="009F2E75" w:rsidRDefault="009F2E75" w:rsidP="00933D08">
      <w:pPr>
        <w:spacing w:line="240" w:lineRule="auto"/>
        <w:rPr>
          <w:rFonts w:cs="Times New Roman"/>
          <w:bCs/>
          <w:szCs w:val="24"/>
        </w:rPr>
      </w:pPr>
    </w:p>
    <w:p w14:paraId="3D62A07F" w14:textId="61341BF1" w:rsidR="001F02D3" w:rsidRDefault="001F02D3" w:rsidP="001F02D3">
      <w:pPr>
        <w:spacing w:line="240" w:lineRule="auto"/>
        <w:rPr>
          <w:rFonts w:cs="Times New Roman"/>
          <w:bCs/>
          <w:szCs w:val="24"/>
        </w:rPr>
      </w:pPr>
      <w:r w:rsidRPr="001F02D3">
        <w:rPr>
          <w:rFonts w:cs="Times New Roman"/>
          <w:bCs/>
          <w:szCs w:val="24"/>
        </w:rPr>
        <w:t>Figure 1 shows the mean ratings of listening skills items. N=30 confirms that all the participants have answered all the survey items. The bars in the chart show the range of responses. Minimum values are close to 1, signifying that certain teachers have rated some survey items very low such as Listening Skill for Low Proficiency. On the other hand, maximum values are close to 5, implying that certain teachers have rated some survey items very high. In this case, Listening Skill Development received the highest rating, while support for low-proficiency students was rated lowest. This suggests that there are different perceptions by the teachers. Some teachers find the textbook effective whereas some see major gaps. From this, the maximum values only explain that the textbook can be effective while the mean and standard deviation (SD) expose how consistently teachers feel that the textbook is effective. In a nutshell, the textbook has strengths however, it shows that</w:t>
      </w:r>
      <w:r>
        <w:rPr>
          <w:rFonts w:cs="Times New Roman"/>
          <w:bCs/>
          <w:szCs w:val="24"/>
        </w:rPr>
        <w:t xml:space="preserve"> </w:t>
      </w:r>
      <w:r w:rsidRPr="001F02D3">
        <w:rPr>
          <w:rFonts w:cs="Times New Roman"/>
          <w:bCs/>
          <w:szCs w:val="24"/>
        </w:rPr>
        <w:t>support for low proficiency students is lacking or rather considered not evenly developed or even a teacher’s experience may be the reason to influence their opinion.</w:t>
      </w:r>
    </w:p>
    <w:p w14:paraId="30DD6B30" w14:textId="77777777" w:rsidR="001F02D3" w:rsidRDefault="001F02D3" w:rsidP="001F02D3">
      <w:pPr>
        <w:spacing w:line="240" w:lineRule="auto"/>
        <w:rPr>
          <w:rFonts w:cs="Times New Roman"/>
          <w:bCs/>
          <w:szCs w:val="24"/>
        </w:rPr>
      </w:pPr>
    </w:p>
    <w:p w14:paraId="61B53C17" w14:textId="77777777" w:rsidR="001F02D3" w:rsidRDefault="001F02D3" w:rsidP="001F02D3">
      <w:pPr>
        <w:ind w:left="851"/>
        <w:rPr>
          <w:i/>
        </w:rPr>
      </w:pPr>
      <w:r>
        <w:rPr>
          <w:i/>
        </w:rPr>
        <w:t>Table</w:t>
      </w:r>
      <w:r>
        <w:rPr>
          <w:i/>
          <w:spacing w:val="-2"/>
        </w:rPr>
        <w:t xml:space="preserve"> </w:t>
      </w:r>
      <w:r>
        <w:rPr>
          <w:i/>
        </w:rPr>
        <w:t>4</w:t>
      </w:r>
      <w:r>
        <w:rPr>
          <w:i/>
          <w:spacing w:val="-1"/>
        </w:rPr>
        <w:t xml:space="preserve"> </w:t>
      </w:r>
      <w:r>
        <w:rPr>
          <w:i/>
        </w:rPr>
        <w:t>Descriptive</w:t>
      </w:r>
      <w:r>
        <w:rPr>
          <w:i/>
          <w:spacing w:val="-2"/>
        </w:rPr>
        <w:t xml:space="preserve"> </w:t>
      </w:r>
      <w:r>
        <w:rPr>
          <w:i/>
        </w:rPr>
        <w:t>Statistics</w:t>
      </w:r>
      <w:r>
        <w:rPr>
          <w:i/>
          <w:spacing w:val="-2"/>
        </w:rPr>
        <w:t xml:space="preserve"> </w:t>
      </w:r>
      <w:r>
        <w:rPr>
          <w:i/>
        </w:rPr>
        <w:t>for</w:t>
      </w:r>
      <w:r>
        <w:rPr>
          <w:i/>
          <w:spacing w:val="-1"/>
        </w:rPr>
        <w:t xml:space="preserve"> </w:t>
      </w:r>
      <w:r>
        <w:rPr>
          <w:i/>
        </w:rPr>
        <w:t>Key</w:t>
      </w:r>
      <w:r>
        <w:rPr>
          <w:i/>
          <w:spacing w:val="-2"/>
        </w:rPr>
        <w:t xml:space="preserve"> </w:t>
      </w:r>
      <w:r>
        <w:rPr>
          <w:i/>
        </w:rPr>
        <w:t>Survey</w:t>
      </w:r>
      <w:r>
        <w:rPr>
          <w:i/>
          <w:spacing w:val="-2"/>
        </w:rPr>
        <w:t xml:space="preserve"> </w:t>
      </w:r>
      <w:r>
        <w:rPr>
          <w:i/>
        </w:rPr>
        <w:t>Items</w:t>
      </w:r>
      <w:r>
        <w:rPr>
          <w:i/>
          <w:spacing w:val="-2"/>
        </w:rPr>
        <w:t xml:space="preserve"> </w:t>
      </w:r>
      <w:r>
        <w:rPr>
          <w:i/>
        </w:rPr>
        <w:t>on</w:t>
      </w:r>
      <w:r>
        <w:rPr>
          <w:i/>
          <w:spacing w:val="-1"/>
        </w:rPr>
        <w:t xml:space="preserve"> </w:t>
      </w:r>
      <w:r>
        <w:rPr>
          <w:i/>
        </w:rPr>
        <w:t>Speaking</w:t>
      </w:r>
      <w:r>
        <w:rPr>
          <w:i/>
          <w:spacing w:val="-1"/>
        </w:rPr>
        <w:t xml:space="preserve"> </w:t>
      </w:r>
      <w:r>
        <w:rPr>
          <w:i/>
          <w:spacing w:val="-2"/>
        </w:rPr>
        <w:t>Skills</w:t>
      </w:r>
    </w:p>
    <w:p w14:paraId="00CF1F9E" w14:textId="77777777" w:rsidR="001F02D3" w:rsidRDefault="001F02D3" w:rsidP="001F02D3">
      <w:pPr>
        <w:pStyle w:val="BodyText"/>
        <w:rPr>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4"/>
        <w:gridCol w:w="854"/>
        <w:gridCol w:w="1462"/>
        <w:gridCol w:w="1500"/>
        <w:gridCol w:w="1047"/>
        <w:gridCol w:w="1342"/>
      </w:tblGrid>
      <w:tr w:rsidR="001F02D3" w14:paraId="36250E89" w14:textId="77777777" w:rsidTr="00A613B6">
        <w:trPr>
          <w:trHeight w:val="552"/>
        </w:trPr>
        <w:tc>
          <w:tcPr>
            <w:tcW w:w="2434" w:type="dxa"/>
          </w:tcPr>
          <w:p w14:paraId="2320685E" w14:textId="77777777" w:rsidR="001F02D3" w:rsidRDefault="001F02D3" w:rsidP="00A613B6">
            <w:pPr>
              <w:pStyle w:val="TableParagraph"/>
              <w:spacing w:line="240" w:lineRule="auto"/>
            </w:pPr>
          </w:p>
        </w:tc>
        <w:tc>
          <w:tcPr>
            <w:tcW w:w="854" w:type="dxa"/>
          </w:tcPr>
          <w:p w14:paraId="2D509F0A" w14:textId="77777777" w:rsidR="001F02D3" w:rsidRDefault="001F02D3" w:rsidP="00A613B6">
            <w:pPr>
              <w:pStyle w:val="TableParagraph"/>
              <w:spacing w:line="276" w:lineRule="exact"/>
              <w:ind w:right="186"/>
              <w:jc w:val="right"/>
              <w:rPr>
                <w:sz w:val="24"/>
              </w:rPr>
            </w:pPr>
            <w:r>
              <w:rPr>
                <w:spacing w:val="-10"/>
                <w:sz w:val="24"/>
              </w:rPr>
              <w:t>N</w:t>
            </w:r>
          </w:p>
        </w:tc>
        <w:tc>
          <w:tcPr>
            <w:tcW w:w="1462" w:type="dxa"/>
          </w:tcPr>
          <w:p w14:paraId="08F201A7" w14:textId="77777777" w:rsidR="001F02D3" w:rsidRDefault="001F02D3" w:rsidP="00A613B6">
            <w:pPr>
              <w:pStyle w:val="TableParagraph"/>
              <w:spacing w:line="276" w:lineRule="exact"/>
              <w:ind w:left="292"/>
              <w:jc w:val="center"/>
              <w:rPr>
                <w:sz w:val="24"/>
              </w:rPr>
            </w:pPr>
            <w:r>
              <w:rPr>
                <w:spacing w:val="-2"/>
                <w:sz w:val="24"/>
              </w:rPr>
              <w:t>Minimum</w:t>
            </w:r>
          </w:p>
        </w:tc>
        <w:tc>
          <w:tcPr>
            <w:tcW w:w="1500" w:type="dxa"/>
          </w:tcPr>
          <w:p w14:paraId="47360DED" w14:textId="77777777" w:rsidR="001F02D3" w:rsidRDefault="001F02D3" w:rsidP="00A613B6">
            <w:pPr>
              <w:pStyle w:val="TableParagraph"/>
              <w:spacing w:line="276" w:lineRule="exact"/>
              <w:ind w:left="293"/>
              <w:jc w:val="center"/>
              <w:rPr>
                <w:sz w:val="24"/>
              </w:rPr>
            </w:pPr>
            <w:r>
              <w:rPr>
                <w:spacing w:val="-2"/>
                <w:sz w:val="24"/>
              </w:rPr>
              <w:t>Maximum</w:t>
            </w:r>
          </w:p>
        </w:tc>
        <w:tc>
          <w:tcPr>
            <w:tcW w:w="1047" w:type="dxa"/>
          </w:tcPr>
          <w:p w14:paraId="7FC12804" w14:textId="77777777" w:rsidR="001F02D3" w:rsidRDefault="001F02D3" w:rsidP="00A613B6">
            <w:pPr>
              <w:pStyle w:val="TableParagraph"/>
              <w:spacing w:line="276" w:lineRule="exact"/>
              <w:ind w:left="291"/>
              <w:jc w:val="center"/>
              <w:rPr>
                <w:sz w:val="24"/>
              </w:rPr>
            </w:pPr>
            <w:r>
              <w:rPr>
                <w:spacing w:val="-4"/>
                <w:sz w:val="24"/>
              </w:rPr>
              <w:t>Mean</w:t>
            </w:r>
          </w:p>
        </w:tc>
        <w:tc>
          <w:tcPr>
            <w:tcW w:w="1342" w:type="dxa"/>
          </w:tcPr>
          <w:p w14:paraId="30292960" w14:textId="77777777" w:rsidR="001F02D3" w:rsidRDefault="001F02D3" w:rsidP="00A613B6">
            <w:pPr>
              <w:pStyle w:val="TableParagraph"/>
              <w:spacing w:line="276" w:lineRule="exact"/>
              <w:ind w:left="197" w:right="186" w:firstLine="424"/>
              <w:rPr>
                <w:sz w:val="24"/>
              </w:rPr>
            </w:pPr>
            <w:r>
              <w:rPr>
                <w:spacing w:val="-4"/>
                <w:sz w:val="24"/>
              </w:rPr>
              <w:t xml:space="preserve">Std. </w:t>
            </w:r>
            <w:r>
              <w:rPr>
                <w:spacing w:val="-2"/>
                <w:sz w:val="24"/>
              </w:rPr>
              <w:t>Deviation</w:t>
            </w:r>
          </w:p>
        </w:tc>
      </w:tr>
      <w:tr w:rsidR="001F02D3" w14:paraId="497CE7FE" w14:textId="77777777" w:rsidTr="00A613B6">
        <w:trPr>
          <w:trHeight w:val="827"/>
        </w:trPr>
        <w:tc>
          <w:tcPr>
            <w:tcW w:w="2434" w:type="dxa"/>
          </w:tcPr>
          <w:p w14:paraId="46AB5C42" w14:textId="77777777" w:rsidR="001F02D3" w:rsidRDefault="001F02D3" w:rsidP="00A613B6">
            <w:pPr>
              <w:pStyle w:val="TableParagraph"/>
              <w:tabs>
                <w:tab w:val="left" w:pos="1856"/>
              </w:tabs>
              <w:spacing w:line="276" w:lineRule="exact"/>
              <w:ind w:left="107" w:right="99" w:firstLine="283"/>
              <w:rPr>
                <w:sz w:val="24"/>
              </w:rPr>
            </w:pPr>
            <w:r>
              <w:rPr>
                <w:spacing w:val="-2"/>
                <w:sz w:val="24"/>
              </w:rPr>
              <w:t>Speaking</w:t>
            </w:r>
            <w:r>
              <w:rPr>
                <w:sz w:val="24"/>
              </w:rPr>
              <w:tab/>
            </w:r>
            <w:r>
              <w:rPr>
                <w:spacing w:val="-4"/>
                <w:sz w:val="24"/>
              </w:rPr>
              <w:t xml:space="preserve">Task </w:t>
            </w:r>
            <w:r>
              <w:rPr>
                <w:spacing w:val="-2"/>
                <w:sz w:val="24"/>
              </w:rPr>
              <w:t>Improves Communication</w:t>
            </w:r>
          </w:p>
        </w:tc>
        <w:tc>
          <w:tcPr>
            <w:tcW w:w="854" w:type="dxa"/>
          </w:tcPr>
          <w:p w14:paraId="36FF3C8C" w14:textId="77777777" w:rsidR="001F02D3" w:rsidRDefault="001F02D3" w:rsidP="00A613B6">
            <w:pPr>
              <w:pStyle w:val="TableParagraph"/>
              <w:ind w:right="153"/>
              <w:jc w:val="right"/>
              <w:rPr>
                <w:sz w:val="24"/>
              </w:rPr>
            </w:pPr>
            <w:r>
              <w:rPr>
                <w:spacing w:val="-5"/>
                <w:sz w:val="24"/>
              </w:rPr>
              <w:t>30</w:t>
            </w:r>
          </w:p>
        </w:tc>
        <w:tc>
          <w:tcPr>
            <w:tcW w:w="1462" w:type="dxa"/>
          </w:tcPr>
          <w:p w14:paraId="78C2A843" w14:textId="77777777" w:rsidR="001F02D3" w:rsidRDefault="001F02D3" w:rsidP="00A613B6">
            <w:pPr>
              <w:pStyle w:val="TableParagraph"/>
              <w:ind w:left="292" w:right="1"/>
              <w:jc w:val="center"/>
              <w:rPr>
                <w:sz w:val="24"/>
              </w:rPr>
            </w:pPr>
            <w:r>
              <w:rPr>
                <w:spacing w:val="-10"/>
                <w:sz w:val="24"/>
              </w:rPr>
              <w:t>2</w:t>
            </w:r>
          </w:p>
        </w:tc>
        <w:tc>
          <w:tcPr>
            <w:tcW w:w="1500" w:type="dxa"/>
          </w:tcPr>
          <w:p w14:paraId="5EBE17A3" w14:textId="77777777" w:rsidR="001F02D3" w:rsidRDefault="001F02D3" w:rsidP="00A613B6">
            <w:pPr>
              <w:pStyle w:val="TableParagraph"/>
              <w:ind w:left="293" w:right="2"/>
              <w:jc w:val="center"/>
              <w:rPr>
                <w:sz w:val="24"/>
              </w:rPr>
            </w:pPr>
            <w:r>
              <w:rPr>
                <w:spacing w:val="-10"/>
                <w:sz w:val="24"/>
              </w:rPr>
              <w:t>5</w:t>
            </w:r>
          </w:p>
        </w:tc>
        <w:tc>
          <w:tcPr>
            <w:tcW w:w="1047" w:type="dxa"/>
          </w:tcPr>
          <w:p w14:paraId="3D9DA773" w14:textId="77777777" w:rsidR="001F02D3" w:rsidRDefault="001F02D3" w:rsidP="00A613B6">
            <w:pPr>
              <w:pStyle w:val="TableParagraph"/>
              <w:ind w:left="291"/>
              <w:jc w:val="center"/>
              <w:rPr>
                <w:sz w:val="24"/>
              </w:rPr>
            </w:pPr>
            <w:r>
              <w:rPr>
                <w:spacing w:val="-4"/>
                <w:sz w:val="24"/>
              </w:rPr>
              <w:t>3.43</w:t>
            </w:r>
          </w:p>
        </w:tc>
        <w:tc>
          <w:tcPr>
            <w:tcW w:w="1342" w:type="dxa"/>
          </w:tcPr>
          <w:p w14:paraId="642DBB72" w14:textId="77777777" w:rsidR="001F02D3" w:rsidRDefault="001F02D3" w:rsidP="00A613B6">
            <w:pPr>
              <w:pStyle w:val="TableParagraph"/>
              <w:ind w:right="307"/>
              <w:jc w:val="right"/>
              <w:rPr>
                <w:sz w:val="24"/>
              </w:rPr>
            </w:pPr>
            <w:r>
              <w:rPr>
                <w:spacing w:val="-4"/>
                <w:sz w:val="24"/>
              </w:rPr>
              <w:t>.817</w:t>
            </w:r>
          </w:p>
        </w:tc>
      </w:tr>
      <w:tr w:rsidR="001F02D3" w14:paraId="113A47D2" w14:textId="77777777" w:rsidTr="00A613B6">
        <w:trPr>
          <w:trHeight w:val="551"/>
        </w:trPr>
        <w:tc>
          <w:tcPr>
            <w:tcW w:w="2434" w:type="dxa"/>
          </w:tcPr>
          <w:p w14:paraId="57DCE479" w14:textId="77777777" w:rsidR="001F02D3" w:rsidRDefault="001F02D3" w:rsidP="00A613B6">
            <w:pPr>
              <w:pStyle w:val="TableParagraph"/>
              <w:spacing w:line="276" w:lineRule="exact"/>
              <w:ind w:left="107" w:firstLine="283"/>
              <w:rPr>
                <w:sz w:val="24"/>
              </w:rPr>
            </w:pPr>
            <w:r>
              <w:rPr>
                <w:sz w:val="24"/>
              </w:rPr>
              <w:t xml:space="preserve">Sufficient Speaking </w:t>
            </w:r>
            <w:r>
              <w:rPr>
                <w:spacing w:val="-2"/>
                <w:sz w:val="24"/>
              </w:rPr>
              <w:t>Activities</w:t>
            </w:r>
          </w:p>
        </w:tc>
        <w:tc>
          <w:tcPr>
            <w:tcW w:w="854" w:type="dxa"/>
          </w:tcPr>
          <w:p w14:paraId="5035D0B2" w14:textId="77777777" w:rsidR="001F02D3" w:rsidRDefault="001F02D3" w:rsidP="00A613B6">
            <w:pPr>
              <w:pStyle w:val="TableParagraph"/>
              <w:ind w:right="153"/>
              <w:jc w:val="right"/>
              <w:rPr>
                <w:sz w:val="24"/>
              </w:rPr>
            </w:pPr>
            <w:r>
              <w:rPr>
                <w:spacing w:val="-5"/>
                <w:sz w:val="24"/>
              </w:rPr>
              <w:t>30</w:t>
            </w:r>
          </w:p>
        </w:tc>
        <w:tc>
          <w:tcPr>
            <w:tcW w:w="1462" w:type="dxa"/>
          </w:tcPr>
          <w:p w14:paraId="3B94153B" w14:textId="77777777" w:rsidR="001F02D3" w:rsidRDefault="001F02D3" w:rsidP="00A613B6">
            <w:pPr>
              <w:pStyle w:val="TableParagraph"/>
              <w:ind w:left="292" w:right="1"/>
              <w:jc w:val="center"/>
              <w:rPr>
                <w:sz w:val="24"/>
              </w:rPr>
            </w:pPr>
            <w:r>
              <w:rPr>
                <w:spacing w:val="-10"/>
                <w:sz w:val="24"/>
              </w:rPr>
              <w:t>2</w:t>
            </w:r>
          </w:p>
        </w:tc>
        <w:tc>
          <w:tcPr>
            <w:tcW w:w="1500" w:type="dxa"/>
          </w:tcPr>
          <w:p w14:paraId="3AFF46BC" w14:textId="77777777" w:rsidR="001F02D3" w:rsidRDefault="001F02D3" w:rsidP="00A613B6">
            <w:pPr>
              <w:pStyle w:val="TableParagraph"/>
              <w:ind w:left="293" w:right="2"/>
              <w:jc w:val="center"/>
              <w:rPr>
                <w:sz w:val="24"/>
              </w:rPr>
            </w:pPr>
            <w:r>
              <w:rPr>
                <w:spacing w:val="-10"/>
                <w:sz w:val="24"/>
              </w:rPr>
              <w:t>5</w:t>
            </w:r>
          </w:p>
        </w:tc>
        <w:tc>
          <w:tcPr>
            <w:tcW w:w="1047" w:type="dxa"/>
          </w:tcPr>
          <w:p w14:paraId="6E496D04" w14:textId="77777777" w:rsidR="001F02D3" w:rsidRDefault="001F02D3" w:rsidP="00A613B6">
            <w:pPr>
              <w:pStyle w:val="TableParagraph"/>
              <w:ind w:left="291"/>
              <w:jc w:val="center"/>
              <w:rPr>
                <w:sz w:val="24"/>
              </w:rPr>
            </w:pPr>
            <w:r>
              <w:rPr>
                <w:spacing w:val="-4"/>
                <w:sz w:val="24"/>
              </w:rPr>
              <w:t>3.77</w:t>
            </w:r>
          </w:p>
        </w:tc>
        <w:tc>
          <w:tcPr>
            <w:tcW w:w="1342" w:type="dxa"/>
          </w:tcPr>
          <w:p w14:paraId="11E820AD" w14:textId="77777777" w:rsidR="001F02D3" w:rsidRDefault="001F02D3" w:rsidP="00A613B6">
            <w:pPr>
              <w:pStyle w:val="TableParagraph"/>
              <w:ind w:right="307"/>
              <w:jc w:val="right"/>
              <w:rPr>
                <w:sz w:val="24"/>
              </w:rPr>
            </w:pPr>
            <w:r>
              <w:rPr>
                <w:spacing w:val="-4"/>
                <w:sz w:val="24"/>
              </w:rPr>
              <w:t>.774</w:t>
            </w:r>
          </w:p>
        </w:tc>
      </w:tr>
      <w:tr w:rsidR="001F02D3" w14:paraId="04309D87" w14:textId="77777777" w:rsidTr="00A613B6">
        <w:trPr>
          <w:trHeight w:val="550"/>
        </w:trPr>
        <w:tc>
          <w:tcPr>
            <w:tcW w:w="2434" w:type="dxa"/>
          </w:tcPr>
          <w:p w14:paraId="03E1F4E5" w14:textId="77777777" w:rsidR="001F02D3" w:rsidRDefault="001F02D3" w:rsidP="00A613B6">
            <w:pPr>
              <w:pStyle w:val="TableParagraph"/>
              <w:tabs>
                <w:tab w:val="left" w:pos="1856"/>
              </w:tabs>
              <w:spacing w:line="276" w:lineRule="exact"/>
              <w:ind w:left="107" w:right="99" w:firstLine="283"/>
              <w:rPr>
                <w:sz w:val="24"/>
              </w:rPr>
            </w:pPr>
            <w:r>
              <w:rPr>
                <w:spacing w:val="-2"/>
                <w:sz w:val="24"/>
              </w:rPr>
              <w:t>Speaking</w:t>
            </w:r>
            <w:r>
              <w:rPr>
                <w:sz w:val="24"/>
              </w:rPr>
              <w:tab/>
            </w:r>
            <w:r>
              <w:rPr>
                <w:spacing w:val="-4"/>
                <w:sz w:val="24"/>
              </w:rPr>
              <w:t xml:space="preserve">Task </w:t>
            </w:r>
            <w:r>
              <w:rPr>
                <w:sz w:val="24"/>
              </w:rPr>
              <w:t>Alignment</w:t>
            </w:r>
            <w:r>
              <w:rPr>
                <w:spacing w:val="-3"/>
                <w:sz w:val="24"/>
              </w:rPr>
              <w:t xml:space="preserve"> </w:t>
            </w:r>
            <w:r>
              <w:rPr>
                <w:sz w:val="24"/>
              </w:rPr>
              <w:t xml:space="preserve">with </w:t>
            </w:r>
            <w:r>
              <w:rPr>
                <w:spacing w:val="-4"/>
                <w:sz w:val="24"/>
              </w:rPr>
              <w:t>CEFR</w:t>
            </w:r>
          </w:p>
        </w:tc>
        <w:tc>
          <w:tcPr>
            <w:tcW w:w="854" w:type="dxa"/>
          </w:tcPr>
          <w:p w14:paraId="0E7CB21D" w14:textId="77777777" w:rsidR="001F02D3" w:rsidRDefault="001F02D3" w:rsidP="00A613B6">
            <w:pPr>
              <w:pStyle w:val="TableParagraph"/>
              <w:spacing w:line="274" w:lineRule="exact"/>
              <w:ind w:right="153"/>
              <w:jc w:val="right"/>
              <w:rPr>
                <w:sz w:val="24"/>
              </w:rPr>
            </w:pPr>
            <w:r>
              <w:rPr>
                <w:spacing w:val="-5"/>
                <w:sz w:val="24"/>
              </w:rPr>
              <w:t>30</w:t>
            </w:r>
          </w:p>
        </w:tc>
        <w:tc>
          <w:tcPr>
            <w:tcW w:w="1462" w:type="dxa"/>
          </w:tcPr>
          <w:p w14:paraId="60C9A97F" w14:textId="77777777" w:rsidR="001F02D3" w:rsidRDefault="001F02D3" w:rsidP="00A613B6">
            <w:pPr>
              <w:pStyle w:val="TableParagraph"/>
              <w:spacing w:line="274" w:lineRule="exact"/>
              <w:ind w:left="292" w:right="1"/>
              <w:jc w:val="center"/>
              <w:rPr>
                <w:sz w:val="24"/>
              </w:rPr>
            </w:pPr>
            <w:r>
              <w:rPr>
                <w:spacing w:val="-10"/>
                <w:sz w:val="24"/>
              </w:rPr>
              <w:t>2</w:t>
            </w:r>
          </w:p>
        </w:tc>
        <w:tc>
          <w:tcPr>
            <w:tcW w:w="1500" w:type="dxa"/>
          </w:tcPr>
          <w:p w14:paraId="3378585C" w14:textId="77777777" w:rsidR="001F02D3" w:rsidRDefault="001F02D3" w:rsidP="00A613B6">
            <w:pPr>
              <w:pStyle w:val="TableParagraph"/>
              <w:spacing w:line="274" w:lineRule="exact"/>
              <w:ind w:left="293" w:right="2"/>
              <w:jc w:val="center"/>
              <w:rPr>
                <w:sz w:val="24"/>
              </w:rPr>
            </w:pPr>
            <w:r>
              <w:rPr>
                <w:spacing w:val="-10"/>
                <w:sz w:val="24"/>
              </w:rPr>
              <w:t>5</w:t>
            </w:r>
          </w:p>
        </w:tc>
        <w:tc>
          <w:tcPr>
            <w:tcW w:w="1047" w:type="dxa"/>
          </w:tcPr>
          <w:p w14:paraId="2AE2987D" w14:textId="77777777" w:rsidR="001F02D3" w:rsidRDefault="001F02D3" w:rsidP="00A613B6">
            <w:pPr>
              <w:pStyle w:val="TableParagraph"/>
              <w:spacing w:line="274" w:lineRule="exact"/>
              <w:ind w:left="291"/>
              <w:jc w:val="center"/>
              <w:rPr>
                <w:sz w:val="24"/>
              </w:rPr>
            </w:pPr>
            <w:r>
              <w:rPr>
                <w:spacing w:val="-4"/>
                <w:sz w:val="24"/>
              </w:rPr>
              <w:t>3.67</w:t>
            </w:r>
          </w:p>
        </w:tc>
        <w:tc>
          <w:tcPr>
            <w:tcW w:w="1342" w:type="dxa"/>
          </w:tcPr>
          <w:p w14:paraId="5200CFCC" w14:textId="77777777" w:rsidR="001F02D3" w:rsidRDefault="001F02D3" w:rsidP="00A613B6">
            <w:pPr>
              <w:pStyle w:val="TableParagraph"/>
              <w:spacing w:line="274" w:lineRule="exact"/>
              <w:ind w:right="307"/>
              <w:jc w:val="right"/>
              <w:rPr>
                <w:sz w:val="24"/>
              </w:rPr>
            </w:pPr>
            <w:r>
              <w:rPr>
                <w:spacing w:val="-4"/>
                <w:sz w:val="24"/>
              </w:rPr>
              <w:t>.711</w:t>
            </w:r>
          </w:p>
        </w:tc>
      </w:tr>
      <w:tr w:rsidR="001F02D3" w14:paraId="05505ECE" w14:textId="77777777" w:rsidTr="00A613B6">
        <w:trPr>
          <w:trHeight w:val="829"/>
        </w:trPr>
        <w:tc>
          <w:tcPr>
            <w:tcW w:w="2434" w:type="dxa"/>
          </w:tcPr>
          <w:p w14:paraId="58180468" w14:textId="77777777" w:rsidR="001F02D3" w:rsidRDefault="001F02D3" w:rsidP="00A613B6">
            <w:pPr>
              <w:pStyle w:val="TableParagraph"/>
              <w:tabs>
                <w:tab w:val="left" w:pos="1964"/>
              </w:tabs>
              <w:spacing w:line="276" w:lineRule="exact"/>
              <w:ind w:left="107" w:right="97" w:firstLine="283"/>
              <w:rPr>
                <w:sz w:val="24"/>
              </w:rPr>
            </w:pPr>
            <w:r>
              <w:rPr>
                <w:spacing w:val="-2"/>
                <w:sz w:val="24"/>
              </w:rPr>
              <w:lastRenderedPageBreak/>
              <w:t>Activities</w:t>
            </w:r>
            <w:r>
              <w:rPr>
                <w:sz w:val="24"/>
              </w:rPr>
              <w:tab/>
            </w:r>
            <w:r>
              <w:rPr>
                <w:spacing w:val="-4"/>
                <w:sz w:val="24"/>
              </w:rPr>
              <w:t xml:space="preserve">that </w:t>
            </w:r>
            <w:r>
              <w:rPr>
                <w:spacing w:val="-2"/>
                <w:sz w:val="24"/>
              </w:rPr>
              <w:t>Initiate</w:t>
            </w:r>
            <w:r>
              <w:rPr>
                <w:spacing w:val="40"/>
                <w:sz w:val="24"/>
              </w:rPr>
              <w:t xml:space="preserve"> </w:t>
            </w:r>
            <w:r>
              <w:rPr>
                <w:spacing w:val="-2"/>
                <w:sz w:val="24"/>
              </w:rPr>
              <w:t>Communication</w:t>
            </w:r>
          </w:p>
        </w:tc>
        <w:tc>
          <w:tcPr>
            <w:tcW w:w="854" w:type="dxa"/>
          </w:tcPr>
          <w:p w14:paraId="2C6DE4BF" w14:textId="77777777" w:rsidR="001F02D3" w:rsidRDefault="001F02D3" w:rsidP="00A613B6">
            <w:pPr>
              <w:pStyle w:val="TableParagraph"/>
              <w:spacing w:line="240" w:lineRule="auto"/>
              <w:ind w:right="153"/>
              <w:jc w:val="right"/>
              <w:rPr>
                <w:sz w:val="24"/>
              </w:rPr>
            </w:pPr>
            <w:r>
              <w:rPr>
                <w:spacing w:val="-5"/>
                <w:sz w:val="24"/>
              </w:rPr>
              <w:t>30</w:t>
            </w:r>
          </w:p>
        </w:tc>
        <w:tc>
          <w:tcPr>
            <w:tcW w:w="1462" w:type="dxa"/>
          </w:tcPr>
          <w:p w14:paraId="0EED3A7F" w14:textId="77777777" w:rsidR="001F02D3" w:rsidRDefault="001F02D3" w:rsidP="00A613B6">
            <w:pPr>
              <w:pStyle w:val="TableParagraph"/>
              <w:spacing w:line="240" w:lineRule="auto"/>
              <w:ind w:left="292" w:right="1"/>
              <w:jc w:val="center"/>
              <w:rPr>
                <w:sz w:val="24"/>
              </w:rPr>
            </w:pPr>
            <w:r>
              <w:rPr>
                <w:spacing w:val="-10"/>
                <w:sz w:val="24"/>
              </w:rPr>
              <w:t>2</w:t>
            </w:r>
          </w:p>
        </w:tc>
        <w:tc>
          <w:tcPr>
            <w:tcW w:w="1500" w:type="dxa"/>
          </w:tcPr>
          <w:p w14:paraId="3DE9DC13" w14:textId="77777777" w:rsidR="001F02D3" w:rsidRDefault="001F02D3" w:rsidP="00A613B6">
            <w:pPr>
              <w:pStyle w:val="TableParagraph"/>
              <w:spacing w:line="240" w:lineRule="auto"/>
              <w:ind w:left="293" w:right="2"/>
              <w:jc w:val="center"/>
              <w:rPr>
                <w:sz w:val="24"/>
              </w:rPr>
            </w:pPr>
            <w:r>
              <w:rPr>
                <w:spacing w:val="-10"/>
                <w:sz w:val="24"/>
              </w:rPr>
              <w:t>5</w:t>
            </w:r>
          </w:p>
        </w:tc>
        <w:tc>
          <w:tcPr>
            <w:tcW w:w="1047" w:type="dxa"/>
          </w:tcPr>
          <w:p w14:paraId="4FAC98BF" w14:textId="77777777" w:rsidR="001F02D3" w:rsidRDefault="001F02D3" w:rsidP="00A613B6">
            <w:pPr>
              <w:pStyle w:val="TableParagraph"/>
              <w:spacing w:line="240" w:lineRule="auto"/>
              <w:ind w:left="291"/>
              <w:jc w:val="center"/>
              <w:rPr>
                <w:sz w:val="24"/>
              </w:rPr>
            </w:pPr>
            <w:r>
              <w:rPr>
                <w:spacing w:val="-4"/>
                <w:sz w:val="24"/>
              </w:rPr>
              <w:t>3.67</w:t>
            </w:r>
          </w:p>
        </w:tc>
        <w:tc>
          <w:tcPr>
            <w:tcW w:w="1342" w:type="dxa"/>
          </w:tcPr>
          <w:p w14:paraId="2B6CBB0B" w14:textId="77777777" w:rsidR="001F02D3" w:rsidRDefault="001F02D3" w:rsidP="00A613B6">
            <w:pPr>
              <w:pStyle w:val="TableParagraph"/>
              <w:spacing w:line="240" w:lineRule="auto"/>
              <w:ind w:right="307"/>
              <w:jc w:val="right"/>
              <w:rPr>
                <w:sz w:val="24"/>
              </w:rPr>
            </w:pPr>
            <w:r>
              <w:rPr>
                <w:spacing w:val="-4"/>
                <w:sz w:val="24"/>
              </w:rPr>
              <w:t>.844</w:t>
            </w:r>
          </w:p>
        </w:tc>
      </w:tr>
      <w:tr w:rsidR="001F02D3" w14:paraId="144398CA" w14:textId="77777777" w:rsidTr="00A613B6">
        <w:trPr>
          <w:trHeight w:val="827"/>
        </w:trPr>
        <w:tc>
          <w:tcPr>
            <w:tcW w:w="2434" w:type="dxa"/>
          </w:tcPr>
          <w:p w14:paraId="7751B516" w14:textId="77777777" w:rsidR="001F02D3" w:rsidRDefault="001F02D3" w:rsidP="00A613B6">
            <w:pPr>
              <w:pStyle w:val="TableParagraph"/>
              <w:spacing w:line="276" w:lineRule="exact"/>
              <w:ind w:left="107" w:right="97" w:firstLine="283"/>
              <w:jc w:val="both"/>
              <w:rPr>
                <w:sz w:val="24"/>
              </w:rPr>
            </w:pPr>
            <w:r>
              <w:rPr>
                <w:sz w:val="24"/>
              </w:rPr>
              <w:t>Balanced Activities for Pair, Individual, and Group Work</w:t>
            </w:r>
          </w:p>
        </w:tc>
        <w:tc>
          <w:tcPr>
            <w:tcW w:w="854" w:type="dxa"/>
          </w:tcPr>
          <w:p w14:paraId="149D0C4C" w14:textId="77777777" w:rsidR="001F02D3" w:rsidRDefault="001F02D3" w:rsidP="00A613B6">
            <w:pPr>
              <w:pStyle w:val="TableParagraph"/>
              <w:ind w:right="153"/>
              <w:jc w:val="right"/>
              <w:rPr>
                <w:sz w:val="24"/>
              </w:rPr>
            </w:pPr>
            <w:r>
              <w:rPr>
                <w:spacing w:val="-5"/>
                <w:sz w:val="24"/>
              </w:rPr>
              <w:t>30</w:t>
            </w:r>
          </w:p>
        </w:tc>
        <w:tc>
          <w:tcPr>
            <w:tcW w:w="1462" w:type="dxa"/>
          </w:tcPr>
          <w:p w14:paraId="67ED8A76" w14:textId="77777777" w:rsidR="001F02D3" w:rsidRDefault="001F02D3" w:rsidP="00A613B6">
            <w:pPr>
              <w:pStyle w:val="TableParagraph"/>
              <w:ind w:left="292" w:right="1"/>
              <w:jc w:val="center"/>
              <w:rPr>
                <w:sz w:val="24"/>
              </w:rPr>
            </w:pPr>
            <w:r>
              <w:rPr>
                <w:spacing w:val="-10"/>
                <w:sz w:val="24"/>
              </w:rPr>
              <w:t>2</w:t>
            </w:r>
          </w:p>
        </w:tc>
        <w:tc>
          <w:tcPr>
            <w:tcW w:w="1500" w:type="dxa"/>
          </w:tcPr>
          <w:p w14:paraId="1EE5BC51" w14:textId="77777777" w:rsidR="001F02D3" w:rsidRDefault="001F02D3" w:rsidP="00A613B6">
            <w:pPr>
              <w:pStyle w:val="TableParagraph"/>
              <w:ind w:left="293" w:right="2"/>
              <w:jc w:val="center"/>
              <w:rPr>
                <w:sz w:val="24"/>
              </w:rPr>
            </w:pPr>
            <w:r>
              <w:rPr>
                <w:spacing w:val="-10"/>
                <w:sz w:val="24"/>
              </w:rPr>
              <w:t>5</w:t>
            </w:r>
          </w:p>
        </w:tc>
        <w:tc>
          <w:tcPr>
            <w:tcW w:w="1047" w:type="dxa"/>
          </w:tcPr>
          <w:p w14:paraId="6E763508" w14:textId="77777777" w:rsidR="001F02D3" w:rsidRDefault="001F02D3" w:rsidP="00A613B6">
            <w:pPr>
              <w:pStyle w:val="TableParagraph"/>
              <w:ind w:left="291"/>
              <w:jc w:val="center"/>
              <w:rPr>
                <w:sz w:val="24"/>
              </w:rPr>
            </w:pPr>
            <w:r>
              <w:rPr>
                <w:spacing w:val="-4"/>
                <w:sz w:val="24"/>
              </w:rPr>
              <w:t>3.40</w:t>
            </w:r>
          </w:p>
        </w:tc>
        <w:tc>
          <w:tcPr>
            <w:tcW w:w="1342" w:type="dxa"/>
          </w:tcPr>
          <w:p w14:paraId="47DD6A4B" w14:textId="77777777" w:rsidR="001F02D3" w:rsidRDefault="001F02D3" w:rsidP="00A613B6">
            <w:pPr>
              <w:pStyle w:val="TableParagraph"/>
              <w:ind w:right="307"/>
              <w:jc w:val="right"/>
              <w:rPr>
                <w:sz w:val="24"/>
              </w:rPr>
            </w:pPr>
            <w:r>
              <w:rPr>
                <w:spacing w:val="-4"/>
                <w:sz w:val="24"/>
              </w:rPr>
              <w:t>.894</w:t>
            </w:r>
          </w:p>
        </w:tc>
      </w:tr>
      <w:tr w:rsidR="001F02D3" w14:paraId="38758B56" w14:textId="77777777" w:rsidTr="00A613B6">
        <w:trPr>
          <w:trHeight w:val="275"/>
        </w:trPr>
        <w:tc>
          <w:tcPr>
            <w:tcW w:w="2434" w:type="dxa"/>
          </w:tcPr>
          <w:p w14:paraId="0049332F" w14:textId="77777777" w:rsidR="001F02D3" w:rsidRDefault="001F02D3" w:rsidP="00A613B6">
            <w:pPr>
              <w:pStyle w:val="TableParagraph"/>
              <w:spacing w:line="255" w:lineRule="exact"/>
              <w:ind w:left="391"/>
              <w:rPr>
                <w:sz w:val="24"/>
              </w:rPr>
            </w:pPr>
            <w:r>
              <w:rPr>
                <w:sz w:val="24"/>
              </w:rPr>
              <w:t>Valid</w:t>
            </w:r>
            <w:r>
              <w:rPr>
                <w:spacing w:val="-1"/>
                <w:sz w:val="24"/>
              </w:rPr>
              <w:t xml:space="preserve"> </w:t>
            </w:r>
            <w:r>
              <w:rPr>
                <w:sz w:val="24"/>
              </w:rPr>
              <w:t>N</w:t>
            </w:r>
            <w:r>
              <w:rPr>
                <w:spacing w:val="-2"/>
                <w:sz w:val="24"/>
              </w:rPr>
              <w:t xml:space="preserve"> (listwise)</w:t>
            </w:r>
          </w:p>
        </w:tc>
        <w:tc>
          <w:tcPr>
            <w:tcW w:w="854" w:type="dxa"/>
          </w:tcPr>
          <w:p w14:paraId="133D5596" w14:textId="77777777" w:rsidR="001F02D3" w:rsidRDefault="001F02D3" w:rsidP="00A613B6">
            <w:pPr>
              <w:pStyle w:val="TableParagraph"/>
              <w:spacing w:line="255" w:lineRule="exact"/>
              <w:ind w:right="153"/>
              <w:jc w:val="right"/>
              <w:rPr>
                <w:sz w:val="24"/>
              </w:rPr>
            </w:pPr>
            <w:r>
              <w:rPr>
                <w:spacing w:val="-5"/>
                <w:sz w:val="24"/>
              </w:rPr>
              <w:t>30</w:t>
            </w:r>
          </w:p>
        </w:tc>
        <w:tc>
          <w:tcPr>
            <w:tcW w:w="1462" w:type="dxa"/>
          </w:tcPr>
          <w:p w14:paraId="33092839" w14:textId="77777777" w:rsidR="001F02D3" w:rsidRDefault="001F02D3" w:rsidP="00A613B6">
            <w:pPr>
              <w:pStyle w:val="TableParagraph"/>
              <w:spacing w:line="240" w:lineRule="auto"/>
              <w:rPr>
                <w:sz w:val="20"/>
              </w:rPr>
            </w:pPr>
          </w:p>
        </w:tc>
        <w:tc>
          <w:tcPr>
            <w:tcW w:w="1500" w:type="dxa"/>
          </w:tcPr>
          <w:p w14:paraId="0158D48E" w14:textId="77777777" w:rsidR="001F02D3" w:rsidRDefault="001F02D3" w:rsidP="00A613B6">
            <w:pPr>
              <w:pStyle w:val="TableParagraph"/>
              <w:spacing w:line="240" w:lineRule="auto"/>
              <w:rPr>
                <w:sz w:val="20"/>
              </w:rPr>
            </w:pPr>
          </w:p>
        </w:tc>
        <w:tc>
          <w:tcPr>
            <w:tcW w:w="1047" w:type="dxa"/>
          </w:tcPr>
          <w:p w14:paraId="47DEF9F7" w14:textId="77777777" w:rsidR="001F02D3" w:rsidRDefault="001F02D3" w:rsidP="00A613B6">
            <w:pPr>
              <w:pStyle w:val="TableParagraph"/>
              <w:spacing w:line="240" w:lineRule="auto"/>
              <w:rPr>
                <w:sz w:val="20"/>
              </w:rPr>
            </w:pPr>
          </w:p>
        </w:tc>
        <w:tc>
          <w:tcPr>
            <w:tcW w:w="1342" w:type="dxa"/>
          </w:tcPr>
          <w:p w14:paraId="50286347" w14:textId="77777777" w:rsidR="001F02D3" w:rsidRDefault="001F02D3" w:rsidP="00A613B6">
            <w:pPr>
              <w:pStyle w:val="TableParagraph"/>
              <w:spacing w:line="240" w:lineRule="auto"/>
              <w:rPr>
                <w:sz w:val="20"/>
              </w:rPr>
            </w:pPr>
          </w:p>
        </w:tc>
      </w:tr>
    </w:tbl>
    <w:p w14:paraId="15FBF5EA" w14:textId="77777777" w:rsidR="001F02D3" w:rsidRDefault="001F02D3" w:rsidP="001F02D3">
      <w:pPr>
        <w:spacing w:line="240" w:lineRule="auto"/>
        <w:rPr>
          <w:rFonts w:cs="Times New Roman"/>
          <w:bCs/>
          <w:szCs w:val="24"/>
        </w:rPr>
      </w:pPr>
    </w:p>
    <w:p w14:paraId="3983FE87" w14:textId="41CE3AC9" w:rsidR="001F02D3" w:rsidRDefault="001F02D3" w:rsidP="001F02D3">
      <w:pPr>
        <w:spacing w:line="240" w:lineRule="auto"/>
        <w:rPr>
          <w:rFonts w:cs="Times New Roman"/>
          <w:bCs/>
          <w:szCs w:val="24"/>
        </w:rPr>
      </w:pPr>
      <w:r w:rsidRPr="001F02D3">
        <w:rPr>
          <w:rFonts w:cs="Times New Roman"/>
          <w:bCs/>
          <w:szCs w:val="24"/>
        </w:rPr>
        <w:t>Table 4 displays descriptive statistics for five variables assessing the effectiveness of speaking tasks and activities in English Plus 1. The highest-rated item was Sufficient Speaking Activities (M = 3.77, SD = 0.774), indicating general teacher agreement that the textbook provides ample opportunities for oral practice. Speaking Task Alignment with CEFR and Activities that Initiate Communication both received identical mean scores (M= 3.67), suggesting moderate confidence in the textbook’s alignment with curriculum standards and its ability to foster communicative interaction. Meanwhile, Speaking Task Improves Communication (M = 3.43, SD = 0.817) and Balanced Activities for Pair, Individual, and Group Work (M = 3.40, SD = 0.894) were rated slightly lower, pointing to areas where instructional design could be more inclusive and varied. Overall, the data</w:t>
      </w:r>
      <w:r>
        <w:rPr>
          <w:rFonts w:cs="Times New Roman"/>
          <w:bCs/>
          <w:szCs w:val="24"/>
        </w:rPr>
        <w:t xml:space="preserve"> </w:t>
      </w:r>
      <w:r w:rsidRPr="001F02D3">
        <w:rPr>
          <w:rFonts w:cs="Times New Roman"/>
          <w:bCs/>
          <w:szCs w:val="24"/>
        </w:rPr>
        <w:t>reflect a positive but cautious endorsement of the textbook’s speaking components, with room for enhancement in task variety and communicative depth.</w:t>
      </w:r>
    </w:p>
    <w:p w14:paraId="2C6D39FE" w14:textId="77777777" w:rsidR="001F02D3" w:rsidRDefault="001F02D3" w:rsidP="001F02D3">
      <w:pPr>
        <w:spacing w:line="240" w:lineRule="auto"/>
        <w:rPr>
          <w:rFonts w:cs="Times New Roman"/>
          <w:bCs/>
          <w:szCs w:val="24"/>
        </w:rPr>
      </w:pPr>
    </w:p>
    <w:p w14:paraId="12BC1FE8" w14:textId="5620BEA7" w:rsidR="001F02D3" w:rsidRDefault="001F02D3" w:rsidP="001F02D3">
      <w:pPr>
        <w:spacing w:line="240" w:lineRule="auto"/>
        <w:rPr>
          <w:rFonts w:cs="Times New Roman"/>
          <w:bCs/>
          <w:szCs w:val="24"/>
        </w:rPr>
      </w:pPr>
      <w:r>
        <w:rPr>
          <w:noProof/>
          <w:sz w:val="20"/>
        </w:rPr>
        <w:drawing>
          <wp:anchor distT="0" distB="0" distL="0" distR="0" simplePos="0" relativeHeight="251668480" behindDoc="1" locked="0" layoutInCell="1" allowOverlap="1" wp14:anchorId="413EEF6C" wp14:editId="2673EB83">
            <wp:simplePos x="0" y="0"/>
            <wp:positionH relativeFrom="page">
              <wp:posOffset>914400</wp:posOffset>
            </wp:positionH>
            <wp:positionV relativeFrom="paragraph">
              <wp:posOffset>177165</wp:posOffset>
            </wp:positionV>
            <wp:extent cx="5813377" cy="3135915"/>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5813377" cy="3135915"/>
                    </a:xfrm>
                    <a:prstGeom prst="rect">
                      <a:avLst/>
                    </a:prstGeom>
                  </pic:spPr>
                </pic:pic>
              </a:graphicData>
            </a:graphic>
          </wp:anchor>
        </w:drawing>
      </w:r>
    </w:p>
    <w:p w14:paraId="74E3AFC6" w14:textId="77777777" w:rsidR="001F02D3" w:rsidRDefault="001F02D3" w:rsidP="00214444">
      <w:pPr>
        <w:spacing w:line="240" w:lineRule="auto"/>
        <w:rPr>
          <w:rFonts w:cs="Times New Roman"/>
          <w:bCs/>
          <w:szCs w:val="24"/>
        </w:rPr>
      </w:pPr>
    </w:p>
    <w:p w14:paraId="7CCCAF8D" w14:textId="77777777" w:rsidR="001F02D3" w:rsidRDefault="001F02D3" w:rsidP="001F02D3">
      <w:pPr>
        <w:spacing w:before="154"/>
        <w:ind w:left="851"/>
        <w:jc w:val="center"/>
        <w:rPr>
          <w:i/>
        </w:rPr>
      </w:pPr>
      <w:r>
        <w:rPr>
          <w:i/>
        </w:rPr>
        <w:t>Figure</w:t>
      </w:r>
      <w:r>
        <w:rPr>
          <w:i/>
          <w:spacing w:val="-1"/>
        </w:rPr>
        <w:t xml:space="preserve"> </w:t>
      </w:r>
      <w:r>
        <w:rPr>
          <w:i/>
        </w:rPr>
        <w:t>2 Mean Ratings</w:t>
      </w:r>
      <w:r>
        <w:rPr>
          <w:i/>
          <w:spacing w:val="-2"/>
        </w:rPr>
        <w:t xml:space="preserve"> </w:t>
      </w:r>
      <w:r>
        <w:rPr>
          <w:i/>
        </w:rPr>
        <w:t>of Speaking Task</w:t>
      </w:r>
      <w:r>
        <w:rPr>
          <w:i/>
          <w:spacing w:val="-1"/>
        </w:rPr>
        <w:t xml:space="preserve"> </w:t>
      </w:r>
      <w:r>
        <w:rPr>
          <w:i/>
          <w:spacing w:val="-4"/>
        </w:rPr>
        <w:t>Items</w:t>
      </w:r>
    </w:p>
    <w:p w14:paraId="474B912C" w14:textId="11883523" w:rsidR="001F02D3" w:rsidRPr="001F02D3" w:rsidRDefault="001F02D3" w:rsidP="001F02D3">
      <w:pPr>
        <w:spacing w:line="240" w:lineRule="auto"/>
        <w:rPr>
          <w:rFonts w:cs="Times New Roman"/>
          <w:bCs/>
          <w:szCs w:val="24"/>
        </w:rPr>
      </w:pPr>
      <w:r w:rsidRPr="001F02D3">
        <w:rPr>
          <w:rFonts w:cs="Times New Roman"/>
          <w:bCs/>
          <w:szCs w:val="24"/>
        </w:rPr>
        <w:t xml:space="preserve">Figure 2 shows minimum scores linger just below 2. This indicates that certain teachers disclose that certain speaking components are quite low. This shows that there are teachers who perceive the speaking tasks in the textbook are not communicated well enough, the CEFR alignment is not done well enough or not balanced in format. All variables achieved a maximum of 5 which means that at least one teacher gave each survey item a perfect score. The textbook has potential as some teachers find the speaking components effective but this is </w:t>
      </w:r>
      <w:r w:rsidRPr="001F02D3">
        <w:rPr>
          <w:rFonts w:cs="Times New Roman"/>
          <w:bCs/>
          <w:szCs w:val="24"/>
        </w:rPr>
        <w:lastRenderedPageBreak/>
        <w:t>not the general idea by everyone. Mean values between</w:t>
      </w:r>
      <w:r>
        <w:rPr>
          <w:rFonts w:cs="Times New Roman"/>
          <w:bCs/>
          <w:szCs w:val="24"/>
        </w:rPr>
        <w:t xml:space="preserve"> </w:t>
      </w:r>
      <w:r w:rsidRPr="001F02D3">
        <w:rPr>
          <w:rFonts w:cs="Times New Roman"/>
          <w:bCs/>
          <w:szCs w:val="24"/>
        </w:rPr>
        <w:t>3.4 to 3.7. This suggests moderate satisfaction. The highest mean ranking is 3.77 for Sufficient Speaking Activities while the lowest mean ranking is 3.40 for Balanced Activities for Pair, Individual, and Group Work. This reveals that teachers generally feel that the textbook encourages communication. However, there seems to be a doubt about the variety and balance of speaking formats. The values of standard deviation (SD) are less</w:t>
      </w:r>
      <w:r>
        <w:rPr>
          <w:rFonts w:cs="Times New Roman"/>
          <w:bCs/>
          <w:szCs w:val="24"/>
        </w:rPr>
        <w:t xml:space="preserve"> </w:t>
      </w:r>
      <w:r w:rsidRPr="001F02D3">
        <w:rPr>
          <w:rFonts w:cs="Times New Roman"/>
          <w:bCs/>
          <w:szCs w:val="24"/>
        </w:rPr>
        <w:t>than 1. This signifies moderate consensus amongst the teachers. A lower SD defines teachers’ agreement regarding a survey item whereas a higher SD defines opposing views. Based on the SD in this chart, most teachers agree on the quantity, they differ on quality and impromptu of speaking tasks.</w:t>
      </w:r>
    </w:p>
    <w:p w14:paraId="390D2232" w14:textId="77777777" w:rsidR="001F02D3" w:rsidRPr="001F02D3" w:rsidRDefault="001F02D3" w:rsidP="001F02D3">
      <w:pPr>
        <w:spacing w:line="240" w:lineRule="auto"/>
        <w:rPr>
          <w:rFonts w:cs="Times New Roman"/>
          <w:bCs/>
          <w:szCs w:val="24"/>
        </w:rPr>
      </w:pPr>
    </w:p>
    <w:p w14:paraId="2E2FC95A" w14:textId="237C85C9" w:rsidR="007159A5" w:rsidRPr="008B1B25" w:rsidRDefault="00150C29" w:rsidP="00214444">
      <w:pPr>
        <w:spacing w:line="240" w:lineRule="auto"/>
        <w:rPr>
          <w:rFonts w:cs="Times New Roman"/>
          <w:bCs/>
          <w:szCs w:val="24"/>
        </w:rPr>
      </w:pPr>
      <w:r w:rsidRPr="008B1B25">
        <w:rPr>
          <w:rFonts w:cs="Times New Roman"/>
          <w:bCs/>
          <w:szCs w:val="24"/>
        </w:rPr>
        <w:t>Survey results showed that the textbook aligns with CEFR descriptors but has notable gaps. Teachers reported limited opportunities for impromptu speaking and a lack of accent diversity in listening materials. Reliability tests confirmed acceptable consistency across survey items, while correlations highlighted links between well</w:t>
      </w:r>
      <w:r w:rsidRPr="008B1B25">
        <w:rPr>
          <w:rFonts w:cs="Times New Roman"/>
          <w:bCs/>
          <w:szCs w:val="24"/>
        </w:rPr>
        <w:noBreakHyphen/>
        <w:t>defined listening tasks and sufficient audio materials, and between speaking improvement and CEFR alignment.</w:t>
      </w:r>
    </w:p>
    <w:p w14:paraId="66E761A0" w14:textId="77777777" w:rsidR="00150C29" w:rsidRPr="008B1B25" w:rsidRDefault="00150C29" w:rsidP="00214444">
      <w:pPr>
        <w:spacing w:line="240" w:lineRule="auto"/>
        <w:rPr>
          <w:rFonts w:cs="Times New Roman"/>
          <w:bCs/>
          <w:szCs w:val="24"/>
        </w:rPr>
      </w:pPr>
    </w:p>
    <w:p w14:paraId="6CC7DE6B" w14:textId="00B4403C" w:rsidR="00150C29" w:rsidRPr="008B1B25" w:rsidRDefault="00150C29" w:rsidP="00214444">
      <w:pPr>
        <w:spacing w:line="240" w:lineRule="auto"/>
        <w:rPr>
          <w:rFonts w:cs="Times New Roman"/>
          <w:bCs/>
          <w:szCs w:val="24"/>
        </w:rPr>
      </w:pPr>
      <w:r w:rsidRPr="008B1B25">
        <w:rPr>
          <w:rFonts w:cs="Times New Roman"/>
          <w:b/>
          <w:szCs w:val="24"/>
        </w:rPr>
        <w:t>4.</w:t>
      </w:r>
      <w:r w:rsidR="00F9413E">
        <w:rPr>
          <w:rFonts w:cs="Times New Roman"/>
          <w:b/>
          <w:szCs w:val="24"/>
        </w:rPr>
        <w:t>2</w:t>
      </w:r>
      <w:r w:rsidRPr="008B1B25">
        <w:rPr>
          <w:rFonts w:cs="Times New Roman"/>
          <w:b/>
          <w:szCs w:val="24"/>
        </w:rPr>
        <w:t xml:space="preserve"> Qualitative </w:t>
      </w:r>
      <w:r w:rsidR="00012043" w:rsidRPr="008B1B25">
        <w:rPr>
          <w:rFonts w:cs="Times New Roman"/>
          <w:b/>
          <w:szCs w:val="24"/>
        </w:rPr>
        <w:t>Findings</w:t>
      </w:r>
    </w:p>
    <w:p w14:paraId="638A900D" w14:textId="77777777" w:rsidR="001F02D3" w:rsidRDefault="001F02D3" w:rsidP="00214444">
      <w:pPr>
        <w:spacing w:line="240" w:lineRule="auto"/>
        <w:rPr>
          <w:rFonts w:cs="Times New Roman"/>
          <w:bCs/>
          <w:szCs w:val="24"/>
        </w:rPr>
      </w:pPr>
    </w:p>
    <w:p w14:paraId="5AA41F86" w14:textId="459BC915" w:rsidR="001F02D3" w:rsidRPr="001F02D3" w:rsidRDefault="001F02D3" w:rsidP="001F02D3">
      <w:pPr>
        <w:spacing w:line="240" w:lineRule="auto"/>
        <w:rPr>
          <w:rFonts w:cs="Times New Roman"/>
          <w:bCs/>
          <w:szCs w:val="24"/>
        </w:rPr>
      </w:pPr>
      <w:r w:rsidRPr="001F02D3">
        <w:rPr>
          <w:rFonts w:cs="Times New Roman"/>
          <w:bCs/>
          <w:szCs w:val="24"/>
        </w:rPr>
        <w:t xml:space="preserve">This section presents the thematic analysis of the open-ended responses in the survey which was answered by 30 English language teachers. Automated coding methods were employed to identify repeated themes related to textbook scaffolding, listening and speaking skill development and classroom realities. The findings are divided into four areas which are thematic overview, </w:t>
      </w:r>
      <w:proofErr w:type="spellStart"/>
      <w:r w:rsidRPr="001F02D3">
        <w:rPr>
          <w:rFonts w:cs="Times New Roman"/>
          <w:bCs/>
          <w:szCs w:val="24"/>
        </w:rPr>
        <w:t>treemap</w:t>
      </w:r>
      <w:proofErr w:type="spellEnd"/>
      <w:r w:rsidRPr="001F02D3">
        <w:rPr>
          <w:rFonts w:cs="Times New Roman"/>
          <w:bCs/>
          <w:szCs w:val="24"/>
        </w:rPr>
        <w:t xml:space="preserve"> visualisation, adaptations by teachers as well as distribution frequency of auto coded themes.</w:t>
      </w:r>
      <w:r w:rsidRPr="001F02D3">
        <w:t xml:space="preserve"> </w:t>
      </w:r>
      <w:r w:rsidRPr="001F02D3">
        <w:rPr>
          <w:rFonts w:cs="Times New Roman"/>
          <w:bCs/>
          <w:szCs w:val="24"/>
        </w:rPr>
        <w:t>Open-ended responses were analysed using NVivo 15, revealing three dominant themes:</w:t>
      </w:r>
    </w:p>
    <w:p w14:paraId="655A35CA" w14:textId="77777777" w:rsidR="001F02D3" w:rsidRPr="001F02D3" w:rsidRDefault="001F02D3" w:rsidP="001F02D3">
      <w:pPr>
        <w:spacing w:line="240" w:lineRule="auto"/>
        <w:rPr>
          <w:rFonts w:cs="Times New Roman"/>
          <w:bCs/>
          <w:szCs w:val="24"/>
        </w:rPr>
      </w:pPr>
    </w:p>
    <w:p w14:paraId="191D3312" w14:textId="7286B55D" w:rsidR="001F02D3" w:rsidRPr="00DF2CC6" w:rsidRDefault="001F02D3" w:rsidP="00DF2CC6">
      <w:pPr>
        <w:pStyle w:val="ListParagraph"/>
        <w:numPr>
          <w:ilvl w:val="0"/>
          <w:numId w:val="29"/>
        </w:numPr>
        <w:spacing w:line="240" w:lineRule="auto"/>
        <w:rPr>
          <w:rFonts w:cs="Times New Roman"/>
          <w:bCs/>
          <w:szCs w:val="24"/>
        </w:rPr>
      </w:pPr>
      <w:r w:rsidRPr="00DF2CC6">
        <w:rPr>
          <w:rFonts w:cs="Times New Roman"/>
          <w:bCs/>
          <w:szCs w:val="24"/>
        </w:rPr>
        <w:t>Theme 1: Clarity and Authenticity of Audio Materials Commonly the teachers commended the clarity of audio tracks but mentioned that some were too fast, lacked contextual relevance or could not relate to the slang or accent used. “The listening tracks are clear, but some students find them too fast.” This implies that the audio tracks do not suit a diverse learner environment even though the textbook supplies the necessary audio tracks.</w:t>
      </w:r>
    </w:p>
    <w:p w14:paraId="6BD2827C" w14:textId="77777777" w:rsidR="001F02D3" w:rsidRPr="001F02D3" w:rsidRDefault="001F02D3" w:rsidP="001F02D3">
      <w:pPr>
        <w:spacing w:line="240" w:lineRule="auto"/>
        <w:rPr>
          <w:rFonts w:cs="Times New Roman"/>
          <w:bCs/>
          <w:szCs w:val="24"/>
        </w:rPr>
      </w:pPr>
    </w:p>
    <w:p w14:paraId="103CF6C2" w14:textId="34E8B509" w:rsidR="001F02D3" w:rsidRPr="00DF2CC6" w:rsidRDefault="001F02D3" w:rsidP="00DF2CC6">
      <w:pPr>
        <w:pStyle w:val="ListParagraph"/>
        <w:numPr>
          <w:ilvl w:val="0"/>
          <w:numId w:val="29"/>
        </w:numPr>
        <w:spacing w:line="240" w:lineRule="auto"/>
        <w:rPr>
          <w:rFonts w:cs="Times New Roman"/>
          <w:bCs/>
          <w:szCs w:val="24"/>
        </w:rPr>
      </w:pPr>
      <w:r w:rsidRPr="00DF2CC6">
        <w:rPr>
          <w:rFonts w:cs="Times New Roman"/>
          <w:bCs/>
          <w:szCs w:val="24"/>
        </w:rPr>
        <w:t>Theme 2: Speaking Tasks and Real-Life Relevance While speaking tasks were seen as beneficial, many teachers felt they lacked authenticity and spontaneity. “Role-plays are beneficial, but they do not reflect real-life situations.” This indicates the gap between a textbook design and the reality of communicating.</w:t>
      </w:r>
    </w:p>
    <w:p w14:paraId="22D81618" w14:textId="77777777" w:rsidR="001F02D3" w:rsidRPr="001F02D3" w:rsidRDefault="001F02D3" w:rsidP="001F02D3">
      <w:pPr>
        <w:spacing w:line="240" w:lineRule="auto"/>
        <w:rPr>
          <w:rFonts w:cs="Times New Roman"/>
          <w:bCs/>
          <w:szCs w:val="24"/>
        </w:rPr>
      </w:pPr>
    </w:p>
    <w:p w14:paraId="0DD33351" w14:textId="30DC5674" w:rsidR="001F02D3" w:rsidRPr="00DF2CC6" w:rsidRDefault="001F02D3" w:rsidP="00DF2CC6">
      <w:pPr>
        <w:pStyle w:val="ListParagraph"/>
        <w:numPr>
          <w:ilvl w:val="0"/>
          <w:numId w:val="29"/>
        </w:numPr>
        <w:spacing w:line="240" w:lineRule="auto"/>
        <w:rPr>
          <w:rFonts w:cs="Times New Roman"/>
          <w:bCs/>
          <w:szCs w:val="24"/>
        </w:rPr>
      </w:pPr>
      <w:r w:rsidRPr="00DF2CC6">
        <w:rPr>
          <w:rFonts w:cs="Times New Roman"/>
          <w:bCs/>
          <w:szCs w:val="24"/>
        </w:rPr>
        <w:t>Theme 3: Teacher Adaptation and Scaffolding Teachers regularly adapted textbook tasks to suit their students’ proficiency levels, indicating a need for more flexible materials. “I often modify speaking tasks to suit my students’ proficiency levels.” This theme emphasised the fact that teachers are playing an active role to customise materials that are aligned with CEFR in order to meet the demands of the diverse classrooms.</w:t>
      </w:r>
    </w:p>
    <w:p w14:paraId="7A645ECC" w14:textId="77777777" w:rsidR="001F02D3" w:rsidRDefault="001F02D3" w:rsidP="001F02D3">
      <w:pPr>
        <w:spacing w:line="240" w:lineRule="auto"/>
        <w:rPr>
          <w:rFonts w:cs="Times New Roman"/>
          <w:bCs/>
          <w:szCs w:val="24"/>
        </w:rPr>
      </w:pPr>
    </w:p>
    <w:p w14:paraId="78B8C418" w14:textId="2A943A85" w:rsidR="00793C53" w:rsidRDefault="00793C53" w:rsidP="001F02D3">
      <w:pPr>
        <w:spacing w:line="240" w:lineRule="auto"/>
        <w:rPr>
          <w:rFonts w:cs="Times New Roman"/>
          <w:bCs/>
          <w:szCs w:val="24"/>
        </w:rPr>
      </w:pPr>
      <w:r w:rsidRPr="00793C53">
        <w:rPr>
          <w:rFonts w:cs="Times New Roman"/>
          <w:bCs/>
          <w:szCs w:val="24"/>
        </w:rPr>
        <w:t xml:space="preserve">A </w:t>
      </w:r>
      <w:proofErr w:type="spellStart"/>
      <w:r w:rsidRPr="00793C53">
        <w:rPr>
          <w:rFonts w:cs="Times New Roman"/>
          <w:bCs/>
          <w:szCs w:val="24"/>
        </w:rPr>
        <w:t>treemap</w:t>
      </w:r>
      <w:proofErr w:type="spellEnd"/>
      <w:r w:rsidRPr="00793C53">
        <w:rPr>
          <w:rFonts w:cs="Times New Roman"/>
          <w:bCs/>
          <w:szCs w:val="24"/>
        </w:rPr>
        <w:t xml:space="preserve"> was generated using NVivo 15 to help with visualising the extend and importance or significance of codes found in qualitative analysis.</w:t>
      </w:r>
    </w:p>
    <w:p w14:paraId="749A5C53" w14:textId="77777777" w:rsidR="00793C53" w:rsidRDefault="00793C53" w:rsidP="001F02D3">
      <w:pPr>
        <w:spacing w:line="240" w:lineRule="auto"/>
        <w:rPr>
          <w:rFonts w:cs="Times New Roman"/>
          <w:bCs/>
          <w:szCs w:val="24"/>
        </w:rPr>
      </w:pPr>
    </w:p>
    <w:p w14:paraId="5F4A757F" w14:textId="4DD2A868" w:rsidR="00793C53" w:rsidRPr="001F02D3" w:rsidRDefault="00793C53" w:rsidP="001F02D3">
      <w:pPr>
        <w:spacing w:line="240" w:lineRule="auto"/>
        <w:rPr>
          <w:rFonts w:cs="Times New Roman"/>
          <w:bCs/>
          <w:szCs w:val="24"/>
        </w:rPr>
      </w:pPr>
      <w:r>
        <w:rPr>
          <w:noProof/>
          <w:sz w:val="20"/>
        </w:rPr>
        <w:lastRenderedPageBreak/>
        <w:drawing>
          <wp:inline distT="0" distB="0" distL="0" distR="0" wp14:anchorId="25938D6D" wp14:editId="54575D9D">
            <wp:extent cx="5731510" cy="4277338"/>
            <wp:effectExtent l="0" t="0" r="2540" b="9525"/>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5731510" cy="4277338"/>
                    </a:xfrm>
                    <a:prstGeom prst="rect">
                      <a:avLst/>
                    </a:prstGeom>
                  </pic:spPr>
                </pic:pic>
              </a:graphicData>
            </a:graphic>
          </wp:inline>
        </w:drawing>
      </w:r>
    </w:p>
    <w:p w14:paraId="0694EA19" w14:textId="7795B709" w:rsidR="001F02D3" w:rsidRDefault="001F02D3" w:rsidP="00214444">
      <w:pPr>
        <w:spacing w:line="240" w:lineRule="auto"/>
        <w:rPr>
          <w:rFonts w:cs="Times New Roman"/>
          <w:bCs/>
          <w:szCs w:val="24"/>
        </w:rPr>
      </w:pPr>
    </w:p>
    <w:p w14:paraId="1C793DD8" w14:textId="6156D2CD" w:rsidR="001F02D3" w:rsidRDefault="00793C53" w:rsidP="00793C53">
      <w:pPr>
        <w:spacing w:line="240" w:lineRule="auto"/>
        <w:jc w:val="center"/>
        <w:rPr>
          <w:rFonts w:cs="Times New Roman"/>
          <w:bCs/>
          <w:szCs w:val="24"/>
        </w:rPr>
      </w:pPr>
      <w:r w:rsidRPr="00793C53">
        <w:rPr>
          <w:rFonts w:cs="Times New Roman"/>
          <w:bCs/>
          <w:i/>
          <w:iCs/>
          <w:szCs w:val="24"/>
        </w:rPr>
        <w:t xml:space="preserve">Figure </w:t>
      </w:r>
      <w:r w:rsidR="00E65C4D">
        <w:rPr>
          <w:rFonts w:cs="Times New Roman"/>
          <w:bCs/>
          <w:i/>
          <w:iCs/>
          <w:szCs w:val="24"/>
        </w:rPr>
        <w:t>3</w:t>
      </w:r>
      <w:r w:rsidRPr="00793C53">
        <w:rPr>
          <w:rFonts w:cs="Times New Roman"/>
          <w:bCs/>
          <w:i/>
          <w:iCs/>
          <w:szCs w:val="24"/>
        </w:rPr>
        <w:t>:</w:t>
      </w:r>
      <w:r>
        <w:rPr>
          <w:rFonts w:cs="Times New Roman"/>
          <w:bCs/>
          <w:szCs w:val="24"/>
        </w:rPr>
        <w:t xml:space="preserve"> </w:t>
      </w:r>
      <w:proofErr w:type="spellStart"/>
      <w:r>
        <w:rPr>
          <w:i/>
        </w:rPr>
        <w:t>Treemap</w:t>
      </w:r>
      <w:proofErr w:type="spellEnd"/>
      <w:r>
        <w:rPr>
          <w:i/>
          <w:spacing w:val="-9"/>
        </w:rPr>
        <w:t xml:space="preserve"> </w:t>
      </w:r>
      <w:r>
        <w:rPr>
          <w:i/>
        </w:rPr>
        <w:t>visualisation</w:t>
      </w:r>
      <w:r>
        <w:rPr>
          <w:i/>
          <w:spacing w:val="-10"/>
        </w:rPr>
        <w:t xml:space="preserve"> </w:t>
      </w:r>
      <w:r>
        <w:rPr>
          <w:i/>
        </w:rPr>
        <w:t>of</w:t>
      </w:r>
      <w:r>
        <w:rPr>
          <w:i/>
          <w:spacing w:val="-10"/>
        </w:rPr>
        <w:t xml:space="preserve"> </w:t>
      </w:r>
      <w:r>
        <w:rPr>
          <w:i/>
        </w:rPr>
        <w:t>NVivo</w:t>
      </w:r>
      <w:r>
        <w:rPr>
          <w:i/>
          <w:spacing w:val="-11"/>
        </w:rPr>
        <w:t xml:space="preserve"> </w:t>
      </w:r>
      <w:r>
        <w:rPr>
          <w:i/>
        </w:rPr>
        <w:t>coded</w:t>
      </w:r>
      <w:r>
        <w:rPr>
          <w:i/>
          <w:spacing w:val="-11"/>
        </w:rPr>
        <w:t xml:space="preserve"> </w:t>
      </w:r>
      <w:r>
        <w:rPr>
          <w:i/>
        </w:rPr>
        <w:t>qualitative</w:t>
      </w:r>
      <w:r>
        <w:rPr>
          <w:i/>
          <w:spacing w:val="-12"/>
        </w:rPr>
        <w:t xml:space="preserve"> </w:t>
      </w:r>
      <w:r>
        <w:rPr>
          <w:i/>
        </w:rPr>
        <w:t>themes</w:t>
      </w:r>
      <w:r>
        <w:rPr>
          <w:i/>
          <w:spacing w:val="-10"/>
        </w:rPr>
        <w:t xml:space="preserve"> </w:t>
      </w:r>
      <w:r>
        <w:rPr>
          <w:i/>
        </w:rPr>
        <w:t>related</w:t>
      </w:r>
      <w:r>
        <w:rPr>
          <w:i/>
          <w:spacing w:val="-11"/>
        </w:rPr>
        <w:t xml:space="preserve"> </w:t>
      </w:r>
      <w:r>
        <w:rPr>
          <w:i/>
        </w:rPr>
        <w:t>to</w:t>
      </w:r>
      <w:r>
        <w:rPr>
          <w:i/>
          <w:spacing w:val="-10"/>
        </w:rPr>
        <w:t xml:space="preserve"> </w:t>
      </w:r>
      <w:r>
        <w:rPr>
          <w:i/>
        </w:rPr>
        <w:t>listening and speaking skill development</w:t>
      </w:r>
    </w:p>
    <w:p w14:paraId="0E2A31AC" w14:textId="77777777" w:rsidR="00793C53" w:rsidRDefault="00793C53" w:rsidP="00793C53">
      <w:pPr>
        <w:spacing w:line="240" w:lineRule="auto"/>
        <w:jc w:val="center"/>
        <w:rPr>
          <w:rFonts w:cs="Times New Roman"/>
          <w:bCs/>
          <w:szCs w:val="24"/>
        </w:rPr>
      </w:pPr>
    </w:p>
    <w:p w14:paraId="48C14E16" w14:textId="2B009EDC" w:rsidR="00793C53" w:rsidRDefault="00793C53" w:rsidP="00793C53">
      <w:pPr>
        <w:spacing w:line="240" w:lineRule="auto"/>
        <w:rPr>
          <w:rFonts w:cs="Times New Roman"/>
          <w:bCs/>
          <w:szCs w:val="24"/>
        </w:rPr>
      </w:pPr>
      <w:r w:rsidRPr="00793C53">
        <w:rPr>
          <w:rFonts w:cs="Times New Roman"/>
          <w:bCs/>
          <w:szCs w:val="24"/>
        </w:rPr>
        <w:t xml:space="preserve">The Figure </w:t>
      </w:r>
      <w:r w:rsidR="00E65C4D">
        <w:rPr>
          <w:rFonts w:cs="Times New Roman"/>
          <w:bCs/>
          <w:szCs w:val="24"/>
        </w:rPr>
        <w:t>3</w:t>
      </w:r>
      <w:r w:rsidRPr="00793C53">
        <w:rPr>
          <w:rFonts w:cs="Times New Roman"/>
          <w:bCs/>
          <w:szCs w:val="24"/>
        </w:rPr>
        <w:t xml:space="preserve"> shows the </w:t>
      </w:r>
      <w:proofErr w:type="spellStart"/>
      <w:r w:rsidRPr="00793C53">
        <w:rPr>
          <w:rFonts w:cs="Times New Roman"/>
          <w:bCs/>
          <w:szCs w:val="24"/>
        </w:rPr>
        <w:t>treemap</w:t>
      </w:r>
      <w:proofErr w:type="spellEnd"/>
      <w:r w:rsidRPr="00793C53">
        <w:rPr>
          <w:rFonts w:cs="Times New Roman"/>
          <w:bCs/>
          <w:szCs w:val="24"/>
        </w:rPr>
        <w:t xml:space="preserve"> systematically arranged the themes based on hierarchy. Box sizes indicate frequency of references found in the responses given by the teachers. Therefore, smaller boxes indicate less regularly referenced codes whereas larger boxes show more regularly referenced codes. Speaking, listening, activities, students and culture are the major categories that highlight the pedagogical aim of English Plus 1. The subtheme follow-up speaking tasks showed up with 5 direct and 5 aggregated references. This implies the repetition role in reinforcing oral proficiency. This theme aligns with CEFR descriptors that highlight prolonged or retained interaction and task</w:t>
      </w:r>
      <w:r>
        <w:rPr>
          <w:rFonts w:cs="Times New Roman"/>
          <w:bCs/>
          <w:szCs w:val="24"/>
        </w:rPr>
        <w:t>-</w:t>
      </w:r>
      <w:r w:rsidRPr="00793C53">
        <w:rPr>
          <w:rFonts w:cs="Times New Roman"/>
          <w:bCs/>
          <w:szCs w:val="24"/>
        </w:rPr>
        <w:t>based speaking</w:t>
      </w:r>
      <w:r>
        <w:rPr>
          <w:rFonts w:cs="Times New Roman"/>
          <w:bCs/>
          <w:szCs w:val="24"/>
        </w:rPr>
        <w:t xml:space="preserve"> </w:t>
      </w:r>
      <w:r w:rsidRPr="00793C53">
        <w:rPr>
          <w:rFonts w:cs="Times New Roman"/>
          <w:bCs/>
          <w:szCs w:val="24"/>
        </w:rPr>
        <w:t>practice. The interconnectivity of different concepts such as accent, context and materials provide comprehension on the exploitation of textbook in Malaysian ESL classrooms.</w:t>
      </w:r>
    </w:p>
    <w:p w14:paraId="7EC08600" w14:textId="77777777" w:rsidR="00DF2CC6" w:rsidRDefault="00DF2CC6" w:rsidP="00793C53">
      <w:pPr>
        <w:spacing w:line="240" w:lineRule="auto"/>
        <w:rPr>
          <w:rFonts w:cs="Times New Roman"/>
          <w:bCs/>
          <w:szCs w:val="24"/>
        </w:rPr>
      </w:pPr>
    </w:p>
    <w:p w14:paraId="7D9761A3" w14:textId="77777777" w:rsidR="00DF2CC6" w:rsidRDefault="00DF2CC6" w:rsidP="00793C53">
      <w:pPr>
        <w:spacing w:line="240" w:lineRule="auto"/>
        <w:rPr>
          <w:rFonts w:cs="Times New Roman"/>
          <w:bCs/>
          <w:szCs w:val="24"/>
        </w:rPr>
      </w:pPr>
    </w:p>
    <w:p w14:paraId="04739CB0" w14:textId="77777777" w:rsidR="00140EC9" w:rsidRDefault="00140EC9" w:rsidP="00793C53">
      <w:pPr>
        <w:spacing w:line="240" w:lineRule="auto"/>
        <w:rPr>
          <w:rFonts w:cs="Times New Roman"/>
          <w:bCs/>
          <w:szCs w:val="24"/>
        </w:rPr>
      </w:pPr>
    </w:p>
    <w:p w14:paraId="04B3B04F" w14:textId="77777777" w:rsidR="00E65C4D" w:rsidRDefault="00E65C4D" w:rsidP="00793C53">
      <w:pPr>
        <w:spacing w:line="240" w:lineRule="auto"/>
        <w:rPr>
          <w:rFonts w:cs="Times New Roman"/>
          <w:bCs/>
          <w:szCs w:val="24"/>
        </w:rPr>
      </w:pPr>
    </w:p>
    <w:p w14:paraId="410067B6" w14:textId="77777777" w:rsidR="00E65C4D" w:rsidRDefault="00E65C4D" w:rsidP="00793C53">
      <w:pPr>
        <w:spacing w:line="240" w:lineRule="auto"/>
        <w:rPr>
          <w:rFonts w:cs="Times New Roman"/>
          <w:bCs/>
          <w:szCs w:val="24"/>
        </w:rPr>
      </w:pPr>
    </w:p>
    <w:p w14:paraId="1A1CBD4D" w14:textId="77777777" w:rsidR="00E65C4D" w:rsidRDefault="00E65C4D" w:rsidP="00793C53">
      <w:pPr>
        <w:spacing w:line="240" w:lineRule="auto"/>
        <w:rPr>
          <w:rFonts w:cs="Times New Roman"/>
          <w:bCs/>
          <w:szCs w:val="24"/>
        </w:rPr>
      </w:pPr>
    </w:p>
    <w:p w14:paraId="49B43D30" w14:textId="77777777" w:rsidR="00E65C4D" w:rsidRDefault="00E65C4D" w:rsidP="00793C53">
      <w:pPr>
        <w:spacing w:line="240" w:lineRule="auto"/>
        <w:rPr>
          <w:rFonts w:cs="Times New Roman"/>
          <w:bCs/>
          <w:szCs w:val="24"/>
        </w:rPr>
      </w:pPr>
    </w:p>
    <w:p w14:paraId="5CB3E34B" w14:textId="77777777" w:rsidR="00E65C4D" w:rsidRDefault="00E65C4D" w:rsidP="00793C53">
      <w:pPr>
        <w:spacing w:line="240" w:lineRule="auto"/>
        <w:rPr>
          <w:rFonts w:cs="Times New Roman"/>
          <w:bCs/>
          <w:szCs w:val="24"/>
        </w:rPr>
      </w:pPr>
    </w:p>
    <w:p w14:paraId="7BEEE993" w14:textId="77777777" w:rsidR="00E65C4D" w:rsidRDefault="00E65C4D" w:rsidP="00793C53">
      <w:pPr>
        <w:spacing w:line="240" w:lineRule="auto"/>
        <w:rPr>
          <w:rFonts w:cs="Times New Roman"/>
          <w:bCs/>
          <w:szCs w:val="24"/>
        </w:rPr>
      </w:pPr>
    </w:p>
    <w:p w14:paraId="2F42A1EC" w14:textId="77777777" w:rsidR="00E65C4D" w:rsidRDefault="00E65C4D" w:rsidP="00793C53">
      <w:pPr>
        <w:spacing w:line="240" w:lineRule="auto"/>
        <w:rPr>
          <w:rFonts w:cs="Times New Roman"/>
          <w:bCs/>
          <w:szCs w:val="24"/>
        </w:rPr>
      </w:pPr>
    </w:p>
    <w:p w14:paraId="0D0173F8" w14:textId="77777777" w:rsidR="00E65C4D" w:rsidRDefault="00E65C4D" w:rsidP="00793C53">
      <w:pPr>
        <w:spacing w:line="240" w:lineRule="auto"/>
        <w:rPr>
          <w:rFonts w:cs="Times New Roman"/>
          <w:bCs/>
          <w:szCs w:val="24"/>
        </w:rPr>
      </w:pPr>
    </w:p>
    <w:p w14:paraId="0342C97A" w14:textId="423CFEED" w:rsidR="00140EC9" w:rsidRPr="00140EC9" w:rsidRDefault="00140EC9" w:rsidP="00793C53">
      <w:pPr>
        <w:spacing w:line="240" w:lineRule="auto"/>
        <w:rPr>
          <w:rFonts w:cs="Times New Roman"/>
          <w:b/>
          <w:szCs w:val="24"/>
        </w:rPr>
      </w:pPr>
      <w:r w:rsidRPr="00140EC9">
        <w:rPr>
          <w:rFonts w:cs="Times New Roman"/>
          <w:b/>
          <w:szCs w:val="24"/>
        </w:rPr>
        <w:lastRenderedPageBreak/>
        <w:t xml:space="preserve">4.2.1 </w:t>
      </w:r>
      <w:r w:rsidRPr="00140EC9">
        <w:rPr>
          <w:rFonts w:cs="Times New Roman"/>
          <w:b/>
          <w:szCs w:val="24"/>
        </w:rPr>
        <w:t>Frequency Distribution of Auto Coded Themes</w:t>
      </w:r>
    </w:p>
    <w:p w14:paraId="5F099EDC" w14:textId="77777777" w:rsidR="00793C53" w:rsidRDefault="00793C53" w:rsidP="00214444">
      <w:pPr>
        <w:spacing w:line="240" w:lineRule="auto"/>
        <w:rPr>
          <w:rFonts w:cs="Times New Roman"/>
          <w:bCs/>
          <w:szCs w:val="24"/>
        </w:rPr>
      </w:pPr>
    </w:p>
    <w:p w14:paraId="2787C7CA" w14:textId="417F36A9" w:rsidR="00140EC9" w:rsidRDefault="00140EC9" w:rsidP="00214444">
      <w:pPr>
        <w:spacing w:line="240" w:lineRule="auto"/>
        <w:rPr>
          <w:rFonts w:cs="Times New Roman"/>
          <w:bCs/>
          <w:szCs w:val="24"/>
        </w:rPr>
      </w:pPr>
      <w:r>
        <w:rPr>
          <w:b/>
          <w:noProof/>
          <w:sz w:val="20"/>
        </w:rPr>
        <w:drawing>
          <wp:anchor distT="0" distB="0" distL="0" distR="0" simplePos="0" relativeHeight="251670528" behindDoc="1" locked="0" layoutInCell="1" allowOverlap="1" wp14:anchorId="4860BC79" wp14:editId="021C47AE">
            <wp:simplePos x="0" y="0"/>
            <wp:positionH relativeFrom="page">
              <wp:posOffset>1758950</wp:posOffset>
            </wp:positionH>
            <wp:positionV relativeFrom="paragraph">
              <wp:posOffset>0</wp:posOffset>
            </wp:positionV>
            <wp:extent cx="3932800" cy="2872740"/>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3932800" cy="2872740"/>
                    </a:xfrm>
                    <a:prstGeom prst="rect">
                      <a:avLst/>
                    </a:prstGeom>
                  </pic:spPr>
                </pic:pic>
              </a:graphicData>
            </a:graphic>
          </wp:anchor>
        </w:drawing>
      </w:r>
    </w:p>
    <w:p w14:paraId="3CEC2B58" w14:textId="5DAA170B" w:rsidR="00140EC9" w:rsidRDefault="00140EC9" w:rsidP="00140EC9">
      <w:pPr>
        <w:spacing w:line="240" w:lineRule="auto"/>
        <w:jc w:val="center"/>
        <w:rPr>
          <w:i/>
        </w:rPr>
      </w:pPr>
      <w:r w:rsidRPr="00140EC9">
        <w:rPr>
          <w:rFonts w:cs="Times New Roman"/>
          <w:bCs/>
          <w:i/>
          <w:iCs/>
          <w:szCs w:val="24"/>
        </w:rPr>
        <w:t xml:space="preserve">Figure </w:t>
      </w:r>
      <w:r w:rsidR="00E65C4D">
        <w:rPr>
          <w:rFonts w:cs="Times New Roman"/>
          <w:bCs/>
          <w:i/>
          <w:iCs/>
          <w:szCs w:val="24"/>
        </w:rPr>
        <w:t>4</w:t>
      </w:r>
      <w:r>
        <w:rPr>
          <w:rFonts w:cs="Times New Roman"/>
          <w:bCs/>
          <w:szCs w:val="24"/>
        </w:rPr>
        <w:t xml:space="preserve">: </w:t>
      </w:r>
      <w:r>
        <w:rPr>
          <w:i/>
        </w:rPr>
        <w:t>Distribution of Coding References Across Auto Coded Themes in ESL Textbook Evaluation</w:t>
      </w:r>
    </w:p>
    <w:p w14:paraId="3923C6DD" w14:textId="77777777" w:rsidR="00140EC9" w:rsidRPr="00140EC9" w:rsidRDefault="00140EC9" w:rsidP="00140EC9">
      <w:pPr>
        <w:ind w:left="568" w:right="993" w:firstLine="283"/>
        <w:jc w:val="center"/>
        <w:rPr>
          <w:i/>
          <w:sz w:val="18"/>
          <w:szCs w:val="18"/>
        </w:rPr>
      </w:pPr>
      <w:r w:rsidRPr="00140EC9">
        <w:rPr>
          <w:i/>
          <w:sz w:val="18"/>
          <w:szCs w:val="18"/>
        </w:rPr>
        <w:t>Note. Themes include “listening”, “speaking”, “accent”, “culture”, and others based on NVivo auto code results.</w:t>
      </w:r>
    </w:p>
    <w:p w14:paraId="12F76D2B" w14:textId="77777777" w:rsidR="00140EC9" w:rsidRDefault="00140EC9" w:rsidP="00140EC9">
      <w:pPr>
        <w:spacing w:line="240" w:lineRule="auto"/>
        <w:jc w:val="center"/>
        <w:rPr>
          <w:rFonts w:cs="Times New Roman"/>
          <w:bCs/>
          <w:szCs w:val="24"/>
        </w:rPr>
      </w:pPr>
    </w:p>
    <w:p w14:paraId="59F5801A" w14:textId="5D92ACBF" w:rsidR="00140EC9" w:rsidRPr="00140EC9" w:rsidRDefault="00140EC9" w:rsidP="00140EC9">
      <w:pPr>
        <w:spacing w:line="240" w:lineRule="auto"/>
        <w:rPr>
          <w:rFonts w:cs="Times New Roman"/>
          <w:bCs/>
          <w:szCs w:val="24"/>
        </w:rPr>
      </w:pPr>
      <w:r w:rsidRPr="00140EC9">
        <w:rPr>
          <w:rFonts w:cs="Times New Roman"/>
          <w:bCs/>
          <w:szCs w:val="24"/>
        </w:rPr>
        <w:t xml:space="preserve">Figure </w:t>
      </w:r>
      <w:r w:rsidR="00E65C4D">
        <w:rPr>
          <w:rFonts w:cs="Times New Roman"/>
          <w:bCs/>
          <w:szCs w:val="24"/>
        </w:rPr>
        <w:t>4</w:t>
      </w:r>
      <w:r w:rsidRPr="00140EC9">
        <w:rPr>
          <w:rFonts w:cs="Times New Roman"/>
          <w:bCs/>
          <w:szCs w:val="24"/>
        </w:rPr>
        <w:t xml:space="preserve"> presents a 3D bar chart generated using NVivo’s </w:t>
      </w:r>
      <w:proofErr w:type="spellStart"/>
      <w:r w:rsidRPr="00140EC9">
        <w:rPr>
          <w:rFonts w:cs="Times New Roman"/>
          <w:bCs/>
          <w:szCs w:val="24"/>
        </w:rPr>
        <w:t>autocode</w:t>
      </w:r>
      <w:proofErr w:type="spellEnd"/>
      <w:r w:rsidRPr="00140EC9">
        <w:rPr>
          <w:rFonts w:cs="Times New Roman"/>
          <w:bCs/>
          <w:szCs w:val="24"/>
        </w:rPr>
        <w:t xml:space="preserve"> function, which visualizes the distribution of coding references across 28 emergent themes. The vertical axis represents the number of coding references, while the horizontal axis lists each theme identified from teacher responses. This visualization complements the </w:t>
      </w:r>
      <w:proofErr w:type="spellStart"/>
      <w:r w:rsidRPr="00140EC9">
        <w:rPr>
          <w:rFonts w:cs="Times New Roman"/>
          <w:bCs/>
          <w:szCs w:val="24"/>
        </w:rPr>
        <w:t>treemap</w:t>
      </w:r>
      <w:proofErr w:type="spellEnd"/>
      <w:r w:rsidRPr="00140EC9">
        <w:rPr>
          <w:rFonts w:cs="Times New Roman"/>
          <w:bCs/>
          <w:szCs w:val="24"/>
        </w:rPr>
        <w:t xml:space="preserve"> by offering a quantitative snapshot of thematic density.</w:t>
      </w:r>
      <w:r>
        <w:rPr>
          <w:rFonts w:cs="Times New Roman"/>
          <w:bCs/>
          <w:szCs w:val="24"/>
        </w:rPr>
        <w:t xml:space="preserve"> </w:t>
      </w:r>
      <w:r w:rsidRPr="00140EC9">
        <w:rPr>
          <w:rFonts w:cs="Times New Roman"/>
          <w:bCs/>
          <w:szCs w:val="24"/>
        </w:rPr>
        <w:t>Themes such as speaking, students, tasks, listening, and activities show the highest frequency of coding references, indicating their centrality in teacher discourse. These results reinforce earlier findings that emphasize the textbook’s role in facilitating oral</w:t>
      </w:r>
      <w:r>
        <w:rPr>
          <w:rFonts w:cs="Times New Roman"/>
          <w:bCs/>
          <w:szCs w:val="24"/>
        </w:rPr>
        <w:t xml:space="preserve"> </w:t>
      </w:r>
      <w:r w:rsidRPr="00140EC9">
        <w:rPr>
          <w:rFonts w:cs="Times New Roman"/>
          <w:bCs/>
          <w:szCs w:val="24"/>
        </w:rPr>
        <w:t>communication and structured skill development. The prominence of listening materials and listening activities further supports the quantitative ratings of audio sufficiency and goal clarity.</w:t>
      </w:r>
    </w:p>
    <w:p w14:paraId="3A404BDF" w14:textId="77777777" w:rsidR="00140EC9" w:rsidRPr="00140EC9" w:rsidRDefault="00140EC9" w:rsidP="00140EC9">
      <w:pPr>
        <w:spacing w:line="240" w:lineRule="auto"/>
        <w:rPr>
          <w:rFonts w:cs="Times New Roman"/>
          <w:bCs/>
          <w:szCs w:val="24"/>
        </w:rPr>
      </w:pPr>
    </w:p>
    <w:p w14:paraId="14BCBA8D" w14:textId="34A315BC" w:rsidR="00140EC9" w:rsidRDefault="00140EC9" w:rsidP="00140EC9">
      <w:pPr>
        <w:spacing w:line="240" w:lineRule="auto"/>
        <w:rPr>
          <w:rFonts w:cs="Times New Roman"/>
          <w:bCs/>
          <w:szCs w:val="24"/>
        </w:rPr>
      </w:pPr>
      <w:r w:rsidRPr="00140EC9">
        <w:rPr>
          <w:rFonts w:cs="Times New Roman"/>
          <w:bCs/>
          <w:szCs w:val="24"/>
        </w:rPr>
        <w:t>Interestingly, themes like accent, culture, Malaysian, and Malaysian culture also appear with moderate frequency, suggesting that teachers are attentive to the sociolinguistic and cultural relevance of textbook content. This aligns with qualitative feedback regarding the need for localised examples and authentic listening inputs.</w:t>
      </w:r>
      <w:r>
        <w:rPr>
          <w:rFonts w:cs="Times New Roman"/>
          <w:bCs/>
          <w:szCs w:val="24"/>
        </w:rPr>
        <w:t xml:space="preserve"> </w:t>
      </w:r>
      <w:r w:rsidRPr="00140EC9">
        <w:rPr>
          <w:rFonts w:cs="Times New Roman"/>
          <w:bCs/>
          <w:szCs w:val="24"/>
        </w:rPr>
        <w:t>Lower-frequency themes such as yang, books, and media may reflect peripheral concerns or isolated mentions, but their presence still contributes to the overall thematic landscape. The chart’s distribution highlights the multifaceted nature of textbook exploitation, encompassing linguistic, pedagogical, and contextual dimensions.</w:t>
      </w:r>
      <w:r>
        <w:rPr>
          <w:rFonts w:cs="Times New Roman"/>
          <w:bCs/>
          <w:szCs w:val="24"/>
        </w:rPr>
        <w:t xml:space="preserve"> </w:t>
      </w:r>
      <w:r w:rsidRPr="00140EC9">
        <w:rPr>
          <w:rFonts w:cs="Times New Roman"/>
          <w:bCs/>
          <w:szCs w:val="24"/>
        </w:rPr>
        <w:t>By quantifying the thematic spread, this chart strengthens the interpretive depth of the qualitative analysis and supports the integration of findings across data types.</w:t>
      </w:r>
    </w:p>
    <w:p w14:paraId="42D2E8AA" w14:textId="77777777" w:rsidR="00DF2CC6" w:rsidRDefault="00DF2CC6" w:rsidP="00140EC9">
      <w:pPr>
        <w:spacing w:line="240" w:lineRule="auto"/>
        <w:rPr>
          <w:rFonts w:cs="Times New Roman"/>
          <w:bCs/>
          <w:szCs w:val="24"/>
        </w:rPr>
      </w:pPr>
    </w:p>
    <w:p w14:paraId="54F1087C" w14:textId="77777777" w:rsidR="00FD52C1" w:rsidRDefault="00FD52C1" w:rsidP="00140EC9">
      <w:pPr>
        <w:spacing w:line="240" w:lineRule="auto"/>
        <w:rPr>
          <w:rFonts w:cs="Times New Roman"/>
          <w:bCs/>
          <w:szCs w:val="24"/>
        </w:rPr>
      </w:pPr>
    </w:p>
    <w:p w14:paraId="3E65397F" w14:textId="77777777" w:rsidR="00FD52C1" w:rsidRDefault="00FD52C1" w:rsidP="00140EC9">
      <w:pPr>
        <w:spacing w:line="240" w:lineRule="auto"/>
        <w:rPr>
          <w:rFonts w:cs="Times New Roman"/>
          <w:bCs/>
          <w:szCs w:val="24"/>
        </w:rPr>
      </w:pPr>
    </w:p>
    <w:p w14:paraId="14C98997" w14:textId="22C83FDB" w:rsidR="00DF2CC6" w:rsidRDefault="00DF2CC6" w:rsidP="00FD52C1">
      <w:pPr>
        <w:spacing w:before="68"/>
        <w:ind w:left="851"/>
        <w:jc w:val="center"/>
        <w:rPr>
          <w:i/>
        </w:rPr>
      </w:pPr>
      <w:r>
        <w:rPr>
          <w:i/>
        </w:rPr>
        <w:lastRenderedPageBreak/>
        <w:t>Table</w:t>
      </w:r>
      <w:r>
        <w:rPr>
          <w:i/>
          <w:spacing w:val="-2"/>
        </w:rPr>
        <w:t xml:space="preserve"> </w:t>
      </w:r>
      <w:r>
        <w:rPr>
          <w:i/>
        </w:rPr>
        <w:t>5</w:t>
      </w:r>
      <w:r>
        <w:rPr>
          <w:i/>
          <w:spacing w:val="-2"/>
        </w:rPr>
        <w:t xml:space="preserve"> </w:t>
      </w:r>
      <w:r>
        <w:rPr>
          <w:i/>
        </w:rPr>
        <w:t>Themes,</w:t>
      </w:r>
      <w:r>
        <w:rPr>
          <w:i/>
          <w:spacing w:val="-2"/>
        </w:rPr>
        <w:t xml:space="preserve"> </w:t>
      </w:r>
      <w:r>
        <w:rPr>
          <w:i/>
        </w:rPr>
        <w:t>Sub-themes,</w:t>
      </w:r>
      <w:r>
        <w:rPr>
          <w:i/>
          <w:spacing w:val="-2"/>
        </w:rPr>
        <w:t xml:space="preserve"> </w:t>
      </w:r>
      <w:r>
        <w:rPr>
          <w:i/>
        </w:rPr>
        <w:t>Frequencies</w:t>
      </w:r>
      <w:r>
        <w:rPr>
          <w:i/>
          <w:spacing w:val="-3"/>
        </w:rPr>
        <w:t xml:space="preserve"> </w:t>
      </w:r>
      <w:r>
        <w:rPr>
          <w:i/>
        </w:rPr>
        <w:t>and</w:t>
      </w:r>
      <w:r>
        <w:rPr>
          <w:i/>
          <w:spacing w:val="-1"/>
        </w:rPr>
        <w:t xml:space="preserve"> </w:t>
      </w:r>
      <w:r>
        <w:rPr>
          <w:i/>
        </w:rPr>
        <w:t>Illustrative</w:t>
      </w:r>
      <w:r>
        <w:rPr>
          <w:i/>
          <w:spacing w:val="-2"/>
        </w:rPr>
        <w:t xml:space="preserve"> Quotes</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2168"/>
        <w:gridCol w:w="2172"/>
        <w:gridCol w:w="2144"/>
      </w:tblGrid>
      <w:tr w:rsidR="00DF2CC6" w14:paraId="32ABEC84" w14:textId="77777777" w:rsidTr="00A613B6">
        <w:trPr>
          <w:trHeight w:val="551"/>
        </w:trPr>
        <w:tc>
          <w:tcPr>
            <w:tcW w:w="2156" w:type="dxa"/>
          </w:tcPr>
          <w:p w14:paraId="732E044A" w14:textId="77777777" w:rsidR="00DF2CC6" w:rsidRDefault="00DF2CC6" w:rsidP="00A613B6">
            <w:pPr>
              <w:pStyle w:val="TableParagraph"/>
              <w:ind w:left="818"/>
              <w:rPr>
                <w:b/>
                <w:sz w:val="24"/>
              </w:rPr>
            </w:pPr>
            <w:r>
              <w:rPr>
                <w:b/>
                <w:spacing w:val="-2"/>
                <w:sz w:val="24"/>
              </w:rPr>
              <w:t>Themes</w:t>
            </w:r>
          </w:p>
        </w:tc>
        <w:tc>
          <w:tcPr>
            <w:tcW w:w="2168" w:type="dxa"/>
          </w:tcPr>
          <w:p w14:paraId="47678AEF" w14:textId="77777777" w:rsidR="00DF2CC6" w:rsidRDefault="00DF2CC6" w:rsidP="00A613B6">
            <w:pPr>
              <w:pStyle w:val="TableParagraph"/>
              <w:ind w:left="291"/>
              <w:jc w:val="center"/>
              <w:rPr>
                <w:b/>
                <w:sz w:val="24"/>
              </w:rPr>
            </w:pPr>
            <w:r>
              <w:rPr>
                <w:b/>
                <w:spacing w:val="-2"/>
                <w:sz w:val="24"/>
              </w:rPr>
              <w:t>Sub-themes</w:t>
            </w:r>
          </w:p>
        </w:tc>
        <w:tc>
          <w:tcPr>
            <w:tcW w:w="2172" w:type="dxa"/>
          </w:tcPr>
          <w:p w14:paraId="6A49DCFF" w14:textId="77777777" w:rsidR="00DF2CC6" w:rsidRDefault="00DF2CC6" w:rsidP="00A613B6">
            <w:pPr>
              <w:pStyle w:val="TableParagraph"/>
              <w:ind w:left="606"/>
              <w:rPr>
                <w:b/>
                <w:sz w:val="24"/>
              </w:rPr>
            </w:pPr>
            <w:r>
              <w:rPr>
                <w:b/>
                <w:spacing w:val="-2"/>
                <w:sz w:val="24"/>
              </w:rPr>
              <w:t>Frequencies</w:t>
            </w:r>
          </w:p>
        </w:tc>
        <w:tc>
          <w:tcPr>
            <w:tcW w:w="2144" w:type="dxa"/>
          </w:tcPr>
          <w:p w14:paraId="2EB00B3D" w14:textId="77777777" w:rsidR="00DF2CC6" w:rsidRDefault="00DF2CC6" w:rsidP="00A613B6">
            <w:pPr>
              <w:pStyle w:val="TableParagraph"/>
              <w:spacing w:line="276" w:lineRule="exact"/>
              <w:ind w:left="710" w:right="352" w:hanging="65"/>
              <w:rPr>
                <w:b/>
                <w:sz w:val="24"/>
              </w:rPr>
            </w:pPr>
            <w:r>
              <w:rPr>
                <w:b/>
                <w:spacing w:val="-2"/>
                <w:sz w:val="24"/>
              </w:rPr>
              <w:t>Illustrative Quotes</w:t>
            </w:r>
          </w:p>
        </w:tc>
      </w:tr>
      <w:tr w:rsidR="00DF2CC6" w14:paraId="6E3492A2" w14:textId="77777777" w:rsidTr="00A613B6">
        <w:trPr>
          <w:trHeight w:val="1932"/>
        </w:trPr>
        <w:tc>
          <w:tcPr>
            <w:tcW w:w="2156" w:type="dxa"/>
          </w:tcPr>
          <w:p w14:paraId="089D5721" w14:textId="77777777" w:rsidR="00DF2CC6" w:rsidRDefault="00DF2CC6" w:rsidP="00A613B6">
            <w:pPr>
              <w:pStyle w:val="TableParagraph"/>
              <w:spacing w:line="240" w:lineRule="auto"/>
              <w:ind w:left="107" w:firstLine="283"/>
              <w:rPr>
                <w:sz w:val="24"/>
              </w:rPr>
            </w:pPr>
            <w:r>
              <w:rPr>
                <w:spacing w:val="-2"/>
                <w:sz w:val="24"/>
              </w:rPr>
              <w:t>Professional Development</w:t>
            </w:r>
          </w:p>
        </w:tc>
        <w:tc>
          <w:tcPr>
            <w:tcW w:w="2168" w:type="dxa"/>
          </w:tcPr>
          <w:p w14:paraId="172431EE" w14:textId="77777777" w:rsidR="00DF2CC6" w:rsidRDefault="00DF2CC6" w:rsidP="00A613B6">
            <w:pPr>
              <w:pStyle w:val="TableParagraph"/>
              <w:spacing w:line="240" w:lineRule="auto"/>
              <w:ind w:left="107" w:firstLine="283"/>
              <w:rPr>
                <w:sz w:val="24"/>
              </w:rPr>
            </w:pPr>
            <w:r>
              <w:rPr>
                <w:sz w:val="24"/>
              </w:rPr>
              <w:t>Lack</w:t>
            </w:r>
            <w:r>
              <w:rPr>
                <w:spacing w:val="40"/>
                <w:sz w:val="24"/>
              </w:rPr>
              <w:t xml:space="preserve"> </w:t>
            </w:r>
            <w:r>
              <w:rPr>
                <w:sz w:val="24"/>
              </w:rPr>
              <w:t>of</w:t>
            </w:r>
            <w:r>
              <w:rPr>
                <w:spacing w:val="40"/>
                <w:sz w:val="24"/>
              </w:rPr>
              <w:t xml:space="preserve"> </w:t>
            </w:r>
            <w:r>
              <w:rPr>
                <w:sz w:val="24"/>
              </w:rPr>
              <w:t xml:space="preserve">training </w:t>
            </w:r>
            <w:r>
              <w:rPr>
                <w:spacing w:val="-2"/>
                <w:sz w:val="24"/>
              </w:rPr>
              <w:t>opportunities</w:t>
            </w:r>
          </w:p>
        </w:tc>
        <w:tc>
          <w:tcPr>
            <w:tcW w:w="2172" w:type="dxa"/>
          </w:tcPr>
          <w:p w14:paraId="629C3FFD" w14:textId="77777777" w:rsidR="00DF2CC6" w:rsidRDefault="00DF2CC6" w:rsidP="00A613B6">
            <w:pPr>
              <w:pStyle w:val="TableParagraph"/>
              <w:ind w:left="390"/>
              <w:rPr>
                <w:sz w:val="24"/>
              </w:rPr>
            </w:pPr>
            <w:r>
              <w:rPr>
                <w:spacing w:val="-10"/>
                <w:sz w:val="24"/>
              </w:rPr>
              <w:t>8</w:t>
            </w:r>
          </w:p>
        </w:tc>
        <w:tc>
          <w:tcPr>
            <w:tcW w:w="2144" w:type="dxa"/>
          </w:tcPr>
          <w:p w14:paraId="1F4FC685" w14:textId="77777777" w:rsidR="00DF2CC6" w:rsidRDefault="00DF2CC6" w:rsidP="00A613B6">
            <w:pPr>
              <w:pStyle w:val="TableParagraph"/>
              <w:tabs>
                <w:tab w:val="left" w:pos="1739"/>
              </w:tabs>
              <w:ind w:left="391"/>
              <w:rPr>
                <w:sz w:val="24"/>
              </w:rPr>
            </w:pPr>
            <w:r>
              <w:rPr>
                <w:spacing w:val="-2"/>
                <w:sz w:val="24"/>
              </w:rPr>
              <w:t>“Teachers</w:t>
            </w:r>
            <w:r>
              <w:rPr>
                <w:sz w:val="24"/>
              </w:rPr>
              <w:tab/>
            </w:r>
            <w:r>
              <w:rPr>
                <w:spacing w:val="-5"/>
                <w:sz w:val="24"/>
              </w:rPr>
              <w:t>are</w:t>
            </w:r>
          </w:p>
          <w:p w14:paraId="527FAE96" w14:textId="77777777" w:rsidR="00DF2CC6" w:rsidRDefault="00DF2CC6" w:rsidP="00A613B6">
            <w:pPr>
              <w:pStyle w:val="TableParagraph"/>
              <w:tabs>
                <w:tab w:val="left" w:pos="1844"/>
              </w:tabs>
              <w:spacing w:line="240" w:lineRule="auto"/>
              <w:ind w:left="107"/>
              <w:rPr>
                <w:sz w:val="24"/>
              </w:rPr>
            </w:pPr>
            <w:r>
              <w:rPr>
                <w:spacing w:val="-2"/>
                <w:sz w:val="24"/>
              </w:rPr>
              <w:t>expected</w:t>
            </w:r>
            <w:r>
              <w:rPr>
                <w:sz w:val="24"/>
              </w:rPr>
              <w:tab/>
            </w:r>
            <w:r>
              <w:rPr>
                <w:spacing w:val="-5"/>
                <w:sz w:val="24"/>
              </w:rPr>
              <w:t>to</w:t>
            </w:r>
          </w:p>
          <w:p w14:paraId="07599B45" w14:textId="77777777" w:rsidR="00DF2CC6" w:rsidRDefault="00DF2CC6" w:rsidP="00A613B6">
            <w:pPr>
              <w:pStyle w:val="TableParagraph"/>
              <w:tabs>
                <w:tab w:val="left" w:pos="1738"/>
              </w:tabs>
              <w:spacing w:line="240" w:lineRule="auto"/>
              <w:ind w:left="107"/>
              <w:rPr>
                <w:sz w:val="24"/>
              </w:rPr>
            </w:pPr>
            <w:r>
              <w:rPr>
                <w:spacing w:val="-2"/>
                <w:sz w:val="24"/>
              </w:rPr>
              <w:t>assimilate</w:t>
            </w:r>
            <w:r>
              <w:rPr>
                <w:sz w:val="24"/>
              </w:rPr>
              <w:tab/>
            </w:r>
            <w:r>
              <w:rPr>
                <w:spacing w:val="-5"/>
                <w:sz w:val="24"/>
              </w:rPr>
              <w:t>the</w:t>
            </w:r>
          </w:p>
          <w:p w14:paraId="13A65353" w14:textId="77777777" w:rsidR="00DF2CC6" w:rsidRDefault="00DF2CC6" w:rsidP="00A613B6">
            <w:pPr>
              <w:pStyle w:val="TableParagraph"/>
              <w:tabs>
                <w:tab w:val="left" w:pos="1791"/>
              </w:tabs>
              <w:spacing w:line="240" w:lineRule="auto"/>
              <w:ind w:left="107"/>
              <w:rPr>
                <w:sz w:val="24"/>
              </w:rPr>
            </w:pPr>
            <w:r>
              <w:rPr>
                <w:spacing w:val="-2"/>
                <w:sz w:val="24"/>
              </w:rPr>
              <w:t>content</w:t>
            </w:r>
            <w:r>
              <w:rPr>
                <w:sz w:val="24"/>
              </w:rPr>
              <w:tab/>
            </w:r>
            <w:r>
              <w:rPr>
                <w:spacing w:val="-5"/>
                <w:sz w:val="24"/>
              </w:rPr>
              <w:t>by</w:t>
            </w:r>
          </w:p>
          <w:p w14:paraId="6ED765E6" w14:textId="77777777" w:rsidR="00DF2CC6" w:rsidRDefault="00DF2CC6" w:rsidP="00A613B6">
            <w:pPr>
              <w:pStyle w:val="TableParagraph"/>
              <w:tabs>
                <w:tab w:val="left" w:pos="1446"/>
              </w:tabs>
              <w:spacing w:line="240" w:lineRule="auto"/>
              <w:ind w:left="107" w:right="98"/>
              <w:rPr>
                <w:sz w:val="24"/>
              </w:rPr>
            </w:pPr>
            <w:r>
              <w:rPr>
                <w:spacing w:val="-2"/>
                <w:sz w:val="24"/>
              </w:rPr>
              <w:t>themselves,</w:t>
            </w:r>
            <w:r>
              <w:rPr>
                <w:sz w:val="24"/>
              </w:rPr>
              <w:tab/>
            </w:r>
            <w:r>
              <w:rPr>
                <w:spacing w:val="-4"/>
                <w:sz w:val="24"/>
              </w:rPr>
              <w:t xml:space="preserve">which </w:t>
            </w:r>
            <w:r>
              <w:rPr>
                <w:sz w:val="24"/>
              </w:rPr>
              <w:t>is</w:t>
            </w:r>
            <w:r>
              <w:rPr>
                <w:spacing w:val="18"/>
                <w:sz w:val="24"/>
              </w:rPr>
              <w:t xml:space="preserve"> </w:t>
            </w:r>
            <w:r>
              <w:rPr>
                <w:sz w:val="24"/>
              </w:rPr>
              <w:t>tedious</w:t>
            </w:r>
            <w:r>
              <w:rPr>
                <w:spacing w:val="19"/>
                <w:sz w:val="24"/>
              </w:rPr>
              <w:t xml:space="preserve"> </w:t>
            </w:r>
            <w:r>
              <w:rPr>
                <w:sz w:val="24"/>
              </w:rPr>
              <w:t>on</w:t>
            </w:r>
            <w:r>
              <w:rPr>
                <w:spacing w:val="19"/>
                <w:sz w:val="24"/>
              </w:rPr>
              <w:t xml:space="preserve"> </w:t>
            </w:r>
            <w:r>
              <w:rPr>
                <w:sz w:val="24"/>
              </w:rPr>
              <w:t>top</w:t>
            </w:r>
            <w:r>
              <w:rPr>
                <w:spacing w:val="20"/>
                <w:sz w:val="24"/>
              </w:rPr>
              <w:t xml:space="preserve"> </w:t>
            </w:r>
            <w:r>
              <w:rPr>
                <w:spacing w:val="-5"/>
                <w:sz w:val="24"/>
              </w:rPr>
              <w:t>of</w:t>
            </w:r>
          </w:p>
          <w:p w14:paraId="586D2516" w14:textId="77777777" w:rsidR="00DF2CC6" w:rsidRDefault="00DF2CC6" w:rsidP="00A613B6">
            <w:pPr>
              <w:pStyle w:val="TableParagraph"/>
              <w:spacing w:line="257" w:lineRule="exact"/>
              <w:ind w:left="107"/>
              <w:rPr>
                <w:sz w:val="24"/>
              </w:rPr>
            </w:pPr>
            <w:r>
              <w:rPr>
                <w:sz w:val="24"/>
              </w:rPr>
              <w:t>all</w:t>
            </w:r>
            <w:r>
              <w:rPr>
                <w:spacing w:val="-1"/>
                <w:sz w:val="24"/>
              </w:rPr>
              <w:t xml:space="preserve"> </w:t>
            </w:r>
            <w:r>
              <w:rPr>
                <w:sz w:val="24"/>
              </w:rPr>
              <w:t>the</w:t>
            </w:r>
            <w:r>
              <w:rPr>
                <w:spacing w:val="-1"/>
                <w:sz w:val="24"/>
              </w:rPr>
              <w:t xml:space="preserve"> </w:t>
            </w:r>
            <w:r>
              <w:rPr>
                <w:sz w:val="24"/>
              </w:rPr>
              <w:t xml:space="preserve">other </w:t>
            </w:r>
            <w:r>
              <w:rPr>
                <w:spacing w:val="-2"/>
                <w:sz w:val="24"/>
              </w:rPr>
              <w:t>work.”</w:t>
            </w:r>
          </w:p>
        </w:tc>
      </w:tr>
      <w:tr w:rsidR="00DF2CC6" w14:paraId="35675760" w14:textId="77777777" w:rsidTr="00A613B6">
        <w:trPr>
          <w:trHeight w:val="2759"/>
        </w:trPr>
        <w:tc>
          <w:tcPr>
            <w:tcW w:w="2156" w:type="dxa"/>
          </w:tcPr>
          <w:p w14:paraId="71EA424A" w14:textId="77777777" w:rsidR="00DF2CC6" w:rsidRDefault="00DF2CC6" w:rsidP="00A613B6">
            <w:pPr>
              <w:pStyle w:val="TableParagraph"/>
              <w:spacing w:line="240" w:lineRule="auto"/>
              <w:ind w:left="107" w:firstLine="283"/>
              <w:rPr>
                <w:sz w:val="24"/>
              </w:rPr>
            </w:pPr>
            <w:r>
              <w:rPr>
                <w:spacing w:val="-2"/>
                <w:sz w:val="24"/>
              </w:rPr>
              <w:t>Professional Development</w:t>
            </w:r>
          </w:p>
        </w:tc>
        <w:tc>
          <w:tcPr>
            <w:tcW w:w="2168" w:type="dxa"/>
          </w:tcPr>
          <w:p w14:paraId="42FE1163" w14:textId="77777777" w:rsidR="00DF2CC6" w:rsidRDefault="00DF2CC6" w:rsidP="00A613B6">
            <w:pPr>
              <w:pStyle w:val="TableParagraph"/>
              <w:tabs>
                <w:tab w:val="left" w:pos="1775"/>
              </w:tabs>
              <w:ind w:left="390"/>
              <w:rPr>
                <w:sz w:val="24"/>
              </w:rPr>
            </w:pPr>
            <w:r>
              <w:rPr>
                <w:spacing w:val="-4"/>
                <w:sz w:val="24"/>
              </w:rPr>
              <w:t>Need</w:t>
            </w:r>
            <w:r>
              <w:rPr>
                <w:sz w:val="24"/>
              </w:rPr>
              <w:tab/>
            </w:r>
            <w:r>
              <w:rPr>
                <w:spacing w:val="-5"/>
                <w:sz w:val="24"/>
              </w:rPr>
              <w:t>for</w:t>
            </w:r>
          </w:p>
          <w:p w14:paraId="27EDCA39" w14:textId="77777777" w:rsidR="00DF2CC6" w:rsidRDefault="00DF2CC6" w:rsidP="00A613B6">
            <w:pPr>
              <w:pStyle w:val="TableParagraph"/>
              <w:spacing w:line="240" w:lineRule="auto"/>
              <w:ind w:left="107"/>
              <w:rPr>
                <w:sz w:val="24"/>
              </w:rPr>
            </w:pPr>
            <w:r>
              <w:rPr>
                <w:spacing w:val="-2"/>
                <w:sz w:val="24"/>
              </w:rPr>
              <w:t>mentorship</w:t>
            </w:r>
          </w:p>
        </w:tc>
        <w:tc>
          <w:tcPr>
            <w:tcW w:w="2172" w:type="dxa"/>
          </w:tcPr>
          <w:p w14:paraId="6873BC94" w14:textId="77777777" w:rsidR="00DF2CC6" w:rsidRDefault="00DF2CC6" w:rsidP="00A613B6">
            <w:pPr>
              <w:pStyle w:val="TableParagraph"/>
              <w:ind w:left="390"/>
              <w:rPr>
                <w:sz w:val="24"/>
              </w:rPr>
            </w:pPr>
            <w:r>
              <w:rPr>
                <w:spacing w:val="-10"/>
                <w:sz w:val="24"/>
              </w:rPr>
              <w:t>5</w:t>
            </w:r>
          </w:p>
        </w:tc>
        <w:tc>
          <w:tcPr>
            <w:tcW w:w="2144" w:type="dxa"/>
          </w:tcPr>
          <w:p w14:paraId="3B166BBB" w14:textId="77777777" w:rsidR="00DF2CC6" w:rsidRDefault="00DF2CC6" w:rsidP="00A613B6">
            <w:pPr>
              <w:pStyle w:val="TableParagraph"/>
              <w:tabs>
                <w:tab w:val="left" w:pos="1115"/>
                <w:tab w:val="left" w:pos="1842"/>
              </w:tabs>
              <w:ind w:left="391"/>
              <w:rPr>
                <w:sz w:val="24"/>
              </w:rPr>
            </w:pPr>
            <w:r>
              <w:rPr>
                <w:spacing w:val="-5"/>
                <w:sz w:val="24"/>
              </w:rPr>
              <w:t>“We</w:t>
            </w:r>
            <w:r>
              <w:rPr>
                <w:sz w:val="24"/>
              </w:rPr>
              <w:tab/>
            </w:r>
            <w:r>
              <w:rPr>
                <w:spacing w:val="-4"/>
                <w:sz w:val="24"/>
              </w:rPr>
              <w:t>used</w:t>
            </w:r>
            <w:r>
              <w:rPr>
                <w:sz w:val="24"/>
              </w:rPr>
              <w:tab/>
            </w:r>
            <w:r>
              <w:rPr>
                <w:spacing w:val="-5"/>
                <w:sz w:val="24"/>
              </w:rPr>
              <w:t>to</w:t>
            </w:r>
          </w:p>
          <w:p w14:paraId="662FC956" w14:textId="77777777" w:rsidR="00DF2CC6" w:rsidRDefault="00DF2CC6" w:rsidP="00A613B6">
            <w:pPr>
              <w:pStyle w:val="TableParagraph"/>
              <w:tabs>
                <w:tab w:val="left" w:pos="1551"/>
              </w:tabs>
              <w:spacing w:line="240" w:lineRule="auto"/>
              <w:ind w:left="107"/>
              <w:rPr>
                <w:sz w:val="24"/>
              </w:rPr>
            </w:pPr>
            <w:proofErr w:type="gramStart"/>
            <w:r>
              <w:rPr>
                <w:spacing w:val="-4"/>
                <w:sz w:val="24"/>
              </w:rPr>
              <w:t>have</w:t>
            </w:r>
            <w:proofErr w:type="gramEnd"/>
            <w:r>
              <w:rPr>
                <w:sz w:val="24"/>
              </w:rPr>
              <w:tab/>
            </w:r>
            <w:r>
              <w:rPr>
                <w:spacing w:val="-4"/>
                <w:sz w:val="24"/>
              </w:rPr>
              <w:t>good</w:t>
            </w:r>
          </w:p>
          <w:p w14:paraId="524BD15E" w14:textId="77777777" w:rsidR="00DF2CC6" w:rsidRDefault="00DF2CC6" w:rsidP="00A613B6">
            <w:pPr>
              <w:pStyle w:val="TableParagraph"/>
              <w:tabs>
                <w:tab w:val="left" w:pos="1042"/>
                <w:tab w:val="left" w:pos="1431"/>
                <w:tab w:val="left" w:pos="1724"/>
                <w:tab w:val="left" w:pos="1805"/>
                <w:tab w:val="left" w:pos="1846"/>
              </w:tabs>
              <w:spacing w:line="240" w:lineRule="auto"/>
              <w:ind w:left="107" w:right="98"/>
              <w:rPr>
                <w:sz w:val="24"/>
              </w:rPr>
            </w:pPr>
            <w:r>
              <w:rPr>
                <w:spacing w:val="-2"/>
                <w:sz w:val="24"/>
              </w:rPr>
              <w:t>textbooks previously…</w:t>
            </w:r>
            <w:r>
              <w:rPr>
                <w:sz w:val="24"/>
              </w:rPr>
              <w:tab/>
            </w:r>
            <w:r>
              <w:rPr>
                <w:sz w:val="24"/>
              </w:rPr>
              <w:tab/>
            </w:r>
            <w:r>
              <w:rPr>
                <w:spacing w:val="-47"/>
                <w:sz w:val="24"/>
              </w:rPr>
              <w:t xml:space="preserve"> </w:t>
            </w:r>
            <w:r>
              <w:rPr>
                <w:spacing w:val="-2"/>
                <w:sz w:val="24"/>
              </w:rPr>
              <w:t>the content</w:t>
            </w:r>
            <w:r>
              <w:rPr>
                <w:sz w:val="24"/>
              </w:rPr>
              <w:tab/>
            </w:r>
            <w:r>
              <w:rPr>
                <w:spacing w:val="-2"/>
                <w:sz w:val="24"/>
              </w:rPr>
              <w:t>could</w:t>
            </w:r>
            <w:r>
              <w:rPr>
                <w:sz w:val="24"/>
              </w:rPr>
              <w:tab/>
            </w:r>
            <w:r>
              <w:rPr>
                <w:sz w:val="24"/>
              </w:rPr>
              <w:tab/>
            </w:r>
            <w:r>
              <w:rPr>
                <w:spacing w:val="-6"/>
                <w:sz w:val="24"/>
              </w:rPr>
              <w:t xml:space="preserve">be </w:t>
            </w:r>
            <w:r>
              <w:rPr>
                <w:spacing w:val="-2"/>
                <w:sz w:val="24"/>
              </w:rPr>
              <w:t>improvised</w:t>
            </w:r>
            <w:r>
              <w:rPr>
                <w:sz w:val="24"/>
              </w:rPr>
              <w:tab/>
            </w:r>
            <w:r>
              <w:rPr>
                <w:sz w:val="24"/>
              </w:rPr>
              <w:tab/>
            </w:r>
            <w:r>
              <w:rPr>
                <w:sz w:val="24"/>
              </w:rPr>
              <w:tab/>
            </w:r>
            <w:r>
              <w:rPr>
                <w:sz w:val="24"/>
              </w:rPr>
              <w:tab/>
            </w:r>
            <w:r>
              <w:rPr>
                <w:spacing w:val="-6"/>
                <w:sz w:val="24"/>
              </w:rPr>
              <w:t xml:space="preserve">to </w:t>
            </w:r>
            <w:r>
              <w:rPr>
                <w:spacing w:val="-2"/>
                <w:sz w:val="24"/>
              </w:rPr>
              <w:t>match</w:t>
            </w:r>
            <w:r>
              <w:rPr>
                <w:sz w:val="24"/>
              </w:rPr>
              <w:tab/>
            </w:r>
            <w:r>
              <w:rPr>
                <w:sz w:val="24"/>
              </w:rPr>
              <w:tab/>
            </w:r>
            <w:r>
              <w:rPr>
                <w:spacing w:val="-4"/>
                <w:sz w:val="24"/>
              </w:rPr>
              <w:t xml:space="preserve">CEFR </w:t>
            </w:r>
            <w:r>
              <w:rPr>
                <w:spacing w:val="-2"/>
                <w:sz w:val="24"/>
              </w:rPr>
              <w:t>standards</w:t>
            </w:r>
            <w:proofErr w:type="gramStart"/>
            <w:r>
              <w:rPr>
                <w:spacing w:val="-2"/>
                <w:sz w:val="24"/>
              </w:rPr>
              <w:t>,</w:t>
            </w:r>
            <w:r>
              <w:rPr>
                <w:sz w:val="24"/>
              </w:rPr>
              <w:tab/>
            </w:r>
            <w:r>
              <w:rPr>
                <w:sz w:val="24"/>
              </w:rPr>
              <w:tab/>
            </w:r>
            <w:r>
              <w:rPr>
                <w:spacing w:val="-5"/>
                <w:sz w:val="24"/>
              </w:rPr>
              <w:t>but</w:t>
            </w:r>
            <w:proofErr w:type="gramEnd"/>
          </w:p>
          <w:p w14:paraId="41ABD6EB" w14:textId="77777777" w:rsidR="00DF2CC6" w:rsidRDefault="00DF2CC6" w:rsidP="00A613B6">
            <w:pPr>
              <w:pStyle w:val="TableParagraph"/>
              <w:tabs>
                <w:tab w:val="left" w:pos="1871"/>
              </w:tabs>
              <w:spacing w:line="240" w:lineRule="auto"/>
              <w:ind w:left="107"/>
              <w:rPr>
                <w:sz w:val="24"/>
              </w:rPr>
            </w:pPr>
            <w:r>
              <w:rPr>
                <w:spacing w:val="-2"/>
                <w:sz w:val="24"/>
              </w:rPr>
              <w:t>guidance</w:t>
            </w:r>
            <w:r>
              <w:rPr>
                <w:sz w:val="24"/>
              </w:rPr>
              <w:tab/>
            </w:r>
            <w:r>
              <w:rPr>
                <w:spacing w:val="-5"/>
                <w:sz w:val="24"/>
              </w:rPr>
              <w:t>is</w:t>
            </w:r>
          </w:p>
          <w:p w14:paraId="7860D20E" w14:textId="77777777" w:rsidR="00DF2CC6" w:rsidRDefault="00DF2CC6" w:rsidP="00A613B6">
            <w:pPr>
              <w:pStyle w:val="TableParagraph"/>
              <w:spacing w:line="257" w:lineRule="exact"/>
              <w:ind w:left="107"/>
              <w:rPr>
                <w:sz w:val="24"/>
              </w:rPr>
            </w:pPr>
            <w:r>
              <w:rPr>
                <w:spacing w:val="-2"/>
                <w:sz w:val="24"/>
              </w:rPr>
              <w:t>lacking.”</w:t>
            </w:r>
          </w:p>
        </w:tc>
      </w:tr>
      <w:tr w:rsidR="00DF2CC6" w14:paraId="09C5AA64" w14:textId="77777777" w:rsidTr="00A613B6">
        <w:trPr>
          <w:trHeight w:val="2483"/>
        </w:trPr>
        <w:tc>
          <w:tcPr>
            <w:tcW w:w="2156" w:type="dxa"/>
          </w:tcPr>
          <w:p w14:paraId="588FD41E" w14:textId="77777777" w:rsidR="00DF2CC6" w:rsidRDefault="00DF2CC6" w:rsidP="00A613B6">
            <w:pPr>
              <w:pStyle w:val="TableParagraph"/>
              <w:spacing w:line="240" w:lineRule="auto"/>
              <w:ind w:left="107" w:right="859" w:firstLine="283"/>
              <w:rPr>
                <w:sz w:val="24"/>
              </w:rPr>
            </w:pPr>
            <w:r>
              <w:rPr>
                <w:spacing w:val="-2"/>
                <w:sz w:val="24"/>
              </w:rPr>
              <w:t>Teaching Challenges</w:t>
            </w:r>
          </w:p>
        </w:tc>
        <w:tc>
          <w:tcPr>
            <w:tcW w:w="2168" w:type="dxa"/>
          </w:tcPr>
          <w:p w14:paraId="20C95F5D" w14:textId="77777777" w:rsidR="00DF2CC6" w:rsidRDefault="00DF2CC6" w:rsidP="00A613B6">
            <w:pPr>
              <w:pStyle w:val="TableParagraph"/>
              <w:spacing w:line="240" w:lineRule="auto"/>
              <w:ind w:left="107" w:firstLine="283"/>
              <w:rPr>
                <w:sz w:val="24"/>
              </w:rPr>
            </w:pPr>
            <w:r>
              <w:rPr>
                <w:spacing w:val="-2"/>
                <w:sz w:val="24"/>
              </w:rPr>
              <w:t>Classroom management</w:t>
            </w:r>
          </w:p>
        </w:tc>
        <w:tc>
          <w:tcPr>
            <w:tcW w:w="2172" w:type="dxa"/>
          </w:tcPr>
          <w:p w14:paraId="685C2BCE" w14:textId="77777777" w:rsidR="00DF2CC6" w:rsidRDefault="00DF2CC6" w:rsidP="00A613B6">
            <w:pPr>
              <w:pStyle w:val="TableParagraph"/>
              <w:ind w:left="390"/>
              <w:rPr>
                <w:sz w:val="24"/>
              </w:rPr>
            </w:pPr>
            <w:r>
              <w:rPr>
                <w:spacing w:val="-10"/>
                <w:sz w:val="24"/>
              </w:rPr>
              <w:t>7</w:t>
            </w:r>
          </w:p>
        </w:tc>
        <w:tc>
          <w:tcPr>
            <w:tcW w:w="2144" w:type="dxa"/>
          </w:tcPr>
          <w:p w14:paraId="33096071" w14:textId="77777777" w:rsidR="00DF2CC6" w:rsidRDefault="00DF2CC6" w:rsidP="00A613B6">
            <w:pPr>
              <w:pStyle w:val="TableParagraph"/>
              <w:tabs>
                <w:tab w:val="left" w:pos="939"/>
                <w:tab w:val="left" w:pos="1266"/>
                <w:tab w:val="left" w:pos="1566"/>
              </w:tabs>
              <w:spacing w:line="276" w:lineRule="exact"/>
              <w:ind w:left="107" w:right="96" w:firstLine="283"/>
              <w:rPr>
                <w:sz w:val="24"/>
              </w:rPr>
            </w:pPr>
            <w:r>
              <w:rPr>
                <w:spacing w:val="-2"/>
                <w:sz w:val="24"/>
              </w:rPr>
              <w:t>“Students</w:t>
            </w:r>
            <w:r>
              <w:rPr>
                <w:sz w:val="24"/>
              </w:rPr>
              <w:tab/>
            </w:r>
            <w:r>
              <w:rPr>
                <w:spacing w:val="-4"/>
                <w:sz w:val="24"/>
              </w:rPr>
              <w:t xml:space="preserve">from </w:t>
            </w:r>
            <w:r>
              <w:rPr>
                <w:sz w:val="24"/>
              </w:rPr>
              <w:t>rural</w:t>
            </w:r>
            <w:r>
              <w:rPr>
                <w:spacing w:val="40"/>
                <w:sz w:val="24"/>
              </w:rPr>
              <w:t xml:space="preserve"> </w:t>
            </w:r>
            <w:r>
              <w:rPr>
                <w:sz w:val="24"/>
              </w:rPr>
              <w:t>areas</w:t>
            </w:r>
            <w:r>
              <w:rPr>
                <w:spacing w:val="40"/>
                <w:sz w:val="24"/>
              </w:rPr>
              <w:t xml:space="preserve"> </w:t>
            </w:r>
            <w:r>
              <w:rPr>
                <w:sz w:val="24"/>
              </w:rPr>
              <w:t>or</w:t>
            </w:r>
            <w:r>
              <w:rPr>
                <w:spacing w:val="40"/>
                <w:sz w:val="24"/>
              </w:rPr>
              <w:t xml:space="preserve"> </w:t>
            </w:r>
            <w:r>
              <w:rPr>
                <w:sz w:val="24"/>
              </w:rPr>
              <w:t xml:space="preserve">with </w:t>
            </w:r>
            <w:r>
              <w:rPr>
                <w:spacing w:val="-4"/>
                <w:sz w:val="24"/>
              </w:rPr>
              <w:t>low</w:t>
            </w:r>
            <w:r>
              <w:rPr>
                <w:sz w:val="24"/>
              </w:rPr>
              <w:tab/>
            </w:r>
            <w:r>
              <w:rPr>
                <w:spacing w:val="-2"/>
                <w:sz w:val="24"/>
              </w:rPr>
              <w:t xml:space="preserve">proficiency </w:t>
            </w:r>
            <w:r>
              <w:rPr>
                <w:sz w:val="24"/>
              </w:rPr>
              <w:t>find</w:t>
            </w:r>
            <w:r>
              <w:rPr>
                <w:spacing w:val="-15"/>
                <w:sz w:val="24"/>
              </w:rPr>
              <w:t xml:space="preserve"> </w:t>
            </w:r>
            <w:r>
              <w:rPr>
                <w:sz w:val="24"/>
              </w:rPr>
              <w:t>it</w:t>
            </w:r>
            <w:r>
              <w:rPr>
                <w:spacing w:val="-14"/>
                <w:sz w:val="24"/>
              </w:rPr>
              <w:t xml:space="preserve"> </w:t>
            </w:r>
            <w:r>
              <w:rPr>
                <w:sz w:val="24"/>
              </w:rPr>
              <w:t>tough</w:t>
            </w:r>
            <w:r>
              <w:rPr>
                <w:spacing w:val="-14"/>
                <w:sz w:val="24"/>
              </w:rPr>
              <w:t xml:space="preserve"> </w:t>
            </w:r>
            <w:r>
              <w:rPr>
                <w:sz w:val="24"/>
              </w:rPr>
              <w:t>to</w:t>
            </w:r>
            <w:r>
              <w:rPr>
                <w:spacing w:val="-14"/>
                <w:sz w:val="24"/>
              </w:rPr>
              <w:t xml:space="preserve"> </w:t>
            </w:r>
            <w:r>
              <w:rPr>
                <w:sz w:val="24"/>
              </w:rPr>
              <w:t>cope with</w:t>
            </w:r>
            <w:r>
              <w:rPr>
                <w:spacing w:val="-3"/>
                <w:sz w:val="24"/>
              </w:rPr>
              <w:t xml:space="preserve"> </w:t>
            </w:r>
            <w:r>
              <w:rPr>
                <w:sz w:val="24"/>
              </w:rPr>
              <w:t>audio</w:t>
            </w:r>
            <w:r>
              <w:rPr>
                <w:spacing w:val="-3"/>
                <w:sz w:val="24"/>
              </w:rPr>
              <w:t xml:space="preserve"> </w:t>
            </w:r>
            <w:r>
              <w:rPr>
                <w:sz w:val="24"/>
              </w:rPr>
              <w:t>and</w:t>
            </w:r>
            <w:r>
              <w:rPr>
                <w:spacing w:val="-3"/>
                <w:sz w:val="24"/>
              </w:rPr>
              <w:t xml:space="preserve"> </w:t>
            </w:r>
            <w:r>
              <w:rPr>
                <w:sz w:val="24"/>
              </w:rPr>
              <w:t xml:space="preserve">may </w:t>
            </w:r>
            <w:r>
              <w:rPr>
                <w:spacing w:val="-4"/>
                <w:sz w:val="24"/>
              </w:rPr>
              <w:t>lose</w:t>
            </w:r>
            <w:r>
              <w:rPr>
                <w:sz w:val="24"/>
              </w:rPr>
              <w:tab/>
            </w:r>
            <w:r>
              <w:rPr>
                <w:sz w:val="24"/>
              </w:rPr>
              <w:tab/>
            </w:r>
            <w:r>
              <w:rPr>
                <w:spacing w:val="-2"/>
                <w:sz w:val="24"/>
              </w:rPr>
              <w:t>interest, disrupting</w:t>
            </w:r>
            <w:r>
              <w:rPr>
                <w:spacing w:val="40"/>
                <w:sz w:val="24"/>
              </w:rPr>
              <w:t xml:space="preserve"> </w:t>
            </w:r>
            <w:r>
              <w:rPr>
                <w:spacing w:val="-2"/>
                <w:sz w:val="24"/>
              </w:rPr>
              <w:t>classroom</w:t>
            </w:r>
            <w:r>
              <w:rPr>
                <w:spacing w:val="40"/>
                <w:sz w:val="24"/>
              </w:rPr>
              <w:t xml:space="preserve"> </w:t>
            </w:r>
            <w:r>
              <w:rPr>
                <w:spacing w:val="-2"/>
                <w:sz w:val="24"/>
              </w:rPr>
              <w:t>learning.”</w:t>
            </w:r>
          </w:p>
        </w:tc>
      </w:tr>
      <w:tr w:rsidR="00DF2CC6" w14:paraId="4C2B921A" w14:textId="77777777" w:rsidTr="00A613B6">
        <w:trPr>
          <w:trHeight w:val="1932"/>
        </w:trPr>
        <w:tc>
          <w:tcPr>
            <w:tcW w:w="2156" w:type="dxa"/>
          </w:tcPr>
          <w:p w14:paraId="7F2681E9" w14:textId="77777777" w:rsidR="00DF2CC6" w:rsidRDefault="00DF2CC6" w:rsidP="00A613B6">
            <w:pPr>
              <w:pStyle w:val="TableParagraph"/>
              <w:spacing w:line="240" w:lineRule="auto"/>
              <w:ind w:left="107" w:right="859" w:firstLine="283"/>
              <w:rPr>
                <w:sz w:val="24"/>
              </w:rPr>
            </w:pPr>
            <w:r>
              <w:rPr>
                <w:spacing w:val="-2"/>
                <w:sz w:val="24"/>
              </w:rPr>
              <w:t>Teaching Challenges</w:t>
            </w:r>
          </w:p>
        </w:tc>
        <w:tc>
          <w:tcPr>
            <w:tcW w:w="2168" w:type="dxa"/>
          </w:tcPr>
          <w:p w14:paraId="0352C1B5" w14:textId="77777777" w:rsidR="00DF2CC6" w:rsidRDefault="00DF2CC6" w:rsidP="00A613B6">
            <w:pPr>
              <w:pStyle w:val="TableParagraph"/>
              <w:ind w:left="291" w:right="63"/>
              <w:jc w:val="center"/>
              <w:rPr>
                <w:sz w:val="24"/>
              </w:rPr>
            </w:pPr>
            <w:r>
              <w:rPr>
                <w:sz w:val="24"/>
              </w:rPr>
              <w:t xml:space="preserve">Time </w:t>
            </w:r>
            <w:r>
              <w:rPr>
                <w:spacing w:val="-2"/>
                <w:sz w:val="24"/>
              </w:rPr>
              <w:t>constraints</w:t>
            </w:r>
          </w:p>
        </w:tc>
        <w:tc>
          <w:tcPr>
            <w:tcW w:w="2172" w:type="dxa"/>
          </w:tcPr>
          <w:p w14:paraId="18DDEC30" w14:textId="77777777" w:rsidR="00DF2CC6" w:rsidRDefault="00DF2CC6" w:rsidP="00A613B6">
            <w:pPr>
              <w:pStyle w:val="TableParagraph"/>
              <w:ind w:left="390"/>
              <w:rPr>
                <w:sz w:val="24"/>
              </w:rPr>
            </w:pPr>
            <w:r>
              <w:rPr>
                <w:spacing w:val="-10"/>
                <w:sz w:val="24"/>
              </w:rPr>
              <w:t>6</w:t>
            </w:r>
          </w:p>
        </w:tc>
        <w:tc>
          <w:tcPr>
            <w:tcW w:w="2144" w:type="dxa"/>
          </w:tcPr>
          <w:p w14:paraId="14BAA018" w14:textId="77777777" w:rsidR="00DF2CC6" w:rsidRDefault="00DF2CC6" w:rsidP="00A613B6">
            <w:pPr>
              <w:pStyle w:val="TableParagraph"/>
              <w:spacing w:line="240" w:lineRule="auto"/>
              <w:ind w:left="107" w:right="99" w:firstLine="283"/>
              <w:jc w:val="both"/>
              <w:rPr>
                <w:sz w:val="24"/>
              </w:rPr>
            </w:pPr>
            <w:r>
              <w:rPr>
                <w:sz w:val="24"/>
              </w:rPr>
              <w:t>“Editing the audio speed and preparing scripts is tedious for teachers on</w:t>
            </w:r>
            <w:r>
              <w:rPr>
                <w:spacing w:val="69"/>
                <w:w w:val="150"/>
                <w:sz w:val="24"/>
              </w:rPr>
              <w:t xml:space="preserve"> </w:t>
            </w:r>
            <w:r>
              <w:rPr>
                <w:sz w:val="24"/>
              </w:rPr>
              <w:t>top</w:t>
            </w:r>
            <w:r>
              <w:rPr>
                <w:spacing w:val="71"/>
                <w:w w:val="150"/>
                <w:sz w:val="24"/>
              </w:rPr>
              <w:t xml:space="preserve"> </w:t>
            </w:r>
            <w:r>
              <w:rPr>
                <w:sz w:val="24"/>
              </w:rPr>
              <w:t>of</w:t>
            </w:r>
            <w:r>
              <w:rPr>
                <w:spacing w:val="69"/>
                <w:w w:val="150"/>
                <w:sz w:val="24"/>
              </w:rPr>
              <w:t xml:space="preserve"> </w:t>
            </w:r>
            <w:r>
              <w:rPr>
                <w:sz w:val="24"/>
              </w:rPr>
              <w:t>all</w:t>
            </w:r>
            <w:r>
              <w:rPr>
                <w:spacing w:val="71"/>
                <w:w w:val="150"/>
                <w:sz w:val="24"/>
              </w:rPr>
              <w:t xml:space="preserve"> </w:t>
            </w:r>
            <w:r>
              <w:rPr>
                <w:spacing w:val="-5"/>
                <w:sz w:val="24"/>
              </w:rPr>
              <w:t>the</w:t>
            </w:r>
          </w:p>
          <w:p w14:paraId="569C7B1B" w14:textId="77777777" w:rsidR="00DF2CC6" w:rsidRDefault="00DF2CC6" w:rsidP="00A613B6">
            <w:pPr>
              <w:pStyle w:val="TableParagraph"/>
              <w:spacing w:line="270" w:lineRule="atLeast"/>
              <w:ind w:left="107" w:right="101"/>
              <w:jc w:val="both"/>
              <w:rPr>
                <w:sz w:val="24"/>
              </w:rPr>
            </w:pPr>
            <w:r>
              <w:rPr>
                <w:sz w:val="24"/>
              </w:rPr>
              <w:t>other work that is expected of them.”</w:t>
            </w:r>
          </w:p>
        </w:tc>
      </w:tr>
      <w:tr w:rsidR="00DF2CC6" w14:paraId="2E57E735" w14:textId="77777777" w:rsidTr="00A613B6">
        <w:trPr>
          <w:trHeight w:val="2208"/>
        </w:trPr>
        <w:tc>
          <w:tcPr>
            <w:tcW w:w="2156" w:type="dxa"/>
          </w:tcPr>
          <w:p w14:paraId="3E90BA60" w14:textId="77777777" w:rsidR="00DF2CC6" w:rsidRDefault="00DF2CC6" w:rsidP="00A613B6">
            <w:pPr>
              <w:pStyle w:val="TableParagraph"/>
              <w:spacing w:line="240" w:lineRule="auto"/>
              <w:ind w:left="107" w:firstLine="283"/>
              <w:rPr>
                <w:sz w:val="24"/>
              </w:rPr>
            </w:pPr>
            <w:r>
              <w:rPr>
                <w:spacing w:val="-2"/>
                <w:sz w:val="24"/>
              </w:rPr>
              <w:t>Student Engagement</w:t>
            </w:r>
          </w:p>
        </w:tc>
        <w:tc>
          <w:tcPr>
            <w:tcW w:w="2168" w:type="dxa"/>
          </w:tcPr>
          <w:p w14:paraId="514AC0ED" w14:textId="77777777" w:rsidR="00DF2CC6" w:rsidRDefault="00DF2CC6" w:rsidP="00A613B6">
            <w:pPr>
              <w:pStyle w:val="TableParagraph"/>
              <w:ind w:left="291" w:right="128"/>
              <w:jc w:val="center"/>
              <w:rPr>
                <w:sz w:val="24"/>
              </w:rPr>
            </w:pPr>
            <w:r>
              <w:rPr>
                <w:sz w:val="24"/>
              </w:rPr>
              <w:t>Low</w:t>
            </w:r>
            <w:r>
              <w:rPr>
                <w:spacing w:val="-3"/>
                <w:sz w:val="24"/>
              </w:rPr>
              <w:t xml:space="preserve"> </w:t>
            </w:r>
            <w:r>
              <w:rPr>
                <w:spacing w:val="-2"/>
                <w:sz w:val="24"/>
              </w:rPr>
              <w:t>motivation</w:t>
            </w:r>
          </w:p>
        </w:tc>
        <w:tc>
          <w:tcPr>
            <w:tcW w:w="2172" w:type="dxa"/>
          </w:tcPr>
          <w:p w14:paraId="3BD82BF3" w14:textId="77777777" w:rsidR="00DF2CC6" w:rsidRDefault="00DF2CC6" w:rsidP="00A613B6">
            <w:pPr>
              <w:pStyle w:val="TableParagraph"/>
              <w:ind w:left="390"/>
              <w:rPr>
                <w:sz w:val="24"/>
              </w:rPr>
            </w:pPr>
            <w:r>
              <w:rPr>
                <w:spacing w:val="-10"/>
                <w:sz w:val="24"/>
              </w:rPr>
              <w:t>9</w:t>
            </w:r>
          </w:p>
        </w:tc>
        <w:tc>
          <w:tcPr>
            <w:tcW w:w="2144" w:type="dxa"/>
          </w:tcPr>
          <w:p w14:paraId="6F1AD9AC" w14:textId="77777777" w:rsidR="00DF2CC6" w:rsidRDefault="00DF2CC6" w:rsidP="00A613B6">
            <w:pPr>
              <w:pStyle w:val="TableParagraph"/>
              <w:spacing w:line="240" w:lineRule="auto"/>
              <w:ind w:left="107" w:right="98" w:firstLine="283"/>
              <w:jc w:val="both"/>
              <w:rPr>
                <w:sz w:val="24"/>
              </w:rPr>
            </w:pPr>
            <w:r>
              <w:rPr>
                <w:sz w:val="24"/>
              </w:rPr>
              <w:t>“The textbook uses high-level topics</w:t>
            </w:r>
            <w:r>
              <w:rPr>
                <w:spacing w:val="-9"/>
                <w:sz w:val="24"/>
              </w:rPr>
              <w:t xml:space="preserve"> </w:t>
            </w:r>
            <w:r>
              <w:rPr>
                <w:sz w:val="24"/>
              </w:rPr>
              <w:t>and</w:t>
            </w:r>
            <w:r>
              <w:rPr>
                <w:spacing w:val="-9"/>
                <w:sz w:val="24"/>
              </w:rPr>
              <w:t xml:space="preserve"> </w:t>
            </w:r>
            <w:r>
              <w:rPr>
                <w:sz w:val="24"/>
              </w:rPr>
              <w:t>language like C1/C2, while our students are mostly</w:t>
            </w:r>
            <w:r>
              <w:rPr>
                <w:spacing w:val="-15"/>
                <w:sz w:val="24"/>
              </w:rPr>
              <w:t xml:space="preserve"> </w:t>
            </w:r>
            <w:r>
              <w:rPr>
                <w:sz w:val="24"/>
              </w:rPr>
              <w:t>just</w:t>
            </w:r>
            <w:r>
              <w:rPr>
                <w:spacing w:val="-15"/>
                <w:sz w:val="24"/>
              </w:rPr>
              <w:t xml:space="preserve"> </w:t>
            </w:r>
            <w:r>
              <w:rPr>
                <w:sz w:val="24"/>
              </w:rPr>
              <w:t>reaching A2…</w:t>
            </w:r>
            <w:r>
              <w:rPr>
                <w:spacing w:val="42"/>
                <w:sz w:val="24"/>
              </w:rPr>
              <w:t xml:space="preserve"> </w:t>
            </w:r>
            <w:r>
              <w:rPr>
                <w:sz w:val="24"/>
              </w:rPr>
              <w:t>they</w:t>
            </w:r>
            <w:r>
              <w:rPr>
                <w:spacing w:val="42"/>
                <w:sz w:val="24"/>
              </w:rPr>
              <w:t xml:space="preserve"> </w:t>
            </w:r>
            <w:r>
              <w:rPr>
                <w:spacing w:val="-2"/>
                <w:sz w:val="24"/>
              </w:rPr>
              <w:t>struggle</w:t>
            </w:r>
          </w:p>
          <w:p w14:paraId="741D97DD" w14:textId="77777777" w:rsidR="00DF2CC6" w:rsidRDefault="00DF2CC6" w:rsidP="00A613B6">
            <w:pPr>
              <w:pStyle w:val="TableParagraph"/>
              <w:spacing w:line="257" w:lineRule="exact"/>
              <w:ind w:left="107"/>
              <w:jc w:val="both"/>
              <w:rPr>
                <w:sz w:val="24"/>
              </w:rPr>
            </w:pPr>
            <w:r>
              <w:rPr>
                <w:sz w:val="24"/>
              </w:rPr>
              <w:t xml:space="preserve">to </w:t>
            </w:r>
            <w:r>
              <w:rPr>
                <w:spacing w:val="-2"/>
                <w:sz w:val="24"/>
              </w:rPr>
              <w:t>relate.”</w:t>
            </w:r>
          </w:p>
        </w:tc>
      </w:tr>
      <w:tr w:rsidR="00DF2CC6" w14:paraId="11B19FB6" w14:textId="77777777" w:rsidTr="00A613B6">
        <w:trPr>
          <w:trHeight w:val="1103"/>
        </w:trPr>
        <w:tc>
          <w:tcPr>
            <w:tcW w:w="2156" w:type="dxa"/>
          </w:tcPr>
          <w:p w14:paraId="7D4DA1B6" w14:textId="77777777" w:rsidR="00DF2CC6" w:rsidRDefault="00DF2CC6" w:rsidP="00A613B6">
            <w:pPr>
              <w:pStyle w:val="TableParagraph"/>
              <w:spacing w:line="240" w:lineRule="auto"/>
              <w:ind w:left="107" w:firstLine="283"/>
              <w:rPr>
                <w:sz w:val="24"/>
              </w:rPr>
            </w:pPr>
            <w:r>
              <w:rPr>
                <w:spacing w:val="-2"/>
                <w:sz w:val="24"/>
              </w:rPr>
              <w:t>Student Engagement</w:t>
            </w:r>
          </w:p>
        </w:tc>
        <w:tc>
          <w:tcPr>
            <w:tcW w:w="2168" w:type="dxa"/>
          </w:tcPr>
          <w:p w14:paraId="2641AB92" w14:textId="77777777" w:rsidR="00DF2CC6" w:rsidRDefault="00DF2CC6" w:rsidP="00A613B6">
            <w:pPr>
              <w:pStyle w:val="TableParagraph"/>
              <w:spacing w:line="240" w:lineRule="auto"/>
              <w:ind w:left="107" w:right="98" w:firstLine="283"/>
              <w:rPr>
                <w:sz w:val="24"/>
              </w:rPr>
            </w:pPr>
            <w:r>
              <w:rPr>
                <w:spacing w:val="-2"/>
                <w:sz w:val="24"/>
              </w:rPr>
              <w:t>Participation issues</w:t>
            </w:r>
          </w:p>
        </w:tc>
        <w:tc>
          <w:tcPr>
            <w:tcW w:w="2172" w:type="dxa"/>
          </w:tcPr>
          <w:p w14:paraId="405FBB9B" w14:textId="77777777" w:rsidR="00DF2CC6" w:rsidRDefault="00DF2CC6" w:rsidP="00A613B6">
            <w:pPr>
              <w:pStyle w:val="TableParagraph"/>
              <w:ind w:left="390"/>
              <w:rPr>
                <w:sz w:val="24"/>
              </w:rPr>
            </w:pPr>
            <w:r>
              <w:rPr>
                <w:spacing w:val="-10"/>
                <w:sz w:val="24"/>
              </w:rPr>
              <w:t>4</w:t>
            </w:r>
          </w:p>
        </w:tc>
        <w:tc>
          <w:tcPr>
            <w:tcW w:w="2144" w:type="dxa"/>
          </w:tcPr>
          <w:p w14:paraId="33AD12A9" w14:textId="77777777" w:rsidR="00DF2CC6" w:rsidRDefault="00DF2CC6" w:rsidP="00A613B6">
            <w:pPr>
              <w:pStyle w:val="TableParagraph"/>
              <w:spacing w:line="276" w:lineRule="exact"/>
              <w:ind w:left="107" w:right="97" w:firstLine="283"/>
              <w:jc w:val="both"/>
              <w:rPr>
                <w:sz w:val="24"/>
              </w:rPr>
            </w:pPr>
            <w:r>
              <w:rPr>
                <w:sz w:val="24"/>
              </w:rPr>
              <w:t>“Students</w:t>
            </w:r>
            <w:r>
              <w:rPr>
                <w:spacing w:val="-15"/>
                <w:sz w:val="24"/>
              </w:rPr>
              <w:t xml:space="preserve"> </w:t>
            </w:r>
            <w:r>
              <w:rPr>
                <w:sz w:val="24"/>
              </w:rPr>
              <w:t>should be</w:t>
            </w:r>
            <w:r>
              <w:rPr>
                <w:spacing w:val="-13"/>
                <w:sz w:val="24"/>
              </w:rPr>
              <w:t xml:space="preserve"> </w:t>
            </w:r>
            <w:r>
              <w:rPr>
                <w:sz w:val="24"/>
              </w:rPr>
              <w:t>encouraged</w:t>
            </w:r>
            <w:r>
              <w:rPr>
                <w:spacing w:val="-12"/>
                <w:sz w:val="24"/>
              </w:rPr>
              <w:t xml:space="preserve"> </w:t>
            </w:r>
            <w:r>
              <w:rPr>
                <w:sz w:val="24"/>
              </w:rPr>
              <w:t>to</w:t>
            </w:r>
            <w:r>
              <w:rPr>
                <w:spacing w:val="-12"/>
                <w:sz w:val="24"/>
              </w:rPr>
              <w:t xml:space="preserve"> </w:t>
            </w:r>
            <w:r>
              <w:rPr>
                <w:sz w:val="24"/>
              </w:rPr>
              <w:t>be involved in day-to-</w:t>
            </w:r>
            <w:proofErr w:type="gramStart"/>
            <w:r>
              <w:rPr>
                <w:sz w:val="24"/>
              </w:rPr>
              <w:t>day</w:t>
            </w:r>
            <w:r>
              <w:rPr>
                <w:spacing w:val="68"/>
                <w:sz w:val="24"/>
              </w:rPr>
              <w:t xml:space="preserve">  </w:t>
            </w:r>
            <w:r>
              <w:rPr>
                <w:spacing w:val="-2"/>
                <w:sz w:val="24"/>
              </w:rPr>
              <w:t>conversations</w:t>
            </w:r>
            <w:proofErr w:type="gramEnd"/>
          </w:p>
        </w:tc>
      </w:tr>
    </w:tbl>
    <w:tbl>
      <w:tblPr>
        <w:tblpPr w:leftFromText="180" w:rightFromText="180" w:vertAnchor="text" w:horzAnchor="page" w:tblpX="2281"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2168"/>
        <w:gridCol w:w="2172"/>
        <w:gridCol w:w="2144"/>
      </w:tblGrid>
      <w:tr w:rsidR="00DF2CC6" w14:paraId="24F1ADF2" w14:textId="77777777" w:rsidTr="00DF2CC6">
        <w:trPr>
          <w:trHeight w:val="1104"/>
        </w:trPr>
        <w:tc>
          <w:tcPr>
            <w:tcW w:w="2156" w:type="dxa"/>
          </w:tcPr>
          <w:p w14:paraId="45A9985A" w14:textId="77777777" w:rsidR="00DF2CC6" w:rsidRDefault="00DF2CC6" w:rsidP="00DF2CC6">
            <w:pPr>
              <w:pStyle w:val="TableParagraph"/>
              <w:spacing w:line="240" w:lineRule="auto"/>
            </w:pPr>
          </w:p>
        </w:tc>
        <w:tc>
          <w:tcPr>
            <w:tcW w:w="2168" w:type="dxa"/>
          </w:tcPr>
          <w:p w14:paraId="1646A012" w14:textId="77777777" w:rsidR="00DF2CC6" w:rsidRDefault="00DF2CC6" w:rsidP="00DF2CC6">
            <w:pPr>
              <w:pStyle w:val="TableParagraph"/>
              <w:spacing w:line="240" w:lineRule="auto"/>
            </w:pPr>
          </w:p>
        </w:tc>
        <w:tc>
          <w:tcPr>
            <w:tcW w:w="2172" w:type="dxa"/>
          </w:tcPr>
          <w:p w14:paraId="2E77912E" w14:textId="77777777" w:rsidR="00DF2CC6" w:rsidRDefault="00DF2CC6" w:rsidP="00DF2CC6">
            <w:pPr>
              <w:pStyle w:val="TableParagraph"/>
              <w:spacing w:line="240" w:lineRule="auto"/>
            </w:pPr>
          </w:p>
        </w:tc>
        <w:tc>
          <w:tcPr>
            <w:tcW w:w="2144" w:type="dxa"/>
          </w:tcPr>
          <w:p w14:paraId="3C0965DB" w14:textId="77777777" w:rsidR="00DF2CC6" w:rsidRDefault="00DF2CC6" w:rsidP="00DF2CC6">
            <w:pPr>
              <w:pStyle w:val="TableParagraph"/>
              <w:tabs>
                <w:tab w:val="left" w:pos="630"/>
                <w:tab w:val="left" w:pos="1073"/>
                <w:tab w:val="left" w:pos="1541"/>
                <w:tab w:val="left" w:pos="1686"/>
              </w:tabs>
              <w:spacing w:line="240" w:lineRule="auto"/>
              <w:ind w:left="107" w:right="97"/>
              <w:rPr>
                <w:sz w:val="24"/>
              </w:rPr>
            </w:pPr>
            <w:proofErr w:type="gramStart"/>
            <w:r>
              <w:rPr>
                <w:spacing w:val="-6"/>
                <w:sz w:val="24"/>
              </w:rPr>
              <w:t>so</w:t>
            </w:r>
            <w:proofErr w:type="gramEnd"/>
            <w:r>
              <w:rPr>
                <w:sz w:val="24"/>
              </w:rPr>
              <w:tab/>
            </w:r>
            <w:r>
              <w:rPr>
                <w:spacing w:val="-6"/>
                <w:sz w:val="24"/>
              </w:rPr>
              <w:t>it</w:t>
            </w:r>
            <w:r>
              <w:rPr>
                <w:sz w:val="24"/>
              </w:rPr>
              <w:tab/>
            </w:r>
            <w:r>
              <w:rPr>
                <w:spacing w:val="-6"/>
                <w:sz w:val="24"/>
              </w:rPr>
              <w:t>is</w:t>
            </w:r>
            <w:r>
              <w:rPr>
                <w:sz w:val="24"/>
              </w:rPr>
              <w:tab/>
            </w:r>
            <w:r>
              <w:rPr>
                <w:spacing w:val="-4"/>
                <w:sz w:val="24"/>
              </w:rPr>
              <w:t xml:space="preserve">more </w:t>
            </w:r>
            <w:r>
              <w:rPr>
                <w:spacing w:val="-2"/>
                <w:sz w:val="24"/>
              </w:rPr>
              <w:t>relevant</w:t>
            </w:r>
            <w:r>
              <w:rPr>
                <w:sz w:val="24"/>
              </w:rPr>
              <w:tab/>
            </w:r>
            <w:r>
              <w:rPr>
                <w:sz w:val="24"/>
              </w:rPr>
              <w:tab/>
            </w:r>
            <w:r>
              <w:rPr>
                <w:sz w:val="24"/>
              </w:rPr>
              <w:tab/>
            </w:r>
            <w:r>
              <w:rPr>
                <w:spacing w:val="-5"/>
                <w:sz w:val="24"/>
              </w:rPr>
              <w:t>and</w:t>
            </w:r>
          </w:p>
          <w:p w14:paraId="4F955BB9" w14:textId="77777777" w:rsidR="00DF2CC6" w:rsidRDefault="00DF2CC6" w:rsidP="00DF2CC6">
            <w:pPr>
              <w:pStyle w:val="TableParagraph"/>
              <w:tabs>
                <w:tab w:val="left" w:pos="1751"/>
              </w:tabs>
              <w:spacing w:line="240" w:lineRule="auto"/>
              <w:ind w:left="107"/>
              <w:rPr>
                <w:sz w:val="24"/>
              </w:rPr>
            </w:pPr>
            <w:r>
              <w:rPr>
                <w:spacing w:val="-2"/>
                <w:sz w:val="24"/>
              </w:rPr>
              <w:t>meaningful</w:t>
            </w:r>
            <w:r>
              <w:rPr>
                <w:sz w:val="24"/>
              </w:rPr>
              <w:tab/>
            </w:r>
            <w:r>
              <w:rPr>
                <w:spacing w:val="-5"/>
                <w:sz w:val="24"/>
              </w:rPr>
              <w:t>for</w:t>
            </w:r>
          </w:p>
          <w:p w14:paraId="2FECA7E4" w14:textId="77777777" w:rsidR="00DF2CC6" w:rsidRDefault="00DF2CC6" w:rsidP="00DF2CC6">
            <w:pPr>
              <w:pStyle w:val="TableParagraph"/>
              <w:spacing w:line="257" w:lineRule="exact"/>
              <w:ind w:left="107"/>
              <w:rPr>
                <w:sz w:val="24"/>
              </w:rPr>
            </w:pPr>
            <w:r>
              <w:rPr>
                <w:spacing w:val="-2"/>
                <w:sz w:val="24"/>
              </w:rPr>
              <w:t>them.”</w:t>
            </w:r>
          </w:p>
        </w:tc>
      </w:tr>
      <w:tr w:rsidR="00DF2CC6" w14:paraId="1F21DC65" w14:textId="77777777" w:rsidTr="00DF2CC6">
        <w:trPr>
          <w:trHeight w:val="2208"/>
        </w:trPr>
        <w:tc>
          <w:tcPr>
            <w:tcW w:w="2156" w:type="dxa"/>
          </w:tcPr>
          <w:p w14:paraId="66AAE7C4" w14:textId="77777777" w:rsidR="00DF2CC6" w:rsidRDefault="00DF2CC6" w:rsidP="00DF2CC6">
            <w:pPr>
              <w:pStyle w:val="TableParagraph"/>
              <w:spacing w:line="240" w:lineRule="auto"/>
              <w:ind w:left="107" w:right="859" w:firstLine="283"/>
              <w:rPr>
                <w:sz w:val="24"/>
              </w:rPr>
            </w:pPr>
            <w:r>
              <w:rPr>
                <w:spacing w:val="-2"/>
                <w:sz w:val="24"/>
              </w:rPr>
              <w:t>Resource Adequacy</w:t>
            </w:r>
          </w:p>
        </w:tc>
        <w:tc>
          <w:tcPr>
            <w:tcW w:w="2168" w:type="dxa"/>
          </w:tcPr>
          <w:p w14:paraId="458A35A6" w14:textId="77777777" w:rsidR="00DF2CC6" w:rsidRDefault="00DF2CC6" w:rsidP="00DF2CC6">
            <w:pPr>
              <w:pStyle w:val="TableParagraph"/>
              <w:spacing w:line="240" w:lineRule="auto"/>
              <w:ind w:left="107" w:firstLine="283"/>
              <w:rPr>
                <w:sz w:val="24"/>
              </w:rPr>
            </w:pPr>
            <w:r>
              <w:rPr>
                <w:spacing w:val="-2"/>
                <w:sz w:val="24"/>
              </w:rPr>
              <w:t>Insufficient materials</w:t>
            </w:r>
          </w:p>
        </w:tc>
        <w:tc>
          <w:tcPr>
            <w:tcW w:w="2172" w:type="dxa"/>
          </w:tcPr>
          <w:p w14:paraId="62390D46" w14:textId="77777777" w:rsidR="00DF2CC6" w:rsidRDefault="00DF2CC6" w:rsidP="00DF2CC6">
            <w:pPr>
              <w:pStyle w:val="TableParagraph"/>
              <w:ind w:left="390"/>
              <w:rPr>
                <w:sz w:val="24"/>
              </w:rPr>
            </w:pPr>
            <w:r>
              <w:rPr>
                <w:spacing w:val="-10"/>
                <w:sz w:val="24"/>
              </w:rPr>
              <w:t>6</w:t>
            </w:r>
          </w:p>
        </w:tc>
        <w:tc>
          <w:tcPr>
            <w:tcW w:w="2144" w:type="dxa"/>
          </w:tcPr>
          <w:p w14:paraId="41BF2CD1" w14:textId="77777777" w:rsidR="00DF2CC6" w:rsidRDefault="00DF2CC6" w:rsidP="00DF2CC6">
            <w:pPr>
              <w:pStyle w:val="TableParagraph"/>
              <w:tabs>
                <w:tab w:val="left" w:pos="1686"/>
              </w:tabs>
              <w:spacing w:line="240" w:lineRule="auto"/>
              <w:ind w:left="107" w:right="98" w:firstLine="283"/>
              <w:jc w:val="both"/>
              <w:rPr>
                <w:sz w:val="24"/>
              </w:rPr>
            </w:pPr>
            <w:r>
              <w:rPr>
                <w:sz w:val="24"/>
              </w:rPr>
              <w:t xml:space="preserve">“Include more real-life dialogues, authentic listening </w:t>
            </w:r>
            <w:r>
              <w:rPr>
                <w:spacing w:val="-2"/>
                <w:sz w:val="24"/>
              </w:rPr>
              <w:t>materials,</w:t>
            </w:r>
            <w:r>
              <w:rPr>
                <w:sz w:val="24"/>
              </w:rPr>
              <w:tab/>
            </w:r>
            <w:r>
              <w:rPr>
                <w:spacing w:val="-4"/>
                <w:sz w:val="24"/>
              </w:rPr>
              <w:t xml:space="preserve">and </w:t>
            </w:r>
            <w:r>
              <w:rPr>
                <w:sz w:val="24"/>
              </w:rPr>
              <w:t>practical speaking tasks… this will make</w:t>
            </w:r>
            <w:r>
              <w:rPr>
                <w:spacing w:val="-2"/>
                <w:sz w:val="24"/>
              </w:rPr>
              <w:t xml:space="preserve"> </w:t>
            </w:r>
            <w:r>
              <w:rPr>
                <w:sz w:val="24"/>
              </w:rPr>
              <w:t>learning</w:t>
            </w:r>
            <w:r>
              <w:rPr>
                <w:spacing w:val="1"/>
                <w:sz w:val="24"/>
              </w:rPr>
              <w:t xml:space="preserve"> </w:t>
            </w:r>
            <w:r>
              <w:rPr>
                <w:spacing w:val="-4"/>
                <w:sz w:val="24"/>
              </w:rPr>
              <w:t>more</w:t>
            </w:r>
          </w:p>
          <w:p w14:paraId="5E272777" w14:textId="77777777" w:rsidR="00DF2CC6" w:rsidRDefault="00DF2CC6" w:rsidP="00DF2CC6">
            <w:pPr>
              <w:pStyle w:val="TableParagraph"/>
              <w:spacing w:line="257" w:lineRule="exact"/>
              <w:ind w:left="107"/>
              <w:rPr>
                <w:sz w:val="24"/>
              </w:rPr>
            </w:pPr>
            <w:r>
              <w:rPr>
                <w:spacing w:val="-2"/>
                <w:sz w:val="24"/>
              </w:rPr>
              <w:t>meaningful.”</w:t>
            </w:r>
          </w:p>
        </w:tc>
      </w:tr>
      <w:tr w:rsidR="00DF2CC6" w14:paraId="1A7629C5" w14:textId="77777777" w:rsidTr="00DF2CC6">
        <w:trPr>
          <w:trHeight w:val="2483"/>
        </w:trPr>
        <w:tc>
          <w:tcPr>
            <w:tcW w:w="2156" w:type="dxa"/>
          </w:tcPr>
          <w:p w14:paraId="7110D233" w14:textId="77777777" w:rsidR="00DF2CC6" w:rsidRDefault="00DF2CC6" w:rsidP="00DF2CC6">
            <w:pPr>
              <w:pStyle w:val="TableParagraph"/>
              <w:spacing w:line="240" w:lineRule="auto"/>
              <w:ind w:left="107" w:right="859" w:firstLine="283"/>
              <w:rPr>
                <w:sz w:val="24"/>
              </w:rPr>
            </w:pPr>
            <w:r>
              <w:rPr>
                <w:spacing w:val="-2"/>
                <w:sz w:val="24"/>
              </w:rPr>
              <w:t>Resource Adequacy</w:t>
            </w:r>
          </w:p>
        </w:tc>
        <w:tc>
          <w:tcPr>
            <w:tcW w:w="2168" w:type="dxa"/>
          </w:tcPr>
          <w:p w14:paraId="2D5CE19E" w14:textId="77777777" w:rsidR="00DF2CC6" w:rsidRDefault="00DF2CC6" w:rsidP="00DF2CC6">
            <w:pPr>
              <w:pStyle w:val="TableParagraph"/>
              <w:spacing w:line="240" w:lineRule="auto"/>
              <w:ind w:left="107" w:right="98" w:firstLine="283"/>
              <w:rPr>
                <w:sz w:val="24"/>
              </w:rPr>
            </w:pPr>
            <w:r>
              <w:rPr>
                <w:sz w:val="24"/>
              </w:rPr>
              <w:t>Limited</w:t>
            </w:r>
            <w:r>
              <w:rPr>
                <w:spacing w:val="-15"/>
                <w:sz w:val="24"/>
              </w:rPr>
              <w:t xml:space="preserve"> </w:t>
            </w:r>
            <w:r>
              <w:rPr>
                <w:sz w:val="24"/>
              </w:rPr>
              <w:t>access</w:t>
            </w:r>
            <w:r>
              <w:rPr>
                <w:spacing w:val="-15"/>
                <w:sz w:val="24"/>
              </w:rPr>
              <w:t xml:space="preserve"> </w:t>
            </w:r>
            <w:r>
              <w:rPr>
                <w:sz w:val="24"/>
              </w:rPr>
              <w:t xml:space="preserve">to </w:t>
            </w:r>
            <w:r>
              <w:rPr>
                <w:spacing w:val="-2"/>
                <w:sz w:val="24"/>
              </w:rPr>
              <w:t>technology</w:t>
            </w:r>
          </w:p>
        </w:tc>
        <w:tc>
          <w:tcPr>
            <w:tcW w:w="2172" w:type="dxa"/>
          </w:tcPr>
          <w:p w14:paraId="5F48443C" w14:textId="77777777" w:rsidR="00DF2CC6" w:rsidRDefault="00DF2CC6" w:rsidP="00DF2CC6">
            <w:pPr>
              <w:pStyle w:val="TableParagraph"/>
              <w:ind w:left="390"/>
              <w:rPr>
                <w:sz w:val="24"/>
              </w:rPr>
            </w:pPr>
            <w:r>
              <w:rPr>
                <w:spacing w:val="-10"/>
                <w:sz w:val="24"/>
              </w:rPr>
              <w:t>5</w:t>
            </w:r>
          </w:p>
        </w:tc>
        <w:tc>
          <w:tcPr>
            <w:tcW w:w="2144" w:type="dxa"/>
          </w:tcPr>
          <w:p w14:paraId="726EA9D4" w14:textId="77777777" w:rsidR="00DF2CC6" w:rsidRDefault="00DF2CC6" w:rsidP="00DF2CC6">
            <w:pPr>
              <w:pStyle w:val="TableParagraph"/>
              <w:tabs>
                <w:tab w:val="left" w:pos="1261"/>
                <w:tab w:val="left" w:pos="1338"/>
              </w:tabs>
              <w:spacing w:line="276" w:lineRule="exact"/>
              <w:ind w:left="107" w:right="98" w:firstLine="283"/>
              <w:jc w:val="both"/>
              <w:rPr>
                <w:sz w:val="24"/>
              </w:rPr>
            </w:pPr>
            <w:r>
              <w:rPr>
                <w:sz w:val="24"/>
              </w:rPr>
              <w:t xml:space="preserve">“Students from rural areas struggle </w:t>
            </w:r>
            <w:r>
              <w:rPr>
                <w:spacing w:val="-4"/>
                <w:sz w:val="24"/>
              </w:rPr>
              <w:t>with</w:t>
            </w:r>
            <w:r>
              <w:rPr>
                <w:sz w:val="24"/>
              </w:rPr>
              <w:tab/>
            </w:r>
            <w:r>
              <w:rPr>
                <w:spacing w:val="-2"/>
                <w:sz w:val="24"/>
              </w:rPr>
              <w:t xml:space="preserve">audio… </w:t>
            </w:r>
            <w:r>
              <w:rPr>
                <w:sz w:val="24"/>
              </w:rPr>
              <w:t xml:space="preserve">having a local tone would help them cope better and reduce the need for </w:t>
            </w:r>
            <w:r>
              <w:rPr>
                <w:spacing w:val="-2"/>
                <w:sz w:val="24"/>
              </w:rPr>
              <w:t>extra</w:t>
            </w:r>
            <w:r>
              <w:rPr>
                <w:sz w:val="24"/>
              </w:rPr>
              <w:tab/>
            </w:r>
            <w:r>
              <w:rPr>
                <w:sz w:val="24"/>
              </w:rPr>
              <w:tab/>
            </w:r>
            <w:r>
              <w:rPr>
                <w:spacing w:val="-2"/>
                <w:sz w:val="24"/>
              </w:rPr>
              <w:t>teacher intervention.”</w:t>
            </w:r>
          </w:p>
        </w:tc>
      </w:tr>
    </w:tbl>
    <w:p w14:paraId="1ACB48FD" w14:textId="77777777" w:rsidR="00DF2CC6" w:rsidRDefault="00DF2CC6" w:rsidP="00DF2CC6">
      <w:pPr>
        <w:pStyle w:val="TableParagraph"/>
        <w:spacing w:line="276" w:lineRule="exact"/>
        <w:jc w:val="both"/>
        <w:rPr>
          <w:sz w:val="24"/>
        </w:rPr>
      </w:pPr>
    </w:p>
    <w:p w14:paraId="59FFA58D" w14:textId="77777777" w:rsidR="00FD52C1" w:rsidRPr="00FD52C1" w:rsidRDefault="00FD52C1" w:rsidP="00FD52C1">
      <w:pPr>
        <w:rPr>
          <w:lang w:val="en-US"/>
        </w:rPr>
      </w:pPr>
    </w:p>
    <w:p w14:paraId="06662EA1" w14:textId="77777777" w:rsidR="00FD52C1" w:rsidRPr="00FD52C1" w:rsidRDefault="00FD52C1" w:rsidP="00FD52C1">
      <w:pPr>
        <w:rPr>
          <w:lang w:val="en-US"/>
        </w:rPr>
      </w:pPr>
    </w:p>
    <w:p w14:paraId="3939A1B4" w14:textId="77777777" w:rsidR="00FD52C1" w:rsidRPr="00FD52C1" w:rsidRDefault="00FD52C1" w:rsidP="00FD52C1">
      <w:pPr>
        <w:rPr>
          <w:lang w:val="en-US"/>
        </w:rPr>
      </w:pPr>
    </w:p>
    <w:p w14:paraId="77F0BC26" w14:textId="77777777" w:rsidR="00FD52C1" w:rsidRPr="00FD52C1" w:rsidRDefault="00FD52C1" w:rsidP="00FD52C1">
      <w:pPr>
        <w:rPr>
          <w:lang w:val="en-US"/>
        </w:rPr>
      </w:pPr>
    </w:p>
    <w:p w14:paraId="62A8DDBF" w14:textId="77777777" w:rsidR="00FD52C1" w:rsidRPr="00FD52C1" w:rsidRDefault="00FD52C1" w:rsidP="00FD52C1">
      <w:pPr>
        <w:rPr>
          <w:lang w:val="en-US"/>
        </w:rPr>
      </w:pPr>
    </w:p>
    <w:p w14:paraId="29367613" w14:textId="77777777" w:rsidR="00FD52C1" w:rsidRPr="00FD52C1" w:rsidRDefault="00FD52C1" w:rsidP="00FD52C1">
      <w:pPr>
        <w:rPr>
          <w:lang w:val="en-US"/>
        </w:rPr>
      </w:pPr>
    </w:p>
    <w:p w14:paraId="5E691A5D" w14:textId="77777777" w:rsidR="00FD52C1" w:rsidRPr="00FD52C1" w:rsidRDefault="00FD52C1" w:rsidP="00FD52C1">
      <w:pPr>
        <w:rPr>
          <w:lang w:val="en-US"/>
        </w:rPr>
      </w:pPr>
    </w:p>
    <w:p w14:paraId="0C227E2A" w14:textId="77777777" w:rsidR="00FD52C1" w:rsidRPr="00FD52C1" w:rsidRDefault="00FD52C1" w:rsidP="00FD52C1">
      <w:pPr>
        <w:rPr>
          <w:lang w:val="en-US"/>
        </w:rPr>
      </w:pPr>
    </w:p>
    <w:p w14:paraId="419C4BF4" w14:textId="77777777" w:rsidR="00FD52C1" w:rsidRPr="00FD52C1" w:rsidRDefault="00FD52C1" w:rsidP="00FD52C1">
      <w:pPr>
        <w:rPr>
          <w:lang w:val="en-US"/>
        </w:rPr>
      </w:pPr>
    </w:p>
    <w:p w14:paraId="30335AD1" w14:textId="77777777" w:rsidR="00FD52C1" w:rsidRPr="00FD52C1" w:rsidRDefault="00FD52C1" w:rsidP="00FD52C1">
      <w:pPr>
        <w:rPr>
          <w:lang w:val="en-US"/>
        </w:rPr>
      </w:pPr>
    </w:p>
    <w:p w14:paraId="7061399D" w14:textId="77777777" w:rsidR="00FD52C1" w:rsidRPr="00FD52C1" w:rsidRDefault="00FD52C1" w:rsidP="00FD52C1">
      <w:pPr>
        <w:rPr>
          <w:lang w:val="en-US"/>
        </w:rPr>
      </w:pPr>
    </w:p>
    <w:p w14:paraId="6C8250E8" w14:textId="77777777" w:rsidR="00FD52C1" w:rsidRPr="00FD52C1" w:rsidRDefault="00FD52C1" w:rsidP="00FD52C1">
      <w:pPr>
        <w:rPr>
          <w:lang w:val="en-US"/>
        </w:rPr>
      </w:pPr>
    </w:p>
    <w:p w14:paraId="27D32350" w14:textId="77777777" w:rsidR="00FD52C1" w:rsidRPr="00FD52C1" w:rsidRDefault="00FD52C1" w:rsidP="00FD52C1">
      <w:pPr>
        <w:rPr>
          <w:lang w:val="en-US"/>
        </w:rPr>
      </w:pPr>
    </w:p>
    <w:p w14:paraId="6399DF7B" w14:textId="77777777" w:rsidR="00FD52C1" w:rsidRDefault="00FD52C1" w:rsidP="00FD52C1">
      <w:pPr>
        <w:rPr>
          <w:rFonts w:eastAsia="Times New Roman" w:cs="Times New Roman"/>
          <w:lang w:val="en-US"/>
        </w:rPr>
      </w:pPr>
    </w:p>
    <w:p w14:paraId="6E82F032" w14:textId="6EC6A92B" w:rsidR="00EA64CB" w:rsidRDefault="00EA64CB" w:rsidP="00214444">
      <w:pPr>
        <w:spacing w:line="240" w:lineRule="auto"/>
        <w:rPr>
          <w:rFonts w:cs="Times New Roman"/>
          <w:bCs/>
          <w:szCs w:val="24"/>
        </w:rPr>
      </w:pPr>
      <w:r>
        <w:rPr>
          <w:i/>
          <w:noProof/>
          <w:sz w:val="20"/>
        </w:rPr>
        <w:drawing>
          <wp:anchor distT="0" distB="0" distL="0" distR="0" simplePos="0" relativeHeight="251672576" behindDoc="1" locked="0" layoutInCell="1" allowOverlap="1" wp14:anchorId="20CB76B9" wp14:editId="184790A0">
            <wp:simplePos x="0" y="0"/>
            <wp:positionH relativeFrom="page">
              <wp:posOffset>1689100</wp:posOffset>
            </wp:positionH>
            <wp:positionV relativeFrom="paragraph">
              <wp:posOffset>238760</wp:posOffset>
            </wp:positionV>
            <wp:extent cx="4436251" cy="2820543"/>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8" cstate="print"/>
                    <a:stretch>
                      <a:fillRect/>
                    </a:stretch>
                  </pic:blipFill>
                  <pic:spPr>
                    <a:xfrm>
                      <a:off x="0" y="0"/>
                      <a:ext cx="4436251" cy="2820543"/>
                    </a:xfrm>
                    <a:prstGeom prst="rect">
                      <a:avLst/>
                    </a:prstGeom>
                  </pic:spPr>
                </pic:pic>
              </a:graphicData>
            </a:graphic>
          </wp:anchor>
        </w:drawing>
      </w:r>
    </w:p>
    <w:p w14:paraId="7A7052CA" w14:textId="2638DEC3" w:rsidR="00EA64CB" w:rsidRDefault="00EA64CB" w:rsidP="00214444">
      <w:pPr>
        <w:spacing w:line="240" w:lineRule="auto"/>
        <w:rPr>
          <w:rFonts w:cs="Times New Roman"/>
          <w:bCs/>
          <w:szCs w:val="24"/>
        </w:rPr>
      </w:pPr>
    </w:p>
    <w:p w14:paraId="7D3ADF64" w14:textId="3ACDAF5E" w:rsidR="00EA64CB" w:rsidRDefault="00EA64CB" w:rsidP="00EA64CB">
      <w:pPr>
        <w:spacing w:before="1"/>
        <w:ind w:left="851"/>
        <w:jc w:val="center"/>
        <w:rPr>
          <w:i/>
        </w:rPr>
      </w:pPr>
      <w:r>
        <w:rPr>
          <w:i/>
        </w:rPr>
        <w:t>Figure</w:t>
      </w:r>
      <w:r>
        <w:rPr>
          <w:i/>
          <w:spacing w:val="-1"/>
        </w:rPr>
        <w:t xml:space="preserve"> </w:t>
      </w:r>
      <w:r w:rsidR="00E65C4D">
        <w:rPr>
          <w:i/>
        </w:rPr>
        <w:t>6</w:t>
      </w:r>
      <w:r>
        <w:rPr>
          <w:i/>
        </w:rPr>
        <w:t xml:space="preserve">: </w:t>
      </w:r>
      <w:r>
        <w:rPr>
          <w:i/>
        </w:rPr>
        <w:t>Frequency</w:t>
      </w:r>
      <w:r>
        <w:rPr>
          <w:i/>
          <w:spacing w:val="-2"/>
        </w:rPr>
        <w:t xml:space="preserve"> </w:t>
      </w:r>
      <w:r>
        <w:rPr>
          <w:i/>
        </w:rPr>
        <w:t>of</w:t>
      </w:r>
      <w:r>
        <w:rPr>
          <w:i/>
          <w:spacing w:val="1"/>
        </w:rPr>
        <w:t xml:space="preserve"> </w:t>
      </w:r>
      <w:r>
        <w:rPr>
          <w:i/>
        </w:rPr>
        <w:t>Themes</w:t>
      </w:r>
      <w:r>
        <w:rPr>
          <w:i/>
          <w:spacing w:val="-1"/>
        </w:rPr>
        <w:t xml:space="preserve"> </w:t>
      </w:r>
      <w:r>
        <w:rPr>
          <w:i/>
        </w:rPr>
        <w:t>Identified</w:t>
      </w:r>
      <w:r>
        <w:rPr>
          <w:i/>
          <w:spacing w:val="-1"/>
        </w:rPr>
        <w:t xml:space="preserve"> </w:t>
      </w:r>
      <w:r>
        <w:rPr>
          <w:i/>
        </w:rPr>
        <w:t>in</w:t>
      </w:r>
      <w:r>
        <w:rPr>
          <w:i/>
          <w:spacing w:val="-1"/>
        </w:rPr>
        <w:t xml:space="preserve"> </w:t>
      </w:r>
      <w:r>
        <w:rPr>
          <w:i/>
        </w:rPr>
        <w:t xml:space="preserve">Thematic </w:t>
      </w:r>
      <w:r>
        <w:rPr>
          <w:i/>
          <w:spacing w:val="-2"/>
        </w:rPr>
        <w:t>Analysis</w:t>
      </w:r>
    </w:p>
    <w:p w14:paraId="0B166434" w14:textId="77777777" w:rsidR="00EA64CB" w:rsidRDefault="00EA64CB" w:rsidP="00214444">
      <w:pPr>
        <w:spacing w:line="240" w:lineRule="auto"/>
        <w:rPr>
          <w:rFonts w:cs="Times New Roman"/>
          <w:bCs/>
          <w:szCs w:val="24"/>
        </w:rPr>
      </w:pPr>
    </w:p>
    <w:p w14:paraId="27E2023A" w14:textId="750ECCE5" w:rsidR="00012043" w:rsidRDefault="00012043" w:rsidP="00214444">
      <w:pPr>
        <w:spacing w:line="240" w:lineRule="auto"/>
        <w:rPr>
          <w:rFonts w:cs="Times New Roman"/>
          <w:bCs/>
          <w:szCs w:val="24"/>
        </w:rPr>
      </w:pPr>
      <w:r w:rsidRPr="008B1B25">
        <w:rPr>
          <w:rFonts w:cs="Times New Roman"/>
          <w:bCs/>
          <w:szCs w:val="24"/>
        </w:rPr>
        <w:t>Vivo analysis revealed recurring themes. Teachers emphasised the need for more culturally relevant content, authentic oral tasks, and flexibility to suit mixed</w:t>
      </w:r>
      <w:r w:rsidRPr="008B1B25">
        <w:rPr>
          <w:rFonts w:cs="Times New Roman"/>
          <w:bCs/>
          <w:szCs w:val="24"/>
        </w:rPr>
        <w:noBreakHyphen/>
        <w:t>ability classrooms. Comments highlighted that scripted dialogues and Western</w:t>
      </w:r>
      <w:r w:rsidRPr="008B1B25">
        <w:rPr>
          <w:rFonts w:cs="Times New Roman"/>
          <w:bCs/>
          <w:szCs w:val="24"/>
        </w:rPr>
        <w:noBreakHyphen/>
        <w:t>centric examples reduce relevance for Malaysian learners, while limited fluency</w:t>
      </w:r>
      <w:r w:rsidRPr="008B1B25">
        <w:rPr>
          <w:rFonts w:cs="Times New Roman"/>
          <w:bCs/>
          <w:szCs w:val="24"/>
        </w:rPr>
        <w:noBreakHyphen/>
        <w:t>building activities restrict students from moving beyond guided responses to independent speech.</w:t>
      </w:r>
    </w:p>
    <w:p w14:paraId="3C0891C7" w14:textId="77777777" w:rsidR="00012043" w:rsidRPr="008B1B25" w:rsidRDefault="00012043" w:rsidP="00214444">
      <w:pPr>
        <w:spacing w:line="240" w:lineRule="auto"/>
        <w:rPr>
          <w:rFonts w:cs="Times New Roman"/>
          <w:bCs/>
          <w:szCs w:val="24"/>
        </w:rPr>
      </w:pPr>
    </w:p>
    <w:p w14:paraId="722972CF" w14:textId="0B80768C" w:rsidR="00012043" w:rsidRPr="008B1B25" w:rsidRDefault="00012043" w:rsidP="00214444">
      <w:pPr>
        <w:spacing w:line="240" w:lineRule="auto"/>
        <w:rPr>
          <w:rFonts w:cs="Times New Roman"/>
          <w:b/>
          <w:szCs w:val="24"/>
        </w:rPr>
      </w:pPr>
      <w:r w:rsidRPr="008B1B25">
        <w:rPr>
          <w:rFonts w:cs="Times New Roman"/>
          <w:b/>
          <w:szCs w:val="24"/>
        </w:rPr>
        <w:lastRenderedPageBreak/>
        <w:t>4.</w:t>
      </w:r>
      <w:r w:rsidR="00F9413E">
        <w:rPr>
          <w:rFonts w:cs="Times New Roman"/>
          <w:b/>
          <w:szCs w:val="24"/>
        </w:rPr>
        <w:t>3</w:t>
      </w:r>
      <w:r w:rsidRPr="008B1B25">
        <w:rPr>
          <w:rFonts w:cs="Times New Roman"/>
          <w:b/>
          <w:szCs w:val="24"/>
        </w:rPr>
        <w:t xml:space="preserve"> </w:t>
      </w:r>
      <w:r w:rsidR="00CD7899" w:rsidRPr="008B1B25">
        <w:rPr>
          <w:rFonts w:cs="Times New Roman"/>
          <w:b/>
          <w:szCs w:val="24"/>
        </w:rPr>
        <w:t>Integrat</w:t>
      </w:r>
      <w:r w:rsidR="007A635F">
        <w:rPr>
          <w:rFonts w:cs="Times New Roman"/>
          <w:b/>
          <w:szCs w:val="24"/>
        </w:rPr>
        <w:t>ion of Quantitative and Qualit</w:t>
      </w:r>
      <w:r w:rsidR="002F332F">
        <w:rPr>
          <w:rFonts w:cs="Times New Roman"/>
          <w:b/>
          <w:szCs w:val="24"/>
        </w:rPr>
        <w:t>ative</w:t>
      </w:r>
      <w:r w:rsidR="00BF5082">
        <w:rPr>
          <w:rFonts w:cs="Times New Roman"/>
          <w:b/>
          <w:szCs w:val="24"/>
        </w:rPr>
        <w:t xml:space="preserve"> Findings</w:t>
      </w:r>
    </w:p>
    <w:p w14:paraId="41FC49FE" w14:textId="77777777" w:rsidR="0043374E" w:rsidRPr="0043374E" w:rsidRDefault="0043374E" w:rsidP="0043374E">
      <w:pPr>
        <w:spacing w:line="240" w:lineRule="auto"/>
        <w:rPr>
          <w:rFonts w:cs="Times New Roman"/>
          <w:bCs/>
          <w:szCs w:val="24"/>
        </w:rPr>
      </w:pPr>
    </w:p>
    <w:p w14:paraId="76E56567" w14:textId="441BCF04" w:rsidR="0043374E" w:rsidRPr="0043374E" w:rsidRDefault="0043374E" w:rsidP="0043374E">
      <w:pPr>
        <w:spacing w:line="240" w:lineRule="auto"/>
        <w:rPr>
          <w:rFonts w:cs="Times New Roman"/>
          <w:bCs/>
          <w:szCs w:val="24"/>
        </w:rPr>
      </w:pPr>
      <w:r w:rsidRPr="0043374E">
        <w:rPr>
          <w:rFonts w:cs="Times New Roman"/>
          <w:bCs/>
          <w:szCs w:val="24"/>
        </w:rPr>
        <w:t>Integration refers to the method of combining quantitative data which is numerical or statistical with qualitative data which is textual or thematic to form a cohesive understanding of the research problem. Not only are both types of data presented but they complement each other by displaying how they agree or disagree with each other.</w:t>
      </w:r>
      <w:r>
        <w:rPr>
          <w:rFonts w:cs="Times New Roman"/>
          <w:bCs/>
          <w:szCs w:val="24"/>
        </w:rPr>
        <w:t xml:space="preserve"> </w:t>
      </w:r>
      <w:r w:rsidRPr="0043374E">
        <w:rPr>
          <w:rFonts w:cs="Times New Roman"/>
          <w:bCs/>
          <w:szCs w:val="24"/>
        </w:rPr>
        <w:t>In this research, there was an investigation of how English Plus 1 helps with listening and speaking skills. Teachers’ rating in the Likert-scale provides the quantitative data whereas why they rated it the way they did and how they experience it in practice is reflected in the qualitative data.</w:t>
      </w:r>
    </w:p>
    <w:p w14:paraId="59700B0A" w14:textId="77777777" w:rsidR="0043374E" w:rsidRPr="0043374E" w:rsidRDefault="0043374E" w:rsidP="0043374E">
      <w:pPr>
        <w:spacing w:line="240" w:lineRule="auto"/>
        <w:rPr>
          <w:rFonts w:cs="Times New Roman"/>
          <w:bCs/>
          <w:szCs w:val="24"/>
        </w:rPr>
      </w:pPr>
    </w:p>
    <w:p w14:paraId="79F07E31" w14:textId="2E661610" w:rsidR="0043374E" w:rsidRPr="0043374E" w:rsidRDefault="0043374E" w:rsidP="0043374E">
      <w:pPr>
        <w:spacing w:line="240" w:lineRule="auto"/>
        <w:rPr>
          <w:rFonts w:cs="Times New Roman"/>
          <w:bCs/>
          <w:szCs w:val="24"/>
        </w:rPr>
      </w:pPr>
      <w:r w:rsidRPr="0043374E">
        <w:rPr>
          <w:rFonts w:cs="Times New Roman"/>
          <w:bCs/>
          <w:szCs w:val="24"/>
        </w:rPr>
        <w:t>There are multiple reasons as to why quantitative and qualitative methods were used in this research. Listening and speaking skills in an ESL classroom can be influenced by textbook features which are measurable and other realities happening in a classroom such as the proficiency levels of different students, time constraints, classroom disruptions and many other factors that play a part in influencing the listening and speaking skills.</w:t>
      </w:r>
      <w:r>
        <w:rPr>
          <w:rFonts w:cs="Times New Roman"/>
          <w:bCs/>
          <w:szCs w:val="24"/>
        </w:rPr>
        <w:t xml:space="preserve"> </w:t>
      </w:r>
      <w:r w:rsidRPr="0043374E">
        <w:rPr>
          <w:rFonts w:cs="Times New Roman"/>
          <w:bCs/>
          <w:szCs w:val="24"/>
        </w:rPr>
        <w:t>Other than that, if both data gained from qualitative and quantitative methods are pointing in the same direction then it elevates and strengthens the argument such as the textbook is able to improve the listening and speaking skills. However, if the data from both methods deviate from each other then, it reveals frictions that are worth investigating.</w:t>
      </w:r>
    </w:p>
    <w:p w14:paraId="1A2621C1" w14:textId="77777777" w:rsidR="0043374E" w:rsidRPr="0043374E" w:rsidRDefault="0043374E" w:rsidP="0043374E">
      <w:pPr>
        <w:spacing w:line="240" w:lineRule="auto"/>
        <w:rPr>
          <w:rFonts w:cs="Times New Roman"/>
          <w:bCs/>
          <w:szCs w:val="24"/>
        </w:rPr>
      </w:pPr>
    </w:p>
    <w:p w14:paraId="552EDACF" w14:textId="3A2778DD" w:rsidR="0043374E" w:rsidRPr="0043374E" w:rsidRDefault="0043374E" w:rsidP="0043374E">
      <w:pPr>
        <w:spacing w:line="240" w:lineRule="auto"/>
        <w:rPr>
          <w:rFonts w:cs="Times New Roman"/>
          <w:bCs/>
          <w:szCs w:val="24"/>
        </w:rPr>
      </w:pPr>
      <w:r w:rsidRPr="0043374E">
        <w:rPr>
          <w:rFonts w:cs="Times New Roman"/>
          <w:bCs/>
          <w:szCs w:val="24"/>
        </w:rPr>
        <w:t>Additionally, it also helps to bridge theory and practice. Theoretical alignment will be reflected through the quantitative data. Apart from that, the qualitative data reveals how teachers deal with all the real classrooms obstacles such as the actual textbook implementation despite the challenges faced and how they adapt those tasks including the challenges.</w:t>
      </w:r>
      <w:r>
        <w:rPr>
          <w:rFonts w:cs="Times New Roman"/>
          <w:bCs/>
          <w:szCs w:val="24"/>
        </w:rPr>
        <w:t xml:space="preserve"> </w:t>
      </w:r>
      <w:r w:rsidRPr="0043374E">
        <w:rPr>
          <w:rFonts w:cs="Times New Roman"/>
          <w:bCs/>
          <w:szCs w:val="24"/>
        </w:rPr>
        <w:t xml:space="preserve">Lastly, by integrating both these methods in </w:t>
      </w:r>
      <w:proofErr w:type="gramStart"/>
      <w:r w:rsidRPr="0043374E">
        <w:rPr>
          <w:rFonts w:cs="Times New Roman"/>
          <w:bCs/>
          <w:szCs w:val="24"/>
        </w:rPr>
        <w:t>researches</w:t>
      </w:r>
      <w:proofErr w:type="gramEnd"/>
      <w:r w:rsidRPr="0043374E">
        <w:rPr>
          <w:rFonts w:cs="Times New Roman"/>
          <w:bCs/>
          <w:szCs w:val="24"/>
        </w:rPr>
        <w:t xml:space="preserve">, it helps in enhancing credibility and depth of the results found. Mixed methods application in </w:t>
      </w:r>
      <w:proofErr w:type="gramStart"/>
      <w:r w:rsidRPr="0043374E">
        <w:rPr>
          <w:rFonts w:cs="Times New Roman"/>
          <w:bCs/>
          <w:szCs w:val="24"/>
        </w:rPr>
        <w:t>researches</w:t>
      </w:r>
      <w:proofErr w:type="gramEnd"/>
      <w:r w:rsidRPr="0043374E">
        <w:rPr>
          <w:rFonts w:cs="Times New Roman"/>
          <w:bCs/>
          <w:szCs w:val="24"/>
        </w:rPr>
        <w:t xml:space="preserve"> show that findings are not one sided and have been thoroughly explored. It also displays precision academically and adaptability in real-life challenges and obstacles.</w:t>
      </w:r>
    </w:p>
    <w:p w14:paraId="018D12C4" w14:textId="77777777" w:rsidR="0043374E" w:rsidRPr="0043374E" w:rsidRDefault="0043374E" w:rsidP="0043374E">
      <w:pPr>
        <w:spacing w:line="240" w:lineRule="auto"/>
        <w:rPr>
          <w:rFonts w:cs="Times New Roman"/>
          <w:bCs/>
          <w:szCs w:val="24"/>
        </w:rPr>
      </w:pPr>
    </w:p>
    <w:p w14:paraId="13004184" w14:textId="56C6D37F" w:rsidR="00A75398" w:rsidRDefault="0043374E" w:rsidP="0043374E">
      <w:pPr>
        <w:spacing w:line="240" w:lineRule="auto"/>
        <w:rPr>
          <w:rFonts w:cs="Times New Roman"/>
          <w:bCs/>
          <w:szCs w:val="24"/>
        </w:rPr>
      </w:pPr>
      <w:r w:rsidRPr="0043374E">
        <w:rPr>
          <w:rFonts w:cs="Times New Roman"/>
          <w:bCs/>
          <w:szCs w:val="24"/>
        </w:rPr>
        <w:t>The integration of quantitative and qualitative findings provided a comprehensive understanding of how English Plus 1 supports listening and speaking skill development. Quantitative data revealed generally positive ratings for textbook scaffolding and CEFR alignment, while qualitative responses added depth by highlighting classroom constraints and teacher adaptations. For example, while “Defined Goals in Listening Tasks” received a mean score of 3.63, teachers also described modifying tasks to suit students’ proficiency levels. This convergence suggests that while the textbook is theoretically sound, its practical implementation requires flexibility. Conversely, disagreement was observed in speaking task authenticity despite moderate ratings, teachers expressed concerns about impromptu and real-life relevance. These integrated insights underscore the importance of designing materials that are both pedagogically aligned and contextually adaptable.</w:t>
      </w:r>
    </w:p>
    <w:p w14:paraId="20162539" w14:textId="77777777" w:rsidR="0043374E" w:rsidRPr="008B1B25" w:rsidRDefault="0043374E" w:rsidP="0043374E">
      <w:pPr>
        <w:spacing w:line="240" w:lineRule="auto"/>
        <w:rPr>
          <w:rFonts w:cs="Times New Roman"/>
          <w:b/>
          <w:szCs w:val="24"/>
        </w:rPr>
      </w:pPr>
    </w:p>
    <w:p w14:paraId="678FCEDF" w14:textId="309E4349" w:rsidR="00A75398" w:rsidRPr="008B1B25" w:rsidRDefault="00903EB6" w:rsidP="00A75398">
      <w:pPr>
        <w:spacing w:line="240" w:lineRule="auto"/>
        <w:rPr>
          <w:rFonts w:cs="Times New Roman"/>
          <w:b/>
          <w:szCs w:val="24"/>
        </w:rPr>
      </w:pPr>
      <w:r>
        <w:rPr>
          <w:rFonts w:cs="Times New Roman"/>
          <w:b/>
          <w:szCs w:val="24"/>
        </w:rPr>
        <w:t>5</w:t>
      </w:r>
      <w:r w:rsidR="00A75398" w:rsidRPr="008B1B25">
        <w:rPr>
          <w:rFonts w:cs="Times New Roman"/>
          <w:b/>
          <w:szCs w:val="24"/>
        </w:rPr>
        <w:t xml:space="preserve">. Conclusion </w:t>
      </w:r>
    </w:p>
    <w:p w14:paraId="0ACA96EE" w14:textId="77777777" w:rsidR="00A75398" w:rsidRPr="008B1B25" w:rsidRDefault="00A75398" w:rsidP="00A75398">
      <w:pPr>
        <w:spacing w:line="240" w:lineRule="auto"/>
        <w:rPr>
          <w:rFonts w:cs="Times New Roman"/>
          <w:b/>
          <w:szCs w:val="24"/>
        </w:rPr>
      </w:pPr>
    </w:p>
    <w:p w14:paraId="563132C6" w14:textId="1D1F054C" w:rsidR="00DB6F40" w:rsidRDefault="00DB6F40" w:rsidP="00DB6F40">
      <w:pPr>
        <w:spacing w:line="240" w:lineRule="auto"/>
        <w:rPr>
          <w:rFonts w:cs="Times New Roman"/>
          <w:bCs/>
          <w:szCs w:val="24"/>
        </w:rPr>
      </w:pPr>
      <w:r w:rsidRPr="00DB6F40">
        <w:rPr>
          <w:rFonts w:cs="Times New Roman"/>
          <w:bCs/>
          <w:szCs w:val="24"/>
        </w:rPr>
        <w:t>The findings sustain the foundational strengths of English Plus 1 Year 5 while identifying areas for improvement. With careful transformation, a design which is inclusive, and continuous support for teachers, CEFR-aligned materials can evolve into powerful tools for communicative competence.</w:t>
      </w:r>
      <w:r>
        <w:rPr>
          <w:rFonts w:cs="Times New Roman"/>
          <w:bCs/>
          <w:szCs w:val="24"/>
        </w:rPr>
        <w:t xml:space="preserve"> </w:t>
      </w:r>
      <w:r w:rsidRPr="00DB6F40">
        <w:rPr>
          <w:rFonts w:cs="Times New Roman"/>
          <w:bCs/>
          <w:szCs w:val="24"/>
        </w:rPr>
        <w:t xml:space="preserve">Finally, the success of any curriculum lies not in its theoretical alignment, but in its ability to relate with students and empower teachers. This study contributes </w:t>
      </w:r>
      <w:r w:rsidRPr="00DB6F40">
        <w:rPr>
          <w:rFonts w:cs="Times New Roman"/>
          <w:bCs/>
          <w:szCs w:val="24"/>
        </w:rPr>
        <w:lastRenderedPageBreak/>
        <w:t>to that vision, encouraging a more responsive, impartial and effective approach to language education in Malaysia.</w:t>
      </w:r>
    </w:p>
    <w:p w14:paraId="08993F63" w14:textId="77777777" w:rsidR="00DB6F40" w:rsidRDefault="00DB6F40" w:rsidP="00DB6F40">
      <w:pPr>
        <w:spacing w:line="240" w:lineRule="auto"/>
        <w:rPr>
          <w:rFonts w:cs="Times New Roman"/>
          <w:bCs/>
          <w:szCs w:val="24"/>
        </w:rPr>
      </w:pPr>
    </w:p>
    <w:p w14:paraId="39C01D7D" w14:textId="227AAE4B" w:rsidR="00DB6F40" w:rsidRPr="00DB6F40" w:rsidRDefault="00DC0C5F" w:rsidP="00DB6F40">
      <w:pPr>
        <w:spacing w:line="240" w:lineRule="auto"/>
        <w:rPr>
          <w:rFonts w:cs="Times New Roman"/>
          <w:bCs/>
          <w:szCs w:val="24"/>
        </w:rPr>
      </w:pPr>
      <w:r w:rsidRPr="008B1B25">
        <w:rPr>
          <w:rFonts w:cs="Times New Roman"/>
          <w:bCs/>
          <w:szCs w:val="24"/>
        </w:rPr>
        <w:t xml:space="preserve">While the textbook supports CEFR-aligned oral skill development, </w:t>
      </w:r>
      <w:r w:rsidR="00D20348">
        <w:rPr>
          <w:rFonts w:cs="Times New Roman"/>
          <w:bCs/>
          <w:szCs w:val="24"/>
        </w:rPr>
        <w:t>the</w:t>
      </w:r>
      <w:r w:rsidRPr="008B1B25">
        <w:rPr>
          <w:rFonts w:cs="Times New Roman"/>
          <w:bCs/>
          <w:szCs w:val="24"/>
        </w:rPr>
        <w:t xml:space="preserve"> effectiveness is limited by a lack of cultural relevance and authentic oral practice. Teachers’ adaptations highlight the need for future textbook revisions to include </w:t>
      </w:r>
      <w:r w:rsidR="00DA0517">
        <w:rPr>
          <w:rFonts w:cs="Times New Roman"/>
          <w:bCs/>
          <w:szCs w:val="24"/>
        </w:rPr>
        <w:t>culturally relevant content</w:t>
      </w:r>
      <w:r w:rsidRPr="008B1B25">
        <w:rPr>
          <w:rFonts w:cs="Times New Roman"/>
          <w:bCs/>
          <w:szCs w:val="24"/>
        </w:rPr>
        <w:t>, varied accents, and open-ended oral activities. This will better support ESL learners in Malaysia’s diverse classrooms.</w:t>
      </w:r>
      <w:r w:rsidR="00DB6F40" w:rsidRPr="00DB6F40">
        <w:t xml:space="preserve"> </w:t>
      </w:r>
      <w:r w:rsidR="00DB6F40" w:rsidRPr="00DB6F40">
        <w:rPr>
          <w:rFonts w:cs="Times New Roman"/>
          <w:bCs/>
          <w:szCs w:val="24"/>
        </w:rPr>
        <w:t>This study highlights the complex relationship between textbook design, teacher agency, and classroom realities in CEFR-aligned ESL instruction. Integrating the voices of teachers and contextual needs, offers an understanding of the development of oral skills and practical recommendations for reform.</w:t>
      </w:r>
    </w:p>
    <w:p w14:paraId="1A3810B1" w14:textId="77777777" w:rsidR="00DB6F40" w:rsidRPr="00DB6F40" w:rsidRDefault="00DB6F40" w:rsidP="00DB6F40">
      <w:pPr>
        <w:spacing w:line="240" w:lineRule="auto"/>
        <w:rPr>
          <w:rFonts w:cs="Times New Roman"/>
          <w:bCs/>
          <w:szCs w:val="24"/>
        </w:rPr>
      </w:pPr>
    </w:p>
    <w:p w14:paraId="67B377CD" w14:textId="409CE240" w:rsidR="00DB6F40" w:rsidRDefault="00DB6F40" w:rsidP="00DB6F40">
      <w:pPr>
        <w:spacing w:line="240" w:lineRule="auto"/>
        <w:rPr>
          <w:rFonts w:cs="Times New Roman"/>
          <w:b/>
          <w:szCs w:val="24"/>
        </w:rPr>
      </w:pPr>
      <w:r w:rsidRPr="00DB6F40">
        <w:rPr>
          <w:rFonts w:cs="Times New Roman"/>
          <w:b/>
          <w:szCs w:val="24"/>
        </w:rPr>
        <w:t>6</w:t>
      </w:r>
      <w:r>
        <w:rPr>
          <w:rFonts w:cs="Times New Roman"/>
          <w:b/>
          <w:szCs w:val="24"/>
        </w:rPr>
        <w:t>.</w:t>
      </w:r>
      <w:r w:rsidRPr="00DB6F40">
        <w:rPr>
          <w:rFonts w:cs="Times New Roman"/>
          <w:b/>
          <w:szCs w:val="24"/>
        </w:rPr>
        <w:t xml:space="preserve"> Recommendations for Future Research</w:t>
      </w:r>
    </w:p>
    <w:p w14:paraId="751E4AD7" w14:textId="77777777" w:rsidR="00DB6F40" w:rsidRDefault="00DB6F40" w:rsidP="00DB6F40">
      <w:pPr>
        <w:spacing w:line="240" w:lineRule="auto"/>
        <w:rPr>
          <w:rFonts w:cs="Times New Roman"/>
          <w:b/>
          <w:szCs w:val="24"/>
        </w:rPr>
      </w:pPr>
    </w:p>
    <w:p w14:paraId="7BC3CC69" w14:textId="052A5C58" w:rsidR="00DB6F40" w:rsidRPr="00DB6F40" w:rsidRDefault="00DB6F40" w:rsidP="00DB6F40">
      <w:pPr>
        <w:spacing w:line="240" w:lineRule="auto"/>
        <w:rPr>
          <w:rFonts w:cs="Times New Roman"/>
          <w:bCs/>
          <w:szCs w:val="24"/>
        </w:rPr>
      </w:pPr>
      <w:r w:rsidRPr="00DB6F40">
        <w:rPr>
          <w:rFonts w:cs="Times New Roman"/>
          <w:bCs/>
          <w:szCs w:val="24"/>
        </w:rPr>
        <w:t>The findings of this study have shed light on several parts where further investigation could help deepen the understanding of CEFR-aligned oral skill instruction in Malaysian classrooms. Even though the perspectives shared by teachers have given us valuable insights into the effectiveness of the textbook and classroom realities, future research can be made broader by including other contributors, longitudinal data and comparative contexts.</w:t>
      </w:r>
      <w:r>
        <w:rPr>
          <w:rFonts w:cs="Times New Roman"/>
          <w:bCs/>
          <w:szCs w:val="24"/>
        </w:rPr>
        <w:t xml:space="preserve"> </w:t>
      </w:r>
      <w:r w:rsidRPr="00DB6F40">
        <w:rPr>
          <w:rFonts w:cs="Times New Roman"/>
          <w:bCs/>
          <w:szCs w:val="24"/>
        </w:rPr>
        <w:t>While this study collected feedback from teachers, the opinions of students or how well they performed in this environment remain unknown. Future studies should explore how students perceive the listening and speaking tasks. Examining students’ engagement, understanding and perceived relevance can provide critical information on how textbook design influences their motivation and oral skill development.</w:t>
      </w:r>
    </w:p>
    <w:p w14:paraId="2185E3F7" w14:textId="77777777" w:rsidR="00DB6F40" w:rsidRPr="00DB6F40" w:rsidRDefault="00DB6F40" w:rsidP="00DB6F40">
      <w:pPr>
        <w:spacing w:line="240" w:lineRule="auto"/>
        <w:rPr>
          <w:rFonts w:cs="Times New Roman"/>
          <w:bCs/>
          <w:szCs w:val="24"/>
        </w:rPr>
      </w:pPr>
    </w:p>
    <w:p w14:paraId="4E051AFF" w14:textId="7576D776" w:rsidR="00DB6F40" w:rsidRPr="00DB6F40" w:rsidRDefault="00DB6F40" w:rsidP="00DB6F40">
      <w:pPr>
        <w:spacing w:line="240" w:lineRule="auto"/>
        <w:rPr>
          <w:rFonts w:cs="Times New Roman"/>
          <w:bCs/>
          <w:szCs w:val="24"/>
        </w:rPr>
      </w:pPr>
      <w:r w:rsidRPr="00DB6F40">
        <w:rPr>
          <w:rFonts w:cs="Times New Roman"/>
          <w:bCs/>
          <w:szCs w:val="24"/>
        </w:rPr>
        <w:t>Another important part that needs to be revealed is the long-term effect of professional development on the way oral skills are imparted to students. This study recognised a lack of CEFR-specific training as an obstacle. Therefore, future studies can identify teachers who undergo structured training programmes and investigate how their ways of teaching</w:t>
      </w:r>
      <w:r>
        <w:rPr>
          <w:rFonts w:cs="Times New Roman"/>
          <w:bCs/>
          <w:szCs w:val="24"/>
        </w:rPr>
        <w:t xml:space="preserve"> </w:t>
      </w:r>
      <w:r w:rsidRPr="00DB6F40">
        <w:rPr>
          <w:rFonts w:cs="Times New Roman"/>
          <w:bCs/>
          <w:szCs w:val="24"/>
        </w:rPr>
        <w:t>evolve over time. Longitudinal studies could examine changes in classroom implementation, outcomes from students and teachers’ confidence level. This will help make the CEFR integration a success.</w:t>
      </w:r>
      <w:r>
        <w:rPr>
          <w:rFonts w:cs="Times New Roman"/>
          <w:bCs/>
          <w:szCs w:val="24"/>
        </w:rPr>
        <w:t xml:space="preserve"> </w:t>
      </w:r>
      <w:r w:rsidRPr="00DB6F40">
        <w:rPr>
          <w:rFonts w:cs="Times New Roman"/>
          <w:bCs/>
          <w:szCs w:val="24"/>
        </w:rPr>
        <w:t>In order to construct a holistic understanding of CEFR implementation, future studies should adopt a mixed-methods approach that will integrate surveys, interviews and classroom observations. Observational data can expose how teachers actually use the textbook and how students respond to the task given to them and what changes are made in real time.</w:t>
      </w:r>
    </w:p>
    <w:p w14:paraId="18AA7F45" w14:textId="77777777" w:rsidR="00DE7294" w:rsidRPr="008B1B25" w:rsidRDefault="00DE7294" w:rsidP="00A75398">
      <w:pPr>
        <w:spacing w:line="240" w:lineRule="auto"/>
        <w:rPr>
          <w:rFonts w:cs="Times New Roman"/>
          <w:b/>
          <w:szCs w:val="24"/>
        </w:rPr>
      </w:pPr>
    </w:p>
    <w:p w14:paraId="562F8123" w14:textId="286213CF" w:rsidR="002C6ACC" w:rsidRPr="00A54E8C" w:rsidRDefault="0019330A" w:rsidP="00BD19C2">
      <w:pPr>
        <w:spacing w:line="240" w:lineRule="auto"/>
        <w:rPr>
          <w:rFonts w:cs="Times New Roman"/>
          <w:color w:val="000000" w:themeColor="text1"/>
        </w:rPr>
      </w:pPr>
      <w:r w:rsidRPr="008B1B25">
        <w:rPr>
          <w:rFonts w:cs="Times New Roman"/>
          <w:b/>
          <w:bCs/>
          <w:szCs w:val="24"/>
        </w:rPr>
        <w:t>References</w:t>
      </w:r>
      <w:r w:rsidR="002C6ACC" w:rsidRPr="00A54E8C">
        <w:rPr>
          <w:rFonts w:cs="Times New Roman"/>
          <w:color w:val="000000" w:themeColor="text1"/>
        </w:rPr>
        <w:fldChar w:fldCharType="begin"/>
      </w:r>
      <w:r w:rsidR="002C6ACC" w:rsidRPr="00A54E8C">
        <w:rPr>
          <w:rFonts w:cs="Times New Roman"/>
          <w:color w:val="000000" w:themeColor="text1"/>
        </w:rPr>
        <w:instrText xml:space="preserve"> ADDIN EN.REFLIST </w:instrText>
      </w:r>
      <w:r w:rsidR="002C6ACC" w:rsidRPr="00A54E8C">
        <w:rPr>
          <w:rFonts w:cs="Times New Roman"/>
          <w:color w:val="000000" w:themeColor="text1"/>
        </w:rPr>
        <w:fldChar w:fldCharType="separate"/>
      </w:r>
    </w:p>
    <w:p w14:paraId="7779F626" w14:textId="77777777" w:rsidR="002C6ACC" w:rsidRPr="00A54E8C" w:rsidRDefault="002C6ACC" w:rsidP="002C6ACC">
      <w:pPr>
        <w:spacing w:line="240" w:lineRule="auto"/>
        <w:ind w:left="720" w:hanging="720"/>
        <w:contextualSpacing/>
        <w:rPr>
          <w:rFonts w:cs="Times New Roman"/>
          <w:color w:val="000000" w:themeColor="text1"/>
        </w:rPr>
      </w:pPr>
    </w:p>
    <w:p w14:paraId="1CE5193A"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Abdullah, N. A. (2017). </w:t>
      </w:r>
      <w:r w:rsidRPr="00A54E8C">
        <w:rPr>
          <w:rFonts w:cs="Times New Roman"/>
          <w:i/>
          <w:iCs/>
          <w:color w:val="000000" w:themeColor="text1"/>
          <w:lang w:val="en-US"/>
        </w:rPr>
        <w:t>Challenges in teaching oral communication in Malaysian rural schools</w:t>
      </w:r>
      <w:r w:rsidRPr="00A54E8C">
        <w:rPr>
          <w:rFonts w:cs="Times New Roman"/>
          <w:color w:val="000000" w:themeColor="text1"/>
          <w:lang w:val="en-US"/>
        </w:rPr>
        <w:t>. Malaysian Journal of ELT Research, 13(2), 45–60.</w:t>
      </w:r>
    </w:p>
    <w:p w14:paraId="1C057EA5" w14:textId="77777777" w:rsidR="002C6ACC" w:rsidRPr="00A54E8C" w:rsidRDefault="002C6ACC" w:rsidP="002C6ACC">
      <w:pPr>
        <w:spacing w:line="240" w:lineRule="auto"/>
        <w:ind w:left="720" w:hanging="720"/>
        <w:contextualSpacing/>
        <w:rPr>
          <w:rFonts w:cs="Times New Roman"/>
          <w:color w:val="000000" w:themeColor="text1"/>
          <w:lang w:val="en-US"/>
        </w:rPr>
      </w:pPr>
    </w:p>
    <w:p w14:paraId="19D838BD" w14:textId="77777777" w:rsidR="002C6ACC" w:rsidRPr="00A54E8C" w:rsidRDefault="002C6ACC" w:rsidP="002C6ACC">
      <w:pPr>
        <w:spacing w:line="240" w:lineRule="auto"/>
        <w:ind w:left="720" w:hanging="720"/>
        <w:contextualSpacing/>
        <w:rPr>
          <w:rFonts w:cs="Times New Roman"/>
          <w:color w:val="000000" w:themeColor="text1"/>
          <w:lang w:val="en-US"/>
        </w:rPr>
      </w:pPr>
    </w:p>
    <w:p w14:paraId="1705785D"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Abdelwahab Mahmoud, A. (2024). </w:t>
      </w:r>
      <w:r w:rsidRPr="00A54E8C">
        <w:rPr>
          <w:rFonts w:cs="Times New Roman"/>
          <w:i/>
          <w:iCs/>
          <w:color w:val="000000" w:themeColor="text1"/>
          <w:lang w:val="en-US"/>
        </w:rPr>
        <w:t>Textbook selection and sociocultural realities in ESL classrooms</w:t>
      </w:r>
      <w:r w:rsidRPr="00A54E8C">
        <w:rPr>
          <w:rFonts w:cs="Times New Roman"/>
          <w:color w:val="000000" w:themeColor="text1"/>
          <w:lang w:val="en-US"/>
        </w:rPr>
        <w:t>. Journal of Language and Curriculum Studies, 18(1), 22–35.</w:t>
      </w:r>
    </w:p>
    <w:p w14:paraId="47E7491F" w14:textId="77777777" w:rsidR="002C6ACC" w:rsidRPr="00A54E8C" w:rsidRDefault="002C6ACC" w:rsidP="002C6ACC">
      <w:pPr>
        <w:spacing w:line="240" w:lineRule="auto"/>
        <w:ind w:left="720" w:hanging="720"/>
        <w:contextualSpacing/>
        <w:rPr>
          <w:rFonts w:cs="Times New Roman"/>
          <w:color w:val="000000" w:themeColor="text1"/>
          <w:lang w:val="en-US"/>
        </w:rPr>
      </w:pPr>
    </w:p>
    <w:p w14:paraId="0EED1317" w14:textId="77777777" w:rsidR="002C6ACC" w:rsidRPr="00A54E8C" w:rsidRDefault="002C6ACC" w:rsidP="002C6ACC">
      <w:pPr>
        <w:spacing w:line="240" w:lineRule="auto"/>
        <w:ind w:left="720" w:hanging="720"/>
        <w:contextualSpacing/>
        <w:rPr>
          <w:rFonts w:cs="Times New Roman"/>
          <w:color w:val="000000" w:themeColor="text1"/>
          <w:lang w:val="en-US"/>
        </w:rPr>
      </w:pPr>
    </w:p>
    <w:p w14:paraId="38021141"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Almulla, M. A. (2023). </w:t>
      </w:r>
      <w:r w:rsidRPr="00A54E8C">
        <w:rPr>
          <w:rFonts w:cs="Times New Roman"/>
          <w:i/>
          <w:iCs/>
          <w:color w:val="000000" w:themeColor="text1"/>
          <w:lang w:val="en-US"/>
        </w:rPr>
        <w:t>Constructivist learning environments and student engagement in ESL contexts</w:t>
      </w:r>
      <w:r w:rsidRPr="00A54E8C">
        <w:rPr>
          <w:rFonts w:cs="Times New Roman"/>
          <w:color w:val="000000" w:themeColor="text1"/>
          <w:lang w:val="en-US"/>
        </w:rPr>
        <w:t>. International Journal of Educational Research, 102, 101–115.</w:t>
      </w:r>
    </w:p>
    <w:p w14:paraId="5A635FB9"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lastRenderedPageBreak/>
        <w:t xml:space="preserve">  Biernacki, P., &amp; Waldorf, D. (1981). </w:t>
      </w:r>
      <w:r w:rsidRPr="00A54E8C">
        <w:rPr>
          <w:rFonts w:cs="Times New Roman"/>
          <w:i/>
          <w:iCs/>
          <w:color w:val="000000" w:themeColor="text1"/>
          <w:lang w:val="en-US"/>
        </w:rPr>
        <w:t>Snowball sampling: Problems and techniques of chain referral sampling</w:t>
      </w:r>
      <w:r w:rsidRPr="00A54E8C">
        <w:rPr>
          <w:rFonts w:cs="Times New Roman"/>
          <w:color w:val="000000" w:themeColor="text1"/>
          <w:lang w:val="en-US"/>
        </w:rPr>
        <w:t>. Sociological Methods &amp; Research, 10(2), 141–163.</w:t>
      </w:r>
    </w:p>
    <w:p w14:paraId="315C1E70" w14:textId="77777777" w:rsidR="002C6ACC" w:rsidRPr="00A54E8C" w:rsidRDefault="002C6ACC" w:rsidP="002C6ACC">
      <w:pPr>
        <w:spacing w:line="240" w:lineRule="auto"/>
        <w:ind w:left="720" w:hanging="720"/>
        <w:contextualSpacing/>
        <w:rPr>
          <w:rFonts w:cs="Times New Roman"/>
          <w:color w:val="000000" w:themeColor="text1"/>
          <w:lang w:val="en-US"/>
        </w:rPr>
      </w:pPr>
    </w:p>
    <w:p w14:paraId="36088D8C" w14:textId="77777777" w:rsidR="002C6ACC" w:rsidRPr="00A54E8C" w:rsidRDefault="002C6ACC" w:rsidP="002C6ACC">
      <w:pPr>
        <w:spacing w:line="240" w:lineRule="auto"/>
        <w:ind w:left="720" w:hanging="720"/>
        <w:contextualSpacing/>
        <w:rPr>
          <w:rFonts w:cs="Times New Roman"/>
          <w:color w:val="000000" w:themeColor="text1"/>
          <w:lang w:val="en-US"/>
        </w:rPr>
      </w:pPr>
    </w:p>
    <w:p w14:paraId="012B0C0E"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Council of Europe. (2001). </w:t>
      </w:r>
      <w:r w:rsidRPr="00A54E8C">
        <w:rPr>
          <w:rFonts w:cs="Times New Roman"/>
          <w:i/>
          <w:iCs/>
          <w:color w:val="000000" w:themeColor="text1"/>
          <w:lang w:val="en-US"/>
        </w:rPr>
        <w:t>Common European Framework of Reference for Languages: Learning, teaching, assessment</w:t>
      </w:r>
      <w:r w:rsidRPr="00A54E8C">
        <w:rPr>
          <w:rFonts w:cs="Times New Roman"/>
          <w:color w:val="000000" w:themeColor="text1"/>
          <w:lang w:val="en-US"/>
        </w:rPr>
        <w:t>. Cambridge University Press.</w:t>
      </w:r>
    </w:p>
    <w:p w14:paraId="6B7A208B" w14:textId="77777777" w:rsidR="002C6ACC" w:rsidRPr="00A54E8C" w:rsidRDefault="002C6ACC" w:rsidP="002C6ACC">
      <w:pPr>
        <w:spacing w:line="240" w:lineRule="auto"/>
        <w:ind w:left="720" w:hanging="720"/>
        <w:contextualSpacing/>
        <w:rPr>
          <w:rFonts w:cs="Times New Roman"/>
          <w:color w:val="000000" w:themeColor="text1"/>
          <w:lang w:val="en-US"/>
        </w:rPr>
      </w:pPr>
    </w:p>
    <w:p w14:paraId="473F5BD3" w14:textId="77777777" w:rsidR="002C6ACC" w:rsidRPr="00A54E8C" w:rsidRDefault="002C6ACC" w:rsidP="002C6ACC">
      <w:pPr>
        <w:spacing w:line="240" w:lineRule="auto"/>
        <w:ind w:left="720" w:hanging="720"/>
        <w:contextualSpacing/>
        <w:rPr>
          <w:rFonts w:cs="Times New Roman"/>
          <w:color w:val="000000" w:themeColor="text1"/>
          <w:lang w:val="en-US"/>
        </w:rPr>
      </w:pPr>
    </w:p>
    <w:p w14:paraId="64B27F3F"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Council of Europe. (2020). </w:t>
      </w:r>
      <w:r w:rsidRPr="00A54E8C">
        <w:rPr>
          <w:rFonts w:cs="Times New Roman"/>
          <w:i/>
          <w:iCs/>
          <w:color w:val="000000" w:themeColor="text1"/>
          <w:lang w:val="en-US"/>
        </w:rPr>
        <w:t>Companion volume to the CEFR: Descriptors and implementation</w:t>
      </w:r>
      <w:r w:rsidRPr="00A54E8C">
        <w:rPr>
          <w:rFonts w:cs="Times New Roman"/>
          <w:color w:val="000000" w:themeColor="text1"/>
          <w:lang w:val="en-US"/>
        </w:rPr>
        <w:t>. Council of Europe Publishing.</w:t>
      </w:r>
    </w:p>
    <w:p w14:paraId="2EC88CAC" w14:textId="77777777" w:rsidR="002C6ACC" w:rsidRPr="00A54E8C" w:rsidRDefault="002C6ACC" w:rsidP="002C6ACC">
      <w:pPr>
        <w:spacing w:line="240" w:lineRule="auto"/>
        <w:ind w:left="720" w:hanging="720"/>
        <w:contextualSpacing/>
        <w:rPr>
          <w:rFonts w:cs="Times New Roman"/>
          <w:color w:val="000000" w:themeColor="text1"/>
          <w:lang w:val="en-US"/>
        </w:rPr>
      </w:pPr>
    </w:p>
    <w:p w14:paraId="5EC974D4" w14:textId="77777777" w:rsidR="002C6ACC" w:rsidRPr="00A54E8C" w:rsidRDefault="002C6ACC" w:rsidP="002C6ACC">
      <w:pPr>
        <w:spacing w:line="240" w:lineRule="auto"/>
        <w:ind w:left="720" w:hanging="720"/>
        <w:contextualSpacing/>
        <w:rPr>
          <w:rFonts w:cs="Times New Roman"/>
          <w:color w:val="000000" w:themeColor="text1"/>
          <w:lang w:val="en-US"/>
        </w:rPr>
      </w:pPr>
    </w:p>
    <w:p w14:paraId="7193DAC1"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Erkir, A., &amp; Alkhaldi, M. (2025). </w:t>
      </w:r>
      <w:r w:rsidRPr="00A54E8C">
        <w:rPr>
          <w:rFonts w:cs="Times New Roman"/>
          <w:i/>
          <w:iCs/>
          <w:color w:val="000000" w:themeColor="text1"/>
          <w:lang w:val="en-US"/>
        </w:rPr>
        <w:t>Textbook dependency in ESL instruction: A global perspective</w:t>
      </w:r>
      <w:r w:rsidRPr="00A54E8C">
        <w:rPr>
          <w:rFonts w:cs="Times New Roman"/>
          <w:color w:val="000000" w:themeColor="text1"/>
          <w:lang w:val="en-US"/>
        </w:rPr>
        <w:t>. TESOL Quarterly, 59(1), 88–104.</w:t>
      </w:r>
    </w:p>
    <w:p w14:paraId="503C13FA" w14:textId="77777777" w:rsidR="002C6ACC" w:rsidRPr="00A54E8C" w:rsidRDefault="002C6ACC" w:rsidP="002C6ACC">
      <w:pPr>
        <w:spacing w:line="240" w:lineRule="auto"/>
        <w:ind w:left="720" w:hanging="720"/>
        <w:contextualSpacing/>
        <w:rPr>
          <w:rFonts w:cs="Times New Roman"/>
          <w:color w:val="000000" w:themeColor="text1"/>
          <w:lang w:val="en-US"/>
        </w:rPr>
      </w:pPr>
    </w:p>
    <w:p w14:paraId="2BD72D05" w14:textId="77777777" w:rsidR="002C6ACC" w:rsidRPr="00A54E8C" w:rsidRDefault="002C6ACC" w:rsidP="002C6ACC">
      <w:pPr>
        <w:spacing w:line="240" w:lineRule="auto"/>
        <w:ind w:left="720" w:hanging="720"/>
        <w:contextualSpacing/>
        <w:rPr>
          <w:rFonts w:cs="Times New Roman"/>
          <w:color w:val="000000" w:themeColor="text1"/>
          <w:lang w:val="en-US"/>
        </w:rPr>
      </w:pPr>
    </w:p>
    <w:p w14:paraId="78E6F26D"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Gass, S. M., &amp; Mackey, A. (2018). </w:t>
      </w:r>
      <w:r w:rsidRPr="00A54E8C">
        <w:rPr>
          <w:rFonts w:cs="Times New Roman"/>
          <w:i/>
          <w:iCs/>
          <w:color w:val="000000" w:themeColor="text1"/>
          <w:lang w:val="en-US"/>
        </w:rPr>
        <w:t>Input, interaction, and output in second language acquisition</w:t>
      </w:r>
      <w:r w:rsidRPr="00A54E8C">
        <w:rPr>
          <w:rFonts w:cs="Times New Roman"/>
          <w:color w:val="000000" w:themeColor="text1"/>
          <w:lang w:val="en-US"/>
        </w:rPr>
        <w:t>. Routledge.</w:t>
      </w:r>
    </w:p>
    <w:p w14:paraId="4EEF4917" w14:textId="77777777" w:rsidR="002C6ACC" w:rsidRPr="00A54E8C" w:rsidRDefault="002C6ACC" w:rsidP="002C6ACC">
      <w:pPr>
        <w:spacing w:line="240" w:lineRule="auto"/>
        <w:ind w:left="720" w:hanging="720"/>
        <w:contextualSpacing/>
        <w:rPr>
          <w:rFonts w:cs="Times New Roman"/>
          <w:color w:val="000000" w:themeColor="text1"/>
          <w:lang w:val="en-US"/>
        </w:rPr>
      </w:pPr>
    </w:p>
    <w:p w14:paraId="4CD3DD2F" w14:textId="77777777" w:rsidR="002C6ACC" w:rsidRPr="00A54E8C" w:rsidRDefault="002C6ACC" w:rsidP="002C6ACC">
      <w:pPr>
        <w:spacing w:line="240" w:lineRule="auto"/>
        <w:ind w:left="720" w:hanging="720"/>
        <w:contextualSpacing/>
        <w:rPr>
          <w:rFonts w:cs="Times New Roman"/>
          <w:color w:val="000000" w:themeColor="text1"/>
          <w:lang w:val="en-US"/>
        </w:rPr>
      </w:pPr>
    </w:p>
    <w:p w14:paraId="76D92824"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Gilakjani, A. P., &amp; Sabouri, N. B. (2016). </w:t>
      </w:r>
      <w:r w:rsidRPr="00A54E8C">
        <w:rPr>
          <w:rFonts w:cs="Times New Roman"/>
          <w:i/>
          <w:iCs/>
          <w:color w:val="000000" w:themeColor="text1"/>
          <w:lang w:val="en-US"/>
        </w:rPr>
        <w:t>Learners’ listening comprehension difficulties in English language learning: A literature review</w:t>
      </w:r>
      <w:r w:rsidRPr="00A54E8C">
        <w:rPr>
          <w:rFonts w:cs="Times New Roman"/>
          <w:color w:val="000000" w:themeColor="text1"/>
          <w:lang w:val="en-US"/>
        </w:rPr>
        <w:t>. English Language Teaching, 9(6), 123–133.</w:t>
      </w:r>
    </w:p>
    <w:p w14:paraId="03E5E5A4" w14:textId="77777777" w:rsidR="002C6ACC" w:rsidRPr="00A54E8C" w:rsidRDefault="002C6ACC" w:rsidP="002C6ACC">
      <w:pPr>
        <w:spacing w:line="240" w:lineRule="auto"/>
        <w:ind w:left="720" w:hanging="720"/>
        <w:contextualSpacing/>
        <w:rPr>
          <w:rFonts w:cs="Times New Roman"/>
          <w:color w:val="000000" w:themeColor="text1"/>
          <w:lang w:val="en-US"/>
        </w:rPr>
      </w:pPr>
    </w:p>
    <w:p w14:paraId="25A78219" w14:textId="77777777" w:rsidR="002C6ACC" w:rsidRPr="00A54E8C" w:rsidRDefault="002C6ACC" w:rsidP="002C6ACC">
      <w:pPr>
        <w:spacing w:line="240" w:lineRule="auto"/>
        <w:ind w:left="720" w:hanging="720"/>
        <w:contextualSpacing/>
        <w:rPr>
          <w:rFonts w:cs="Times New Roman"/>
          <w:color w:val="000000" w:themeColor="text1"/>
          <w:lang w:val="en-US"/>
        </w:rPr>
      </w:pPr>
    </w:p>
    <w:p w14:paraId="2636B16E"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Gill, S. K. (2005). </w:t>
      </w:r>
      <w:r w:rsidRPr="00A54E8C">
        <w:rPr>
          <w:rFonts w:cs="Times New Roman"/>
          <w:i/>
          <w:iCs/>
          <w:color w:val="000000" w:themeColor="text1"/>
          <w:lang w:val="en-US"/>
        </w:rPr>
        <w:t>Language policy in Malaysia: Reversing direction</w:t>
      </w:r>
      <w:r w:rsidRPr="00A54E8C">
        <w:rPr>
          <w:rFonts w:cs="Times New Roman"/>
          <w:color w:val="000000" w:themeColor="text1"/>
          <w:lang w:val="en-US"/>
        </w:rPr>
        <w:t>. Language Policy, 4(3), 241–260.</w:t>
      </w:r>
    </w:p>
    <w:p w14:paraId="1B419338" w14:textId="77777777" w:rsidR="002C6ACC" w:rsidRPr="00A54E8C" w:rsidRDefault="002C6ACC" w:rsidP="002C6ACC">
      <w:pPr>
        <w:spacing w:line="240" w:lineRule="auto"/>
        <w:ind w:left="720" w:hanging="720"/>
        <w:contextualSpacing/>
        <w:rPr>
          <w:rFonts w:cs="Times New Roman"/>
          <w:color w:val="000000" w:themeColor="text1"/>
          <w:lang w:val="en-US"/>
        </w:rPr>
      </w:pPr>
    </w:p>
    <w:p w14:paraId="3DB97F0B" w14:textId="77777777" w:rsidR="002C6ACC" w:rsidRPr="00A54E8C" w:rsidRDefault="002C6ACC" w:rsidP="002C6ACC">
      <w:pPr>
        <w:spacing w:line="240" w:lineRule="auto"/>
        <w:ind w:left="720" w:hanging="720"/>
        <w:contextualSpacing/>
        <w:rPr>
          <w:rFonts w:cs="Times New Roman"/>
          <w:color w:val="000000" w:themeColor="text1"/>
          <w:lang w:val="en-US"/>
        </w:rPr>
      </w:pPr>
    </w:p>
    <w:p w14:paraId="104BAF93"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Goh, C. C. M., &amp; Abdul Aziz, N. (2020). </w:t>
      </w:r>
      <w:r w:rsidRPr="00A54E8C">
        <w:rPr>
          <w:rFonts w:cs="Times New Roman"/>
          <w:i/>
          <w:iCs/>
          <w:color w:val="000000" w:themeColor="text1"/>
          <w:lang w:val="en-US"/>
        </w:rPr>
        <w:t>Evaluating CEFR-aligned textbooks in Malaysian classrooms</w:t>
      </w:r>
      <w:r w:rsidRPr="00A54E8C">
        <w:rPr>
          <w:rFonts w:cs="Times New Roman"/>
          <w:color w:val="000000" w:themeColor="text1"/>
          <w:lang w:val="en-US"/>
        </w:rPr>
        <w:t>. Malaysian Journal of Language and Education, 10(2), 56–72.</w:t>
      </w:r>
    </w:p>
    <w:p w14:paraId="429B676E" w14:textId="77777777" w:rsidR="002C6ACC" w:rsidRPr="00A54E8C" w:rsidRDefault="002C6ACC" w:rsidP="002C6ACC">
      <w:pPr>
        <w:spacing w:line="240" w:lineRule="auto"/>
        <w:ind w:left="720" w:hanging="720"/>
        <w:contextualSpacing/>
        <w:rPr>
          <w:rFonts w:cs="Times New Roman"/>
          <w:color w:val="000000" w:themeColor="text1"/>
          <w:lang w:val="en-US"/>
        </w:rPr>
      </w:pPr>
    </w:p>
    <w:p w14:paraId="5EDBB64F" w14:textId="77777777" w:rsidR="002C6ACC" w:rsidRPr="00A54E8C" w:rsidRDefault="002C6ACC" w:rsidP="002C6ACC">
      <w:pPr>
        <w:spacing w:line="240" w:lineRule="auto"/>
        <w:ind w:left="720" w:hanging="720"/>
        <w:contextualSpacing/>
        <w:rPr>
          <w:rFonts w:cs="Times New Roman"/>
          <w:color w:val="000000" w:themeColor="text1"/>
          <w:lang w:val="en-US"/>
        </w:rPr>
      </w:pPr>
    </w:p>
    <w:p w14:paraId="2DEDDC40"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Grand-Guillaume-Perrenoud, J., et al. (2023). </w:t>
      </w:r>
      <w:r w:rsidRPr="00A54E8C">
        <w:rPr>
          <w:rFonts w:cs="Times New Roman"/>
          <w:i/>
          <w:iCs/>
          <w:color w:val="000000" w:themeColor="text1"/>
          <w:lang w:val="en-US"/>
        </w:rPr>
        <w:t>Mixed-methods research in education: Strengthening validity through convergence</w:t>
      </w:r>
      <w:r w:rsidRPr="00A54E8C">
        <w:rPr>
          <w:rFonts w:cs="Times New Roman"/>
          <w:color w:val="000000" w:themeColor="text1"/>
          <w:lang w:val="en-US"/>
        </w:rPr>
        <w:t>. Educational Research Review, 38, 100–115</w:t>
      </w:r>
    </w:p>
    <w:p w14:paraId="19275E24" w14:textId="77777777" w:rsidR="002C6ACC" w:rsidRPr="00A54E8C" w:rsidRDefault="002C6ACC" w:rsidP="002C6ACC">
      <w:pPr>
        <w:spacing w:line="240" w:lineRule="auto"/>
        <w:ind w:left="720" w:hanging="720"/>
        <w:contextualSpacing/>
        <w:rPr>
          <w:rFonts w:cs="Times New Roman"/>
          <w:color w:val="000000" w:themeColor="text1"/>
          <w:lang w:val="en-US"/>
        </w:rPr>
      </w:pPr>
    </w:p>
    <w:p w14:paraId="16534B38" w14:textId="77777777" w:rsidR="002C6ACC" w:rsidRPr="00A54E8C" w:rsidRDefault="002C6ACC" w:rsidP="002C6ACC">
      <w:pPr>
        <w:spacing w:line="240" w:lineRule="auto"/>
        <w:ind w:left="720" w:hanging="720"/>
        <w:contextualSpacing/>
        <w:rPr>
          <w:rFonts w:cs="Times New Roman"/>
          <w:color w:val="000000" w:themeColor="text1"/>
          <w:lang w:val="en-US"/>
        </w:rPr>
      </w:pPr>
    </w:p>
    <w:p w14:paraId="14796968"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Hajimia, M., et al. (2020). </w:t>
      </w:r>
      <w:r w:rsidRPr="00A54E8C">
        <w:rPr>
          <w:rFonts w:cs="Times New Roman"/>
          <w:i/>
          <w:iCs/>
          <w:color w:val="000000" w:themeColor="text1"/>
          <w:lang w:val="en-US"/>
        </w:rPr>
        <w:t>Authenticity in ESL listening materials: A review of Krashen’s Input Hypothesis</w:t>
      </w:r>
      <w:r w:rsidRPr="00A54E8C">
        <w:rPr>
          <w:rFonts w:cs="Times New Roman"/>
          <w:color w:val="000000" w:themeColor="text1"/>
          <w:lang w:val="en-US"/>
        </w:rPr>
        <w:t>. Journal of Applied Linguistics and Language Research, 7(2), 45–59.</w:t>
      </w:r>
    </w:p>
    <w:p w14:paraId="10CD67E4" w14:textId="77777777" w:rsidR="002C6ACC" w:rsidRPr="00A54E8C" w:rsidRDefault="002C6ACC" w:rsidP="002C6ACC">
      <w:pPr>
        <w:spacing w:line="240" w:lineRule="auto"/>
        <w:ind w:left="720" w:hanging="720"/>
        <w:contextualSpacing/>
        <w:rPr>
          <w:rFonts w:cs="Times New Roman"/>
          <w:color w:val="000000" w:themeColor="text1"/>
          <w:lang w:val="en-US"/>
        </w:rPr>
      </w:pPr>
    </w:p>
    <w:p w14:paraId="331756A4" w14:textId="77777777" w:rsidR="002C6ACC" w:rsidRPr="00A54E8C" w:rsidRDefault="002C6ACC" w:rsidP="002C6ACC">
      <w:pPr>
        <w:spacing w:line="240" w:lineRule="auto"/>
        <w:ind w:left="720" w:hanging="720"/>
        <w:contextualSpacing/>
        <w:rPr>
          <w:rFonts w:cs="Times New Roman"/>
          <w:color w:val="000000" w:themeColor="text1"/>
          <w:lang w:val="en-US"/>
        </w:rPr>
      </w:pPr>
    </w:p>
    <w:p w14:paraId="2163AFFD"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Kassim, H., &amp; Hashim, R. (2023). </w:t>
      </w:r>
      <w:r w:rsidRPr="00A54E8C">
        <w:rPr>
          <w:rFonts w:cs="Times New Roman"/>
          <w:i/>
          <w:iCs/>
          <w:color w:val="000000" w:themeColor="text1"/>
          <w:lang w:val="en-US"/>
        </w:rPr>
        <w:t>CEFR integration in Malaysian ESL classrooms: Teacher perspectives and challenges</w:t>
      </w:r>
      <w:r w:rsidRPr="00A54E8C">
        <w:rPr>
          <w:rFonts w:cs="Times New Roman"/>
          <w:color w:val="000000" w:themeColor="text1"/>
          <w:lang w:val="en-US"/>
        </w:rPr>
        <w:t>. Journal of Language Teaching and Research, 14(1), 101–115.</w:t>
      </w:r>
    </w:p>
    <w:p w14:paraId="086351A8" w14:textId="77777777" w:rsidR="002C6ACC" w:rsidRPr="00A54E8C" w:rsidRDefault="002C6ACC" w:rsidP="002C6ACC">
      <w:pPr>
        <w:spacing w:line="240" w:lineRule="auto"/>
        <w:ind w:left="720" w:hanging="720"/>
        <w:contextualSpacing/>
        <w:rPr>
          <w:rFonts w:cs="Times New Roman"/>
          <w:color w:val="000000" w:themeColor="text1"/>
          <w:lang w:val="en-US"/>
        </w:rPr>
      </w:pPr>
    </w:p>
    <w:p w14:paraId="65405E37" w14:textId="77777777" w:rsidR="002C6ACC" w:rsidRPr="00A54E8C" w:rsidRDefault="002C6ACC" w:rsidP="002C6ACC">
      <w:pPr>
        <w:spacing w:line="240" w:lineRule="auto"/>
        <w:ind w:left="720" w:hanging="720"/>
        <w:contextualSpacing/>
        <w:rPr>
          <w:rFonts w:cs="Times New Roman"/>
          <w:color w:val="000000" w:themeColor="text1"/>
          <w:lang w:val="en-US"/>
        </w:rPr>
      </w:pPr>
    </w:p>
    <w:p w14:paraId="716B490E"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Krashen, S. D. (1982). </w:t>
      </w:r>
      <w:r w:rsidRPr="00A54E8C">
        <w:rPr>
          <w:rFonts w:cs="Times New Roman"/>
          <w:i/>
          <w:iCs/>
          <w:color w:val="000000" w:themeColor="text1"/>
          <w:lang w:val="en-US"/>
        </w:rPr>
        <w:t>Principles and practice in second language acquisition</w:t>
      </w:r>
      <w:r w:rsidRPr="00A54E8C">
        <w:rPr>
          <w:rFonts w:cs="Times New Roman"/>
          <w:color w:val="000000" w:themeColor="text1"/>
          <w:lang w:val="en-US"/>
        </w:rPr>
        <w:t>. Pergamon Press.</w:t>
      </w:r>
    </w:p>
    <w:p w14:paraId="105E7F1F"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lastRenderedPageBreak/>
        <w:t xml:space="preserve">  Ministry of Education Malaysia. (2013). </w:t>
      </w:r>
      <w:r w:rsidRPr="00A54E8C">
        <w:rPr>
          <w:rFonts w:cs="Times New Roman"/>
          <w:i/>
          <w:iCs/>
          <w:color w:val="000000" w:themeColor="text1"/>
          <w:lang w:val="en-US"/>
        </w:rPr>
        <w:t>Education Blueprint 2013–2025</w:t>
      </w:r>
      <w:r w:rsidRPr="00A54E8C">
        <w:rPr>
          <w:rFonts w:cs="Times New Roman"/>
          <w:color w:val="000000" w:themeColor="text1"/>
          <w:lang w:val="en-US"/>
        </w:rPr>
        <w:t>. Putrajaya: MOE.</w:t>
      </w:r>
    </w:p>
    <w:p w14:paraId="143F767F" w14:textId="77777777" w:rsidR="002C6ACC" w:rsidRPr="00A54E8C" w:rsidRDefault="002C6ACC" w:rsidP="002C6ACC">
      <w:pPr>
        <w:spacing w:line="240" w:lineRule="auto"/>
        <w:ind w:left="720" w:hanging="720"/>
        <w:contextualSpacing/>
        <w:rPr>
          <w:rFonts w:cs="Times New Roman"/>
          <w:color w:val="000000" w:themeColor="text1"/>
          <w:lang w:val="en-US"/>
        </w:rPr>
      </w:pPr>
    </w:p>
    <w:p w14:paraId="61B19C62" w14:textId="77777777" w:rsidR="002C6ACC" w:rsidRPr="00A54E8C" w:rsidRDefault="002C6ACC" w:rsidP="002C6ACC">
      <w:pPr>
        <w:spacing w:line="240" w:lineRule="auto"/>
        <w:ind w:left="720" w:hanging="720"/>
        <w:contextualSpacing/>
        <w:rPr>
          <w:rFonts w:cs="Times New Roman"/>
          <w:color w:val="000000" w:themeColor="text1"/>
          <w:lang w:val="en-US"/>
        </w:rPr>
      </w:pPr>
    </w:p>
    <w:p w14:paraId="75C948EB"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Ministry of Education Malaysia. (2018). </w:t>
      </w:r>
      <w:r w:rsidRPr="00A54E8C">
        <w:rPr>
          <w:rFonts w:cs="Times New Roman"/>
          <w:i/>
          <w:iCs/>
          <w:color w:val="000000" w:themeColor="text1"/>
          <w:lang w:val="en-US"/>
        </w:rPr>
        <w:t>Implementing the CEFR-aligned curriculum: Planning and managing learning</w:t>
      </w:r>
      <w:r w:rsidRPr="00A54E8C">
        <w:rPr>
          <w:rFonts w:cs="Times New Roman"/>
          <w:color w:val="000000" w:themeColor="text1"/>
          <w:lang w:val="en-US"/>
        </w:rPr>
        <w:t>. Curriculum Development Division.</w:t>
      </w:r>
    </w:p>
    <w:p w14:paraId="45FF6019" w14:textId="77777777" w:rsidR="002C6ACC" w:rsidRPr="00A54E8C" w:rsidRDefault="002C6ACC" w:rsidP="002C6ACC">
      <w:pPr>
        <w:spacing w:line="240" w:lineRule="auto"/>
        <w:ind w:left="720" w:hanging="720"/>
        <w:contextualSpacing/>
        <w:rPr>
          <w:rFonts w:cs="Times New Roman"/>
          <w:color w:val="000000" w:themeColor="text1"/>
          <w:lang w:val="en-US"/>
        </w:rPr>
      </w:pPr>
    </w:p>
    <w:p w14:paraId="71167B51" w14:textId="77777777" w:rsidR="002C6ACC" w:rsidRPr="00A54E8C" w:rsidRDefault="002C6ACC" w:rsidP="002C6ACC">
      <w:pPr>
        <w:spacing w:line="240" w:lineRule="auto"/>
        <w:ind w:left="720" w:hanging="720"/>
        <w:contextualSpacing/>
        <w:rPr>
          <w:rFonts w:cs="Times New Roman"/>
          <w:color w:val="000000" w:themeColor="text1"/>
          <w:lang w:val="en-US"/>
        </w:rPr>
      </w:pPr>
    </w:p>
    <w:p w14:paraId="0685C346"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Mohd Asraf, R., &amp; Abdullah, N. A. (2016). </w:t>
      </w:r>
      <w:r w:rsidRPr="00A54E8C">
        <w:rPr>
          <w:rFonts w:cs="Times New Roman"/>
          <w:i/>
          <w:iCs/>
          <w:color w:val="000000" w:themeColor="text1"/>
          <w:lang w:val="en-US"/>
        </w:rPr>
        <w:t>Teachers’ perceptions of textbook effectiveness in Malaysian ESL classrooms</w:t>
      </w:r>
      <w:r w:rsidRPr="00A54E8C">
        <w:rPr>
          <w:rFonts w:cs="Times New Roman"/>
          <w:color w:val="000000" w:themeColor="text1"/>
          <w:lang w:val="en-US"/>
        </w:rPr>
        <w:t>. Malaysian Journal of ELT Research, 12(1), 33–50.</w:t>
      </w:r>
    </w:p>
    <w:p w14:paraId="54A0F6D2" w14:textId="77777777" w:rsidR="002C6ACC" w:rsidRPr="00A54E8C" w:rsidRDefault="002C6ACC" w:rsidP="002C6ACC">
      <w:pPr>
        <w:spacing w:line="240" w:lineRule="auto"/>
        <w:ind w:left="720" w:hanging="720"/>
        <w:contextualSpacing/>
        <w:rPr>
          <w:rFonts w:cs="Times New Roman"/>
          <w:color w:val="000000" w:themeColor="text1"/>
          <w:lang w:val="en-US"/>
        </w:rPr>
      </w:pPr>
    </w:p>
    <w:p w14:paraId="3E29BE71" w14:textId="77777777" w:rsidR="002C6ACC" w:rsidRPr="00A54E8C" w:rsidRDefault="002C6ACC" w:rsidP="002C6ACC">
      <w:pPr>
        <w:spacing w:line="240" w:lineRule="auto"/>
        <w:ind w:left="720" w:hanging="720"/>
        <w:contextualSpacing/>
        <w:rPr>
          <w:rFonts w:cs="Times New Roman"/>
          <w:color w:val="000000" w:themeColor="text1"/>
          <w:lang w:val="en-US"/>
        </w:rPr>
      </w:pPr>
    </w:p>
    <w:p w14:paraId="627BBAF5"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Mohamad Uri, N., &amp; Abdul Aziz, N. (2024). </w:t>
      </w:r>
      <w:r w:rsidRPr="00A54E8C">
        <w:rPr>
          <w:rFonts w:cs="Times New Roman"/>
          <w:i/>
          <w:iCs/>
          <w:color w:val="000000" w:themeColor="text1"/>
          <w:lang w:val="en-US"/>
        </w:rPr>
        <w:t>Cultural adaptation in CEFR-aligned ESL textbooks</w:t>
      </w:r>
      <w:r w:rsidRPr="00A54E8C">
        <w:rPr>
          <w:rFonts w:cs="Times New Roman"/>
          <w:color w:val="000000" w:themeColor="text1"/>
          <w:lang w:val="en-US"/>
        </w:rPr>
        <w:t>. International Journal of Language and Education, 15(1), 77–92.</w:t>
      </w:r>
    </w:p>
    <w:p w14:paraId="3FC034E7" w14:textId="77777777" w:rsidR="002C6ACC" w:rsidRPr="00A54E8C" w:rsidRDefault="002C6ACC" w:rsidP="002C6ACC">
      <w:pPr>
        <w:spacing w:line="240" w:lineRule="auto"/>
        <w:ind w:left="720" w:hanging="720"/>
        <w:contextualSpacing/>
        <w:rPr>
          <w:rFonts w:cs="Times New Roman"/>
          <w:color w:val="000000" w:themeColor="text1"/>
          <w:lang w:val="en-US"/>
        </w:rPr>
      </w:pPr>
    </w:p>
    <w:p w14:paraId="4BBA4AF9" w14:textId="77777777" w:rsidR="002C6ACC" w:rsidRPr="00A54E8C" w:rsidRDefault="002C6ACC" w:rsidP="002C6ACC">
      <w:pPr>
        <w:spacing w:line="240" w:lineRule="auto"/>
        <w:ind w:left="720" w:hanging="720"/>
        <w:contextualSpacing/>
        <w:rPr>
          <w:rFonts w:cs="Times New Roman"/>
          <w:color w:val="000000" w:themeColor="text1"/>
          <w:lang w:val="en-US"/>
        </w:rPr>
      </w:pPr>
    </w:p>
    <w:p w14:paraId="44DB101E"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Mukundan, J., &amp; Ahour, T. (2010). </w:t>
      </w:r>
      <w:r w:rsidRPr="00A54E8C">
        <w:rPr>
          <w:rFonts w:cs="Times New Roman"/>
          <w:i/>
          <w:iCs/>
          <w:color w:val="000000" w:themeColor="text1"/>
          <w:lang w:val="en-US"/>
        </w:rPr>
        <w:t>ELT textbook evaluation: A checklist</w:t>
      </w:r>
      <w:r w:rsidRPr="00A54E8C">
        <w:rPr>
          <w:rFonts w:cs="Times New Roman"/>
          <w:color w:val="000000" w:themeColor="text1"/>
          <w:lang w:val="en-US"/>
        </w:rPr>
        <w:t>. Journal of Language Teaching and Research, 1(3), 200–206.</w:t>
      </w:r>
    </w:p>
    <w:p w14:paraId="23062AB0" w14:textId="77777777" w:rsidR="002C6ACC" w:rsidRPr="00A54E8C" w:rsidRDefault="002C6ACC" w:rsidP="002C6ACC">
      <w:pPr>
        <w:spacing w:line="240" w:lineRule="auto"/>
        <w:ind w:left="720" w:hanging="720"/>
        <w:contextualSpacing/>
        <w:rPr>
          <w:rFonts w:cs="Times New Roman"/>
          <w:color w:val="000000" w:themeColor="text1"/>
          <w:lang w:val="en-US"/>
        </w:rPr>
      </w:pPr>
    </w:p>
    <w:p w14:paraId="3EA068F8" w14:textId="77777777" w:rsidR="002C6ACC" w:rsidRPr="00A54E8C" w:rsidRDefault="002C6ACC" w:rsidP="002C6ACC">
      <w:pPr>
        <w:spacing w:line="240" w:lineRule="auto"/>
        <w:ind w:left="720" w:hanging="720"/>
        <w:contextualSpacing/>
        <w:rPr>
          <w:rFonts w:cs="Times New Roman"/>
          <w:color w:val="000000" w:themeColor="text1"/>
          <w:lang w:val="en-US"/>
        </w:rPr>
      </w:pPr>
    </w:p>
    <w:p w14:paraId="2AE7D36D"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Mustafa, R. (2018). </w:t>
      </w:r>
      <w:r w:rsidRPr="00A54E8C">
        <w:rPr>
          <w:rFonts w:cs="Times New Roman"/>
          <w:i/>
          <w:iCs/>
          <w:color w:val="000000" w:themeColor="text1"/>
          <w:lang w:val="en-US"/>
        </w:rPr>
        <w:t>English language education reform in Malaysia: CEFR and beyond</w:t>
      </w:r>
      <w:r w:rsidRPr="00A54E8C">
        <w:rPr>
          <w:rFonts w:cs="Times New Roman"/>
          <w:color w:val="000000" w:themeColor="text1"/>
          <w:lang w:val="en-US"/>
        </w:rPr>
        <w:t>. Malaysian Journal of Language Studies, 8(2), 45–60.</w:t>
      </w:r>
    </w:p>
    <w:p w14:paraId="1AA6D491" w14:textId="77777777" w:rsidR="002C6ACC" w:rsidRPr="00A54E8C" w:rsidRDefault="002C6ACC" w:rsidP="002C6ACC">
      <w:pPr>
        <w:spacing w:line="240" w:lineRule="auto"/>
        <w:ind w:left="720" w:hanging="720"/>
        <w:contextualSpacing/>
        <w:rPr>
          <w:rFonts w:cs="Times New Roman"/>
          <w:color w:val="000000" w:themeColor="text1"/>
          <w:lang w:val="en-US"/>
        </w:rPr>
      </w:pPr>
    </w:p>
    <w:p w14:paraId="0D357B99" w14:textId="77777777" w:rsidR="002C6ACC" w:rsidRPr="00A54E8C" w:rsidRDefault="002C6ACC" w:rsidP="002C6ACC">
      <w:pPr>
        <w:spacing w:line="240" w:lineRule="auto"/>
        <w:ind w:left="720" w:hanging="720"/>
        <w:contextualSpacing/>
        <w:rPr>
          <w:rFonts w:cs="Times New Roman"/>
          <w:color w:val="000000" w:themeColor="text1"/>
          <w:lang w:val="en-US"/>
        </w:rPr>
      </w:pPr>
    </w:p>
    <w:p w14:paraId="57D3438B"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Newton, J., &amp; Nation, P. (2021). </w:t>
      </w:r>
      <w:r w:rsidRPr="00A54E8C">
        <w:rPr>
          <w:rFonts w:cs="Times New Roman"/>
          <w:i/>
          <w:iCs/>
          <w:color w:val="000000" w:themeColor="text1"/>
          <w:lang w:val="en-US"/>
        </w:rPr>
        <w:t>Teaching ESL/EFL listening and speaking</w:t>
      </w:r>
      <w:r w:rsidRPr="00A54E8C">
        <w:rPr>
          <w:rFonts w:cs="Times New Roman"/>
          <w:color w:val="000000" w:themeColor="text1"/>
          <w:lang w:val="en-US"/>
        </w:rPr>
        <w:t>. Routledge.</w:t>
      </w:r>
    </w:p>
    <w:p w14:paraId="5ED316B8"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Nimehchisalem, V., &amp; Mukundan, J. (2011). </w:t>
      </w:r>
      <w:r w:rsidRPr="00A54E8C">
        <w:rPr>
          <w:rFonts w:cs="Times New Roman"/>
          <w:i/>
          <w:iCs/>
          <w:color w:val="000000" w:themeColor="text1"/>
          <w:lang w:val="en-US"/>
        </w:rPr>
        <w:t>Evaluation of ESL textbooks in Malaysian secondary schools</w:t>
      </w:r>
      <w:r w:rsidRPr="00A54E8C">
        <w:rPr>
          <w:rFonts w:cs="Times New Roman"/>
          <w:color w:val="000000" w:themeColor="text1"/>
          <w:lang w:val="en-US"/>
        </w:rPr>
        <w:t>. English Language Teaching, 4(4), 197–206.</w:t>
      </w:r>
    </w:p>
    <w:p w14:paraId="631B67E9" w14:textId="77777777" w:rsidR="002C6ACC" w:rsidRPr="00A54E8C" w:rsidRDefault="002C6ACC" w:rsidP="002C6ACC">
      <w:pPr>
        <w:spacing w:line="240" w:lineRule="auto"/>
        <w:ind w:left="720" w:hanging="720"/>
        <w:contextualSpacing/>
        <w:rPr>
          <w:rFonts w:cs="Times New Roman"/>
          <w:color w:val="000000" w:themeColor="text1"/>
          <w:lang w:val="en-US"/>
        </w:rPr>
      </w:pPr>
    </w:p>
    <w:p w14:paraId="2D6E3208" w14:textId="77777777" w:rsidR="002C6ACC" w:rsidRPr="00A54E8C" w:rsidRDefault="002C6ACC" w:rsidP="002C6ACC">
      <w:pPr>
        <w:spacing w:line="240" w:lineRule="auto"/>
        <w:ind w:left="720" w:hanging="720"/>
        <w:contextualSpacing/>
        <w:rPr>
          <w:rFonts w:cs="Times New Roman"/>
          <w:color w:val="000000" w:themeColor="text1"/>
          <w:lang w:val="en-US"/>
        </w:rPr>
      </w:pPr>
    </w:p>
    <w:p w14:paraId="77823552" w14:textId="77777777" w:rsidR="002C6AC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Nordin, H., &amp; Rosli, R. (2019). </w:t>
      </w:r>
      <w:r w:rsidRPr="00A54E8C">
        <w:rPr>
          <w:rFonts w:cs="Times New Roman"/>
          <w:i/>
          <w:iCs/>
          <w:color w:val="000000" w:themeColor="text1"/>
          <w:lang w:val="en-US"/>
        </w:rPr>
        <w:t>CEFR-aligned curriculum implementation in Malaysian schools: A review</w:t>
      </w:r>
      <w:r w:rsidRPr="00A54E8C">
        <w:rPr>
          <w:rFonts w:cs="Times New Roman"/>
          <w:color w:val="000000" w:themeColor="text1"/>
          <w:lang w:val="en-US"/>
        </w:rPr>
        <w:t>. Journal of Curriculum and Pedagogy, 11(1), 23–38.</w:t>
      </w:r>
    </w:p>
    <w:p w14:paraId="14549356" w14:textId="77777777" w:rsidR="00B61010" w:rsidRPr="00A54E8C" w:rsidRDefault="00B61010" w:rsidP="002C6ACC">
      <w:pPr>
        <w:spacing w:line="240" w:lineRule="auto"/>
        <w:ind w:left="720" w:hanging="720"/>
        <w:contextualSpacing/>
        <w:rPr>
          <w:rFonts w:cs="Times New Roman"/>
          <w:color w:val="000000" w:themeColor="text1"/>
          <w:lang w:val="en-US"/>
        </w:rPr>
      </w:pPr>
    </w:p>
    <w:p w14:paraId="59447184"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Noy, C. (2008). </w:t>
      </w:r>
      <w:r w:rsidRPr="00A54E8C">
        <w:rPr>
          <w:rFonts w:cs="Times New Roman"/>
          <w:i/>
          <w:iCs/>
          <w:color w:val="000000" w:themeColor="text1"/>
          <w:lang w:val="en-US"/>
        </w:rPr>
        <w:t>Sampling knowledge: The hermeneutics of snowball sampling in qualitative research</w:t>
      </w:r>
      <w:r w:rsidRPr="00A54E8C">
        <w:rPr>
          <w:rFonts w:cs="Times New Roman"/>
          <w:color w:val="000000" w:themeColor="text1"/>
          <w:lang w:val="en-US"/>
        </w:rPr>
        <w:t>. International Journal of Social Research Methodology, 11(4), 327–344.</w:t>
      </w:r>
    </w:p>
    <w:p w14:paraId="31C3AFFE" w14:textId="77777777" w:rsidR="002C6ACC" w:rsidRPr="00A54E8C" w:rsidRDefault="002C6ACC" w:rsidP="002C6ACC">
      <w:pPr>
        <w:spacing w:line="240" w:lineRule="auto"/>
        <w:ind w:left="720" w:hanging="720"/>
        <w:contextualSpacing/>
        <w:rPr>
          <w:rFonts w:cs="Times New Roman"/>
          <w:color w:val="000000" w:themeColor="text1"/>
          <w:lang w:val="en-US"/>
        </w:rPr>
      </w:pPr>
    </w:p>
    <w:p w14:paraId="3B437159"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Rajendran, N., et al. (2021). </w:t>
      </w:r>
      <w:r w:rsidRPr="00A54E8C">
        <w:rPr>
          <w:rFonts w:cs="Times New Roman"/>
          <w:i/>
          <w:iCs/>
          <w:color w:val="000000" w:themeColor="text1"/>
          <w:lang w:val="en-US"/>
        </w:rPr>
        <w:t>Textbook evaluation and oral skill development in Malaysian ESL classrooms</w:t>
      </w:r>
      <w:r w:rsidRPr="00A54E8C">
        <w:rPr>
          <w:rFonts w:cs="Times New Roman"/>
          <w:color w:val="000000" w:themeColor="text1"/>
          <w:lang w:val="en-US"/>
        </w:rPr>
        <w:t>. Journal of Language and Literacy Education, 13(2), 88–104.</w:t>
      </w:r>
    </w:p>
    <w:p w14:paraId="25604783" w14:textId="77777777" w:rsidR="002C6ACC" w:rsidRPr="00A54E8C" w:rsidRDefault="002C6ACC" w:rsidP="002C6ACC">
      <w:pPr>
        <w:spacing w:line="240" w:lineRule="auto"/>
        <w:ind w:left="720" w:hanging="720"/>
        <w:contextualSpacing/>
        <w:rPr>
          <w:rFonts w:cs="Times New Roman"/>
          <w:color w:val="000000" w:themeColor="text1"/>
          <w:lang w:val="en-US"/>
        </w:rPr>
      </w:pPr>
    </w:p>
    <w:p w14:paraId="79A440CE"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Richards, J. C. (2021). </w:t>
      </w:r>
      <w:r w:rsidRPr="00A54E8C">
        <w:rPr>
          <w:rFonts w:cs="Times New Roman"/>
          <w:i/>
          <w:iCs/>
          <w:color w:val="000000" w:themeColor="text1"/>
          <w:lang w:val="en-US"/>
        </w:rPr>
        <w:t>Curriculum development in language teaching</w:t>
      </w:r>
      <w:r w:rsidRPr="00A54E8C">
        <w:rPr>
          <w:rFonts w:cs="Times New Roman"/>
          <w:color w:val="000000" w:themeColor="text1"/>
          <w:lang w:val="en-US"/>
        </w:rPr>
        <w:t xml:space="preserve"> (2nd ed.). Cambridge University Press.</w:t>
      </w:r>
    </w:p>
    <w:p w14:paraId="2D572555" w14:textId="77777777" w:rsidR="002C6ACC" w:rsidRPr="00A54E8C" w:rsidRDefault="002C6ACC" w:rsidP="002C6ACC">
      <w:pPr>
        <w:spacing w:line="240" w:lineRule="auto"/>
        <w:ind w:left="720" w:hanging="720"/>
        <w:contextualSpacing/>
        <w:rPr>
          <w:rFonts w:cs="Times New Roman"/>
          <w:color w:val="000000" w:themeColor="text1"/>
          <w:lang w:val="en-US"/>
        </w:rPr>
      </w:pPr>
    </w:p>
    <w:p w14:paraId="03400985"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Shanmugam, S. (2017). </w:t>
      </w:r>
      <w:r w:rsidRPr="00A54E8C">
        <w:rPr>
          <w:rFonts w:cs="Times New Roman"/>
          <w:i/>
          <w:iCs/>
          <w:color w:val="000000" w:themeColor="text1"/>
          <w:lang w:val="en-US"/>
        </w:rPr>
        <w:t>CEFR implementation in Malaysian ESL classrooms: Policy and practice</w:t>
      </w:r>
      <w:r w:rsidRPr="00A54E8C">
        <w:rPr>
          <w:rFonts w:cs="Times New Roman"/>
          <w:color w:val="000000" w:themeColor="text1"/>
          <w:lang w:val="en-US"/>
        </w:rPr>
        <w:t>. Journal of English Language Teaching and Research, 9(1), 55–70.</w:t>
      </w:r>
    </w:p>
    <w:p w14:paraId="4AB9EC69" w14:textId="77777777" w:rsidR="002C6ACC" w:rsidRPr="00A54E8C" w:rsidRDefault="002C6ACC" w:rsidP="002C6ACC">
      <w:pPr>
        <w:spacing w:line="240" w:lineRule="auto"/>
        <w:ind w:left="720" w:hanging="720"/>
        <w:contextualSpacing/>
        <w:rPr>
          <w:rFonts w:cs="Times New Roman"/>
          <w:color w:val="000000" w:themeColor="text1"/>
          <w:lang w:val="en-US"/>
        </w:rPr>
      </w:pPr>
    </w:p>
    <w:p w14:paraId="59AF61B8" w14:textId="77777777" w:rsidR="002C6ACC" w:rsidRPr="00A54E8C" w:rsidRDefault="002C6ACC" w:rsidP="002C6ACC">
      <w:pPr>
        <w:spacing w:line="240" w:lineRule="auto"/>
        <w:ind w:left="720" w:hanging="720"/>
        <w:contextualSpacing/>
        <w:rPr>
          <w:rFonts w:cs="Times New Roman"/>
          <w:color w:val="000000" w:themeColor="text1"/>
          <w:lang w:val="en-US"/>
        </w:rPr>
      </w:pPr>
    </w:p>
    <w:p w14:paraId="3844BE10" w14:textId="77777777" w:rsidR="002C6AC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Shanmugavelu, R., et al. (2020). </w:t>
      </w:r>
      <w:r w:rsidRPr="00A54E8C">
        <w:rPr>
          <w:rFonts w:cs="Times New Roman"/>
          <w:i/>
          <w:iCs/>
          <w:color w:val="000000" w:themeColor="text1"/>
          <w:lang w:val="en-US"/>
        </w:rPr>
        <w:t>Colonial legacies and curriculum reform in Malaysian education</w:t>
      </w:r>
      <w:r w:rsidRPr="00A54E8C">
        <w:rPr>
          <w:rFonts w:cs="Times New Roman"/>
          <w:color w:val="000000" w:themeColor="text1"/>
          <w:lang w:val="en-US"/>
        </w:rPr>
        <w:t>. Southeast Asian Journal of Education, 14(3), 112–128.</w:t>
      </w:r>
    </w:p>
    <w:p w14:paraId="566F2D71" w14:textId="77777777" w:rsidR="00B61010" w:rsidRPr="00A54E8C" w:rsidRDefault="00B61010" w:rsidP="002C6ACC">
      <w:pPr>
        <w:spacing w:line="240" w:lineRule="auto"/>
        <w:ind w:left="720" w:hanging="720"/>
        <w:contextualSpacing/>
        <w:rPr>
          <w:rFonts w:cs="Times New Roman"/>
          <w:color w:val="000000" w:themeColor="text1"/>
          <w:lang w:val="en-US"/>
        </w:rPr>
      </w:pPr>
    </w:p>
    <w:p w14:paraId="24677B2C"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Thandevaraj, J., et al. (2021). </w:t>
      </w:r>
      <w:r w:rsidRPr="00A54E8C">
        <w:rPr>
          <w:rFonts w:cs="Times New Roman"/>
          <w:i/>
          <w:iCs/>
          <w:color w:val="000000" w:themeColor="text1"/>
          <w:lang w:val="en-US"/>
        </w:rPr>
        <w:t>Scaffolding oral communication in ESL textbooks: A Malaysian perspective</w:t>
      </w:r>
      <w:r w:rsidRPr="00A54E8C">
        <w:rPr>
          <w:rFonts w:cs="Times New Roman"/>
          <w:color w:val="000000" w:themeColor="text1"/>
          <w:lang w:val="en-US"/>
        </w:rPr>
        <w:t>. Journal of Language Education and Research, 9(4), 67–85.</w:t>
      </w:r>
    </w:p>
    <w:p w14:paraId="565CF459"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lastRenderedPageBreak/>
        <w:t xml:space="preserve">  Togimin, N., &amp; Jaafar, N. (2020). </w:t>
      </w:r>
      <w:r w:rsidRPr="00A54E8C">
        <w:rPr>
          <w:rFonts w:cs="Times New Roman"/>
          <w:i/>
          <w:iCs/>
          <w:color w:val="000000" w:themeColor="text1"/>
          <w:lang w:val="en-US"/>
        </w:rPr>
        <w:t>Role-play activities and fluency development in ESL speaking classrooms</w:t>
      </w:r>
      <w:r w:rsidRPr="00A54E8C">
        <w:rPr>
          <w:rFonts w:cs="Times New Roman"/>
          <w:color w:val="000000" w:themeColor="text1"/>
          <w:lang w:val="en-US"/>
        </w:rPr>
        <w:t>. Malaysian Journal of Language and Communication, 7(2), 34–49.</w:t>
      </w:r>
    </w:p>
    <w:p w14:paraId="4716D4D8" w14:textId="77777777" w:rsidR="002C6ACC" w:rsidRPr="00A54E8C" w:rsidRDefault="002C6ACC" w:rsidP="002C6ACC">
      <w:pPr>
        <w:spacing w:line="240" w:lineRule="auto"/>
        <w:ind w:left="720" w:hanging="720"/>
        <w:contextualSpacing/>
        <w:rPr>
          <w:rFonts w:cs="Times New Roman"/>
          <w:color w:val="000000" w:themeColor="text1"/>
          <w:lang w:val="en-US"/>
        </w:rPr>
      </w:pPr>
    </w:p>
    <w:p w14:paraId="51F04C7E" w14:textId="77777777" w:rsidR="002C6ACC" w:rsidRPr="00A54E8C" w:rsidRDefault="002C6ACC" w:rsidP="002C6ACC">
      <w:pPr>
        <w:spacing w:line="240" w:lineRule="auto"/>
        <w:ind w:left="720" w:hanging="720"/>
        <w:contextualSpacing/>
        <w:rPr>
          <w:rFonts w:cs="Times New Roman"/>
          <w:color w:val="000000" w:themeColor="text1"/>
          <w:lang w:val="en-US"/>
        </w:rPr>
      </w:pPr>
    </w:p>
    <w:p w14:paraId="0AB35871"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Vygotsky, L. S. (1978). </w:t>
      </w:r>
      <w:r w:rsidRPr="00A54E8C">
        <w:rPr>
          <w:rFonts w:cs="Times New Roman"/>
          <w:i/>
          <w:iCs/>
          <w:color w:val="000000" w:themeColor="text1"/>
          <w:lang w:val="en-US"/>
        </w:rPr>
        <w:t>Mind in society: The development of higher psychological processes</w:t>
      </w:r>
      <w:r w:rsidRPr="00A54E8C">
        <w:rPr>
          <w:rFonts w:cs="Times New Roman"/>
          <w:color w:val="000000" w:themeColor="text1"/>
          <w:lang w:val="en-US"/>
        </w:rPr>
        <w:t>. Harvard University Press.</w:t>
      </w:r>
    </w:p>
    <w:p w14:paraId="1D549249" w14:textId="77777777" w:rsidR="002C6ACC" w:rsidRPr="00A54E8C" w:rsidRDefault="002C6ACC" w:rsidP="002C6ACC">
      <w:pPr>
        <w:spacing w:line="240" w:lineRule="auto"/>
        <w:ind w:left="720" w:hanging="720"/>
        <w:contextualSpacing/>
        <w:rPr>
          <w:rFonts w:cs="Times New Roman"/>
          <w:color w:val="000000" w:themeColor="text1"/>
          <w:lang w:val="en-US"/>
        </w:rPr>
      </w:pPr>
    </w:p>
    <w:p w14:paraId="507CCCF1" w14:textId="77777777" w:rsidR="002C6ACC" w:rsidRPr="00A54E8C" w:rsidRDefault="002C6ACC" w:rsidP="002C6ACC">
      <w:pPr>
        <w:spacing w:line="240" w:lineRule="auto"/>
        <w:ind w:left="720" w:hanging="720"/>
        <w:contextualSpacing/>
        <w:rPr>
          <w:rFonts w:cs="Times New Roman"/>
          <w:color w:val="000000" w:themeColor="text1"/>
          <w:lang w:val="en-US"/>
        </w:rPr>
      </w:pPr>
    </w:p>
    <w:p w14:paraId="5ECF0BE5"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Yunus, M. M., et al. (2018). </w:t>
      </w:r>
      <w:r w:rsidRPr="00A54E8C">
        <w:rPr>
          <w:rFonts w:cs="Times New Roman"/>
          <w:i/>
          <w:iCs/>
          <w:color w:val="000000" w:themeColor="text1"/>
          <w:lang w:val="en-US"/>
        </w:rPr>
        <w:t>Challenges in implementing CEFR-aligned curriculum in Malaysian ESL classrooms</w:t>
      </w:r>
      <w:r w:rsidRPr="00A54E8C">
        <w:rPr>
          <w:rFonts w:cs="Times New Roman"/>
          <w:color w:val="000000" w:themeColor="text1"/>
          <w:lang w:val="en-US"/>
        </w:rPr>
        <w:t>. International Journal of Academic Research in Business and Social Sciences, 8(11), 113–125.</w:t>
      </w:r>
    </w:p>
    <w:p w14:paraId="480841EF" w14:textId="77777777" w:rsidR="002C6ACC" w:rsidRPr="00A54E8C" w:rsidRDefault="002C6ACC" w:rsidP="002C6ACC">
      <w:pPr>
        <w:spacing w:line="240" w:lineRule="auto"/>
        <w:ind w:left="720" w:hanging="720"/>
        <w:contextualSpacing/>
        <w:rPr>
          <w:rFonts w:cs="Times New Roman"/>
          <w:color w:val="000000" w:themeColor="text1"/>
          <w:lang w:val="en-US"/>
        </w:rPr>
      </w:pPr>
    </w:p>
    <w:p w14:paraId="7FD63D52" w14:textId="77777777" w:rsidR="002C6ACC" w:rsidRPr="00A54E8C" w:rsidRDefault="002C6ACC" w:rsidP="002C6ACC">
      <w:pPr>
        <w:spacing w:line="240" w:lineRule="auto"/>
        <w:ind w:left="720" w:hanging="720"/>
        <w:contextualSpacing/>
        <w:rPr>
          <w:rFonts w:cs="Times New Roman"/>
          <w:color w:val="000000" w:themeColor="text1"/>
          <w:lang w:val="en-US"/>
        </w:rPr>
      </w:pPr>
    </w:p>
    <w:p w14:paraId="58FB6847"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Zulkiply, N., &amp; Nasri, N. M. (2024). </w:t>
      </w:r>
      <w:r w:rsidRPr="00A54E8C">
        <w:rPr>
          <w:rFonts w:cs="Times New Roman"/>
          <w:i/>
          <w:iCs/>
          <w:color w:val="000000" w:themeColor="text1"/>
          <w:lang w:val="en-US"/>
        </w:rPr>
        <w:t>Teacher training and CEFR-aligned textbook implementation: A Malaysian case study</w:t>
      </w:r>
      <w:r w:rsidRPr="00A54E8C">
        <w:rPr>
          <w:rFonts w:cs="Times New Roman"/>
          <w:color w:val="000000" w:themeColor="text1"/>
          <w:lang w:val="en-US"/>
        </w:rPr>
        <w:t>. Journal of Educational Research and Practice, 14(1), 22–39.</w:t>
      </w:r>
    </w:p>
    <w:p w14:paraId="3FDC3E70" w14:textId="77777777" w:rsidR="002C6ACC" w:rsidRPr="00A54E8C" w:rsidRDefault="002C6ACC" w:rsidP="002C6ACC">
      <w:pPr>
        <w:spacing w:line="240" w:lineRule="auto"/>
        <w:ind w:left="720" w:hanging="720"/>
        <w:contextualSpacing/>
        <w:rPr>
          <w:rFonts w:cs="Times New Roman"/>
          <w:color w:val="000000" w:themeColor="text1"/>
          <w:lang w:val="en-US"/>
        </w:rPr>
      </w:pPr>
    </w:p>
    <w:p w14:paraId="7F5435EF" w14:textId="77777777" w:rsidR="002C6ACC" w:rsidRPr="00A54E8C" w:rsidRDefault="002C6ACC" w:rsidP="002C6ACC">
      <w:pPr>
        <w:spacing w:line="240" w:lineRule="auto"/>
        <w:ind w:left="720" w:hanging="720"/>
        <w:contextualSpacing/>
        <w:rPr>
          <w:rFonts w:cs="Times New Roman"/>
          <w:color w:val="000000" w:themeColor="text1"/>
          <w:lang w:val="en-US"/>
        </w:rPr>
      </w:pPr>
    </w:p>
    <w:p w14:paraId="5CA61D90"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Ministry of Education Malaysia. (2018). </w:t>
      </w:r>
      <w:r w:rsidRPr="00A54E8C">
        <w:rPr>
          <w:rFonts w:cs="Times New Roman"/>
          <w:i/>
          <w:iCs/>
          <w:color w:val="000000" w:themeColor="text1"/>
          <w:lang w:val="en-US"/>
        </w:rPr>
        <w:t>Dokumen Standard Kurikulum dan Pentaksiran (DSKP) Bahasa Inggeris Tahun 5 Sekolah Rendah</w:t>
      </w:r>
      <w:r w:rsidRPr="00A54E8C">
        <w:rPr>
          <w:rFonts w:cs="Times New Roman"/>
          <w:color w:val="000000" w:themeColor="text1"/>
          <w:lang w:val="en-US"/>
        </w:rPr>
        <w:t>. Curriculum Development Division.</w:t>
      </w:r>
    </w:p>
    <w:p w14:paraId="6BC9145F" w14:textId="77777777" w:rsidR="002C6ACC" w:rsidRPr="00A54E8C" w:rsidRDefault="002C6ACC" w:rsidP="002C6ACC">
      <w:pPr>
        <w:spacing w:line="240" w:lineRule="auto"/>
        <w:ind w:left="720" w:hanging="720"/>
        <w:contextualSpacing/>
        <w:rPr>
          <w:rFonts w:cs="Times New Roman"/>
          <w:color w:val="000000" w:themeColor="text1"/>
          <w:lang w:val="en-US"/>
        </w:rPr>
      </w:pPr>
    </w:p>
    <w:p w14:paraId="1C1F7268" w14:textId="77777777" w:rsidR="002C6ACC" w:rsidRPr="00A54E8C" w:rsidRDefault="002C6ACC" w:rsidP="002C6ACC">
      <w:pPr>
        <w:spacing w:line="240" w:lineRule="auto"/>
        <w:ind w:left="720" w:hanging="720"/>
        <w:contextualSpacing/>
        <w:rPr>
          <w:rFonts w:cs="Times New Roman"/>
          <w:color w:val="000000" w:themeColor="text1"/>
          <w:lang w:val="en-US"/>
        </w:rPr>
      </w:pPr>
    </w:p>
    <w:p w14:paraId="7D74B6DA" w14:textId="77777777" w:rsidR="002C6ACC" w:rsidRPr="00A54E8C" w:rsidRDefault="002C6ACC" w:rsidP="002C6ACC">
      <w:pPr>
        <w:spacing w:line="240" w:lineRule="auto"/>
        <w:ind w:left="720" w:hanging="720"/>
        <w:contextualSpacing/>
        <w:rPr>
          <w:rFonts w:cs="Times New Roman"/>
          <w:color w:val="000000" w:themeColor="text1"/>
          <w:lang w:val="en-US"/>
        </w:rPr>
      </w:pPr>
      <w:r w:rsidRPr="00A54E8C">
        <w:rPr>
          <w:rFonts w:cs="Times New Roman"/>
          <w:color w:val="000000" w:themeColor="text1"/>
          <w:lang w:val="en-US"/>
        </w:rPr>
        <w:t xml:space="preserve">  Oxford University Press. (2015). </w:t>
      </w:r>
      <w:r w:rsidRPr="00A54E8C">
        <w:rPr>
          <w:rFonts w:cs="Times New Roman"/>
          <w:i/>
          <w:iCs/>
          <w:color w:val="000000" w:themeColor="text1"/>
          <w:lang w:val="en-US"/>
        </w:rPr>
        <w:t>English Plus 1: Student’s Book</w:t>
      </w:r>
      <w:r w:rsidRPr="00A54E8C">
        <w:rPr>
          <w:rFonts w:cs="Times New Roman"/>
          <w:color w:val="000000" w:themeColor="text1"/>
          <w:lang w:val="en-US"/>
        </w:rPr>
        <w:t>. Oxford University Press.</w:t>
      </w:r>
    </w:p>
    <w:p w14:paraId="7C39F316" w14:textId="0197B672" w:rsidR="002C6ACC" w:rsidRPr="0019330A" w:rsidRDefault="002C6ACC" w:rsidP="002C6ACC">
      <w:pPr>
        <w:widowControl w:val="0"/>
        <w:autoSpaceDE w:val="0"/>
        <w:autoSpaceDN w:val="0"/>
        <w:adjustRightInd w:val="0"/>
        <w:spacing w:line="240" w:lineRule="auto"/>
        <w:ind w:left="480" w:hanging="480"/>
        <w:rPr>
          <w:rFonts w:cs="Times New Roman"/>
          <w:noProof/>
          <w:szCs w:val="24"/>
        </w:rPr>
      </w:pPr>
      <w:r w:rsidRPr="00A54E8C">
        <w:rPr>
          <w:rFonts w:cs="Times New Roman"/>
          <w:color w:val="000000" w:themeColor="text1"/>
        </w:rPr>
        <w:fldChar w:fldCharType="end"/>
      </w:r>
    </w:p>
    <w:sectPr w:rsidR="002C6ACC" w:rsidRPr="0019330A" w:rsidSect="003D133E">
      <w:headerReference w:type="default" r:id="rId1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6E37" w14:textId="77777777" w:rsidR="00D975B5" w:rsidRPr="008B1B25" w:rsidRDefault="00D975B5" w:rsidP="003D133E">
      <w:pPr>
        <w:spacing w:line="240" w:lineRule="auto"/>
      </w:pPr>
      <w:r w:rsidRPr="008B1B25">
        <w:separator/>
      </w:r>
    </w:p>
  </w:endnote>
  <w:endnote w:type="continuationSeparator" w:id="0">
    <w:p w14:paraId="20D09927" w14:textId="77777777" w:rsidR="00D975B5" w:rsidRPr="008B1B25" w:rsidRDefault="00D975B5" w:rsidP="003D133E">
      <w:pPr>
        <w:spacing w:line="240" w:lineRule="auto"/>
      </w:pPr>
      <w:r w:rsidRPr="008B1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072139"/>
      <w:docPartObj>
        <w:docPartGallery w:val="Page Numbers (Bottom of Page)"/>
        <w:docPartUnique/>
      </w:docPartObj>
    </w:sdtPr>
    <w:sdtContent>
      <w:p w14:paraId="14F2FC96" w14:textId="1F557DBF" w:rsidR="00D043E7" w:rsidRPr="008B1B25" w:rsidRDefault="00D043E7">
        <w:pPr>
          <w:pStyle w:val="Footer"/>
          <w:jc w:val="right"/>
        </w:pPr>
        <w:r w:rsidRPr="008B1B25">
          <w:fldChar w:fldCharType="begin"/>
        </w:r>
        <w:r w:rsidRPr="008B1B25">
          <w:instrText xml:space="preserve"> PAGE   \* MERGEFORMAT </w:instrText>
        </w:r>
        <w:r w:rsidRPr="008B1B25">
          <w:fldChar w:fldCharType="separate"/>
        </w:r>
        <w:r w:rsidR="006E3227" w:rsidRPr="008B1B25">
          <w:t>2</w:t>
        </w:r>
        <w:r w:rsidRPr="008B1B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75739" w14:textId="77777777" w:rsidR="00D975B5" w:rsidRPr="008B1B25" w:rsidRDefault="00D975B5" w:rsidP="003D133E">
      <w:pPr>
        <w:spacing w:line="240" w:lineRule="auto"/>
      </w:pPr>
      <w:r w:rsidRPr="008B1B25">
        <w:separator/>
      </w:r>
    </w:p>
  </w:footnote>
  <w:footnote w:type="continuationSeparator" w:id="0">
    <w:p w14:paraId="3A0ED431" w14:textId="77777777" w:rsidR="00D975B5" w:rsidRPr="008B1B25" w:rsidRDefault="00D975B5" w:rsidP="003D133E">
      <w:pPr>
        <w:spacing w:line="240" w:lineRule="auto"/>
      </w:pPr>
      <w:r w:rsidRPr="008B1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71709830"/>
      <w:docPartObj>
        <w:docPartGallery w:val="Page Numbers (Top of Page)"/>
        <w:docPartUnique/>
      </w:docPartObj>
    </w:sdtPr>
    <w:sdtContent>
      <w:sdt>
        <w:sdtPr>
          <w:rPr>
            <w:sz w:val="20"/>
            <w:szCs w:val="20"/>
          </w:rPr>
          <w:id w:val="-903600279"/>
          <w:docPartObj>
            <w:docPartGallery w:val="Page Numbers (Top of Page)"/>
            <w:docPartUnique/>
          </w:docPartObj>
        </w:sdtPr>
        <w:sdtContent>
          <w:p w14:paraId="1C33157C" w14:textId="202DE625" w:rsidR="00C94EDA" w:rsidRPr="008B1B25" w:rsidRDefault="00C94EDA" w:rsidP="00C94EDA">
            <w:pPr>
              <w:tabs>
                <w:tab w:val="center" w:pos="4680"/>
                <w:tab w:val="right" w:pos="9360"/>
              </w:tabs>
              <w:spacing w:line="240" w:lineRule="auto"/>
              <w:jc w:val="right"/>
              <w:rPr>
                <w:i/>
                <w:iCs/>
                <w:sz w:val="20"/>
                <w:szCs w:val="20"/>
              </w:rPr>
            </w:pPr>
            <w:r w:rsidRPr="008B1B25">
              <w:rPr>
                <w:sz w:val="20"/>
                <w:szCs w:val="20"/>
              </w:rPr>
              <w:t xml:space="preserve"> </w:t>
            </w:r>
          </w:p>
          <w:p w14:paraId="6B852FD5" w14:textId="77777777" w:rsidR="004D39D9" w:rsidRPr="008B1B25" w:rsidRDefault="004D39D9" w:rsidP="00C94EDA">
            <w:pPr>
              <w:tabs>
                <w:tab w:val="center" w:pos="4680"/>
                <w:tab w:val="right" w:pos="9360"/>
              </w:tabs>
              <w:spacing w:line="240" w:lineRule="auto"/>
              <w:jc w:val="right"/>
              <w:rPr>
                <w:i/>
                <w:iCs/>
                <w:sz w:val="20"/>
                <w:szCs w:val="20"/>
              </w:rPr>
            </w:pPr>
          </w:p>
          <w:p w14:paraId="2421D2DE" w14:textId="77777777" w:rsidR="004D39D9" w:rsidRPr="008B1B25" w:rsidRDefault="004D39D9" w:rsidP="00C94EDA">
            <w:pPr>
              <w:tabs>
                <w:tab w:val="center" w:pos="4680"/>
                <w:tab w:val="right" w:pos="9360"/>
              </w:tabs>
              <w:spacing w:line="240" w:lineRule="auto"/>
              <w:jc w:val="right"/>
              <w:rPr>
                <w:i/>
                <w:iCs/>
                <w:sz w:val="20"/>
                <w:szCs w:val="20"/>
              </w:rPr>
            </w:pPr>
          </w:p>
          <w:p w14:paraId="6D5C217E" w14:textId="6A52A640" w:rsidR="00D043E7" w:rsidRPr="008B1B25" w:rsidRDefault="00000000" w:rsidP="007C1B27">
            <w:pPr>
              <w:spacing w:line="240" w:lineRule="auto"/>
              <w:jc w:val="right"/>
              <w:outlineLvl w:val="0"/>
            </w:pP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7D3"/>
    <w:multiLevelType w:val="hybridMultilevel"/>
    <w:tmpl w:val="83EEBD48"/>
    <w:lvl w:ilvl="0" w:tplc="115EBC0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9293C"/>
    <w:multiLevelType w:val="multilevel"/>
    <w:tmpl w:val="50ECD0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721CE"/>
    <w:multiLevelType w:val="multilevel"/>
    <w:tmpl w:val="4E18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904E0"/>
    <w:multiLevelType w:val="multilevel"/>
    <w:tmpl w:val="907A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14E86"/>
    <w:multiLevelType w:val="hybridMultilevel"/>
    <w:tmpl w:val="6C12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F1BA7"/>
    <w:multiLevelType w:val="multilevel"/>
    <w:tmpl w:val="A7C82B8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A7ADA"/>
    <w:multiLevelType w:val="multilevel"/>
    <w:tmpl w:val="50ECD0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30FCC"/>
    <w:multiLevelType w:val="hybridMultilevel"/>
    <w:tmpl w:val="598602E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74B225B"/>
    <w:multiLevelType w:val="hybridMultilevel"/>
    <w:tmpl w:val="743220C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30E04C48"/>
    <w:multiLevelType w:val="hybridMultilevel"/>
    <w:tmpl w:val="69F2E268"/>
    <w:lvl w:ilvl="0" w:tplc="4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225DB"/>
    <w:multiLevelType w:val="multilevel"/>
    <w:tmpl w:val="FE88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55170"/>
    <w:multiLevelType w:val="hybridMultilevel"/>
    <w:tmpl w:val="C174363A"/>
    <w:lvl w:ilvl="0" w:tplc="5724973E">
      <w:start w:val="4"/>
      <w:numFmt w:val="bullet"/>
      <w:lvlText w:val="•"/>
      <w:lvlJc w:val="left"/>
      <w:pPr>
        <w:ind w:left="1080" w:hanging="72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422B2E01"/>
    <w:multiLevelType w:val="multilevel"/>
    <w:tmpl w:val="104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F15BE8"/>
    <w:multiLevelType w:val="hybridMultilevel"/>
    <w:tmpl w:val="3E8AA2B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4CF7297"/>
    <w:multiLevelType w:val="hybridMultilevel"/>
    <w:tmpl w:val="BF28116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B134FF1"/>
    <w:multiLevelType w:val="multilevel"/>
    <w:tmpl w:val="49F0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81882"/>
    <w:multiLevelType w:val="multilevel"/>
    <w:tmpl w:val="D36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01F3F"/>
    <w:multiLevelType w:val="hybridMultilevel"/>
    <w:tmpl w:val="E1AC3EEE"/>
    <w:lvl w:ilvl="0" w:tplc="FFFFFFFF">
      <w:numFmt w:val="bullet"/>
      <w:lvlText w:val="-"/>
      <w:lvlJc w:val="left"/>
      <w:pPr>
        <w:ind w:left="360" w:hanging="360"/>
      </w:pPr>
      <w:rPr>
        <w:rFonts w:ascii="Times New Roman" w:eastAsia="Times New Roman" w:hAnsi="Times New Roman" w:cs="Times New Roman"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8" w15:restartNumberingAfterBreak="0">
    <w:nsid w:val="5AB64C43"/>
    <w:multiLevelType w:val="hybridMultilevel"/>
    <w:tmpl w:val="BA16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E1B4C"/>
    <w:multiLevelType w:val="multilevel"/>
    <w:tmpl w:val="D97C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65748"/>
    <w:multiLevelType w:val="multilevel"/>
    <w:tmpl w:val="489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8A4E01"/>
    <w:multiLevelType w:val="multilevel"/>
    <w:tmpl w:val="8F2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03059C"/>
    <w:multiLevelType w:val="multilevel"/>
    <w:tmpl w:val="A00A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FF5ABB"/>
    <w:multiLevelType w:val="hybridMultilevel"/>
    <w:tmpl w:val="03AC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76B77"/>
    <w:multiLevelType w:val="multilevel"/>
    <w:tmpl w:val="2816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E60BA"/>
    <w:multiLevelType w:val="hybridMultilevel"/>
    <w:tmpl w:val="F078CA3C"/>
    <w:lvl w:ilvl="0" w:tplc="FFFFFFFF">
      <w:numFmt w:val="bullet"/>
      <w:lvlText w:val="-"/>
      <w:lvlJc w:val="left"/>
      <w:pPr>
        <w:ind w:left="360" w:hanging="360"/>
      </w:pPr>
      <w:rPr>
        <w:rFonts w:ascii="Times New Roman" w:eastAsia="Times New Roman" w:hAnsi="Times New Roman" w:cs="Times New Roman"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6" w15:restartNumberingAfterBreak="0">
    <w:nsid w:val="734C72A4"/>
    <w:multiLevelType w:val="multilevel"/>
    <w:tmpl w:val="837A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63F73"/>
    <w:multiLevelType w:val="multilevel"/>
    <w:tmpl w:val="56C8C384"/>
    <w:lvl w:ilvl="0">
      <w:start w:val="3"/>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1800" w:hanging="1800"/>
      </w:pPr>
      <w:rPr>
        <w:rFonts w:hint="default"/>
        <w:b/>
        <w:u w:val="single"/>
      </w:rPr>
    </w:lvl>
  </w:abstractNum>
  <w:abstractNum w:abstractNumId="28" w15:restartNumberingAfterBreak="0">
    <w:nsid w:val="7CDA1B49"/>
    <w:multiLevelType w:val="multilevel"/>
    <w:tmpl w:val="C7EC3A7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16cid:durableId="784738696">
    <w:abstractNumId w:val="28"/>
  </w:num>
  <w:num w:numId="2" w16cid:durableId="1827282590">
    <w:abstractNumId w:val="18"/>
  </w:num>
  <w:num w:numId="3" w16cid:durableId="165020886">
    <w:abstractNumId w:val="23"/>
  </w:num>
  <w:num w:numId="4" w16cid:durableId="2035304509">
    <w:abstractNumId w:val="4"/>
  </w:num>
  <w:num w:numId="5" w16cid:durableId="459421484">
    <w:abstractNumId w:val="25"/>
  </w:num>
  <w:num w:numId="6" w16cid:durableId="1363626063">
    <w:abstractNumId w:val="17"/>
  </w:num>
  <w:num w:numId="7" w16cid:durableId="1148475510">
    <w:abstractNumId w:val="19"/>
  </w:num>
  <w:num w:numId="8" w16cid:durableId="701630504">
    <w:abstractNumId w:val="12"/>
  </w:num>
  <w:num w:numId="9" w16cid:durableId="1160850945">
    <w:abstractNumId w:val="0"/>
  </w:num>
  <w:num w:numId="10" w16cid:durableId="1402482449">
    <w:abstractNumId w:val="27"/>
  </w:num>
  <w:num w:numId="11" w16cid:durableId="1389113144">
    <w:abstractNumId w:val="5"/>
  </w:num>
  <w:num w:numId="12" w16cid:durableId="2102600745">
    <w:abstractNumId w:val="16"/>
  </w:num>
  <w:num w:numId="13" w16cid:durableId="268465114">
    <w:abstractNumId w:val="24"/>
  </w:num>
  <w:num w:numId="14" w16cid:durableId="721557995">
    <w:abstractNumId w:val="26"/>
  </w:num>
  <w:num w:numId="15" w16cid:durableId="971062502">
    <w:abstractNumId w:val="2"/>
  </w:num>
  <w:num w:numId="16" w16cid:durableId="2031098647">
    <w:abstractNumId w:val="3"/>
  </w:num>
  <w:num w:numId="17" w16cid:durableId="2073770328">
    <w:abstractNumId w:val="22"/>
  </w:num>
  <w:num w:numId="18" w16cid:durableId="711730541">
    <w:abstractNumId w:val="21"/>
  </w:num>
  <w:num w:numId="19" w16cid:durableId="359477294">
    <w:abstractNumId w:val="15"/>
  </w:num>
  <w:num w:numId="20" w16cid:durableId="2104719131">
    <w:abstractNumId w:val="10"/>
  </w:num>
  <w:num w:numId="21" w16cid:durableId="683630472">
    <w:abstractNumId w:val="20"/>
  </w:num>
  <w:num w:numId="22" w16cid:durableId="70860752">
    <w:abstractNumId w:val="13"/>
  </w:num>
  <w:num w:numId="23" w16cid:durableId="623075846">
    <w:abstractNumId w:val="14"/>
  </w:num>
  <w:num w:numId="24" w16cid:durableId="846407263">
    <w:abstractNumId w:val="9"/>
  </w:num>
  <w:num w:numId="25" w16cid:durableId="957570875">
    <w:abstractNumId w:val="7"/>
  </w:num>
  <w:num w:numId="26" w16cid:durableId="1579362697">
    <w:abstractNumId w:val="6"/>
  </w:num>
  <w:num w:numId="27" w16cid:durableId="1066759222">
    <w:abstractNumId w:val="1"/>
  </w:num>
  <w:num w:numId="28" w16cid:durableId="1303728964">
    <w:abstractNumId w:val="11"/>
  </w:num>
  <w:num w:numId="29" w16cid:durableId="1115322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gutterAtTop/>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MLS0MLW0NDcyNrBQ0lEKTi0uzszPAykwrAUAxOq/7ywAAAA="/>
  </w:docVars>
  <w:rsids>
    <w:rsidRoot w:val="003D133E"/>
    <w:rsid w:val="000009F1"/>
    <w:rsid w:val="00001EFF"/>
    <w:rsid w:val="00004C66"/>
    <w:rsid w:val="0000773A"/>
    <w:rsid w:val="00012043"/>
    <w:rsid w:val="00013289"/>
    <w:rsid w:val="000135DE"/>
    <w:rsid w:val="00014880"/>
    <w:rsid w:val="0001782B"/>
    <w:rsid w:val="00022780"/>
    <w:rsid w:val="00023D37"/>
    <w:rsid w:val="00025FB0"/>
    <w:rsid w:val="000279EC"/>
    <w:rsid w:val="00033112"/>
    <w:rsid w:val="00033D4B"/>
    <w:rsid w:val="00034587"/>
    <w:rsid w:val="00034E72"/>
    <w:rsid w:val="00036DAD"/>
    <w:rsid w:val="000428F7"/>
    <w:rsid w:val="00042A13"/>
    <w:rsid w:val="0004393A"/>
    <w:rsid w:val="000443E8"/>
    <w:rsid w:val="0004567D"/>
    <w:rsid w:val="000479EF"/>
    <w:rsid w:val="00050B55"/>
    <w:rsid w:val="000552EA"/>
    <w:rsid w:val="00055CCE"/>
    <w:rsid w:val="00062887"/>
    <w:rsid w:val="00065AAB"/>
    <w:rsid w:val="0007051A"/>
    <w:rsid w:val="000731DF"/>
    <w:rsid w:val="00073F39"/>
    <w:rsid w:val="00074348"/>
    <w:rsid w:val="00080872"/>
    <w:rsid w:val="00082046"/>
    <w:rsid w:val="00090A21"/>
    <w:rsid w:val="00096F85"/>
    <w:rsid w:val="000A1014"/>
    <w:rsid w:val="000A371A"/>
    <w:rsid w:val="000A4383"/>
    <w:rsid w:val="000A5648"/>
    <w:rsid w:val="000A6A4F"/>
    <w:rsid w:val="000A77AA"/>
    <w:rsid w:val="000B7191"/>
    <w:rsid w:val="000C4B22"/>
    <w:rsid w:val="000C4B78"/>
    <w:rsid w:val="000D2165"/>
    <w:rsid w:val="000D2B48"/>
    <w:rsid w:val="000D54F5"/>
    <w:rsid w:val="000D6469"/>
    <w:rsid w:val="000E1EB3"/>
    <w:rsid w:val="000E2B67"/>
    <w:rsid w:val="000E3D50"/>
    <w:rsid w:val="000E5A1C"/>
    <w:rsid w:val="000E5E32"/>
    <w:rsid w:val="000E6583"/>
    <w:rsid w:val="000F0D5F"/>
    <w:rsid w:val="000F4079"/>
    <w:rsid w:val="000F5EC1"/>
    <w:rsid w:val="000F6DA8"/>
    <w:rsid w:val="00100897"/>
    <w:rsid w:val="001043A6"/>
    <w:rsid w:val="00105A77"/>
    <w:rsid w:val="001071E9"/>
    <w:rsid w:val="00107D96"/>
    <w:rsid w:val="0011102C"/>
    <w:rsid w:val="00112DE4"/>
    <w:rsid w:val="00114913"/>
    <w:rsid w:val="0011692F"/>
    <w:rsid w:val="00117037"/>
    <w:rsid w:val="00117422"/>
    <w:rsid w:val="00117AF3"/>
    <w:rsid w:val="00120307"/>
    <w:rsid w:val="001204AE"/>
    <w:rsid w:val="00120DF2"/>
    <w:rsid w:val="00120EE3"/>
    <w:rsid w:val="001227A2"/>
    <w:rsid w:val="001243A8"/>
    <w:rsid w:val="00131779"/>
    <w:rsid w:val="00133EB1"/>
    <w:rsid w:val="00136E6C"/>
    <w:rsid w:val="00137F9A"/>
    <w:rsid w:val="00140EC9"/>
    <w:rsid w:val="001443EF"/>
    <w:rsid w:val="00150C29"/>
    <w:rsid w:val="00150C8C"/>
    <w:rsid w:val="00151F3C"/>
    <w:rsid w:val="001554FE"/>
    <w:rsid w:val="0015740D"/>
    <w:rsid w:val="0015791B"/>
    <w:rsid w:val="00157C27"/>
    <w:rsid w:val="001618C5"/>
    <w:rsid w:val="0016217B"/>
    <w:rsid w:val="0016322D"/>
    <w:rsid w:val="00163467"/>
    <w:rsid w:val="00164C3F"/>
    <w:rsid w:val="0016715C"/>
    <w:rsid w:val="001701AF"/>
    <w:rsid w:val="001746FF"/>
    <w:rsid w:val="00181A2F"/>
    <w:rsid w:val="001837E0"/>
    <w:rsid w:val="00184424"/>
    <w:rsid w:val="001902A2"/>
    <w:rsid w:val="001911C8"/>
    <w:rsid w:val="0019270A"/>
    <w:rsid w:val="00192F66"/>
    <w:rsid w:val="0019330A"/>
    <w:rsid w:val="001977B4"/>
    <w:rsid w:val="00197C1D"/>
    <w:rsid w:val="001A1434"/>
    <w:rsid w:val="001A1D94"/>
    <w:rsid w:val="001A3212"/>
    <w:rsid w:val="001A53AA"/>
    <w:rsid w:val="001A729A"/>
    <w:rsid w:val="001A7AB0"/>
    <w:rsid w:val="001B0815"/>
    <w:rsid w:val="001B246F"/>
    <w:rsid w:val="001B40CF"/>
    <w:rsid w:val="001B468B"/>
    <w:rsid w:val="001B790A"/>
    <w:rsid w:val="001B7CCA"/>
    <w:rsid w:val="001B7F3D"/>
    <w:rsid w:val="001C0F43"/>
    <w:rsid w:val="001C13AD"/>
    <w:rsid w:val="001C16D3"/>
    <w:rsid w:val="001C1B7F"/>
    <w:rsid w:val="001C1C65"/>
    <w:rsid w:val="001C301E"/>
    <w:rsid w:val="001C39F4"/>
    <w:rsid w:val="001C63CD"/>
    <w:rsid w:val="001D0268"/>
    <w:rsid w:val="001D0809"/>
    <w:rsid w:val="001D4F61"/>
    <w:rsid w:val="001D5E0C"/>
    <w:rsid w:val="001E04A8"/>
    <w:rsid w:val="001E44F4"/>
    <w:rsid w:val="001E7FF8"/>
    <w:rsid w:val="001F02D3"/>
    <w:rsid w:val="001F233E"/>
    <w:rsid w:val="001F23D7"/>
    <w:rsid w:val="002005F2"/>
    <w:rsid w:val="0020170B"/>
    <w:rsid w:val="002018AA"/>
    <w:rsid w:val="00201EA1"/>
    <w:rsid w:val="0020202E"/>
    <w:rsid w:val="00203373"/>
    <w:rsid w:val="002036C5"/>
    <w:rsid w:val="00205A18"/>
    <w:rsid w:val="002064CE"/>
    <w:rsid w:val="00206F83"/>
    <w:rsid w:val="00210E66"/>
    <w:rsid w:val="00213BF0"/>
    <w:rsid w:val="00213C30"/>
    <w:rsid w:val="00213DBA"/>
    <w:rsid w:val="0021401B"/>
    <w:rsid w:val="00214444"/>
    <w:rsid w:val="00220EEE"/>
    <w:rsid w:val="00221AB6"/>
    <w:rsid w:val="00222734"/>
    <w:rsid w:val="00222866"/>
    <w:rsid w:val="00222AAB"/>
    <w:rsid w:val="00225E0A"/>
    <w:rsid w:val="00230844"/>
    <w:rsid w:val="00230D27"/>
    <w:rsid w:val="002351BC"/>
    <w:rsid w:val="00235403"/>
    <w:rsid w:val="00237CDC"/>
    <w:rsid w:val="00237F43"/>
    <w:rsid w:val="00240F49"/>
    <w:rsid w:val="00246177"/>
    <w:rsid w:val="00250A43"/>
    <w:rsid w:val="00253D7F"/>
    <w:rsid w:val="002563A1"/>
    <w:rsid w:val="0025759D"/>
    <w:rsid w:val="002579FD"/>
    <w:rsid w:val="00257A19"/>
    <w:rsid w:val="00261190"/>
    <w:rsid w:val="0026184B"/>
    <w:rsid w:val="00263922"/>
    <w:rsid w:val="00264477"/>
    <w:rsid w:val="0027128D"/>
    <w:rsid w:val="00272259"/>
    <w:rsid w:val="0027570A"/>
    <w:rsid w:val="00280A9C"/>
    <w:rsid w:val="002815ED"/>
    <w:rsid w:val="00284C5A"/>
    <w:rsid w:val="002853FB"/>
    <w:rsid w:val="00285796"/>
    <w:rsid w:val="00290DB6"/>
    <w:rsid w:val="00291C8E"/>
    <w:rsid w:val="0029211B"/>
    <w:rsid w:val="00292661"/>
    <w:rsid w:val="00293DAC"/>
    <w:rsid w:val="002946D6"/>
    <w:rsid w:val="0029600C"/>
    <w:rsid w:val="002A164F"/>
    <w:rsid w:val="002A2F3F"/>
    <w:rsid w:val="002A36D8"/>
    <w:rsid w:val="002A3D68"/>
    <w:rsid w:val="002A64E7"/>
    <w:rsid w:val="002B0F20"/>
    <w:rsid w:val="002B12F5"/>
    <w:rsid w:val="002B348B"/>
    <w:rsid w:val="002B5CAA"/>
    <w:rsid w:val="002B5D29"/>
    <w:rsid w:val="002B731B"/>
    <w:rsid w:val="002B7354"/>
    <w:rsid w:val="002C01A1"/>
    <w:rsid w:val="002C0973"/>
    <w:rsid w:val="002C1C74"/>
    <w:rsid w:val="002C35D3"/>
    <w:rsid w:val="002C3831"/>
    <w:rsid w:val="002C6ACC"/>
    <w:rsid w:val="002D0723"/>
    <w:rsid w:val="002D1123"/>
    <w:rsid w:val="002D5B3D"/>
    <w:rsid w:val="002E0933"/>
    <w:rsid w:val="002E4902"/>
    <w:rsid w:val="002E4E3C"/>
    <w:rsid w:val="002F14AA"/>
    <w:rsid w:val="002F1845"/>
    <w:rsid w:val="002F2CDE"/>
    <w:rsid w:val="002F332F"/>
    <w:rsid w:val="002F4296"/>
    <w:rsid w:val="002F6C70"/>
    <w:rsid w:val="00301BB7"/>
    <w:rsid w:val="003066D6"/>
    <w:rsid w:val="00307CA5"/>
    <w:rsid w:val="00310230"/>
    <w:rsid w:val="00311775"/>
    <w:rsid w:val="003136B4"/>
    <w:rsid w:val="00315082"/>
    <w:rsid w:val="00315E1A"/>
    <w:rsid w:val="003202AB"/>
    <w:rsid w:val="003239D2"/>
    <w:rsid w:val="00324E94"/>
    <w:rsid w:val="00325BD4"/>
    <w:rsid w:val="00332238"/>
    <w:rsid w:val="003330A5"/>
    <w:rsid w:val="00335B00"/>
    <w:rsid w:val="003372A6"/>
    <w:rsid w:val="003372AF"/>
    <w:rsid w:val="00337C03"/>
    <w:rsid w:val="00340821"/>
    <w:rsid w:val="00341107"/>
    <w:rsid w:val="003422C7"/>
    <w:rsid w:val="003425E0"/>
    <w:rsid w:val="00343463"/>
    <w:rsid w:val="00344004"/>
    <w:rsid w:val="00346118"/>
    <w:rsid w:val="003530D8"/>
    <w:rsid w:val="0035572F"/>
    <w:rsid w:val="00356DF9"/>
    <w:rsid w:val="00360247"/>
    <w:rsid w:val="00360A6B"/>
    <w:rsid w:val="0036494B"/>
    <w:rsid w:val="00367AB1"/>
    <w:rsid w:val="00371B8E"/>
    <w:rsid w:val="003761A1"/>
    <w:rsid w:val="0037779C"/>
    <w:rsid w:val="00381B5E"/>
    <w:rsid w:val="00381DF6"/>
    <w:rsid w:val="0038512F"/>
    <w:rsid w:val="0038723A"/>
    <w:rsid w:val="00391FF8"/>
    <w:rsid w:val="003922E8"/>
    <w:rsid w:val="00392E74"/>
    <w:rsid w:val="00397D46"/>
    <w:rsid w:val="003A1FB4"/>
    <w:rsid w:val="003A290F"/>
    <w:rsid w:val="003A3C2A"/>
    <w:rsid w:val="003A421A"/>
    <w:rsid w:val="003A51B2"/>
    <w:rsid w:val="003A731B"/>
    <w:rsid w:val="003B5405"/>
    <w:rsid w:val="003B7463"/>
    <w:rsid w:val="003C2476"/>
    <w:rsid w:val="003C270F"/>
    <w:rsid w:val="003C7326"/>
    <w:rsid w:val="003C7986"/>
    <w:rsid w:val="003C7FAD"/>
    <w:rsid w:val="003D133E"/>
    <w:rsid w:val="003D2B1E"/>
    <w:rsid w:val="003D40E9"/>
    <w:rsid w:val="003D4E33"/>
    <w:rsid w:val="003D608B"/>
    <w:rsid w:val="003E0BB8"/>
    <w:rsid w:val="003E25DA"/>
    <w:rsid w:val="003E50C2"/>
    <w:rsid w:val="003E65B3"/>
    <w:rsid w:val="003E6A3F"/>
    <w:rsid w:val="003E7A02"/>
    <w:rsid w:val="003F0A29"/>
    <w:rsid w:val="003F2401"/>
    <w:rsid w:val="003F3EEC"/>
    <w:rsid w:val="003F4027"/>
    <w:rsid w:val="003F5494"/>
    <w:rsid w:val="003F7D0F"/>
    <w:rsid w:val="003F7E3E"/>
    <w:rsid w:val="00400782"/>
    <w:rsid w:val="00404242"/>
    <w:rsid w:val="0040428F"/>
    <w:rsid w:val="00405ADB"/>
    <w:rsid w:val="00407718"/>
    <w:rsid w:val="004106D5"/>
    <w:rsid w:val="00411A8D"/>
    <w:rsid w:val="00414F08"/>
    <w:rsid w:val="00416BA0"/>
    <w:rsid w:val="00417CBC"/>
    <w:rsid w:val="00420FE6"/>
    <w:rsid w:val="004218F8"/>
    <w:rsid w:val="00423926"/>
    <w:rsid w:val="004239BB"/>
    <w:rsid w:val="004241ED"/>
    <w:rsid w:val="00426571"/>
    <w:rsid w:val="00427582"/>
    <w:rsid w:val="00427811"/>
    <w:rsid w:val="004322E7"/>
    <w:rsid w:val="0043374E"/>
    <w:rsid w:val="00433750"/>
    <w:rsid w:val="00433EB9"/>
    <w:rsid w:val="00436192"/>
    <w:rsid w:val="0043649E"/>
    <w:rsid w:val="004377D0"/>
    <w:rsid w:val="004425D0"/>
    <w:rsid w:val="004436CC"/>
    <w:rsid w:val="00446086"/>
    <w:rsid w:val="004460AD"/>
    <w:rsid w:val="0044748A"/>
    <w:rsid w:val="00451267"/>
    <w:rsid w:val="004528ED"/>
    <w:rsid w:val="00454B81"/>
    <w:rsid w:val="0046398E"/>
    <w:rsid w:val="0046539A"/>
    <w:rsid w:val="0046566B"/>
    <w:rsid w:val="00465BBD"/>
    <w:rsid w:val="00466DC7"/>
    <w:rsid w:val="00471317"/>
    <w:rsid w:val="004719A5"/>
    <w:rsid w:val="00477316"/>
    <w:rsid w:val="004806DB"/>
    <w:rsid w:val="004830F2"/>
    <w:rsid w:val="00483F59"/>
    <w:rsid w:val="0048493E"/>
    <w:rsid w:val="00487DEA"/>
    <w:rsid w:val="00490114"/>
    <w:rsid w:val="004903A2"/>
    <w:rsid w:val="00494BDA"/>
    <w:rsid w:val="004962B8"/>
    <w:rsid w:val="00496DB9"/>
    <w:rsid w:val="004A09C4"/>
    <w:rsid w:val="004A2A90"/>
    <w:rsid w:val="004A4D29"/>
    <w:rsid w:val="004A7D89"/>
    <w:rsid w:val="004B0F08"/>
    <w:rsid w:val="004B189F"/>
    <w:rsid w:val="004B1B2D"/>
    <w:rsid w:val="004B1CED"/>
    <w:rsid w:val="004B31BB"/>
    <w:rsid w:val="004B4606"/>
    <w:rsid w:val="004B6C8E"/>
    <w:rsid w:val="004C4A5A"/>
    <w:rsid w:val="004D1669"/>
    <w:rsid w:val="004D39D9"/>
    <w:rsid w:val="004D3CC0"/>
    <w:rsid w:val="004D56D5"/>
    <w:rsid w:val="004E5439"/>
    <w:rsid w:val="004E5E34"/>
    <w:rsid w:val="004E7F00"/>
    <w:rsid w:val="004E7FCB"/>
    <w:rsid w:val="004F0338"/>
    <w:rsid w:val="004F09FA"/>
    <w:rsid w:val="004F67BE"/>
    <w:rsid w:val="004F7651"/>
    <w:rsid w:val="004F7911"/>
    <w:rsid w:val="005003E9"/>
    <w:rsid w:val="005004F5"/>
    <w:rsid w:val="005007C7"/>
    <w:rsid w:val="00501553"/>
    <w:rsid w:val="00501737"/>
    <w:rsid w:val="005019BF"/>
    <w:rsid w:val="00502E9A"/>
    <w:rsid w:val="00505D70"/>
    <w:rsid w:val="00506141"/>
    <w:rsid w:val="00506A19"/>
    <w:rsid w:val="0050767C"/>
    <w:rsid w:val="00512533"/>
    <w:rsid w:val="00523EB3"/>
    <w:rsid w:val="005245EA"/>
    <w:rsid w:val="005249AF"/>
    <w:rsid w:val="00526014"/>
    <w:rsid w:val="00526EE8"/>
    <w:rsid w:val="00526F08"/>
    <w:rsid w:val="005310AA"/>
    <w:rsid w:val="0053192D"/>
    <w:rsid w:val="00531D3B"/>
    <w:rsid w:val="00532C01"/>
    <w:rsid w:val="0053384C"/>
    <w:rsid w:val="00535907"/>
    <w:rsid w:val="00540CA2"/>
    <w:rsid w:val="00541267"/>
    <w:rsid w:val="00541E56"/>
    <w:rsid w:val="0054243C"/>
    <w:rsid w:val="00542778"/>
    <w:rsid w:val="005444DA"/>
    <w:rsid w:val="005456F3"/>
    <w:rsid w:val="00545857"/>
    <w:rsid w:val="0054615F"/>
    <w:rsid w:val="005474A3"/>
    <w:rsid w:val="00552DA8"/>
    <w:rsid w:val="00554585"/>
    <w:rsid w:val="005548B5"/>
    <w:rsid w:val="00555516"/>
    <w:rsid w:val="005627F2"/>
    <w:rsid w:val="00563140"/>
    <w:rsid w:val="005632E6"/>
    <w:rsid w:val="00564BFA"/>
    <w:rsid w:val="005657C1"/>
    <w:rsid w:val="005658EF"/>
    <w:rsid w:val="0057130B"/>
    <w:rsid w:val="005721B1"/>
    <w:rsid w:val="005734C0"/>
    <w:rsid w:val="00574547"/>
    <w:rsid w:val="005758CC"/>
    <w:rsid w:val="00576C5D"/>
    <w:rsid w:val="005808D4"/>
    <w:rsid w:val="00582AA6"/>
    <w:rsid w:val="00590BF8"/>
    <w:rsid w:val="005945B1"/>
    <w:rsid w:val="005A2600"/>
    <w:rsid w:val="005A2D9B"/>
    <w:rsid w:val="005A2E9C"/>
    <w:rsid w:val="005A5B43"/>
    <w:rsid w:val="005A6872"/>
    <w:rsid w:val="005A6ADB"/>
    <w:rsid w:val="005A760C"/>
    <w:rsid w:val="005A787E"/>
    <w:rsid w:val="005A787F"/>
    <w:rsid w:val="005B0C0D"/>
    <w:rsid w:val="005B0FC2"/>
    <w:rsid w:val="005B3905"/>
    <w:rsid w:val="005B6334"/>
    <w:rsid w:val="005B639F"/>
    <w:rsid w:val="005C1268"/>
    <w:rsid w:val="005C4C1C"/>
    <w:rsid w:val="005C57AA"/>
    <w:rsid w:val="005C6B58"/>
    <w:rsid w:val="005D3558"/>
    <w:rsid w:val="005D585B"/>
    <w:rsid w:val="005D5C04"/>
    <w:rsid w:val="005E033E"/>
    <w:rsid w:val="005E2ED6"/>
    <w:rsid w:val="005E3C74"/>
    <w:rsid w:val="005E41BC"/>
    <w:rsid w:val="005E4E04"/>
    <w:rsid w:val="005F0C36"/>
    <w:rsid w:val="005F303D"/>
    <w:rsid w:val="005F4012"/>
    <w:rsid w:val="005F47AE"/>
    <w:rsid w:val="005F6A8F"/>
    <w:rsid w:val="00600335"/>
    <w:rsid w:val="00604270"/>
    <w:rsid w:val="00604612"/>
    <w:rsid w:val="0060764F"/>
    <w:rsid w:val="00607913"/>
    <w:rsid w:val="00610601"/>
    <w:rsid w:val="00613944"/>
    <w:rsid w:val="006163FB"/>
    <w:rsid w:val="00616554"/>
    <w:rsid w:val="00617C95"/>
    <w:rsid w:val="006202F2"/>
    <w:rsid w:val="00621456"/>
    <w:rsid w:val="00630E85"/>
    <w:rsid w:val="00631135"/>
    <w:rsid w:val="0063441D"/>
    <w:rsid w:val="00635CD6"/>
    <w:rsid w:val="006361AB"/>
    <w:rsid w:val="0064030A"/>
    <w:rsid w:val="0064481F"/>
    <w:rsid w:val="00645F01"/>
    <w:rsid w:val="00647F5F"/>
    <w:rsid w:val="00651751"/>
    <w:rsid w:val="0065220E"/>
    <w:rsid w:val="00654287"/>
    <w:rsid w:val="00654E80"/>
    <w:rsid w:val="006622CB"/>
    <w:rsid w:val="006674F0"/>
    <w:rsid w:val="00667EF3"/>
    <w:rsid w:val="0067085F"/>
    <w:rsid w:val="006709B6"/>
    <w:rsid w:val="00670A7F"/>
    <w:rsid w:val="00676236"/>
    <w:rsid w:val="006763B5"/>
    <w:rsid w:val="0067784F"/>
    <w:rsid w:val="00681382"/>
    <w:rsid w:val="00681C58"/>
    <w:rsid w:val="00681D40"/>
    <w:rsid w:val="00682EAD"/>
    <w:rsid w:val="00684890"/>
    <w:rsid w:val="006857BB"/>
    <w:rsid w:val="00685981"/>
    <w:rsid w:val="00686E67"/>
    <w:rsid w:val="006906DA"/>
    <w:rsid w:val="0069099B"/>
    <w:rsid w:val="0069288E"/>
    <w:rsid w:val="006953B5"/>
    <w:rsid w:val="006A0BC5"/>
    <w:rsid w:val="006A0C40"/>
    <w:rsid w:val="006A20AA"/>
    <w:rsid w:val="006A2417"/>
    <w:rsid w:val="006A587A"/>
    <w:rsid w:val="006A7B2C"/>
    <w:rsid w:val="006B0BFF"/>
    <w:rsid w:val="006B28BD"/>
    <w:rsid w:val="006B3539"/>
    <w:rsid w:val="006B42E6"/>
    <w:rsid w:val="006B5349"/>
    <w:rsid w:val="006C02DE"/>
    <w:rsid w:val="006C0460"/>
    <w:rsid w:val="006C29E0"/>
    <w:rsid w:val="006D0C95"/>
    <w:rsid w:val="006D2499"/>
    <w:rsid w:val="006D2CDD"/>
    <w:rsid w:val="006D31DB"/>
    <w:rsid w:val="006D653B"/>
    <w:rsid w:val="006D74CF"/>
    <w:rsid w:val="006E3227"/>
    <w:rsid w:val="006E341D"/>
    <w:rsid w:val="006F0611"/>
    <w:rsid w:val="007007F6"/>
    <w:rsid w:val="00701FD7"/>
    <w:rsid w:val="0070391D"/>
    <w:rsid w:val="00705690"/>
    <w:rsid w:val="007060C2"/>
    <w:rsid w:val="007138E5"/>
    <w:rsid w:val="00713E6B"/>
    <w:rsid w:val="00714FD3"/>
    <w:rsid w:val="00715529"/>
    <w:rsid w:val="007159A5"/>
    <w:rsid w:val="00715C49"/>
    <w:rsid w:val="00716864"/>
    <w:rsid w:val="00717408"/>
    <w:rsid w:val="00721D2D"/>
    <w:rsid w:val="00723159"/>
    <w:rsid w:val="0072552A"/>
    <w:rsid w:val="0072625C"/>
    <w:rsid w:val="00726B4F"/>
    <w:rsid w:val="00727A01"/>
    <w:rsid w:val="00727AF1"/>
    <w:rsid w:val="00732F22"/>
    <w:rsid w:val="007335FC"/>
    <w:rsid w:val="00735F12"/>
    <w:rsid w:val="0074160B"/>
    <w:rsid w:val="007422B3"/>
    <w:rsid w:val="00742F28"/>
    <w:rsid w:val="00743662"/>
    <w:rsid w:val="00746712"/>
    <w:rsid w:val="007479F4"/>
    <w:rsid w:val="00752DE5"/>
    <w:rsid w:val="007539E8"/>
    <w:rsid w:val="00754047"/>
    <w:rsid w:val="007572F6"/>
    <w:rsid w:val="00761701"/>
    <w:rsid w:val="007636D1"/>
    <w:rsid w:val="00763A2F"/>
    <w:rsid w:val="00764FEA"/>
    <w:rsid w:val="00766DF9"/>
    <w:rsid w:val="00770720"/>
    <w:rsid w:val="00771440"/>
    <w:rsid w:val="00771756"/>
    <w:rsid w:val="00771D2D"/>
    <w:rsid w:val="0078395E"/>
    <w:rsid w:val="00783A97"/>
    <w:rsid w:val="00785505"/>
    <w:rsid w:val="007935C0"/>
    <w:rsid w:val="00793C53"/>
    <w:rsid w:val="007948C3"/>
    <w:rsid w:val="00794D87"/>
    <w:rsid w:val="007959C8"/>
    <w:rsid w:val="0079646D"/>
    <w:rsid w:val="007A013D"/>
    <w:rsid w:val="007A0B13"/>
    <w:rsid w:val="007A2B00"/>
    <w:rsid w:val="007A3801"/>
    <w:rsid w:val="007A3BFA"/>
    <w:rsid w:val="007A411F"/>
    <w:rsid w:val="007A635F"/>
    <w:rsid w:val="007A6561"/>
    <w:rsid w:val="007A6D69"/>
    <w:rsid w:val="007B048C"/>
    <w:rsid w:val="007B3E2D"/>
    <w:rsid w:val="007B65BE"/>
    <w:rsid w:val="007C135C"/>
    <w:rsid w:val="007C1ABD"/>
    <w:rsid w:val="007C1B27"/>
    <w:rsid w:val="007C2058"/>
    <w:rsid w:val="007C557F"/>
    <w:rsid w:val="007C7B82"/>
    <w:rsid w:val="007C7E03"/>
    <w:rsid w:val="007C7FDE"/>
    <w:rsid w:val="007D327A"/>
    <w:rsid w:val="007D40EF"/>
    <w:rsid w:val="007D5448"/>
    <w:rsid w:val="007D66EE"/>
    <w:rsid w:val="007D76F3"/>
    <w:rsid w:val="007E1614"/>
    <w:rsid w:val="007E3BCE"/>
    <w:rsid w:val="007E4183"/>
    <w:rsid w:val="007E57AF"/>
    <w:rsid w:val="007F14D9"/>
    <w:rsid w:val="007F2971"/>
    <w:rsid w:val="007F3D1A"/>
    <w:rsid w:val="007F40A2"/>
    <w:rsid w:val="007F42F9"/>
    <w:rsid w:val="007F564B"/>
    <w:rsid w:val="00800411"/>
    <w:rsid w:val="008034A9"/>
    <w:rsid w:val="00805BEF"/>
    <w:rsid w:val="008076F7"/>
    <w:rsid w:val="00810330"/>
    <w:rsid w:val="00812AFE"/>
    <w:rsid w:val="00816539"/>
    <w:rsid w:val="00816C78"/>
    <w:rsid w:val="00826121"/>
    <w:rsid w:val="008318AE"/>
    <w:rsid w:val="00831912"/>
    <w:rsid w:val="0083385D"/>
    <w:rsid w:val="00837036"/>
    <w:rsid w:val="00840AC7"/>
    <w:rsid w:val="00842E28"/>
    <w:rsid w:val="00843079"/>
    <w:rsid w:val="008522C7"/>
    <w:rsid w:val="00852A09"/>
    <w:rsid w:val="00856341"/>
    <w:rsid w:val="008614D7"/>
    <w:rsid w:val="00861F8D"/>
    <w:rsid w:val="008622A5"/>
    <w:rsid w:val="00866CBD"/>
    <w:rsid w:val="00866ECF"/>
    <w:rsid w:val="008674E0"/>
    <w:rsid w:val="00872020"/>
    <w:rsid w:val="00873369"/>
    <w:rsid w:val="00873DC1"/>
    <w:rsid w:val="00874F84"/>
    <w:rsid w:val="00874FB8"/>
    <w:rsid w:val="00875253"/>
    <w:rsid w:val="00876649"/>
    <w:rsid w:val="00880A8F"/>
    <w:rsid w:val="00880C66"/>
    <w:rsid w:val="00884623"/>
    <w:rsid w:val="00884E31"/>
    <w:rsid w:val="008872F7"/>
    <w:rsid w:val="008910BF"/>
    <w:rsid w:val="00893BD9"/>
    <w:rsid w:val="00897916"/>
    <w:rsid w:val="008A1D46"/>
    <w:rsid w:val="008A3FC1"/>
    <w:rsid w:val="008B1B25"/>
    <w:rsid w:val="008B23DE"/>
    <w:rsid w:val="008B576D"/>
    <w:rsid w:val="008B721F"/>
    <w:rsid w:val="008C1572"/>
    <w:rsid w:val="008C2AD6"/>
    <w:rsid w:val="008D183F"/>
    <w:rsid w:val="008D2034"/>
    <w:rsid w:val="008D7B8A"/>
    <w:rsid w:val="008E098D"/>
    <w:rsid w:val="008E2AAB"/>
    <w:rsid w:val="008E5EF4"/>
    <w:rsid w:val="008E6574"/>
    <w:rsid w:val="008F206D"/>
    <w:rsid w:val="008F3D69"/>
    <w:rsid w:val="008F5014"/>
    <w:rsid w:val="0090018A"/>
    <w:rsid w:val="00902E05"/>
    <w:rsid w:val="009039D4"/>
    <w:rsid w:val="00903EB6"/>
    <w:rsid w:val="0090428C"/>
    <w:rsid w:val="00904B20"/>
    <w:rsid w:val="0090530F"/>
    <w:rsid w:val="009065F1"/>
    <w:rsid w:val="00906BC3"/>
    <w:rsid w:val="009101C5"/>
    <w:rsid w:val="009154CB"/>
    <w:rsid w:val="0092062C"/>
    <w:rsid w:val="00920C60"/>
    <w:rsid w:val="00924D90"/>
    <w:rsid w:val="00925FEA"/>
    <w:rsid w:val="00926169"/>
    <w:rsid w:val="00926310"/>
    <w:rsid w:val="00926A99"/>
    <w:rsid w:val="00931D03"/>
    <w:rsid w:val="009335BC"/>
    <w:rsid w:val="00933D08"/>
    <w:rsid w:val="0093581A"/>
    <w:rsid w:val="00935EAF"/>
    <w:rsid w:val="00936BFB"/>
    <w:rsid w:val="00940F34"/>
    <w:rsid w:val="0094259B"/>
    <w:rsid w:val="009433AC"/>
    <w:rsid w:val="009441C0"/>
    <w:rsid w:val="00944E7E"/>
    <w:rsid w:val="00946168"/>
    <w:rsid w:val="0094701F"/>
    <w:rsid w:val="009520A7"/>
    <w:rsid w:val="00953FC1"/>
    <w:rsid w:val="00955659"/>
    <w:rsid w:val="00956EE9"/>
    <w:rsid w:val="00961CE1"/>
    <w:rsid w:val="00970FF5"/>
    <w:rsid w:val="00972F0E"/>
    <w:rsid w:val="0097342B"/>
    <w:rsid w:val="009754C1"/>
    <w:rsid w:val="00977654"/>
    <w:rsid w:val="00977B74"/>
    <w:rsid w:val="009827AA"/>
    <w:rsid w:val="00985A03"/>
    <w:rsid w:val="00985B64"/>
    <w:rsid w:val="0098661A"/>
    <w:rsid w:val="00986675"/>
    <w:rsid w:val="00986F53"/>
    <w:rsid w:val="00992877"/>
    <w:rsid w:val="00992D7A"/>
    <w:rsid w:val="00994353"/>
    <w:rsid w:val="009A17E7"/>
    <w:rsid w:val="009A1D0D"/>
    <w:rsid w:val="009A2B95"/>
    <w:rsid w:val="009A5A61"/>
    <w:rsid w:val="009A638E"/>
    <w:rsid w:val="009A6CB8"/>
    <w:rsid w:val="009A76E8"/>
    <w:rsid w:val="009B15B8"/>
    <w:rsid w:val="009B1DE0"/>
    <w:rsid w:val="009B376B"/>
    <w:rsid w:val="009B58DE"/>
    <w:rsid w:val="009B7087"/>
    <w:rsid w:val="009C0EF0"/>
    <w:rsid w:val="009C3413"/>
    <w:rsid w:val="009C5A64"/>
    <w:rsid w:val="009C5CEF"/>
    <w:rsid w:val="009C5E6A"/>
    <w:rsid w:val="009C7232"/>
    <w:rsid w:val="009C728E"/>
    <w:rsid w:val="009C7CD8"/>
    <w:rsid w:val="009D057A"/>
    <w:rsid w:val="009D185B"/>
    <w:rsid w:val="009D2B98"/>
    <w:rsid w:val="009E262D"/>
    <w:rsid w:val="009E31DF"/>
    <w:rsid w:val="009E41EF"/>
    <w:rsid w:val="009E75F4"/>
    <w:rsid w:val="009F2E75"/>
    <w:rsid w:val="009F4667"/>
    <w:rsid w:val="009F4E2C"/>
    <w:rsid w:val="009F654C"/>
    <w:rsid w:val="00A01A20"/>
    <w:rsid w:val="00A02EC1"/>
    <w:rsid w:val="00A05352"/>
    <w:rsid w:val="00A065D1"/>
    <w:rsid w:val="00A065FD"/>
    <w:rsid w:val="00A1212B"/>
    <w:rsid w:val="00A12EE9"/>
    <w:rsid w:val="00A16615"/>
    <w:rsid w:val="00A17BD9"/>
    <w:rsid w:val="00A22505"/>
    <w:rsid w:val="00A228E9"/>
    <w:rsid w:val="00A2310F"/>
    <w:rsid w:val="00A23EC8"/>
    <w:rsid w:val="00A24BC8"/>
    <w:rsid w:val="00A25126"/>
    <w:rsid w:val="00A3011F"/>
    <w:rsid w:val="00A32579"/>
    <w:rsid w:val="00A338FB"/>
    <w:rsid w:val="00A34915"/>
    <w:rsid w:val="00A37167"/>
    <w:rsid w:val="00A37B13"/>
    <w:rsid w:val="00A4549A"/>
    <w:rsid w:val="00A45745"/>
    <w:rsid w:val="00A4576B"/>
    <w:rsid w:val="00A474CA"/>
    <w:rsid w:val="00A47524"/>
    <w:rsid w:val="00A50DC0"/>
    <w:rsid w:val="00A511DF"/>
    <w:rsid w:val="00A520DC"/>
    <w:rsid w:val="00A5235A"/>
    <w:rsid w:val="00A5599C"/>
    <w:rsid w:val="00A55EE0"/>
    <w:rsid w:val="00A57CC9"/>
    <w:rsid w:val="00A60364"/>
    <w:rsid w:val="00A60BCE"/>
    <w:rsid w:val="00A61114"/>
    <w:rsid w:val="00A6557B"/>
    <w:rsid w:val="00A70ACA"/>
    <w:rsid w:val="00A7313C"/>
    <w:rsid w:val="00A75398"/>
    <w:rsid w:val="00A769D0"/>
    <w:rsid w:val="00A81923"/>
    <w:rsid w:val="00A86BF4"/>
    <w:rsid w:val="00A8730B"/>
    <w:rsid w:val="00A905B3"/>
    <w:rsid w:val="00A91124"/>
    <w:rsid w:val="00A91565"/>
    <w:rsid w:val="00AA0B2B"/>
    <w:rsid w:val="00AA11DB"/>
    <w:rsid w:val="00AA1450"/>
    <w:rsid w:val="00AA1640"/>
    <w:rsid w:val="00AA1F16"/>
    <w:rsid w:val="00AB49A3"/>
    <w:rsid w:val="00AC20E5"/>
    <w:rsid w:val="00AC33C8"/>
    <w:rsid w:val="00AC4BA7"/>
    <w:rsid w:val="00AC7400"/>
    <w:rsid w:val="00AD5255"/>
    <w:rsid w:val="00AE02EF"/>
    <w:rsid w:val="00AE07DE"/>
    <w:rsid w:val="00AE0CEF"/>
    <w:rsid w:val="00AE33CD"/>
    <w:rsid w:val="00AE449F"/>
    <w:rsid w:val="00AE6F70"/>
    <w:rsid w:val="00AF0ACD"/>
    <w:rsid w:val="00AF1FC0"/>
    <w:rsid w:val="00B01489"/>
    <w:rsid w:val="00B02938"/>
    <w:rsid w:val="00B04642"/>
    <w:rsid w:val="00B07B2D"/>
    <w:rsid w:val="00B114D5"/>
    <w:rsid w:val="00B11F49"/>
    <w:rsid w:val="00B13E0E"/>
    <w:rsid w:val="00B14F65"/>
    <w:rsid w:val="00B16587"/>
    <w:rsid w:val="00B23AA8"/>
    <w:rsid w:val="00B24DE6"/>
    <w:rsid w:val="00B31B3D"/>
    <w:rsid w:val="00B34470"/>
    <w:rsid w:val="00B37F78"/>
    <w:rsid w:val="00B41139"/>
    <w:rsid w:val="00B425AC"/>
    <w:rsid w:val="00B4366F"/>
    <w:rsid w:val="00B4514B"/>
    <w:rsid w:val="00B467D2"/>
    <w:rsid w:val="00B5179A"/>
    <w:rsid w:val="00B52450"/>
    <w:rsid w:val="00B52A9A"/>
    <w:rsid w:val="00B53613"/>
    <w:rsid w:val="00B55AAA"/>
    <w:rsid w:val="00B61010"/>
    <w:rsid w:val="00B61C5D"/>
    <w:rsid w:val="00B641C5"/>
    <w:rsid w:val="00B65593"/>
    <w:rsid w:val="00B677EC"/>
    <w:rsid w:val="00B729E0"/>
    <w:rsid w:val="00B73879"/>
    <w:rsid w:val="00B738EF"/>
    <w:rsid w:val="00B7426B"/>
    <w:rsid w:val="00B75F60"/>
    <w:rsid w:val="00B77647"/>
    <w:rsid w:val="00B779BF"/>
    <w:rsid w:val="00B77AD7"/>
    <w:rsid w:val="00B77E89"/>
    <w:rsid w:val="00B83EC6"/>
    <w:rsid w:val="00B845B9"/>
    <w:rsid w:val="00B84DCB"/>
    <w:rsid w:val="00B85B26"/>
    <w:rsid w:val="00B91CDC"/>
    <w:rsid w:val="00B93EBA"/>
    <w:rsid w:val="00B9541A"/>
    <w:rsid w:val="00B96A60"/>
    <w:rsid w:val="00B97BFA"/>
    <w:rsid w:val="00BA016C"/>
    <w:rsid w:val="00BA1BD9"/>
    <w:rsid w:val="00BA3BD4"/>
    <w:rsid w:val="00BA4E91"/>
    <w:rsid w:val="00BB0DAF"/>
    <w:rsid w:val="00BB12B6"/>
    <w:rsid w:val="00BB1BCE"/>
    <w:rsid w:val="00BB21CD"/>
    <w:rsid w:val="00BB4781"/>
    <w:rsid w:val="00BB5703"/>
    <w:rsid w:val="00BB6B29"/>
    <w:rsid w:val="00BB75FF"/>
    <w:rsid w:val="00BB7D50"/>
    <w:rsid w:val="00BC12D1"/>
    <w:rsid w:val="00BC3588"/>
    <w:rsid w:val="00BC4A0D"/>
    <w:rsid w:val="00BC5F01"/>
    <w:rsid w:val="00BD0F4A"/>
    <w:rsid w:val="00BD1319"/>
    <w:rsid w:val="00BD19C2"/>
    <w:rsid w:val="00BD1B4B"/>
    <w:rsid w:val="00BD1FA0"/>
    <w:rsid w:val="00BD3E2D"/>
    <w:rsid w:val="00BD413F"/>
    <w:rsid w:val="00BD4EF2"/>
    <w:rsid w:val="00BE0B30"/>
    <w:rsid w:val="00BE16E5"/>
    <w:rsid w:val="00BE24D8"/>
    <w:rsid w:val="00BE25EB"/>
    <w:rsid w:val="00BE5C47"/>
    <w:rsid w:val="00BE5DBF"/>
    <w:rsid w:val="00BF3602"/>
    <w:rsid w:val="00BF5082"/>
    <w:rsid w:val="00BF58F5"/>
    <w:rsid w:val="00BF5F2A"/>
    <w:rsid w:val="00C01418"/>
    <w:rsid w:val="00C016CB"/>
    <w:rsid w:val="00C03958"/>
    <w:rsid w:val="00C13823"/>
    <w:rsid w:val="00C17387"/>
    <w:rsid w:val="00C24A19"/>
    <w:rsid w:val="00C24F26"/>
    <w:rsid w:val="00C25072"/>
    <w:rsid w:val="00C2687B"/>
    <w:rsid w:val="00C26CCB"/>
    <w:rsid w:val="00C300C9"/>
    <w:rsid w:val="00C30FCB"/>
    <w:rsid w:val="00C3498E"/>
    <w:rsid w:val="00C34CC3"/>
    <w:rsid w:val="00C40942"/>
    <w:rsid w:val="00C41138"/>
    <w:rsid w:val="00C42CDB"/>
    <w:rsid w:val="00C44D86"/>
    <w:rsid w:val="00C44E1A"/>
    <w:rsid w:val="00C45D63"/>
    <w:rsid w:val="00C47290"/>
    <w:rsid w:val="00C5655B"/>
    <w:rsid w:val="00C60AF8"/>
    <w:rsid w:val="00C60C1A"/>
    <w:rsid w:val="00C62764"/>
    <w:rsid w:val="00C64AAA"/>
    <w:rsid w:val="00C64D92"/>
    <w:rsid w:val="00C7065C"/>
    <w:rsid w:val="00C76A0D"/>
    <w:rsid w:val="00C77932"/>
    <w:rsid w:val="00C80ECD"/>
    <w:rsid w:val="00C813AC"/>
    <w:rsid w:val="00C82461"/>
    <w:rsid w:val="00C829A5"/>
    <w:rsid w:val="00C83DB5"/>
    <w:rsid w:val="00C864B2"/>
    <w:rsid w:val="00C901F7"/>
    <w:rsid w:val="00C9125C"/>
    <w:rsid w:val="00C91D48"/>
    <w:rsid w:val="00C92444"/>
    <w:rsid w:val="00C93068"/>
    <w:rsid w:val="00C9306B"/>
    <w:rsid w:val="00C94EDA"/>
    <w:rsid w:val="00C96285"/>
    <w:rsid w:val="00C979C7"/>
    <w:rsid w:val="00CA1AA0"/>
    <w:rsid w:val="00CA1F26"/>
    <w:rsid w:val="00CA3121"/>
    <w:rsid w:val="00CA35C2"/>
    <w:rsid w:val="00CA4210"/>
    <w:rsid w:val="00CA5A9A"/>
    <w:rsid w:val="00CA5B93"/>
    <w:rsid w:val="00CA5D5D"/>
    <w:rsid w:val="00CB2E8E"/>
    <w:rsid w:val="00CB3202"/>
    <w:rsid w:val="00CC2613"/>
    <w:rsid w:val="00CC2E98"/>
    <w:rsid w:val="00CC3A7A"/>
    <w:rsid w:val="00CC4B2C"/>
    <w:rsid w:val="00CC706B"/>
    <w:rsid w:val="00CC77B0"/>
    <w:rsid w:val="00CD1F7B"/>
    <w:rsid w:val="00CD47B9"/>
    <w:rsid w:val="00CD493C"/>
    <w:rsid w:val="00CD493F"/>
    <w:rsid w:val="00CD6DE8"/>
    <w:rsid w:val="00CD75EE"/>
    <w:rsid w:val="00CD7899"/>
    <w:rsid w:val="00CE3516"/>
    <w:rsid w:val="00CE3CEE"/>
    <w:rsid w:val="00CF06CD"/>
    <w:rsid w:val="00CF61DB"/>
    <w:rsid w:val="00CF754B"/>
    <w:rsid w:val="00D010AB"/>
    <w:rsid w:val="00D03797"/>
    <w:rsid w:val="00D043E7"/>
    <w:rsid w:val="00D074C4"/>
    <w:rsid w:val="00D12F0F"/>
    <w:rsid w:val="00D16501"/>
    <w:rsid w:val="00D167FA"/>
    <w:rsid w:val="00D17822"/>
    <w:rsid w:val="00D20182"/>
    <w:rsid w:val="00D20348"/>
    <w:rsid w:val="00D20DD7"/>
    <w:rsid w:val="00D23B7C"/>
    <w:rsid w:val="00D2513E"/>
    <w:rsid w:val="00D26502"/>
    <w:rsid w:val="00D319DA"/>
    <w:rsid w:val="00D321C6"/>
    <w:rsid w:val="00D34C87"/>
    <w:rsid w:val="00D36C19"/>
    <w:rsid w:val="00D40F65"/>
    <w:rsid w:val="00D419F6"/>
    <w:rsid w:val="00D43581"/>
    <w:rsid w:val="00D46D70"/>
    <w:rsid w:val="00D510BB"/>
    <w:rsid w:val="00D51621"/>
    <w:rsid w:val="00D534D5"/>
    <w:rsid w:val="00D53FC5"/>
    <w:rsid w:val="00D563A6"/>
    <w:rsid w:val="00D56445"/>
    <w:rsid w:val="00D61B3D"/>
    <w:rsid w:val="00D64C01"/>
    <w:rsid w:val="00D66165"/>
    <w:rsid w:val="00D662C8"/>
    <w:rsid w:val="00D66428"/>
    <w:rsid w:val="00D676DD"/>
    <w:rsid w:val="00D7091D"/>
    <w:rsid w:val="00D70F7E"/>
    <w:rsid w:val="00D71B1D"/>
    <w:rsid w:val="00D75911"/>
    <w:rsid w:val="00D75C8E"/>
    <w:rsid w:val="00D80E58"/>
    <w:rsid w:val="00D871CA"/>
    <w:rsid w:val="00D92C07"/>
    <w:rsid w:val="00D93495"/>
    <w:rsid w:val="00D975B5"/>
    <w:rsid w:val="00DA0517"/>
    <w:rsid w:val="00DA0C2D"/>
    <w:rsid w:val="00DA3411"/>
    <w:rsid w:val="00DA3EE5"/>
    <w:rsid w:val="00DA479E"/>
    <w:rsid w:val="00DA562F"/>
    <w:rsid w:val="00DB1337"/>
    <w:rsid w:val="00DB2C01"/>
    <w:rsid w:val="00DB4EAF"/>
    <w:rsid w:val="00DB6F40"/>
    <w:rsid w:val="00DB74F6"/>
    <w:rsid w:val="00DB7EDA"/>
    <w:rsid w:val="00DC0C5F"/>
    <w:rsid w:val="00DC2955"/>
    <w:rsid w:val="00DC2AB0"/>
    <w:rsid w:val="00DC2DBD"/>
    <w:rsid w:val="00DC2EB4"/>
    <w:rsid w:val="00DC3CBC"/>
    <w:rsid w:val="00DD01BF"/>
    <w:rsid w:val="00DD0653"/>
    <w:rsid w:val="00DD0B12"/>
    <w:rsid w:val="00DD0FC8"/>
    <w:rsid w:val="00DD4334"/>
    <w:rsid w:val="00DD5C36"/>
    <w:rsid w:val="00DD702E"/>
    <w:rsid w:val="00DE466A"/>
    <w:rsid w:val="00DE7294"/>
    <w:rsid w:val="00DF2CC6"/>
    <w:rsid w:val="00DF3412"/>
    <w:rsid w:val="00DF7E45"/>
    <w:rsid w:val="00E0426E"/>
    <w:rsid w:val="00E1006B"/>
    <w:rsid w:val="00E12D7B"/>
    <w:rsid w:val="00E2002E"/>
    <w:rsid w:val="00E219EC"/>
    <w:rsid w:val="00E26207"/>
    <w:rsid w:val="00E31221"/>
    <w:rsid w:val="00E31EF3"/>
    <w:rsid w:val="00E33764"/>
    <w:rsid w:val="00E3626E"/>
    <w:rsid w:val="00E43BC3"/>
    <w:rsid w:val="00E4509C"/>
    <w:rsid w:val="00E46E79"/>
    <w:rsid w:val="00E47DF0"/>
    <w:rsid w:val="00E509AB"/>
    <w:rsid w:val="00E5282E"/>
    <w:rsid w:val="00E53CB5"/>
    <w:rsid w:val="00E54176"/>
    <w:rsid w:val="00E54D55"/>
    <w:rsid w:val="00E55503"/>
    <w:rsid w:val="00E566C4"/>
    <w:rsid w:val="00E5761D"/>
    <w:rsid w:val="00E6025E"/>
    <w:rsid w:val="00E65C4D"/>
    <w:rsid w:val="00E65E2E"/>
    <w:rsid w:val="00E70B7C"/>
    <w:rsid w:val="00E74A86"/>
    <w:rsid w:val="00E76A81"/>
    <w:rsid w:val="00E80D60"/>
    <w:rsid w:val="00E816A6"/>
    <w:rsid w:val="00E81975"/>
    <w:rsid w:val="00E82D6E"/>
    <w:rsid w:val="00E832D1"/>
    <w:rsid w:val="00E83D86"/>
    <w:rsid w:val="00E86E13"/>
    <w:rsid w:val="00E87D8B"/>
    <w:rsid w:val="00E906E0"/>
    <w:rsid w:val="00E9280D"/>
    <w:rsid w:val="00E92986"/>
    <w:rsid w:val="00E94A59"/>
    <w:rsid w:val="00E9612A"/>
    <w:rsid w:val="00E9645C"/>
    <w:rsid w:val="00E97363"/>
    <w:rsid w:val="00EA4697"/>
    <w:rsid w:val="00EA4C9B"/>
    <w:rsid w:val="00EA5F82"/>
    <w:rsid w:val="00EA64CB"/>
    <w:rsid w:val="00EA7682"/>
    <w:rsid w:val="00EB21AE"/>
    <w:rsid w:val="00EB2262"/>
    <w:rsid w:val="00EB27C4"/>
    <w:rsid w:val="00EB54CD"/>
    <w:rsid w:val="00EB6E43"/>
    <w:rsid w:val="00EB7897"/>
    <w:rsid w:val="00EC0711"/>
    <w:rsid w:val="00EC1F2E"/>
    <w:rsid w:val="00EC4262"/>
    <w:rsid w:val="00EC46B5"/>
    <w:rsid w:val="00EC6A7C"/>
    <w:rsid w:val="00EC6B8C"/>
    <w:rsid w:val="00ED152B"/>
    <w:rsid w:val="00ED1DD4"/>
    <w:rsid w:val="00ED5FD5"/>
    <w:rsid w:val="00ED6469"/>
    <w:rsid w:val="00ED726A"/>
    <w:rsid w:val="00ED7AEA"/>
    <w:rsid w:val="00EE2930"/>
    <w:rsid w:val="00EE4AA2"/>
    <w:rsid w:val="00EF2568"/>
    <w:rsid w:val="00EF309E"/>
    <w:rsid w:val="00EF3B75"/>
    <w:rsid w:val="00EF5840"/>
    <w:rsid w:val="00F038F3"/>
    <w:rsid w:val="00F03D89"/>
    <w:rsid w:val="00F04167"/>
    <w:rsid w:val="00F073F1"/>
    <w:rsid w:val="00F079C9"/>
    <w:rsid w:val="00F07BB8"/>
    <w:rsid w:val="00F07C26"/>
    <w:rsid w:val="00F1061A"/>
    <w:rsid w:val="00F116D6"/>
    <w:rsid w:val="00F11DB5"/>
    <w:rsid w:val="00F155B6"/>
    <w:rsid w:val="00F21142"/>
    <w:rsid w:val="00F270D1"/>
    <w:rsid w:val="00F279EA"/>
    <w:rsid w:val="00F27DFB"/>
    <w:rsid w:val="00F3209F"/>
    <w:rsid w:val="00F32B33"/>
    <w:rsid w:val="00F33567"/>
    <w:rsid w:val="00F34713"/>
    <w:rsid w:val="00F431A3"/>
    <w:rsid w:val="00F43760"/>
    <w:rsid w:val="00F43CF5"/>
    <w:rsid w:val="00F452F0"/>
    <w:rsid w:val="00F47ABA"/>
    <w:rsid w:val="00F50965"/>
    <w:rsid w:val="00F51B2E"/>
    <w:rsid w:val="00F5205B"/>
    <w:rsid w:val="00F526C1"/>
    <w:rsid w:val="00F5278F"/>
    <w:rsid w:val="00F53E14"/>
    <w:rsid w:val="00F53F96"/>
    <w:rsid w:val="00F55E15"/>
    <w:rsid w:val="00F560C1"/>
    <w:rsid w:val="00F602AF"/>
    <w:rsid w:val="00F61F33"/>
    <w:rsid w:val="00F66ABC"/>
    <w:rsid w:val="00F67273"/>
    <w:rsid w:val="00F676D1"/>
    <w:rsid w:val="00F75C3C"/>
    <w:rsid w:val="00F75CCB"/>
    <w:rsid w:val="00F779C9"/>
    <w:rsid w:val="00F82240"/>
    <w:rsid w:val="00F83404"/>
    <w:rsid w:val="00F852A0"/>
    <w:rsid w:val="00F86A9E"/>
    <w:rsid w:val="00F87E16"/>
    <w:rsid w:val="00F87F37"/>
    <w:rsid w:val="00F935A6"/>
    <w:rsid w:val="00F9413E"/>
    <w:rsid w:val="00F96344"/>
    <w:rsid w:val="00F96BDC"/>
    <w:rsid w:val="00FA02CA"/>
    <w:rsid w:val="00FA0B8F"/>
    <w:rsid w:val="00FA1484"/>
    <w:rsid w:val="00FA32A5"/>
    <w:rsid w:val="00FA4419"/>
    <w:rsid w:val="00FA46D9"/>
    <w:rsid w:val="00FA4A4F"/>
    <w:rsid w:val="00FA4F04"/>
    <w:rsid w:val="00FB2C56"/>
    <w:rsid w:val="00FB4830"/>
    <w:rsid w:val="00FB7803"/>
    <w:rsid w:val="00FC2087"/>
    <w:rsid w:val="00FC2291"/>
    <w:rsid w:val="00FC3EED"/>
    <w:rsid w:val="00FC471C"/>
    <w:rsid w:val="00FD01A4"/>
    <w:rsid w:val="00FD0E4F"/>
    <w:rsid w:val="00FD4FB3"/>
    <w:rsid w:val="00FD52C1"/>
    <w:rsid w:val="00FE55E5"/>
    <w:rsid w:val="00FE590C"/>
    <w:rsid w:val="00FE69C3"/>
    <w:rsid w:val="00FF0530"/>
    <w:rsid w:val="00FF186C"/>
    <w:rsid w:val="00FF23CF"/>
    <w:rsid w:val="00FF31BE"/>
    <w:rsid w:val="00FF4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5A"/>
    <w:pPr>
      <w:spacing w:after="0" w:line="360" w:lineRule="auto"/>
      <w:jc w:val="both"/>
    </w:pPr>
    <w:rPr>
      <w:rFonts w:ascii="Times New Roman" w:eastAsia="Calibri" w:hAnsi="Times New Roman" w:cs="Arial"/>
      <w:sz w:val="24"/>
      <w:lang w:val="en-GB"/>
    </w:rPr>
  </w:style>
  <w:style w:type="paragraph" w:styleId="Heading1">
    <w:name w:val="heading 1"/>
    <w:basedOn w:val="Normal"/>
    <w:next w:val="Normal"/>
    <w:link w:val="Heading1Char"/>
    <w:autoRedefine/>
    <w:uiPriority w:val="9"/>
    <w:qFormat/>
    <w:rsid w:val="003D133E"/>
    <w:pPr>
      <w:keepNext/>
      <w:keepLines/>
      <w:numPr>
        <w:numId w:val="1"/>
      </w:numPr>
      <w:spacing w:before="480" w:after="480"/>
      <w:jc w:val="center"/>
      <w:outlineLvl w:val="0"/>
    </w:pPr>
    <w:rPr>
      <w:rFonts w:eastAsia="Times New Roman" w:cs="Times New Roman"/>
      <w:b/>
      <w:bCs/>
      <w:caps/>
      <w:szCs w:val="28"/>
    </w:rPr>
  </w:style>
  <w:style w:type="paragraph" w:styleId="Heading2">
    <w:name w:val="heading 2"/>
    <w:basedOn w:val="Normal"/>
    <w:next w:val="Normal"/>
    <w:link w:val="Heading2Char"/>
    <w:autoRedefine/>
    <w:uiPriority w:val="9"/>
    <w:unhideWhenUsed/>
    <w:qFormat/>
    <w:rsid w:val="003D133E"/>
    <w:pPr>
      <w:keepNext/>
      <w:keepLines/>
      <w:numPr>
        <w:ilvl w:val="1"/>
        <w:numId w:val="1"/>
      </w:numPr>
      <w:spacing w:before="480" w:after="480"/>
      <w:jc w:val="center"/>
      <w:outlineLvl w:val="1"/>
    </w:pPr>
    <w:rPr>
      <w:rFonts w:eastAsia="Times New Roman" w:cs="Times New Roman"/>
      <w:b/>
      <w:bCs/>
      <w:szCs w:val="26"/>
    </w:rPr>
  </w:style>
  <w:style w:type="paragraph" w:styleId="Heading3">
    <w:name w:val="heading 3"/>
    <w:basedOn w:val="Normal"/>
    <w:next w:val="Normal"/>
    <w:link w:val="Heading3Char"/>
    <w:uiPriority w:val="9"/>
    <w:semiHidden/>
    <w:unhideWhenUsed/>
    <w:qFormat/>
    <w:rsid w:val="00A228E9"/>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unhideWhenUsed/>
    <w:qFormat/>
    <w:rsid w:val="00133EB1"/>
    <w:pPr>
      <w:keepNext/>
      <w:keepLines/>
      <w:spacing w:line="240" w:lineRule="auto"/>
      <w:outlineLvl w:val="3"/>
    </w:pPr>
    <w:rPr>
      <w:rFonts w:eastAsia="Times New Roman" w:cs="Times New Roman"/>
      <w:b/>
      <w:bCs/>
      <w:iCs/>
    </w:rPr>
  </w:style>
  <w:style w:type="paragraph" w:styleId="Heading5">
    <w:name w:val="heading 5"/>
    <w:basedOn w:val="Normal"/>
    <w:next w:val="Normal"/>
    <w:link w:val="Heading5Char"/>
    <w:autoRedefine/>
    <w:uiPriority w:val="9"/>
    <w:unhideWhenUsed/>
    <w:qFormat/>
    <w:rsid w:val="003D133E"/>
    <w:pPr>
      <w:keepNext/>
      <w:keepLines/>
      <w:numPr>
        <w:ilvl w:val="4"/>
        <w:numId w:val="1"/>
      </w:numPr>
      <w:spacing w:before="480" w:after="480"/>
      <w:ind w:firstLine="709"/>
      <w:outlineLvl w:val="4"/>
    </w:pPr>
    <w:rPr>
      <w:rFonts w:asciiTheme="majorBidi" w:eastAsiaTheme="majorEastAsia" w:hAnsiTheme="majorBidi" w:cstheme="majorBidi"/>
      <w:b/>
    </w:rPr>
  </w:style>
  <w:style w:type="paragraph" w:styleId="Heading6">
    <w:name w:val="heading 6"/>
    <w:basedOn w:val="Normal"/>
    <w:next w:val="Normal"/>
    <w:link w:val="Heading6Char"/>
    <w:uiPriority w:val="9"/>
    <w:unhideWhenUsed/>
    <w:qFormat/>
    <w:rsid w:val="003D133E"/>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133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133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D133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33E"/>
    <w:rPr>
      <w:rFonts w:ascii="Times New Roman" w:eastAsia="Times New Roman" w:hAnsi="Times New Roman" w:cs="Times New Roman"/>
      <w:b/>
      <w:bCs/>
      <w:caps/>
      <w:sz w:val="24"/>
      <w:szCs w:val="28"/>
      <w:lang w:val="en-GB"/>
    </w:rPr>
  </w:style>
  <w:style w:type="character" w:customStyle="1" w:styleId="Heading2Char">
    <w:name w:val="Heading 2 Char"/>
    <w:basedOn w:val="DefaultParagraphFont"/>
    <w:link w:val="Heading2"/>
    <w:uiPriority w:val="9"/>
    <w:rsid w:val="003D133E"/>
    <w:rPr>
      <w:rFonts w:ascii="Times New Roman" w:eastAsia="Times New Roman" w:hAnsi="Times New Roman" w:cs="Times New Roman"/>
      <w:b/>
      <w:bCs/>
      <w:sz w:val="24"/>
      <w:szCs w:val="26"/>
      <w:lang w:val="en-GB"/>
    </w:rPr>
  </w:style>
  <w:style w:type="character" w:customStyle="1" w:styleId="Heading4Char">
    <w:name w:val="Heading 4 Char"/>
    <w:basedOn w:val="DefaultParagraphFont"/>
    <w:link w:val="Heading4"/>
    <w:uiPriority w:val="9"/>
    <w:rsid w:val="00133EB1"/>
    <w:rPr>
      <w:rFonts w:ascii="Times New Roman" w:eastAsia="Times New Roman" w:hAnsi="Times New Roman" w:cs="Times New Roman"/>
      <w:b/>
      <w:bCs/>
      <w:iCs/>
      <w:sz w:val="24"/>
      <w:lang w:val="en-GB"/>
    </w:rPr>
  </w:style>
  <w:style w:type="character" w:customStyle="1" w:styleId="Heading5Char">
    <w:name w:val="Heading 5 Char"/>
    <w:basedOn w:val="DefaultParagraphFont"/>
    <w:link w:val="Heading5"/>
    <w:uiPriority w:val="9"/>
    <w:rsid w:val="003D133E"/>
    <w:rPr>
      <w:rFonts w:asciiTheme="majorBidi" w:eastAsiaTheme="majorEastAsia" w:hAnsiTheme="majorBidi" w:cstheme="majorBidi"/>
      <w:b/>
      <w:sz w:val="24"/>
      <w:lang w:val="en-GB"/>
    </w:rPr>
  </w:style>
  <w:style w:type="character" w:customStyle="1" w:styleId="Heading6Char">
    <w:name w:val="Heading 6 Char"/>
    <w:basedOn w:val="DefaultParagraphFont"/>
    <w:link w:val="Heading6"/>
    <w:uiPriority w:val="9"/>
    <w:rsid w:val="003D133E"/>
    <w:rPr>
      <w:rFonts w:asciiTheme="majorHAnsi" w:eastAsiaTheme="majorEastAsia" w:hAnsiTheme="majorHAnsi" w:cstheme="majorBidi"/>
      <w:i/>
      <w:iCs/>
      <w:color w:val="1F4D78" w:themeColor="accent1" w:themeShade="7F"/>
      <w:sz w:val="24"/>
      <w:lang w:val="en-GB"/>
    </w:rPr>
  </w:style>
  <w:style w:type="character" w:customStyle="1" w:styleId="Heading7Char">
    <w:name w:val="Heading 7 Char"/>
    <w:basedOn w:val="DefaultParagraphFont"/>
    <w:link w:val="Heading7"/>
    <w:uiPriority w:val="9"/>
    <w:semiHidden/>
    <w:rsid w:val="003D133E"/>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uiPriority w:val="9"/>
    <w:semiHidden/>
    <w:rsid w:val="003D133E"/>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3D133E"/>
    <w:rPr>
      <w:rFonts w:asciiTheme="majorHAnsi" w:eastAsiaTheme="majorEastAsia" w:hAnsiTheme="majorHAnsi" w:cstheme="majorBidi"/>
      <w:i/>
      <w:iCs/>
      <w:color w:val="404040" w:themeColor="text1" w:themeTint="BF"/>
      <w:sz w:val="20"/>
      <w:szCs w:val="20"/>
      <w:lang w:val="en-GB"/>
    </w:rPr>
  </w:style>
  <w:style w:type="table" w:styleId="TableGrid">
    <w:name w:val="Table Grid"/>
    <w:basedOn w:val="TableNormal"/>
    <w:uiPriority w:val="39"/>
    <w:rsid w:val="003D133E"/>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33E"/>
    <w:pPr>
      <w:tabs>
        <w:tab w:val="center" w:pos="4513"/>
        <w:tab w:val="right" w:pos="9026"/>
      </w:tabs>
      <w:spacing w:line="240" w:lineRule="auto"/>
    </w:pPr>
  </w:style>
  <w:style w:type="character" w:customStyle="1" w:styleId="HeaderChar">
    <w:name w:val="Header Char"/>
    <w:basedOn w:val="DefaultParagraphFont"/>
    <w:link w:val="Header"/>
    <w:uiPriority w:val="99"/>
    <w:rsid w:val="003D133E"/>
    <w:rPr>
      <w:rFonts w:ascii="Times New Roman" w:eastAsia="Calibri" w:hAnsi="Times New Roman" w:cs="Arial"/>
      <w:sz w:val="24"/>
      <w:lang w:val="en-GB"/>
    </w:rPr>
  </w:style>
  <w:style w:type="paragraph" w:styleId="Footer">
    <w:name w:val="footer"/>
    <w:basedOn w:val="Normal"/>
    <w:link w:val="FooterChar"/>
    <w:uiPriority w:val="99"/>
    <w:unhideWhenUsed/>
    <w:rsid w:val="003D133E"/>
    <w:pPr>
      <w:tabs>
        <w:tab w:val="center" w:pos="4513"/>
        <w:tab w:val="right" w:pos="9026"/>
      </w:tabs>
      <w:spacing w:line="240" w:lineRule="auto"/>
    </w:pPr>
  </w:style>
  <w:style w:type="character" w:customStyle="1" w:styleId="FooterChar">
    <w:name w:val="Footer Char"/>
    <w:basedOn w:val="DefaultParagraphFont"/>
    <w:link w:val="Footer"/>
    <w:uiPriority w:val="99"/>
    <w:rsid w:val="003D133E"/>
    <w:rPr>
      <w:rFonts w:ascii="Times New Roman" w:eastAsia="Calibri" w:hAnsi="Times New Roman" w:cs="Arial"/>
      <w:sz w:val="24"/>
      <w:lang w:val="en-GB"/>
    </w:rPr>
  </w:style>
  <w:style w:type="paragraph" w:styleId="NormalWeb">
    <w:name w:val="Normal (Web)"/>
    <w:basedOn w:val="Normal"/>
    <w:uiPriority w:val="99"/>
    <w:unhideWhenUsed/>
    <w:rsid w:val="00800411"/>
    <w:pPr>
      <w:spacing w:before="100" w:beforeAutospacing="1" w:after="100" w:afterAutospacing="1" w:line="240" w:lineRule="auto"/>
      <w:jc w:val="left"/>
    </w:pPr>
    <w:rPr>
      <w:rFonts w:eastAsia="Times New Roman" w:cs="Times New Roman"/>
      <w:szCs w:val="24"/>
      <w:lang w:val="en-MY" w:eastAsia="en-MY"/>
    </w:rPr>
  </w:style>
  <w:style w:type="paragraph" w:styleId="BalloonText">
    <w:name w:val="Balloon Text"/>
    <w:basedOn w:val="Normal"/>
    <w:link w:val="BalloonTextChar"/>
    <w:uiPriority w:val="99"/>
    <w:semiHidden/>
    <w:unhideWhenUsed/>
    <w:rsid w:val="00E80D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D60"/>
    <w:rPr>
      <w:rFonts w:ascii="Tahoma" w:eastAsia="Calibri" w:hAnsi="Tahoma" w:cs="Tahoma"/>
      <w:sz w:val="16"/>
      <w:szCs w:val="16"/>
      <w:lang w:val="en-GB"/>
    </w:rPr>
  </w:style>
  <w:style w:type="paragraph" w:styleId="ListParagraph">
    <w:name w:val="List Paragraph"/>
    <w:basedOn w:val="Normal"/>
    <w:uiPriority w:val="34"/>
    <w:qFormat/>
    <w:rsid w:val="00FB4830"/>
    <w:pPr>
      <w:ind w:left="720"/>
      <w:contextualSpacing/>
    </w:pPr>
  </w:style>
  <w:style w:type="paragraph" w:customStyle="1" w:styleId="Default">
    <w:name w:val="Default"/>
    <w:rsid w:val="00FC208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51">
    <w:name w:val="Plain Table 51"/>
    <w:basedOn w:val="TableNormal"/>
    <w:uiPriority w:val="45"/>
    <w:rsid w:val="00FC20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A60364"/>
    <w:rPr>
      <w:color w:val="0563C1" w:themeColor="hyperlink"/>
      <w:u w:val="single"/>
    </w:rPr>
  </w:style>
  <w:style w:type="character" w:styleId="UnresolvedMention">
    <w:name w:val="Unresolved Mention"/>
    <w:basedOn w:val="DefaultParagraphFont"/>
    <w:uiPriority w:val="99"/>
    <w:semiHidden/>
    <w:unhideWhenUsed/>
    <w:rsid w:val="00DD702E"/>
    <w:rPr>
      <w:color w:val="605E5C"/>
      <w:shd w:val="clear" w:color="auto" w:fill="E1DFDD"/>
    </w:rPr>
  </w:style>
  <w:style w:type="paragraph" w:styleId="NoSpacing">
    <w:name w:val="No Spacing"/>
    <w:uiPriority w:val="1"/>
    <w:qFormat/>
    <w:rsid w:val="004A2A90"/>
    <w:pPr>
      <w:spacing w:after="0" w:line="240" w:lineRule="auto"/>
    </w:pPr>
    <w:rPr>
      <w:rFonts w:ascii="Arial" w:eastAsia="Arial" w:hAnsi="Arial" w:cs="Arial"/>
      <w:lang w:val="en-GB"/>
    </w:rPr>
  </w:style>
  <w:style w:type="character" w:styleId="Emphasis">
    <w:name w:val="Emphasis"/>
    <w:basedOn w:val="DefaultParagraphFont"/>
    <w:uiPriority w:val="20"/>
    <w:qFormat/>
    <w:rsid w:val="00332238"/>
    <w:rPr>
      <w:i/>
      <w:iCs/>
    </w:rPr>
  </w:style>
  <w:style w:type="character" w:styleId="Strong">
    <w:name w:val="Strong"/>
    <w:basedOn w:val="DefaultParagraphFont"/>
    <w:uiPriority w:val="22"/>
    <w:qFormat/>
    <w:rsid w:val="0004567D"/>
    <w:rPr>
      <w:b/>
      <w:bCs/>
    </w:rPr>
  </w:style>
  <w:style w:type="character" w:customStyle="1" w:styleId="Heading3Char">
    <w:name w:val="Heading 3 Char"/>
    <w:basedOn w:val="DefaultParagraphFont"/>
    <w:link w:val="Heading3"/>
    <w:uiPriority w:val="9"/>
    <w:semiHidden/>
    <w:rsid w:val="00A228E9"/>
    <w:rPr>
      <w:rFonts w:asciiTheme="majorHAnsi" w:eastAsiaTheme="majorEastAsia" w:hAnsiTheme="majorHAnsi" w:cstheme="majorBidi"/>
      <w:color w:val="1F4D78" w:themeColor="accent1" w:themeShade="7F"/>
      <w:sz w:val="24"/>
      <w:szCs w:val="24"/>
      <w:lang w:val="en-GB"/>
    </w:rPr>
  </w:style>
  <w:style w:type="paragraph" w:customStyle="1" w:styleId="TableParagraph">
    <w:name w:val="Table Paragraph"/>
    <w:basedOn w:val="Normal"/>
    <w:uiPriority w:val="1"/>
    <w:qFormat/>
    <w:rsid w:val="00F9413E"/>
    <w:pPr>
      <w:widowControl w:val="0"/>
      <w:autoSpaceDE w:val="0"/>
      <w:autoSpaceDN w:val="0"/>
      <w:spacing w:line="275" w:lineRule="exact"/>
      <w:jc w:val="left"/>
    </w:pPr>
    <w:rPr>
      <w:rFonts w:eastAsia="Times New Roman" w:cs="Times New Roman"/>
      <w:sz w:val="22"/>
      <w:lang w:val="en-US"/>
    </w:rPr>
  </w:style>
  <w:style w:type="paragraph" w:styleId="BodyText">
    <w:name w:val="Body Text"/>
    <w:basedOn w:val="Normal"/>
    <w:link w:val="BodyTextChar"/>
    <w:uiPriority w:val="1"/>
    <w:qFormat/>
    <w:rsid w:val="001F02D3"/>
    <w:pPr>
      <w:widowControl w:val="0"/>
      <w:autoSpaceDE w:val="0"/>
      <w:autoSpaceDN w:val="0"/>
      <w:spacing w:line="240" w:lineRule="auto"/>
      <w:jc w:val="left"/>
    </w:pPr>
    <w:rPr>
      <w:rFonts w:eastAsia="Times New Roman" w:cs="Times New Roman"/>
      <w:szCs w:val="24"/>
      <w:lang w:val="en-US"/>
    </w:rPr>
  </w:style>
  <w:style w:type="character" w:customStyle="1" w:styleId="BodyTextChar">
    <w:name w:val="Body Text Char"/>
    <w:basedOn w:val="DefaultParagraphFont"/>
    <w:link w:val="BodyText"/>
    <w:uiPriority w:val="1"/>
    <w:rsid w:val="001F02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379C-F43B-400A-B4EE-1F1A80FC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7910</Words>
  <Characters>45093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2026-06-25T15:07:00Z</dcterms:created>
  <dcterms:modified xsi:type="dcterms:W3CDTF">2026-06-25T16:43:00Z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a0ca8ad5-32c8-4c9c-8aa0-c2ce31af18c5</vt:lpwstr>
  </property>
</Properties>
</file>